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CC Unadjusted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CC Time-adjusted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 Unadjusted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 Time-adjusted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MI Multivariable Model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 (0.86, 0.95)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(0.84, 0.93)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 (0.86, 0.95)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 (0.83, 0.93)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(0.85, 0.94)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IMD quintile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(Least deprived)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(0.81, 0.97)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 (0.82, 0.99)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(0.81, 0.97)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 (0.82, 0.99)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 (0.83, 1.01)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 (0.73, 0.88)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 (0.74, 0.90)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 (0.73, 0.89)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 (0.74, 0.91)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 (0.77, 0.94)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 (0.66, 0.79)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 (0.67, 0.81)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(0.66, 0.79)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 (0.68, 0.82)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 (0.73, 0.88)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(Most deprived)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 (0.56, 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(0.57, 0.69)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 (0.56, 0.68)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(0.58, 0.70)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 (0.63, 0.76)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(0.29, 0.44)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(0.29, 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(0.29, 0.44)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(0.29, 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 (0.34, 0.53)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(0.47, 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(0.50, 0.68)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(0.48, 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 (0.50, 0.67)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 (0.56, 0.75)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Mixed/Other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 (0.60, 0.87)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 (0.64, 0.93)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(0.61, 0.86)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 (0.65, 0.92)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 (0.72, 1.03)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at first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(1.01, 1.02)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(1.01, 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 (1.01, 1.02)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(1.01, 1.01)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 (1.01, 1.01)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Diagnosis time-period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2000–2005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2006–2010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(0.53, 0.60)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(0.73, 0.93)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(0.53, 0.60)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 (0.73, 0.93)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2011–2015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(0.36,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 (0.59, 0.87)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(0.36,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 (0.59, 0.87)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2016–2019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(0.30, 0.35)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(0.52, 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 (0.30, 0.35)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 (0.52, 0.96)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2020–2022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(0.29, 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(0.50, 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(0.29, 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 (0.50, 1.15)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CC = Complete case; univariate logistic regression (unadjusted)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CC = Complete case; logistic regression adjusted for diagnosis year and diagnosis year squared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MI = Multiple imputation; univariate logistic regression (unadjusted)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MI = Multiple imputation; logistic regression adjusted for diagnosis year and diagnosis year squared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5</w:t>
            </w:r>
            <w:r>
              <w:rPr>
                <w:rFonts w:ascii="Calibri" w:hAnsi="Calibri"/>
                <w:sz w:val="20"/>
              </w:rPr>
              <w:t xml:space="default">MI = Multiple imputation; multivariable logistic regression including all covariates (excluding time period) plus diagnosis year and diagnosis year squared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 = Complete case; MI = Multiple imputation; IMD = Index of Multiple Deprivation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All estimates are odds ratios with 95% confidence intervals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Fully observed variables: Age at first diagnosis, Diagnosis time-period; variables with missing data: the outcome (0.3%), Sex (&lt;0.1%), IMD quintile (22.7%), Ethnicity (14.2%)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2025-12-23T12:00:54Z</dcterms:created>
  <dcterms:modified xsi:type="dcterms:W3CDTF">2025-12-23T12:00:54Z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