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title"/>
      </w:pPr>
      <w:r>
        <w:t xml:space="preserve">Table 1: Distribution of dietary patterns by demographic variables.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Demographic 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Neo-Local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Mixed-Local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Mixed-Imported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Region: Outlying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(46.5)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(39.4)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Sex: Female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(57.3)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(53.7)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Age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34.50 [29.00, 47.00]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52.00 [34.00, 61.00]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32.00 [27.00, 43.00]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 [26.75, 55.00]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38.00 [28.00, 55.00]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(0, 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(34.7)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(35.3)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(30, 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(40, 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(50, 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(60, 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[70,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Education: &gt;HS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NCD: Reported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(37.7)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(23.2)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Smoking: Yes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(33.9)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(31.8)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(37.6)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(33.8)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(48.8)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(35.4)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Low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(19.4)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(14.4)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(37.8)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(22.3)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(24.2)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Stephanie</cp:lastModifiedBy>
  <cp:revision>9</cp:revision>
  <dcterms:created xsi:type="dcterms:W3CDTF">2017-02-28T11:18:00Z</dcterms:created>
  <dcterms:modified xsi:type="dcterms:W3CDTF">2023-05-10T16:31:09Z</dcterms:modified>
  <cp:category/>
</cp:coreProperties>
</file>