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一相关文献总体情况"/>
    <w:p>
      <w:pPr>
        <w:pStyle w:val="Heading1"/>
      </w:pPr>
      <w:r>
        <w:rPr>
          <w:rFonts w:hint="eastAsia"/>
        </w:rPr>
        <w:t xml:space="preserve">一、相关文献总体情况</w:t>
      </w:r>
    </w:p>
    <w:p>
      <w:pPr>
        <w:pStyle w:val="FirstParagraph"/>
      </w:pPr>
      <w:r>
        <w:rPr>
          <w:rFonts w:hint="eastAsia"/>
        </w:rPr>
        <w:t xml:space="preserve">本次纳入文献共</w:t>
      </w:r>
      <w:r>
        <w:t xml:space="preserve"> 10 </w:t>
      </w:r>
      <w:r>
        <w:rPr>
          <w:rFonts w:hint="eastAsia"/>
        </w:rPr>
        <w:t xml:space="preserve">篇，整体上主要分布在脂肪细胞分化与脂质代谢、综述与证据整合、免疫炎症与组织微环境、肠道菌群与代谢调控等类型。从研究内容来看，这些文献大多围绕机制阐释、实验验证、干预策略评估或综述性整理展开，能够较好地反映当前主题下较受关注的研究切入点与证据积累方向。其中以“脂肪细胞分化与脂质代谢”相关文献数量最多，说明这一方向在当前主题下受到较多关注。</w:t>
      </w:r>
    </w:p>
    <w:bookmarkEnd w:id="20"/>
    <w:bookmarkStart w:id="25" w:name="二类型划分"/>
    <w:p>
      <w:pPr>
        <w:pStyle w:val="Heading1"/>
      </w:pPr>
      <w:r>
        <w:rPr>
          <w:rFonts w:hint="eastAsia"/>
        </w:rPr>
        <w:t xml:space="preserve">二、类型划分</w:t>
      </w:r>
    </w:p>
    <w:bookmarkStart w:id="21" w:name="脂肪细胞分化与脂质代谢"/>
    <w:p>
      <w:pPr>
        <w:pStyle w:val="Heading2"/>
      </w:pPr>
      <w:r>
        <w:rPr>
          <w:rFonts w:hint="eastAsia"/>
        </w:rPr>
        <w:t xml:space="preserve">脂肪细胞分化与脂质代谢</w:t>
      </w:r>
    </w:p>
    <w:p>
      <w:pPr>
        <w:pStyle w:val="FirstParagraph"/>
      </w:pPr>
      <w:r>
        <w:rPr>
          <w:rFonts w:hint="eastAsia"/>
        </w:rPr>
        <w:t xml:space="preserve">该类文献共</w:t>
      </w:r>
      <w:r>
        <w:t xml:space="preserve"> 6 </w:t>
      </w:r>
      <w:r>
        <w:rPr>
          <w:rFonts w:hint="eastAsia"/>
        </w:rPr>
        <w:t xml:space="preserve">篇，主要围绕“脂肪细胞分化与脂质代谢”这一方向展开。就“医学肥胖相关研究”而言，这一类型的研究可用于梳理该方向的核心问题、常见研究路径及其参考价值。</w:t>
      </w:r>
    </w:p>
    <w:p>
      <w:pPr>
        <w:numPr>
          <w:ilvl w:val="0"/>
          <w:numId w:val="1001"/>
        </w:numPr>
      </w:pPr>
      <w:r>
        <w:t xml:space="preserve">Compounds Contributing to the Modulation of Visceral Adiposity and Hepatic Lipid Metabolism in High-Fat-Diet-Fed Rats by Pometia pinnata (Matoa) Peel Powder: Identification of Pancreatic Lipase Inhibitors.</w:t>
      </w:r>
    </w:p>
    <w:p>
      <w:pPr>
        <w:numPr>
          <w:ilvl w:val="0"/>
          <w:numId w:val="1001"/>
        </w:numPr>
      </w:pPr>
      <w:r>
        <w:t xml:space="preserve">Coffee Silverskin Supplementation Alleviates High-Glucose-Diet-Induced Obesity by Modulating Lipogenic Gene Expression in Caenorhabditis elegans Model.</w:t>
      </w:r>
    </w:p>
    <w:p>
      <w:pPr>
        <w:numPr>
          <w:ilvl w:val="0"/>
          <w:numId w:val="1001"/>
        </w:numPr>
      </w:pPr>
      <w:r>
        <w:t xml:space="preserve">Anti-Obesity Activity of Giant Centella asiatica Lava Seawater Extract (GCA-LS-90) Through Regulation of Adipocyte Differentiation and Lipid Metabolism In Vitro.</w:t>
      </w:r>
    </w:p>
    <w:p>
      <w:pPr>
        <w:numPr>
          <w:ilvl w:val="0"/>
          <w:numId w:val="1001"/>
        </w:numPr>
      </w:pPr>
      <w:r>
        <w:t xml:space="preserve">LncRNA IGF2AS Regulates Bovine Adipocyte Differentiation by Stabilizing the ILF3/FTO Complex and Activating PI3K/AKT Signaling.</w:t>
      </w:r>
    </w:p>
    <w:p>
      <w:pPr>
        <w:numPr>
          <w:ilvl w:val="0"/>
          <w:numId w:val="1001"/>
        </w:numPr>
      </w:pPr>
      <w:r>
        <w:t xml:space="preserve">gga-let-7c-3p Inhibits Chicken Abdominal Adipogenesis by Regulating PPARD Gene.</w:t>
      </w:r>
    </w:p>
    <w:p>
      <w:pPr>
        <w:numPr>
          <w:ilvl w:val="0"/>
          <w:numId w:val="1001"/>
        </w:numPr>
      </w:pPr>
      <w:r>
        <w:t xml:space="preserve">MEDAG functions as an A-kinase-anchoring protein in adipocytes.</w:t>
      </w:r>
    </w:p>
    <w:bookmarkEnd w:id="21"/>
    <w:bookmarkStart w:id="22" w:name="综述与证据整合"/>
    <w:p>
      <w:pPr>
        <w:pStyle w:val="Heading2"/>
      </w:pPr>
      <w:r>
        <w:rPr>
          <w:rFonts w:hint="eastAsia"/>
        </w:rPr>
        <w:t xml:space="preserve">综述与证据整合</w:t>
      </w:r>
    </w:p>
    <w:p>
      <w:pPr>
        <w:pStyle w:val="FirstParagraph"/>
      </w:pPr>
      <w:r>
        <w:rPr>
          <w:rFonts w:hint="eastAsia"/>
        </w:rPr>
        <w:t xml:space="preserve">该类文献共</w:t>
      </w:r>
      <w:r>
        <w:t xml:space="preserve"> 2 </w:t>
      </w:r>
      <w:r>
        <w:rPr>
          <w:rFonts w:hint="eastAsia"/>
        </w:rPr>
        <w:t xml:space="preserve">篇，主要围绕“综述与证据整合”这一方向展开。就“医学肥胖相关研究”而言，这一类型的研究可用于梳理该方向的核心问题、常见研究路径及其参考价值。</w:t>
      </w:r>
    </w:p>
    <w:p>
      <w:pPr>
        <w:numPr>
          <w:ilvl w:val="0"/>
          <w:numId w:val="1002"/>
        </w:numPr>
      </w:pPr>
      <w:r>
        <w:t xml:space="preserve">Propolis in Obesity and Related Metabolic Disorders: Mechanistic and Clinical Insights-A Scoping Review.</w:t>
      </w:r>
    </w:p>
    <w:p>
      <w:pPr>
        <w:numPr>
          <w:ilvl w:val="0"/>
          <w:numId w:val="1002"/>
        </w:numPr>
      </w:pPr>
      <w:r>
        <w:t xml:space="preserve">Adipose-Tissue Macrophage Diversity and Functions.</w:t>
      </w:r>
    </w:p>
    <w:bookmarkEnd w:id="22"/>
    <w:bookmarkStart w:id="23" w:name="免疫炎症与组织微环境"/>
    <w:p>
      <w:pPr>
        <w:pStyle w:val="Heading2"/>
      </w:pPr>
      <w:r>
        <w:rPr>
          <w:rFonts w:hint="eastAsia"/>
        </w:rPr>
        <w:t xml:space="preserve">免疫炎症与组织微环境</w:t>
      </w:r>
    </w:p>
    <w:p>
      <w:pPr>
        <w:pStyle w:val="FirstParagraph"/>
      </w:pPr>
      <w:r>
        <w:rPr>
          <w:rFonts w:hint="eastAsia"/>
        </w:rPr>
        <w:t xml:space="preserve">该类文献目前仅</w:t>
      </w:r>
      <w:r>
        <w:t xml:space="preserve"> 1 </w:t>
      </w:r>
      <w:r>
        <w:rPr>
          <w:rFonts w:hint="eastAsia"/>
        </w:rPr>
        <w:t xml:space="preserve">篇，主要围绕“免疫炎症与组织微环境”这一方向展开。就“医学肥胖相关研究”而言，这一类型的研究可用于梳理该方向的核心问题、常见研究路径及其参考价值。</w:t>
      </w:r>
    </w:p>
    <w:p>
      <w:pPr>
        <w:numPr>
          <w:ilvl w:val="0"/>
          <w:numId w:val="1003"/>
        </w:numPr>
      </w:pPr>
      <w:r>
        <w:t xml:space="preserve">Fish Oil Alters the Metabolome, Antioxidative Potential, and Secretory Profile of Visceral Adipose Tissue in Mice with High-Fat Diet-Induced Obesity Compared with Other Dietary Fat Sources.</w:t>
      </w:r>
    </w:p>
    <w:bookmarkEnd w:id="23"/>
    <w:bookmarkStart w:id="24" w:name="肠道菌群与代谢调控"/>
    <w:p>
      <w:pPr>
        <w:pStyle w:val="Heading2"/>
      </w:pPr>
      <w:r>
        <w:rPr>
          <w:rFonts w:hint="eastAsia"/>
        </w:rPr>
        <w:t xml:space="preserve">肠道菌群与代谢调控</w:t>
      </w:r>
    </w:p>
    <w:p>
      <w:pPr>
        <w:pStyle w:val="FirstParagraph"/>
      </w:pPr>
      <w:r>
        <w:rPr>
          <w:rFonts w:hint="eastAsia"/>
        </w:rPr>
        <w:t xml:space="preserve">该类文献目前仅</w:t>
      </w:r>
      <w:r>
        <w:t xml:space="preserve"> 1 </w:t>
      </w:r>
      <w:r>
        <w:rPr>
          <w:rFonts w:hint="eastAsia"/>
        </w:rPr>
        <w:t xml:space="preserve">篇，主要围绕“肠道菌群与代谢调控”这一方向展开。就“医学肥胖相关研究”而言，这一类型的研究可用于梳理该方向的核心问题、常见研究路径及其参考价值。</w:t>
      </w:r>
    </w:p>
    <w:p>
      <w:pPr>
        <w:numPr>
          <w:ilvl w:val="0"/>
          <w:numId w:val="1004"/>
        </w:numPr>
      </w:pPr>
      <w:r>
        <w:t xml:space="preserve">Neomycin-sensitive gut bacteria-derived brassicasterol mediates the anti-obesity effects of Cordyceps militaris polysaccharide.</w:t>
      </w:r>
    </w:p>
    <w:bookmarkEnd w:id="24"/>
    <w:bookmarkEnd w:id="25"/>
    <w:bookmarkStart w:id="36" w:name="三逐篇文献总结分析"/>
    <w:p>
      <w:pPr>
        <w:pStyle w:val="Heading1"/>
      </w:pPr>
      <w:r>
        <w:rPr>
          <w:rFonts w:hint="eastAsia"/>
        </w:rPr>
        <w:t xml:space="preserve">三、逐篇文献总结分析</w:t>
      </w:r>
    </w:p>
    <w:bookmarkStart w:id="26" w:name="Xdaca7f3e716c6bb29ccc7a4116ebaa6ec1a5d45"/>
    <w:p>
      <w:pPr>
        <w:pStyle w:val="Heading2"/>
      </w:pPr>
      <w:r>
        <w:t xml:space="preserve">Propolis in Obesity and Related Metabolic Disorders: Mechanistic and Clinical Insights-A Scoping Review.</w:t>
      </w:r>
    </w:p>
    <w:p>
      <w:pPr>
        <w:pStyle w:val="FirstParagraph"/>
      </w:pPr>
      <w:r>
        <w:rPr>
          <w:rFonts w:hint="eastAsia"/>
        </w:rPr>
        <w:t xml:space="preserve">总结：</w:t>
      </w:r>
      <w:r>
        <w:br/>
      </w:r>
      <w:r>
        <w:rPr>
          <w:rFonts w:hint="eastAsia"/>
        </w:rPr>
        <w:t xml:space="preserve">该综述系统梳理了蜂胶在肥胖及相关代谢紊乱中的代谢效应证据。研究发现蜂胶主要通过调节抗氧化防御、炎症信号、脂肪生成转录程序及肠道菌群等机制发挥作用。临床证据显示其对部分代谢和炎症生物标志物有改善作用，但对体重和脂肪量的影响尚不一致。</w:t>
      </w:r>
    </w:p>
    <w:p>
      <w:pPr>
        <w:pStyle w:val="BodyText"/>
      </w:pPr>
      <w:r>
        <w:rPr>
          <w:rFonts w:hint="eastAsia"/>
        </w:rPr>
        <w:t xml:space="preserve">分析：</w:t>
      </w:r>
      <w:r>
        <w:br/>
      </w:r>
      <w:r>
        <w:rPr>
          <w:rFonts w:hint="eastAsia"/>
        </w:rPr>
        <w:t xml:space="preserve">该文献为肥胖代谢紊乱的天然产物干预提供了机制性证据框架，适合支撑蜂胶通过多靶点调节代谢的机制假说。其综述的临床前证据可用于设计针对氧化应激和炎症通路的干预策略，而临床证据的局限性则提示了未来研究需要标准化的方向。</w:t>
      </w:r>
    </w:p>
    <w:bookmarkEnd w:id="26"/>
    <w:bookmarkStart w:id="27" w:name="X1764fafc9f01c94cb2766e5b7664c6c9df1140e"/>
    <w:p>
      <w:pPr>
        <w:pStyle w:val="Heading2"/>
      </w:pPr>
      <w:r>
        <w:t xml:space="preserve">Compounds Contributing to the Modulation of Visceral Adiposity and Hepatic Lipid Metabolism in High-Fat-Diet-Fed Rats by Pometia pinnata (Matoa) Peel Powder: Identification of Pancreatic Lipase Inhibitors.</w:t>
      </w:r>
    </w:p>
    <w:p>
      <w:pPr>
        <w:pStyle w:val="FirstParagraph"/>
      </w:pPr>
      <w:r>
        <w:rPr>
          <w:rFonts w:hint="eastAsia"/>
        </w:rPr>
        <w:t xml:space="preserve">总结：</w:t>
      </w:r>
      <w:r>
        <w:br/>
      </w:r>
      <w:r>
        <w:rPr>
          <w:rFonts w:hint="eastAsia"/>
        </w:rPr>
        <w:t xml:space="preserve">该研究通过活性导向分离技术，从马托阿果皮粉末中鉴定出两种乙醇可溶性成分——常春藤皂苷和原儿茶酸，它们均能抑制胰腺脂肪酶活性。在体外模拟消化实验中，乙醇提取物和原儿茶酸减少了游离脂肪酸释放，而常春藤皂苷无此效果，提示多组分机制可能涉及肠道生物转化。</w:t>
      </w:r>
    </w:p>
    <w:p>
      <w:pPr>
        <w:pStyle w:val="BodyText"/>
      </w:pPr>
      <w:r>
        <w:rPr>
          <w:rFonts w:hint="eastAsia"/>
        </w:rPr>
        <w:t xml:space="preserve">分析：</w:t>
      </w:r>
      <w:r>
        <w:br/>
      </w:r>
      <w:r>
        <w:rPr>
          <w:rFonts w:hint="eastAsia"/>
        </w:rPr>
        <w:t xml:space="preserve">该文献为高脂饮食诱导的肥胖和肝脏脂质积累调控提供了具体机制参考，特别是胰腺脂肪酶抑制作为潜在靶点。它适用于支撑天然产物中多组分协同作用的研究脉络，以及基于肠道环境依赖效应的系统设计。</w:t>
      </w:r>
    </w:p>
    <w:bookmarkEnd w:id="27"/>
    <w:bookmarkStart w:id="28" w:name="Xdcb7041ec60ef5f717a27560d866031c4a2b7a7"/>
    <w:p>
      <w:pPr>
        <w:pStyle w:val="Heading2"/>
      </w:pPr>
      <w:r>
        <w:t xml:space="preserve">Coffee Silverskin Supplementation Alleviates High-Glucose-Diet-Induced Obesity by Modulating Lipogenic Gene Expression in Caenorhabditis elegans Model.</w:t>
      </w:r>
    </w:p>
    <w:p>
      <w:pPr>
        <w:pStyle w:val="FirstParagraph"/>
      </w:pPr>
      <w:r>
        <w:rPr>
          <w:rFonts w:hint="eastAsia"/>
        </w:rPr>
        <w:t xml:space="preserve">总结：</w:t>
      </w:r>
      <w:r>
        <w:br/>
      </w:r>
      <w:r>
        <w:rPr>
          <w:rFonts w:hint="eastAsia"/>
        </w:rPr>
        <w:t xml:space="preserve">该研究探讨了咖啡银皮提取物在秀丽隐杆线虫模型中缓解高糖饮食诱导肥胖的作用。通过化学表征和生理实验，发现咖啡银皮能降低活性氧水平、上调抗氧化基因，并通过DAF-2/DAF-16通路减轻氧化应激。在高糖条件下，它调节脂质代谢基因表达，如上调nhr-49促进脂肪酸氧化，从而恢复脂质稳态并改善肥胖相关表型。</w:t>
      </w:r>
    </w:p>
    <w:p>
      <w:pPr>
        <w:pStyle w:val="BodyText"/>
      </w:pPr>
      <w:r>
        <w:rPr>
          <w:rFonts w:hint="eastAsia"/>
        </w:rPr>
        <w:t xml:space="preserve">分析：</w:t>
      </w:r>
      <w:r>
        <w:br/>
      </w:r>
      <w:r>
        <w:rPr>
          <w:rFonts w:hint="eastAsia"/>
        </w:rPr>
        <w:t xml:space="preserve">这篇文献对当前报告主题的参考价值在于，它提供了咖啡银皮通过调节脂质生成和氧化应激通路缓解肥胖的分子机制证据。它适合支撑功能性食品或营养补充剂开发中天然产物调控代谢的应用场景，特别是针对高糖饮食诱导的代谢紊乱。研究中的基因表达分析和通路探讨有助于理解脂质代谢调控的系统设计，为相关研究脉络提供实验依据。</w:t>
      </w:r>
    </w:p>
    <w:bookmarkEnd w:id="28"/>
    <w:bookmarkStart w:id="29" w:name="X6be5b799d09b2ebc6e7a189b5a9b075fe2ff131"/>
    <w:p>
      <w:pPr>
        <w:pStyle w:val="Heading2"/>
      </w:pPr>
      <w:r>
        <w:t xml:space="preserve">Fish Oil Alters the Metabolome, Antioxidative Potential, and Secretory Profile of Visceral Adipose Tissue in Mice with High-Fat Diet-Induced Obesity Compared with Other Dietary Fat Sources.</w:t>
      </w:r>
    </w:p>
    <w:p>
      <w:pPr>
        <w:pStyle w:val="FirstParagraph"/>
      </w:pPr>
      <w:r>
        <w:rPr>
          <w:rFonts w:hint="eastAsia"/>
        </w:rPr>
        <w:t xml:space="preserve">总结：</w:t>
      </w:r>
      <w:r>
        <w:br/>
      </w:r>
      <w:r>
        <w:rPr>
          <w:rFonts w:hint="eastAsia"/>
        </w:rPr>
        <w:t xml:space="preserve">该研究探讨了不同膳食脂肪来源对高脂饮食诱导肥胖小鼠内脏脂肪组织功能的影响。通过比较猪油、椰子油、橄榄油和鱼油，发现鱼油能显著提升抗氧化能力、调节脂质和氨基酸代谢，并改善脂肪因子分泌。结果表明鱼油有助于缓解脂肪组织功能障碍，而饱和脂肪则促进代谢失调。</w:t>
      </w:r>
    </w:p>
    <w:p>
      <w:pPr>
        <w:pStyle w:val="BodyText"/>
      </w:pPr>
      <w:r>
        <w:rPr>
          <w:rFonts w:hint="eastAsia"/>
        </w:rPr>
        <w:t xml:space="preserve">分析：</w:t>
      </w:r>
      <w:r>
        <w:br/>
      </w:r>
      <w:r>
        <w:rPr>
          <w:rFonts w:hint="eastAsia"/>
        </w:rPr>
        <w:t xml:space="preserve">这篇文献为报告主题提供了脂肪沉积调控机制的直接证据，特别是鱼油通过改善代谢组和抗氧化能力来调节内脏脂肪组织功能。它适用于支撑膳食干预在肥胖相关组织微环境中的作用机制，以及脂肪质量对代谢稳态影响的应用场景。</w:t>
      </w:r>
    </w:p>
    <w:bookmarkEnd w:id="29"/>
    <w:bookmarkStart w:id="30" w:name="X2f7b823570427ce96b076a3fb3cb1aa8120d9e4"/>
    <w:p>
      <w:pPr>
        <w:pStyle w:val="Heading2"/>
      </w:pPr>
      <w:r>
        <w:t xml:space="preserve">Anti-Obesity Activity of Giant Centella asiatica Lava Seawater Extract (GCA-LS-90) Through Regulation of Adipocyte Differentiation and Lipid Metabolism In Vitro.</w:t>
      </w:r>
    </w:p>
    <w:p>
      <w:pPr>
        <w:pStyle w:val="FirstParagraph"/>
      </w:pPr>
      <w:r>
        <w:rPr>
          <w:rFonts w:hint="eastAsia"/>
        </w:rPr>
        <w:t xml:space="preserve">总结：</w:t>
      </w:r>
      <w:r>
        <w:br/>
      </w:r>
      <w:r>
        <w:rPr>
          <w:rFonts w:hint="eastAsia"/>
        </w:rPr>
        <w:t xml:space="preserve">本研究评估了巨型积雪草海水提取物GCA-LS-90的抗肥胖活性，通过体外实验发现其能显著抑制3T3-L1脂肪细胞的脂质积累，下调脂肪生成相关转录因子和脂质代谢调节因子，同时上调KLF2并增强GLP-1分泌。结果表明，GCA-LS-90通过调节脂肪细胞分化和脂质代谢通路发挥抗肥胖作用，主要活性成分为3,5-和4,5-二-O-咖啡酰奎宁酸。</w:t>
      </w:r>
    </w:p>
    <w:p>
      <w:pPr>
        <w:pStyle w:val="BodyText"/>
      </w:pPr>
      <w:r>
        <w:rPr>
          <w:rFonts w:hint="eastAsia"/>
        </w:rPr>
        <w:t xml:space="preserve">分析：</w:t>
      </w:r>
      <w:r>
        <w:br/>
      </w:r>
      <w:r>
        <w:rPr>
          <w:rFonts w:hint="eastAsia"/>
        </w:rPr>
        <w:t xml:space="preserve">该文献对于研究天然产物抗肥胖机制具有参考价值，适合支撑脂肪细胞分化调控和脂质代谢通路的具体分子机制分析。它提供了GCA-LS-90通过AMPK/ACC和SREBP等通路调节肥胖的体外证据，可用于功能食品或药物开发中针对代谢紊乱的应用场景设计。</w:t>
      </w:r>
    </w:p>
    <w:bookmarkEnd w:id="30"/>
    <w:bookmarkStart w:id="31" w:name="Xc12d10c214ce94dc68de0526df757cc6ea6267e"/>
    <w:p>
      <w:pPr>
        <w:pStyle w:val="Heading2"/>
      </w:pPr>
      <w:r>
        <w:t xml:space="preserve">Neomycin-sensitive gut bacteria-derived brassicasterol mediates the anti-obesity effects of Cordyceps militaris polysaccharide.</w:t>
      </w:r>
    </w:p>
    <w:p>
      <w:pPr>
        <w:pStyle w:val="FirstParagraph"/>
      </w:pPr>
      <w:r>
        <w:rPr>
          <w:rFonts w:hint="eastAsia"/>
        </w:rPr>
        <w:t xml:space="preserve">总结：</w:t>
      </w:r>
      <w:r>
        <w:br/>
      </w:r>
      <w:r>
        <w:rPr>
          <w:rFonts w:hint="eastAsia"/>
        </w:rPr>
        <w:t xml:space="preserve">该研究探讨了蛹虫草多糖通过肠道菌群介导的抗肥胖机制。研究发现，蛹虫草多糖依赖新霉素敏感肠道细菌产生芸苔甾醇，进而上调肝脏Apoa4表达，改善脂质代谢和炎症。结果表明，蛹虫草多糖通过新霉素敏感肠道细菌-芸苔甾醇-Apoa4通路发挥抗肥胖作用。</w:t>
      </w:r>
    </w:p>
    <w:p>
      <w:pPr>
        <w:pStyle w:val="BodyText"/>
      </w:pPr>
      <w:r>
        <w:rPr>
          <w:rFonts w:hint="eastAsia"/>
        </w:rPr>
        <w:t xml:space="preserve">分析：</w:t>
      </w:r>
      <w:r>
        <w:br/>
      </w:r>
      <w:r>
        <w:rPr>
          <w:rFonts w:hint="eastAsia"/>
        </w:rPr>
        <w:t xml:space="preserve">该文献为肠道菌群与代谢调控研究提供了具体的微生物-代谢物-宿主调控轴机制。它适合支撑膳食干预通过特定肠道细菌产生活性代谢物改善代谢紊乱的系统设计，为基于菌群代谢产物的抗肥胖策略提供实验依据。</w:t>
      </w:r>
    </w:p>
    <w:bookmarkEnd w:id="31"/>
    <w:bookmarkStart w:id="32" w:name="X923643bba28311ab32d380a1eecf65e4301241d"/>
    <w:p>
      <w:pPr>
        <w:pStyle w:val="Heading2"/>
      </w:pPr>
      <w:r>
        <w:t xml:space="preserve">LncRNA IGF2AS Regulates Bovine Adipocyte Differentiation by Stabilizing the ILF3/FTO Complex and Activating PI3K/AKT Signaling.</w:t>
      </w:r>
    </w:p>
    <w:p>
      <w:pPr>
        <w:pStyle w:val="FirstParagraph"/>
      </w:pPr>
      <w:r>
        <w:rPr>
          <w:rFonts w:hint="eastAsia"/>
        </w:rPr>
        <w:t xml:space="preserve">总结：</w:t>
      </w:r>
      <w:r>
        <w:br/>
      </w:r>
      <w:r>
        <w:rPr>
          <w:rFonts w:hint="eastAsia"/>
        </w:rPr>
        <w:t xml:space="preserve">该文献研究了长链非编码RNA</w:t>
      </w:r>
      <w:r>
        <w:t xml:space="preserve"> </w:t>
      </w:r>
      <w:r>
        <w:rPr>
          <w:rFonts w:hint="eastAsia"/>
        </w:rPr>
        <w:t xml:space="preserve">IGF2AS在牛脂肪细胞分化中的调控作用，通过功能实验发现其过表达促进脂肪生成基因表达和脂肪沉积，而敲低则产生相反效果。机制上，IGF2AS通过与ILF3/FTO蛋白复合物相互作用，激活PI3K/AKT信号通路来调节脂肪生成。这些结果揭示了IGF2AS在脂肪沉积调控中的新机制，并提示其可作为改善牛肉品质的潜在分子靶点。</w:t>
      </w:r>
    </w:p>
    <w:p>
      <w:pPr>
        <w:pStyle w:val="BodyText"/>
      </w:pPr>
      <w:r>
        <w:rPr>
          <w:rFonts w:hint="eastAsia"/>
        </w:rPr>
        <w:t xml:space="preserve">分析：</w:t>
      </w:r>
      <w:r>
        <w:br/>
      </w:r>
      <w:r>
        <w:rPr>
          <w:rFonts w:hint="eastAsia"/>
        </w:rPr>
        <w:t xml:space="preserve">该文献对于研究脂肪细胞分化与脂质代谢具有参考价值，其阐明的IGF2AS通过稳定ILF3/FTO复合物激活PI3K/AKT信号通路的机制，适合支撑脂肪生成调控的分子机制研究。它可应用于农业育种领域，为通过精准调控脂肪沉积改善牛肉品质提供理论依据，并有助于理解lncRNA在代谢通路中的功能角色。</w:t>
      </w:r>
    </w:p>
    <w:bookmarkEnd w:id="32"/>
    <w:bookmarkStart w:id="33" w:name="X9ea0a6a14896bbc96fed187a589829334c2ae6c"/>
    <w:p>
      <w:pPr>
        <w:pStyle w:val="Heading2"/>
      </w:pPr>
      <w:r>
        <w:t xml:space="preserve">Adipose-Tissue Macrophage Diversity and Functions.</w:t>
      </w:r>
    </w:p>
    <w:p>
      <w:pPr>
        <w:pStyle w:val="FirstParagraph"/>
      </w:pPr>
      <w:r>
        <w:rPr>
          <w:rFonts w:hint="eastAsia"/>
        </w:rPr>
        <w:t xml:space="preserve">总结：</w:t>
      </w:r>
      <w:r>
        <w:br/>
      </w:r>
      <w:r>
        <w:rPr>
          <w:rFonts w:hint="eastAsia"/>
        </w:rPr>
        <w:t xml:space="preserve">这篇综述探讨了白色脂肪组织中巨噬细胞的多样性和功能，重点分析了不同亚群在组织内的分布及其与基质细胞的相互作用。文章总结了调控脂肪组织巨噬细胞生成和存活的机制，并强调了它们在局部脂质水平调节中的核心作用，特别关注肥胖发展过程中丰富的脂质相关巨噬细胞（LAMs）。</w:t>
      </w:r>
    </w:p>
    <w:p>
      <w:pPr>
        <w:pStyle w:val="BodyText"/>
      </w:pPr>
      <w:r>
        <w:rPr>
          <w:rFonts w:hint="eastAsia"/>
        </w:rPr>
        <w:t xml:space="preserve">分析：</w:t>
      </w:r>
      <w:r>
        <w:br/>
      </w:r>
      <w:r>
        <w:rPr>
          <w:rFonts w:hint="eastAsia"/>
        </w:rPr>
        <w:t xml:space="preserve">该文献为研究肥胖相关代谢调节机制提供了关键参考，适合支撑脂肪组织免疫细胞在脂质代谢中的角色分析。它有助于理解巨噬细胞亚群在肥胖发展中的动态变化，可应用于设计针对脂质相关巨噬细胞的干预策略或系统研究代谢性疾病中的免疫调控网络。</w:t>
      </w:r>
    </w:p>
    <w:bookmarkEnd w:id="33"/>
    <w:bookmarkStart w:id="34" w:name="Xb1220335d4b0578d31a0b32c0f78f1795a6ec3c"/>
    <w:p>
      <w:pPr>
        <w:pStyle w:val="Heading2"/>
      </w:pPr>
      <w:r>
        <w:t xml:space="preserve">gga-let-7c-3p Inhibits Chicken Abdominal Adipogenesis by Regulating PPARD Gene.</w:t>
      </w:r>
    </w:p>
    <w:p>
      <w:pPr>
        <w:pStyle w:val="FirstParagraph"/>
      </w:pPr>
      <w:r>
        <w:rPr>
          <w:rFonts w:hint="eastAsia"/>
        </w:rPr>
        <w:t xml:space="preserve">总结：</w:t>
      </w:r>
      <w:r>
        <w:br/>
      </w:r>
      <w:r>
        <w:rPr>
          <w:rFonts w:hint="eastAsia"/>
        </w:rPr>
        <w:t xml:space="preserve">该文献研究了miRNA</w:t>
      </w:r>
      <w:r>
        <w:t xml:space="preserve"> </w:t>
      </w:r>
      <w:r>
        <w:rPr>
          <w:rFonts w:hint="eastAsia"/>
        </w:rPr>
        <w:t xml:space="preserve">gga-let-7c-3p在鸡腹部脂肪沉积中的调控作用，通过功能获得和缺失实验发现其能抑制前脂肪细胞的增殖和脂质积累，并证实其通过靶向PPARD基因的3'UTR来抑制转录后表达。这些结果揭示了gga-let-7c-3p/PPARD轴在鸡腹部脂肪生成中的分子机制，为瘦肉型肉鸡育种提供了潜在分子标记。</w:t>
      </w:r>
    </w:p>
    <w:p>
      <w:pPr>
        <w:pStyle w:val="BodyText"/>
      </w:pPr>
      <w:r>
        <w:rPr>
          <w:rFonts w:hint="eastAsia"/>
        </w:rPr>
        <w:t xml:space="preserve">分析：</w:t>
      </w:r>
      <w:r>
        <w:br/>
      </w:r>
      <w:r>
        <w:rPr>
          <w:rFonts w:hint="eastAsia"/>
        </w:rPr>
        <w:t xml:space="preserve">该文献对于研究脂肪细胞分化与脂质代谢具有参考价值，它具体展示了miRNA如何通过调控转录因子PPARD来影响脂肪生成过程，适合支撑基因调控机制和分子标记筛选的应用场景，为相关动物育种研究提供了实验依据。</w:t>
      </w:r>
    </w:p>
    <w:bookmarkEnd w:id="34"/>
    <w:bookmarkStart w:id="35" w:name="X49845fa91001f7b9a166a9c6740009e24df1f3d"/>
    <w:p>
      <w:pPr>
        <w:pStyle w:val="Heading2"/>
      </w:pPr>
      <w:r>
        <w:t xml:space="preserve">MEDAG functions as an A-kinase-anchoring protein in adipocytes.</w:t>
      </w:r>
    </w:p>
    <w:p>
      <w:pPr>
        <w:pStyle w:val="FirstParagraph"/>
      </w:pPr>
      <w:r>
        <w:rPr>
          <w:rFonts w:hint="eastAsia"/>
        </w:rPr>
        <w:t xml:space="preserve">总结：</w:t>
      </w:r>
      <w:r>
        <w:br/>
      </w:r>
      <w:r>
        <w:rPr>
          <w:rFonts w:hint="eastAsia"/>
        </w:rPr>
        <w:t xml:space="preserve">该文献研究了MEDAG基因在脂肪细胞中作为A-激酶锚定蛋白（AKAP）的功能，通过负反馈机制直接调控蛋白激酶A（PKA）活性，特别是与PKA-RIIβ亚基的相互作用防止PKA过度激活。研究发现MEDAG表达与人类肥胖和代谢功能障碍正相关，在小鼠中敲除该基因可增加能量消耗并预防饮食诱导的肥胖。</w:t>
      </w:r>
    </w:p>
    <w:p>
      <w:pPr>
        <w:pStyle w:val="BodyText"/>
      </w:pPr>
      <w:r>
        <w:rPr>
          <w:rFonts w:hint="eastAsia"/>
        </w:rPr>
        <w:t xml:space="preserve">分析：</w:t>
      </w:r>
      <w:r>
        <w:br/>
      </w:r>
      <w:r>
        <w:rPr>
          <w:rFonts w:hint="eastAsia"/>
        </w:rPr>
        <w:t xml:space="preserve">该文献对于探讨脂肪细胞能量消耗的分子机制具有参考价值，适合支撑AKAP介导的PKA调控机制在代谢疾病中的应用研究。它提供了MEDAG作为治疗靶点的证据，可用于设计针对肥胖和代谢功能障碍的干预策略，并丰富了脂肪细胞信号传导的研究脉络。</w:t>
      </w:r>
    </w:p>
    <w:bookmarkEnd w:id="35"/>
    <w:bookmarkEnd w:id="36"/>
    <w:bookmarkStart w:id="37" w:name="参考列表"/>
    <w:p>
      <w:pPr>
        <w:pStyle w:val="Heading1"/>
      </w:pPr>
      <w:r>
        <w:rPr>
          <w:rFonts w:hint="eastAsia"/>
        </w:rPr>
        <w:t xml:space="preserve">参考列表</w:t>
      </w:r>
    </w:p>
    <w:p>
      <w:pPr>
        <w:pStyle w:val="FirstParagraph"/>
      </w:pPr>
      <w:r>
        <w:t xml:space="preserve">
    Cai, J., Huang, A., You, L., Wang, Z., Huang, C., Huang, R., Li, Y.,
    Liang, T., Zhang, F., Wu, Q., Wang, J., Zhu, Z., &amp; Ding, Y. (2026).
    Neomycin-sensitive gut bacteria-derived brassicasterol mediates the
    anti-obesity effects of Cordyceps militaris polysaccharide. Food Res
    Int. https://doi.org/10.1016/j.foodres.2026.118574
    Cheng, X., Li, S., Zhang, K., Guo, Y., Li, H., Li, Z., Tian, Y., Kang,
    X., Liu, X., &amp; Tian, W. (2026). gga-let-7c-3p Inhibits Chicken
    Abdominal Adipogenesis by Regulating PPARD Gene. Biomolecules.
    https://doi.org/10.3390/biom16020311
    Grenet, S., Ivanov, S., &amp; Chinetti, G. (2026). Adipose-Tissue
    Macrophage Diversity and Functions. Int J Mol Sci. https://doi.org/10.3390/ijms27041759
    İmre, K. E., &amp; Akyol, A. (2026). Propolis in Obesity and Related
    Metabolic Disorders: Mechanistic and Clinical Insights-A Scoping Review.
    Nutrients. https://doi.org/10.3390/nu18050826
    Lee, S., Seo, D., Yoo, C., Kim, H. D., Suh, H. J., &amp; Lee, H. J.
    (2026). Anti-Obesity Activity of Giant Centella asiatica Lava Seawater
    Extract (GCA-LS-90) Through Regulation of Adipocyte Differentiation and
    Lipid Metabolism In Vitro. Int J Mol Sci. https://doi.org/10.3390/ijms27052287
    Long, F., Ghosh, A., Xu, T., Ding, L., Wu, C., Khandelwal R, N. F., Sun,
    W., Dong, H., Wang, T., Hoffmann, A., Gardeux, V., Deplancke, B.,
    Abu-Nawwas, L., Stefanicka, P., Varga, L., Ruiz JR, B. M., Balaz, M.,
    Sharma, A. K., &amp; Wolfrum, C. (2026). MEDAG functions as an
    A-kinase-anchoring protein in adipocytes. Mol Cell. https://doi.org/10.1016/j.molcel.2026.02.001
    Schifano, E., Zinno, P., Natella, F., Pompa, L., Sonaglia, E., Spaziani,
    S., Sharbaf, M., Esposito, F., Cirillo, T., Squillante, J., Maglione,
    G., Mancini, P., Angeloni, A., Santarelli, M. L., Devirgiliis, C., &amp;
    Uccelletti, D. (2026). Coffee Silverskin Supplementation Alleviates
    High-Glucose-Diet-Induced Obesity by Modulating Lipogenic Gene
    Expression in Caenorhabditis elegans Model. Molecules. https://doi.org/10.3390/molecules31050887
    Song, C., Chen, J., Jiang, X., Chen, B., Pan, Y., Su, C., Ren, J., Li,
    X., Chen, X., Wang, Y., Fang, X., &amp; Zhang, C. (2026). LncRNA IGF2AS
    Regulates Bovine Adipocyte Differentiation by Stabilizing the ILF3/FTO
    Complex and Activating PI3K/AKT Signaling. FASEB J. https://doi.org/10.1096/fj.202505066r
    Tago, A., Kagawa, N., Sakai, T., Tian, A., Takano S, N., Nomura, J.,
    &amp; Suzuki, T. (2026). Compounds Contributing to the Modulation of
    Visceral Adiposity and Hepatic Lipid Metabolism in High-Fat-Diet-Fed
    Rats by Pometia pinnata (Matoa) Peel Powder: Identification of
    Pancreatic Lipase Inhibitors. Nutrients. https://doi.org/10.3390/nu18050786
    Wilczak, J., Prostek A, K. P., Ciesielska K, D.-S. Ż., &amp; Gajewska,
    M. (2026). Fish Oil Alters the Metabolome, Antioxidative Potential, and
    Secretory Profile of Visceral Adipose Tissue in Mice with High-Fat
    Diet-Induced Obesity Compared with Other Dietary Fat Sources.
    Molecules. https://doi.org/10.3390/molecules31050849
    </w:t>
      </w:r>
    </w:p>
    <w:p>
      <w:pPr>
        <w:pStyle w:val="BodyText"/>
      </w:pP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2026-03-22T04:22:37Z</dcterms:created>
  <dcterms:modified xsi:type="dcterms:W3CDTF">2026-03-22T04:22:37Z</dcterms:modified>
</cp:coreProperties>
</file>

<file path=docProps/custom.xml><?xml version="1.0" encoding="utf-8"?>
<Properties xmlns="http://schemas.openxmlformats.org/officeDocument/2006/custom-properties" xmlns:vt="http://schemas.openxmlformats.org/officeDocument/2006/docPropsVTypes"/>
</file>