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7.pdf" ContentType="application/pdf"/>
  <Override PartName="/word/media/rId25.pdf" ContentType="application/pdf"/>
  <Override PartName="/word/media/rId31.pdf" ContentType="application/pdf"/>
  <Override PartName="/word/media/rId37.pdf" ContentType="application/pdf"/>
  <Override PartName="/word/media/rId42.pdf" ContentType="application/pdf"/>
  <Override PartName="/word/media/rId46.pdf" ContentType="application/pdf"/>
  <Override PartName="/word/media/rId5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Source Heterogeneity, Not Algorithm Choice, Drives Performance Gaps in QSAR for Mutagenicity</w:t>
      </w:r>
    </w:p>
    <w:p>
      <w:pPr>
        <w:pStyle w:val="Author"/>
      </w:pPr>
      <w:r>
        <w:t xml:space="preserve">Seungmin Yoon</w:t>
      </w:r>
    </w:p>
    <w:p>
      <w:pPr>
        <w:pStyle w:val="Author"/>
      </w:pPr>
      <w:r>
        <w:t xml:space="preserve">Sanghun Kim</w:t>
      </w:r>
    </w:p>
    <w:p>
      <w:pPr>
        <w:pStyle w:val="Author"/>
      </w:pPr>
      <w:r>
        <w:t xml:space="preserve">Hyunpyo Jeon</w:t>
      </w:r>
    </w:p>
    <w:p>
      <w:pPr>
        <w:pStyle w:val="AbstractTitle"/>
      </w:pPr>
      <w:r>
        <w:t xml:space="preserve">Abstract</w:t>
      </w:r>
    </w:p>
    <w:p>
      <w:pPr>
        <w:pStyle w:val="Abstract"/>
      </w:pPr>
      <w:r>
        <w:t xml:space="preserve">QSAR models for Ames mutagenicity are increasingly used in regulatory risk assessment under EU REACH, K-REACH, and ICH M7,</w:t>
      </w:r>
      <w:r>
        <w:t xml:space="preserve"> </w:t>
      </w:r>
      <w:r>
        <w:t xml:space="preserve">but their reported performance varies widely across evaluation protocols.</w:t>
      </w:r>
      <w:r>
        <w:t xml:space="preserve"> </w:t>
      </w:r>
      <w:r>
        <w:t xml:space="preserve">In this study, 225 model configurations—seven algorithms, five feature sets, and three preprocessing</w:t>
      </w:r>
      <w:r>
        <w:t xml:space="preserve"> </w:t>
      </w:r>
      <w:r>
        <w:t xml:space="preserve">scenarios—were systematically evaluated across three genotoxicity datasets: Ames</w:t>
      </w:r>
      <w:r>
        <w:t xml:space="preserve"> </w:t>
      </w:r>
      <w:r>
        <w:t xml:space="preserve">(</w:t>
      </w:r>
      <m:oMath>
        <m:r>
          <m:t>n</m:t>
        </m:r>
        <m:r>
          <m:rPr>
            <m:sty m:val="p"/>
          </m:rPr>
          <m:t>=</m:t>
        </m:r>
        <m:r>
          <m:t>13</m:t>
        </m:r>
        <m:r>
          <m:rPr>
            <m:sty m:val="p"/>
          </m:rPr>
          <m:t>,</m:t>
        </m:r>
        <m:r>
          <m:t>560</m:t>
        </m:r>
      </m:oMath>
      <w:r>
        <w:t xml:space="preserve">),</w:t>
      </w:r>
      <w:r>
        <w:t xml:space="preserve"> </w:t>
      </w:r>
      <w:r>
        <w:rPr>
          <w:i/>
          <w:iCs/>
        </w:rPr>
        <w:t xml:space="preserve">in vitro</w:t>
      </w:r>
      <w:r>
        <w:t xml:space="preserve"> </w:t>
      </w:r>
      <w:r>
        <w:t xml:space="preserve">chromosome aberration (</w:t>
      </w:r>
      <m:oMath>
        <m:r>
          <m:t>n</m:t>
        </m:r>
        <m:r>
          <m:rPr>
            <m:sty m:val="p"/>
          </m:rPr>
          <m:t>=</m:t>
        </m:r>
        <m:r>
          <m:t>1</m:t>
        </m:r>
        <m:r>
          <m:rPr>
            <m:sty m:val="p"/>
          </m:rPr>
          <m:t>,</m:t>
        </m:r>
        <m:r>
          <m:t>619</m:t>
        </m:r>
      </m:oMath>
      <w:r>
        <w:t xml:space="preserve">), and</w:t>
      </w:r>
      <w:r>
        <w:t xml:space="preserve"> </w:t>
      </w:r>
      <w:r>
        <w:rPr>
          <w:i/>
          <w:iCs/>
        </w:rPr>
        <w:t xml:space="preserve">in vivo</w:t>
      </w:r>
      <w:r>
        <w:t xml:space="preserve"> </w:t>
      </w:r>
      <w:r>
        <w:t xml:space="preserve">micronucleus</w:t>
      </w:r>
      <w:r>
        <w:t xml:space="preserve"> </w:t>
      </w:r>
      <w:r>
        <w:t xml:space="preserve">(</w:t>
      </w:r>
      <m:oMath>
        <m:r>
          <m:t>n</m:t>
        </m:r>
        <m:r>
          <m:rPr>
            <m:sty m:val="p"/>
          </m:rPr>
          <m:t>=</m:t>
        </m:r>
        <m:r>
          <m:t>2</m:t>
        </m:r>
        <m:r>
          <m:rPr>
            <m:sty m:val="p"/>
          </m:rPr>
          <m:t>,</m:t>
        </m:r>
        <m:r>
          <m:t>153</m:t>
        </m:r>
      </m:oMath>
      <w:r>
        <w:t xml:space="preserve">). Using a fixed model configuration (XGBoost, compact features, raw SMILES),</w:t>
      </w:r>
      <w:r>
        <w:t xml:space="preserve"> </w:t>
      </w:r>
      <w:r>
        <w:t xml:space="preserve">Ames MCC dropped from 0.670 under random-split CV to 0.624 under scaffold-split CV.</w:t>
      </w:r>
      <w:r>
        <w:t xml:space="preserve"> </w:t>
      </w:r>
      <w:r>
        <w:t xml:space="preserve">Cross-source leave-domain-out (LDO) evaluation produced markedly larger declines: 0.234</w:t>
      </w:r>
      <w:r>
        <w:t xml:space="preserve"> </w:t>
      </w:r>
      <w:r>
        <w:t xml:space="preserve">(drug</w:t>
      </w:r>
      <m:oMath>
        <m:r>
          <m:rPr>
            <m:sty m:val="p"/>
          </m:rPr>
          <m:t>→</m:t>
        </m:r>
      </m:oMath>
      <w:r>
        <w:t xml:space="preserve">industrial) and 0.122 (industrial</w:t>
      </w:r>
      <m:oMath>
        <m:r>
          <m:rPr>
            <m:sty m:val="p"/>
          </m:rPr>
          <m:t>→</m:t>
        </m:r>
      </m:oMath>
      <w:r>
        <w:t xml:space="preserve">drug). The source heterogeneity gap</w:t>
      </w:r>
      <w:r>
        <w:t xml:space="preserve"> </w:t>
      </w:r>
      <w:r>
        <w:t xml:space="preserve">(</w:t>
      </w:r>
      <m:oMath>
        <m:r>
          <m:rPr>
            <m:sty m:val="p"/>
          </m:rPr>
          <m:t>Δ</m:t>
        </m:r>
        <m:r>
          <m:rPr>
            <m:sty m:val="p"/>
          </m:rPr>
          <m:t>=</m:t>
        </m:r>
        <m:r>
          <m:t>0.390</m:t>
        </m:r>
      </m:oMath>
      <w:r>
        <w:t xml:space="preserve">) considerably exceeded the split-method gap (</w:t>
      </w:r>
      <m:oMath>
        <m:r>
          <m:rPr>
            <m:sty m:val="p"/>
          </m:rPr>
          <m:t>Δ</m:t>
        </m:r>
        <m:r>
          <m:rPr>
            <m:sty m:val="p"/>
          </m:rPr>
          <m:t>=</m:t>
        </m:r>
        <m:r>
          <m:t>0.046</m:t>
        </m:r>
      </m:oMath>
      <w:r>
        <w:t xml:space="preserve">). A simple</w:t>
      </w:r>
      <w:r>
        <w:t xml:space="preserve"> </w:t>
      </w:r>
      <w:r>
        <w:t xml:space="preserve">source-based classifier reached MCC </w:t>
      </w:r>
      <m:oMath>
        <m:r>
          <m:rPr>
            <m:sty m:val="p"/>
          </m:rPr>
          <m:t>=</m:t>
        </m:r>
        <m:r>
          <m:t>0.608</m:t>
        </m:r>
      </m:oMath>
      <w:r>
        <w:t xml:space="preserve"> </w:t>
      </w:r>
      <w:r>
        <w:t xml:space="preserve">with no structural information, reflecting a</w:t>
      </w:r>
      <w:r>
        <w:t xml:space="preserve"> </w:t>
      </w:r>
      <w:r>
        <w:t xml:space="preserve">19.5-fold difference in positive rates between drug-sourced (58.3%) and industrial-sourced</w:t>
      </w:r>
      <w:r>
        <w:t xml:space="preserve"> </w:t>
      </w:r>
      <w:r>
        <w:t xml:space="preserve">(3.0%) compounds. Threshold decomposition showed that prior shift accounted for only part</w:t>
      </w:r>
      <w:r>
        <w:t xml:space="preserve"> </w:t>
      </w:r>
      <w:r>
        <w:t xml:space="preserve">of this gap, with oracle MCC plateauing at 0.27–0.36. Algorithm robustness under source</w:t>
      </w:r>
      <w:r>
        <w:t xml:space="preserve"> </w:t>
      </w:r>
      <w:r>
        <w:t xml:space="preserve">shift varied considerably: Random Forest maintained MCC </w:t>
      </w:r>
      <m:oMath>
        <m:r>
          <m:rPr>
            <m:sty m:val="p"/>
          </m:rPr>
          <m:t>=</m:t>
        </m:r>
        <m:r>
          <m:t>0.325</m:t>
        </m:r>
      </m:oMath>
      <w:r>
        <w:t xml:space="preserve"> </w:t>
      </w:r>
      <w:r>
        <w:t xml:space="preserve">in the hardest direction,</w:t>
      </w:r>
      <w:r>
        <w:t xml:space="preserve"> </w:t>
      </w:r>
      <w:r>
        <w:t xml:space="preserve">whereas XGBoost collapsed to 0.122.</w:t>
      </w:r>
      <w:r>
        <w:t xml:space="preserve"> </w:t>
      </w:r>
      <w:r>
        <w:rPr>
          <w:i/>
          <w:iCs/>
        </w:rPr>
        <w:t xml:space="preserve">In vivo</w:t>
      </w:r>
      <w:r>
        <w:t xml:space="preserve"> </w:t>
      </w:r>
      <w:r>
        <w:t xml:space="preserve">micronucleus models showed strong ranking</w:t>
      </w:r>
      <w:r>
        <w:t xml:space="preserve"> </w:t>
      </w:r>
      <w:r>
        <w:t xml:space="preserve">performance (ROC-AUC </w:t>
      </w:r>
      <m:oMath>
        <m:r>
          <m:rPr>
            <m:sty m:val="p"/>
          </m:rPr>
          <m:t>=</m:t>
        </m:r>
        <m:r>
          <m:t>0.860</m:t>
        </m:r>
      </m:oMath>
      <w:r>
        <w:t xml:space="preserve">, PR-AUC </w:t>
      </w:r>
      <m:oMath>
        <m:r>
          <m:rPr>
            <m:sty m:val="p"/>
          </m:rPr>
          <m:t>=</m:t>
        </m:r>
        <m:r>
          <m:t>0.237</m:t>
        </m:r>
      </m:oMath>
      <w:r>
        <w:t xml:space="preserve">) but unreliable classification (MCC</w:t>
      </w:r>
      <w:r>
        <w:t xml:space="preserve"> </w:t>
      </w:r>
      <w:r>
        <w:t xml:space="preserve">95% CI crossed zero). These results call for a source-aware evaluation cascade as a</w:t>
      </w:r>
      <w:r>
        <w:t xml:space="preserve"> </w:t>
      </w:r>
      <w:r>
        <w:t xml:space="preserve">standard reporting requirement for mutagenicity QSAR.</w:t>
      </w:r>
    </w:p>
    <w:p>
      <w:pPr>
        <w:pStyle w:val="FirstParagraph"/>
      </w:pPr>
      <w:r>
        <w:drawing>
          <wp:inline>
            <wp:extent cx="2626629" cy="1601999"/>
            <wp:effectExtent b="0" l="0" r="0" t="0"/>
            <wp:docPr descr="image" title="" id="10" name="Picture"/>
            <a:graphic>
              <a:graphicData uri="http://schemas.openxmlformats.org/drawingml/2006/picture">
                <pic:pic>
                  <pic:nvPicPr>
                    <pic:cNvPr descr="figures/TOC.jpg" id="11" name="Picture"/>
                    <pic:cNvPicPr>
                      <a:picLocks noChangeArrowheads="1" noChangeAspect="1"/>
                    </pic:cNvPicPr>
                  </pic:nvPicPr>
                  <pic:blipFill>
                    <a:blip r:embed="rId9"/>
                    <a:stretch>
                      <a:fillRect/>
                    </a:stretch>
                  </pic:blipFill>
                  <pic:spPr bwMode="auto">
                    <a:xfrm>
                      <a:off x="0" y="0"/>
                      <a:ext cx="2626629" cy="1601999"/>
                    </a:xfrm>
                    <a:prstGeom prst="rect">
                      <a:avLst/>
                    </a:prstGeom>
                    <a:noFill/>
                    <a:ln w="9525">
                      <a:noFill/>
                      <a:headEnd/>
                      <a:tailEnd/>
                    </a:ln>
                  </pic:spPr>
                </pic:pic>
              </a:graphicData>
            </a:graphic>
          </wp:inline>
        </w:drawing>
      </w:r>
    </w:p>
    <w:p>
      <w:pPr>
        <w:pStyle w:val="BodyText"/>
      </w:pPr>
      <w:r>
        <w:t xml:space="preserve">dd</w:t>
      </w:r>
    </w:p>
    <w:bookmarkStart w:id="12" w:name="introduction"/>
    <w:p>
      <w:pPr>
        <w:pStyle w:val="Heading1"/>
      </w:pPr>
      <w:r>
        <w:t xml:space="preserve">Introduction</w:t>
      </w:r>
    </w:p>
    <w:p>
      <w:pPr>
        <w:pStyle w:val="FirstParagraph"/>
      </w:pPr>
      <w:r>
        <w:t xml:space="preserve">Under EU REACH</w:t>
      </w:r>
      <w:r>
        <w:t xml:space="preserve"> </w:t>
      </w:r>
      <w:r>
        <w:t xml:space="preserve">and K-REACH,</w:t>
      </w:r>
      <w:r>
        <w:t xml:space="preserve"> </w:t>
      </w:r>
      <w:r>
        <w:t xml:space="preserve">industrial chemical</w:t>
      </w:r>
      <w:r>
        <w:t xml:space="preserve"> </w:t>
      </w:r>
      <w:r>
        <w:t xml:space="preserve">manufacturers and importers must conduct a chemical safety assessment of the genotoxic</w:t>
      </w:r>
      <w:r>
        <w:t xml:space="preserve"> </w:t>
      </w:r>
      <w:r>
        <w:t xml:space="preserve">potential of their compounds as part of registration. As a New Approach Methodology (NAM),</w:t>
      </w:r>
      <w:r>
        <w:t xml:space="preserve"> </w:t>
      </w:r>
      <w:r>
        <w:t xml:space="preserve">in silico QSAR predictions are accepted as supporting evidence when models are validated and</w:t>
      </w:r>
      <w:r>
        <w:t xml:space="preserve"> </w:t>
      </w:r>
      <w:r>
        <w:t xml:space="preserve">cover the relevant applicability domain.</w:t>
      </w:r>
      <w:r>
        <w:t xml:space="preserve"> </w:t>
      </w:r>
      <w:r>
        <w:t xml:space="preserve">For pharmaceuticals, ICH</w:t>
      </w:r>
      <w:r>
        <w:t xml:space="preserve"> </w:t>
      </w:r>
      <w:r>
        <w:t xml:space="preserve">M7(R2) similarly endorses QSAR alongside rule-based expert systems for evaluating mutagenic</w:t>
      </w:r>
      <w:r>
        <w:t xml:space="preserve"> </w:t>
      </w:r>
      <w:r>
        <w:t xml:space="preserve">impurities.</w:t>
      </w:r>
      <w:r>
        <w:t xml:space="preserve"> </w:t>
      </w:r>
      <w:r>
        <w:t xml:space="preserve">In both contexts, the Ames bacterial reverse mutation</w:t>
      </w:r>
      <w:r>
        <w:t xml:space="preserve"> </w:t>
      </w:r>
      <w:r>
        <w:t xml:space="preserve">assay</w:t>
      </w:r>
      <w:r>
        <w:t xml:space="preserve"> </w:t>
      </w:r>
      <w:r>
        <w:t xml:space="preserve">is the primary prediction target, with</w:t>
      </w:r>
      <w:r>
        <w:t xml:space="preserve"> </w:t>
      </w:r>
      <w:r>
        <w:rPr>
          <w:i/>
          <w:iCs/>
        </w:rPr>
        <w:t xml:space="preserve">in vitro</w:t>
      </w:r>
      <w:r>
        <w:t xml:space="preserve"> </w:t>
      </w:r>
      <w:r>
        <w:t xml:space="preserve">chromosome aberration (CA) and</w:t>
      </w:r>
      <w:r>
        <w:t xml:space="preserve"> </w:t>
      </w:r>
      <w:r>
        <w:rPr>
          <w:i/>
          <w:iCs/>
        </w:rPr>
        <w:t xml:space="preserve">in vivo</w:t>
      </w:r>
      <w:r>
        <w:t xml:space="preserve"> </w:t>
      </w:r>
      <w:r>
        <w:t xml:space="preserve">micronucleus (MN)</w:t>
      </w:r>
      <w:r>
        <w:t xml:space="preserve"> </w:t>
      </w:r>
      <w:r>
        <w:t xml:space="preserve">as</w:t>
      </w:r>
      <w:r>
        <w:t xml:space="preserve"> </w:t>
      </w:r>
      <w:r>
        <w:t xml:space="preserve">higher-tier endpoints. Improved predictive models could reduce animal testing under the 3Rs</w:t>
      </w:r>
      <w:r>
        <w:t xml:space="preserve"> </w:t>
      </w:r>
      <w:r>
        <w:t xml:space="preserve">principle.</w:t>
      </w:r>
    </w:p>
    <w:p>
      <w:pPr>
        <w:pStyle w:val="BodyText"/>
      </w:pPr>
      <w:r>
        <w:t xml:space="preserve">Reported accuracies (0.80–0.90) and MCC values (0.60–0.80) across published Ames QSAR</w:t>
      </w:r>
      <w:r>
        <w:t xml:space="preserve"> </w:t>
      </w:r>
      <w:r>
        <w:t xml:space="preserve">models</w:t>
      </w:r>
      <w:r>
        <w:t xml:space="preserve"> </w:t>
      </w:r>
      <w:r>
        <w:t xml:space="preserve">vary widely—but these values come from</w:t>
      </w:r>
      <w:r>
        <w:t xml:space="preserve"> </w:t>
      </w:r>
      <w:r>
        <w:t xml:space="preserve">different datasets, splits, preprocessing pipelines, and evaluation protocols, making direct</w:t>
      </w:r>
      <w:r>
        <w:t xml:space="preserve"> </w:t>
      </w:r>
      <w:r>
        <w:t xml:space="preserve">comparison difficult. At least three factors can inflate apparent performance.</w:t>
      </w:r>
    </w:p>
    <w:p>
      <w:pPr>
        <w:pStyle w:val="BodyText"/>
      </w:pPr>
      <w:r>
        <w:rPr>
          <w:b/>
          <w:bCs/>
        </w:rPr>
        <w:t xml:space="preserve">Splitting strategy.</w:t>
      </w:r>
      <w:r>
        <w:t xml:space="preserve"> </w:t>
      </w:r>
      <w:r>
        <w:t xml:space="preserve">Random splits allow structurally similar compounds (those</w:t>
      </w:r>
      <w:r>
        <w:t xml:space="preserve"> </w:t>
      </w:r>
      <w:r>
        <w:t xml:space="preserve">sharing a Murcko scaffold</w:t>
      </w:r>
      <w:r>
        <w:t xml:space="preserve">) to appear in both training and test</w:t>
      </w:r>
      <w:r>
        <w:t xml:space="preserve"> </w:t>
      </w:r>
      <w:r>
        <w:t xml:space="preserve">sets, producing optimistic estimates. Scaffold-based</w:t>
      </w:r>
      <w:r>
        <w:t xml:space="preserve"> </w:t>
      </w:r>
      <w:r>
        <w:t xml:space="preserve">splitting</w:t>
      </w:r>
      <w:r>
        <w:t xml:space="preserve"> </w:t>
      </w:r>
      <w:r>
        <w:t xml:space="preserve">provides a more realistic assessment,</w:t>
      </w:r>
      <w:r>
        <w:t xml:space="preserve"> </w:t>
      </w:r>
      <w:r>
        <w:t xml:space="preserve">but the magnitude of the random-vs-scaffold gap has not been measured systematically across</w:t>
      </w:r>
      <w:r>
        <w:t xml:space="preserve"> </w:t>
      </w:r>
      <w:r>
        <w:t xml:space="preserve">genotoxicity endpoints.</w:t>
      </w:r>
    </w:p>
    <w:p>
      <w:pPr>
        <w:pStyle w:val="BodyText"/>
      </w:pPr>
      <w:r>
        <w:rPr>
          <w:b/>
          <w:bCs/>
        </w:rPr>
        <w:t xml:space="preserve">Source mixing.</w:t>
      </w:r>
      <w:r>
        <w:t xml:space="preserve"> </w:t>
      </w:r>
      <w:r>
        <w:t xml:space="preserve">Large Ames datasets typically combine compounds from pharmaceutical</w:t>
      </w:r>
      <w:r>
        <w:t xml:space="preserve"> </w:t>
      </w:r>
      <w:r>
        <w:t xml:space="preserve">libraries and industrial chemical registries,</w:t>
      </w:r>
      <w:r>
        <w:t xml:space="preserve"> </w:t>
      </w:r>
      <w:r>
        <w:t xml:space="preserve">which differ in</w:t>
      </w:r>
      <w:r>
        <w:t xml:space="preserve"> </w:t>
      </w:r>
      <w:r>
        <w:t xml:space="preserve">chemical composition, positive rates, data quality, and labeling conventions. When such</w:t>
      </w:r>
      <w:r>
        <w:t xml:space="preserve"> </w:t>
      </w:r>
      <w:r>
        <w:t xml:space="preserve">datasets are pooled, models may learn to distinguish compounds by source rather than</w:t>
      </w:r>
      <w:r>
        <w:t xml:space="preserve"> </w:t>
      </w:r>
      <w:r>
        <w:t xml:space="preserve">learning toxicity-related structure–activity relationships—a form of data source</w:t>
      </w:r>
      <w:r>
        <w:t xml:space="preserve"> </w:t>
      </w:r>
      <w:r>
        <w:t xml:space="preserve">heterogeneity that has been noted</w:t>
      </w:r>
      <w:r>
        <w:t xml:space="preserve"> </w:t>
      </w:r>
      <w:r>
        <w:t xml:space="preserve">but never systematically</w:t>
      </w:r>
      <w:r>
        <w:t xml:space="preserve"> </w:t>
      </w:r>
      <w:r>
        <w:t xml:space="preserve">quantified. One component of</w:t>
      </w:r>
      <w:r>
        <w:t xml:space="preserve"> </w:t>
      </w:r>
      <w:r>
        <w:t xml:space="preserve">this heterogeneity is prior shift: the large difference in positive rates between sources</w:t>
      </w:r>
      <w:r>
        <w:t xml:space="preserve"> </w:t>
      </w:r>
      <w:r>
        <w:t xml:space="preserve">can miscalibrate the default decision threshold independently of any structural difference.</w:t>
      </w:r>
      <w:r>
        <w:t xml:space="preserve"> </w:t>
      </w:r>
      <w:r>
        <w:t xml:space="preserve">However, threshold decomposition analysis presented here shows that prior shift explains</w:t>
      </w:r>
      <w:r>
        <w:t xml:space="preserve"> </w:t>
      </w:r>
      <w:r>
        <w:t xml:space="preserve">only part of the performance gap; a substantial residual remains even after recalibration.</w:t>
      </w:r>
    </w:p>
    <w:p>
      <w:pPr>
        <w:pStyle w:val="BodyText"/>
      </w:pPr>
      <w:r>
        <w:rPr>
          <w:b/>
          <w:bCs/>
        </w:rPr>
        <w:t xml:space="preserve">Preprocessing.</w:t>
      </w:r>
      <w:r>
        <w:t xml:space="preserve"> </w:t>
      </w:r>
      <w:r>
        <w:t xml:space="preserve">Steps such as salt stripping, metal removal, and charge</w:t>
      </w:r>
      <w:r>
        <w:t xml:space="preserve"> </w:t>
      </w:r>
      <w:r>
        <w:t xml:space="preserve">normalization can substantially alter molecular</w:t>
      </w:r>
      <w:r>
        <w:t xml:space="preserve"> </w:t>
      </w:r>
      <w:r>
        <w:t xml:space="preserve">representations,</w:t>
      </w:r>
      <w:r>
        <w:t xml:space="preserve"> </w:t>
      </w:r>
      <w:r>
        <w:t xml:space="preserve">but are often undocumented or applied</w:t>
      </w:r>
      <w:r>
        <w:t xml:space="preserve"> </w:t>
      </w:r>
      <w:r>
        <w:t xml:space="preserve">uniformly across endpoints.</w:t>
      </w:r>
    </w:p>
    <w:p>
      <w:pPr>
        <w:pStyle w:val="BodyText"/>
      </w:pPr>
      <w:r>
        <w:t xml:space="preserve">Most published studies evaluate a single endpoint with a single split, focus on algorithm</w:t>
      </w:r>
      <w:r>
        <w:t xml:space="preserve"> </w:t>
      </w:r>
      <w:r>
        <w:t xml:space="preserve">comparison,</w:t>
      </w:r>
      <w:r>
        <w:t xml:space="preserve"> </w:t>
      </w:r>
      <w:r>
        <w:t xml:space="preserve">rarely test cross-source generalization, and seldom</w:t>
      </w:r>
      <w:r>
        <w:t xml:space="preserve"> </w:t>
      </w:r>
      <w:r>
        <w:t xml:space="preserve">report statistical significance.</w:t>
      </w:r>
      <w:r>
        <w:t xml:space="preserve"> </w:t>
      </w:r>
      <w:r>
        <w:t xml:space="preserve">The relative contributions of split</w:t>
      </w:r>
      <w:r>
        <w:t xml:space="preserve"> </w:t>
      </w:r>
      <w:r>
        <w:t xml:space="preserve">method, source composition, and preprocessing have not been disentangled in a single</w:t>
      </w:r>
      <w:r>
        <w:t xml:space="preserve"> </w:t>
      </w:r>
      <w:r>
        <w:t xml:space="preserve">controlled study.</w:t>
      </w:r>
    </w:p>
    <w:p>
      <w:pPr>
        <w:pStyle w:val="BodyText"/>
      </w:pPr>
      <w:r>
        <w:t xml:space="preserve">This study addresses these gaps by:</w:t>
      </w:r>
    </w:p>
    <w:p>
      <w:pPr>
        <w:numPr>
          <w:ilvl w:val="0"/>
          <w:numId w:val="1001"/>
        </w:numPr>
      </w:pPr>
      <w:r>
        <w:t xml:space="preserve">Introducing an evaluation cascade—scaffold-split test, random vs. scaffold CV,</w:t>
      </w:r>
      <w:r>
        <w:t xml:space="preserve"> </w:t>
      </w:r>
      <w:r>
        <w:t xml:space="preserve">and cross-source leave-domain-out—applied consistently under a single fixed</w:t>
      </w:r>
      <w:r>
        <w:t xml:space="preserve"> </w:t>
      </w:r>
      <w:r>
        <w:t xml:space="preserve">configuration.</w:t>
      </w:r>
    </w:p>
    <w:p>
      <w:pPr>
        <w:numPr>
          <w:ilvl w:val="0"/>
          <w:numId w:val="1001"/>
        </w:numPr>
      </w:pPr>
      <w:r>
        <w:t xml:space="preserve">Quantifying the contribution of data source heterogeneity—only partly</w:t>
      </w:r>
      <w:r>
        <w:t xml:space="preserve"> </w:t>
      </w:r>
      <w:r>
        <w:t xml:space="preserve">attributable to prior shift—which produces a scaffold-to-LDO MCC drop of 0.390,</w:t>
      </w:r>
      <w:r>
        <w:t xml:space="preserve"> </w:t>
      </w:r>
      <w:r>
        <w:t xml:space="preserve">considerably larger than the effect of split method</w:t>
      </w:r>
      <w:r>
        <w:t xml:space="preserve"> </w:t>
      </w:r>
      <w:r>
        <w:t xml:space="preserve">(</w:t>
      </w:r>
      <m:oMath>
        <m:r>
          <m:rPr>
            <m:sty m:val="p"/>
          </m:rPr>
          <m:t>Δ</m:t>
        </m:r>
        <m:r>
          <m:rPr>
            <m:sty m:val="p"/>
          </m:rPr>
          <m:t>=</m:t>
        </m:r>
        <m:r>
          <m:t>0.046</m:t>
        </m:r>
      </m:oMath>
      <w:r>
        <w:t xml:space="preserve">).</w:t>
      </w:r>
    </w:p>
    <w:p>
      <w:pPr>
        <w:numPr>
          <w:ilvl w:val="0"/>
          <w:numId w:val="1001"/>
        </w:numPr>
      </w:pPr>
      <w:r>
        <w:t xml:space="preserve">Comparing in-domain and cross-source algorithm robustness: in-domain differences</w:t>
      </w:r>
      <w:r>
        <w:t xml:space="preserve"> </w:t>
      </w:r>
      <w:r>
        <w:t xml:space="preserve">are small (MCC range = 0.063), whereas cross-source performance varies markedly</w:t>
      </w:r>
      <w:r>
        <w:t xml:space="preserve"> </w:t>
      </w:r>
      <w:r>
        <w:t xml:space="preserve">(RF 0.325 vs. XGB 0.122).</w:t>
      </w:r>
    </w:p>
    <w:p>
      <w:pPr>
        <w:numPr>
          <w:ilvl w:val="0"/>
          <w:numId w:val="1001"/>
        </w:numPr>
      </w:pPr>
      <w:r>
        <w:t xml:space="preserve">Characterizing endpoint-specific preprocessing effects: salt stripping improved</w:t>
      </w:r>
      <w:r>
        <w:t xml:space="preserve"> </w:t>
      </w:r>
      <w:r>
        <w:t xml:space="preserve">the best</w:t>
      </w:r>
      <w:r>
        <w:t xml:space="preserve"> </w:t>
      </w:r>
      <w:r>
        <w:rPr>
          <w:i/>
          <w:iCs/>
        </w:rPr>
        <w:t xml:space="preserve">in vivo</w:t>
      </w:r>
      <w:r>
        <w:t xml:space="preserve"> </w:t>
      </w:r>
      <w:r>
        <w:t xml:space="preserve">model by</w:t>
      </w:r>
      <w:r>
        <w:t xml:space="preserve"> </w:t>
      </w:r>
      <m:oMath>
        <m:r>
          <m:rPr>
            <m:sty m:val="p"/>
          </m:rPr>
          <m:t>+</m:t>
        </m:r>
        <m:r>
          <m:t>0.22</m:t>
        </m:r>
      </m:oMath>
      <w:r>
        <w:t xml:space="preserve"> </w:t>
      </w:r>
      <w:r>
        <w:t xml:space="preserve">MCC while reducing</w:t>
      </w:r>
      <w:r>
        <w:t xml:space="preserve"> </w:t>
      </w:r>
      <w:r>
        <w:rPr>
          <w:i/>
          <w:iCs/>
        </w:rPr>
        <w:t xml:space="preserve">in vitro</w:t>
      </w:r>
      <w:r>
        <w:t xml:space="preserve"> </w:t>
      </w:r>
      <w:r>
        <w:t xml:space="preserve">performance.</w:t>
      </w:r>
    </w:p>
    <w:p>
      <w:pPr>
        <w:numPr>
          <w:ilvl w:val="0"/>
          <w:numId w:val="1001"/>
        </w:numPr>
      </w:pPr>
      <w:r>
        <w:t xml:space="preserve">Releasing an open-source pipeline for full reproducibility.</w:t>
      </w:r>
    </w:p>
    <w:bookmarkEnd w:id="12"/>
    <w:bookmarkStart w:id="22" w:name="materials-and-methods"/>
    <w:p>
      <w:pPr>
        <w:pStyle w:val="Heading1"/>
      </w:pPr>
      <w:r>
        <w:t xml:space="preserve">Materials and Methods</w:t>
      </w:r>
    </w:p>
    <w:bookmarkStart w:id="14" w:name="datasets"/>
    <w:p>
      <w:pPr>
        <w:pStyle w:val="Heading2"/>
      </w:pPr>
      <w:r>
        <w:t xml:space="preserve">Datasets</w:t>
      </w:r>
    </w:p>
    <w:p>
      <w:pPr>
        <w:pStyle w:val="FirstParagraph"/>
      </w:pPr>
      <w:r>
        <w:t xml:space="preserve">Three datasets were evaluated (Table </w:t>
      </w:r>
      <w:hyperlink w:anchor="tab:datasets">
        <w:r>
          <w:rPr>
            <w:rStyle w:val="Hyperlink"/>
          </w:rPr>
          <w:t xml:space="preserve">1</w:t>
        </w:r>
      </w:hyperlink>
      <w:r>
        <w:t xml:space="preserve">): Ames bacterial reverse mutation</w:t>
      </w:r>
      <w:r>
        <w:t xml:space="preserve"> </w:t>
      </w:r>
      <w:r>
        <w:t xml:space="preserve">(</w:t>
      </w:r>
      <m:oMath>
        <m:r>
          <m:t>n</m:t>
        </m:r>
        <m:r>
          <m:rPr>
            <m:sty m:val="p"/>
          </m:rPr>
          <m:t>=</m:t>
        </m:r>
        <m:r>
          <m:t>13</m:t>
        </m:r>
        <m:r>
          <m:rPr>
            <m:sty m:val="p"/>
          </m:rPr>
          <m:t>,</m:t>
        </m:r>
        <m:r>
          <m:t>560</m:t>
        </m:r>
      </m:oMath>
      <w:r>
        <w:t xml:space="preserve">),</w:t>
      </w:r>
      <w:r>
        <w:t xml:space="preserve"> </w:t>
      </w:r>
      <w:r>
        <w:rPr>
          <w:i/>
          <w:iCs/>
        </w:rPr>
        <w:t xml:space="preserve">in vitro</w:t>
      </w:r>
      <w:r>
        <w:t xml:space="preserve"> </w:t>
      </w:r>
      <w:r>
        <w:t xml:space="preserve">chromosome aberration (</w:t>
      </w:r>
      <m:oMath>
        <m:r>
          <m:t>n</m:t>
        </m:r>
        <m:r>
          <m:rPr>
            <m:sty m:val="p"/>
          </m:rPr>
          <m:t>=</m:t>
        </m:r>
        <m:r>
          <m:t>1</m:t>
        </m:r>
        <m:r>
          <m:rPr>
            <m:sty m:val="p"/>
          </m:rPr>
          <m:t>,</m:t>
        </m:r>
        <m:r>
          <m:t>619</m:t>
        </m:r>
      </m:oMath>
      <w:r>
        <w:t xml:space="preserve">), and</w:t>
      </w:r>
      <w:r>
        <w:t xml:space="preserve"> </w:t>
      </w:r>
      <w:r>
        <w:rPr>
          <w:i/>
          <w:iCs/>
        </w:rPr>
        <w:t xml:space="preserve">in vivo</w:t>
      </w:r>
      <w:r>
        <w:t xml:space="preserve"> </w:t>
      </w:r>
      <w:r>
        <w:t xml:space="preserve">micronucleus</w:t>
      </w:r>
      <w:r>
        <w:t xml:space="preserve"> </w:t>
      </w:r>
      <w:r>
        <w:t xml:space="preserve">(</w:t>
      </w:r>
      <m:oMath>
        <m:r>
          <m:t>n</m:t>
        </m:r>
        <m:r>
          <m:rPr>
            <m:sty m:val="p"/>
          </m:rPr>
          <m:t>=</m:t>
        </m:r>
        <m:r>
          <m:t>2</m:t>
        </m:r>
        <m:r>
          <m:rPr>
            <m:sty m:val="p"/>
          </m:rPr>
          <m:t>,</m:t>
        </m:r>
        <m:r>
          <m:t>153</m:t>
        </m:r>
      </m:oMath>
      <w:r>
        <w:t xml:space="preserve">).</w:t>
      </w:r>
    </w:p>
    <w:p>
      <w:pPr>
        <w:pStyle w:val="BodyText"/>
      </w:pPr>
      <w:r>
        <w:t xml:space="preserve">The Ames dataset combines pharmaceutical (drug-like) and industrial chemical sources.</w:t>
      </w:r>
      <w:r>
        <w:t xml:space="preserve"> </w:t>
      </w:r>
      <w:r>
        <w:t xml:space="preserve">Compounds carry a source label based on their originating dataset; the term</w:t>
      </w:r>
      <w:r>
        <w:t xml:space="preserve"> </w:t>
      </w:r>
      <w:r>
        <w:t xml:space="preserve">“source”</w:t>
      </w:r>
      <w:r>
        <w:t xml:space="preserve"> </w:t>
      </w:r>
      <w:r>
        <w:t xml:space="preserve">is</w:t>
      </w:r>
      <w:r>
        <w:t xml:space="preserve"> </w:t>
      </w:r>
      <w:r>
        <w:t xml:space="preserve">used here to emphasize that this label reflects data provenance—encompassing potential</w:t>
      </w:r>
      <w:r>
        <w:t xml:space="preserve"> </w:t>
      </w:r>
      <w:r>
        <w:t xml:space="preserve">differences in chemical space, data quality, and labeling conventions—rather than a</w:t>
      </w:r>
      <w:r>
        <w:t xml:space="preserve"> </w:t>
      </w:r>
      <w:r>
        <w:t xml:space="preserve">computed chemical classification. Drug-sourced compounds (</w:t>
      </w:r>
      <m:oMath>
        <m:r>
          <m:t>n</m:t>
        </m:r>
        <m:r>
          <m:rPr>
            <m:sty m:val="p"/>
          </m:rPr>
          <m:t>=</m:t>
        </m:r>
        <m:r>
          <m:t>6</m:t>
        </m:r>
        <m:r>
          <m:rPr>
            <m:sty m:val="p"/>
          </m:rPr>
          <m:t>,</m:t>
        </m:r>
        <m:r>
          <m:t>416</m:t>
        </m:r>
      </m:oMath>
      <w:r>
        <w:t xml:space="preserve">) had a positive</w:t>
      </w:r>
      <w:r>
        <w:t xml:space="preserve"> </w:t>
      </w:r>
      <w:r>
        <w:t xml:space="preserve">rate of 58.3%, while industrial-sourced (</w:t>
      </w:r>
      <m:oMath>
        <m:r>
          <m:t>n</m:t>
        </m:r>
        <m:r>
          <m:rPr>
            <m:sty m:val="p"/>
          </m:rPr>
          <m:t>=</m:t>
        </m:r>
        <m:r>
          <m:t>7</m:t>
        </m:r>
        <m:r>
          <m:rPr>
            <m:sty m:val="p"/>
          </m:rPr>
          <m:t>,</m:t>
        </m:r>
        <m:r>
          <m:t>144</m:t>
        </m:r>
      </m:oMath>
      <w:r>
        <w:t xml:space="preserve">) had 3.0%, a 19.5-fold difference.</w:t>
      </w:r>
      <w:r>
        <w:t xml:space="preserve"> </w:t>
      </w:r>
      <w:r>
        <w:t xml:space="preserve">The</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datasets lacked source annotations.</w:t>
      </w:r>
    </w:p>
    <w:p>
      <w:pPr>
        <w:pStyle w:val="BodyText"/>
      </w:pPr>
      <w:r>
        <w:t xml:space="preserve">Raw study records for all three endpoints were first mapped to endpoint categories (Ames,</w:t>
      </w:r>
      <w:r>
        <w:t xml:space="preserve"> </w:t>
      </w:r>
      <w:r>
        <w:rPr>
          <w:i/>
          <w:iCs/>
        </w:rPr>
        <w:t xml:space="preserve">in vitro</w:t>
      </w:r>
      <w:r>
        <w:t xml:space="preserve"> </w:t>
      </w:r>
      <w:r>
        <w:t xml:space="preserve">CA,</w:t>
      </w:r>
      <w:r>
        <w:t xml:space="preserve"> </w:t>
      </w:r>
      <w:r>
        <w:rPr>
          <w:i/>
          <w:iCs/>
        </w:rPr>
        <w:t xml:space="preserve">in vivo</w:t>
      </w:r>
      <w:r>
        <w:t xml:space="preserve"> </w:t>
      </w:r>
      <w:r>
        <w:t xml:space="preserve">MN) using a unified classification table spanning OECD, EPA, and EU</w:t>
      </w:r>
      <w:r>
        <w:t xml:space="preserve"> </w:t>
      </w:r>
      <w:r>
        <w:t xml:space="preserve">Test Guidelines; the full guideline-to-endpoint mapping is provided in the supplementary</w:t>
      </w:r>
      <w:r>
        <w:t xml:space="preserve"> </w:t>
      </w:r>
      <w:r>
        <w:t xml:space="preserve">materials. For industrial chemicals sourced from ECHA dossiers, inclusion was restricted to</w:t>
      </w:r>
      <w:r>
        <w:t xml:space="preserve"> </w:t>
      </w:r>
      <w:r>
        <w:t xml:space="preserve">studies with Klimisch reliability scores of 1 (reliable without restriction) or 2 (reliable</w:t>
      </w:r>
      <w:r>
        <w:t xml:space="preserve"> </w:t>
      </w:r>
      <w:r>
        <w:t xml:space="preserve">with restrictions) where available,</w:t>
      </w:r>
      <w:r>
        <w:t xml:space="preserve"> </w:t>
      </w:r>
      <w:r>
        <w:t xml:space="preserve">excluding records with score 3 or 4.</w:t>
      </w:r>
      <w:r>
        <w:t xml:space="preserve"> </w:t>
      </w:r>
      <w:r>
        <w:t xml:space="preserve">When a single compound had both positive and negative study records of equal Klimisch score,</w:t>
      </w:r>
      <w:r>
        <w:t xml:space="preserve"> </w:t>
      </w:r>
      <w:r>
        <w:t xml:space="preserve">a conservative hazard-assessment convention consistent with EU REACH and K-REACH</w:t>
      </w:r>
      <w:r>
        <w:t xml:space="preserve"> </w:t>
      </w:r>
      <w:r>
        <w:t xml:space="preserve">guidance</w:t>
      </w:r>
      <w:r>
        <w:t xml:space="preserve"> </w:t>
      </w:r>
      <w:r>
        <w:t xml:space="preserve">was applied, and the compound was labeled as</w:t>
      </w:r>
      <w:r>
        <w:t xml:space="preserve"> </w:t>
      </w:r>
      <w:r>
        <w:t xml:space="preserve">positive. Compounds with irreconcilable label conflicts across distinct sources were excluded</w:t>
      </w:r>
      <w:r>
        <w:t xml:space="preserve"> </w:t>
      </w:r>
      <w:r>
        <w:t xml:space="preserve">(169 Ames, 3</w:t>
      </w:r>
      <w:r>
        <w:t xml:space="preserve"> </w:t>
      </w:r>
      <w:r>
        <w:rPr>
          <w:i/>
          <w:iCs/>
        </w:rPr>
        <w:t xml:space="preserve">in vitro</w:t>
      </w:r>
      <w:r>
        <w:t xml:space="preserve">, 2</w:t>
      </w:r>
      <w:r>
        <w:t xml:space="preserve"> </w:t>
      </w:r>
      <w:r>
        <w:rPr>
          <w:i/>
          <w:iCs/>
        </w:rPr>
        <w:t xml:space="preserve">invivo</w:t>
      </w:r>
      <w:r>
        <w:t xml:space="preserve">).</w:t>
      </w:r>
    </w:p>
    <w:p>
      <w:pPr>
        <w:pStyle w:val="BodyText"/>
      </w:pPr>
      <w:r>
        <w:t xml:space="preserve">Cross-endpoint overlap analysis revealed substantial sharing: 97.5% of</w:t>
      </w:r>
      <w:r>
        <w:t xml:space="preserve"> </w:t>
      </w:r>
      <w:r>
        <w:rPr>
          <w:i/>
          <w:iCs/>
        </w:rPr>
        <w:t xml:space="preserve">in vitro</w:t>
      </w:r>
      <w:r>
        <w:t xml:space="preserve"> </w:t>
      </w:r>
      <w:r>
        <w:t xml:space="preserve">and 92.1%</w:t>
      </w:r>
      <w:r>
        <w:t xml:space="preserve"> </w:t>
      </w:r>
      <w:r>
        <w:t xml:space="preserve">of</w:t>
      </w:r>
      <w:r>
        <w:t xml:space="preserve"> </w:t>
      </w:r>
      <w:r>
        <w:rPr>
          <w:i/>
          <w:iCs/>
        </w:rPr>
        <w:t xml:space="preserve">in vivo</w:t>
      </w:r>
      <w:r>
        <w:t xml:space="preserve"> </w:t>
      </w:r>
      <w:r>
        <w:t xml:space="preserve">compounds also appeared in Ames, with moderate label concordance</w:t>
      </w:r>
      <w:r>
        <w:t xml:space="preserve"> </w:t>
      </w:r>
      <w:r>
        <w:t xml:space="preserve">(Cohen’s</w:t>
      </w:r>
      <w:r>
        <w:t xml:space="preserve"> </w:t>
      </w:r>
      <m:oMath>
        <m:r>
          <m:t>κ</m:t>
        </m:r>
        <m:r>
          <m:rPr>
            <m:sty m:val="p"/>
          </m:rPr>
          <m:t>=</m:t>
        </m:r>
        <m:r>
          <m:t>0.14</m:t>
        </m:r>
      </m:oMath>
      <w:r>
        <w:t xml:space="preserve">–</w:t>
      </w:r>
      <m:oMath>
        <m:r>
          <m:t>0.20</m:t>
        </m:r>
      </m:oMath>
      <w:r>
        <w:t xml:space="preserve">).</w:t>
      </w:r>
    </w:p>
    <w:p>
      <w:pPr>
        <w:pStyle w:val="BodyText"/>
      </w:pPr>
      <w:r>
        <w:t xml:space="preserve">All datasets were split 80/20 using scaffold-based splitting</w:t>
      </w:r>
      <w:r>
        <w:t xml:space="preserve"> </w:t>
      </w:r>
      <w:r>
        <w:t xml:space="preserve">with zero</w:t>
      </w:r>
      <w:r>
        <w:t xml:space="preserve"> </w:t>
      </w:r>
      <w:r>
        <w:t xml:space="preserve">scaffold-group overlap. Murcko scaffolds</w:t>
      </w:r>
      <w:r>
        <w:t xml:space="preserve"> </w:t>
      </w:r>
      <w:r>
        <w:t xml:space="preserve">were generated with</w:t>
      </w:r>
      <w:r>
        <w:t xml:space="preserve"> </w:t>
      </w:r>
      <w:r>
        <w:t xml:space="preserve">RDKit;</w:t>
      </w:r>
      <w:r>
        <w:t xml:space="preserve"> </w:t>
      </w:r>
      <w:r>
        <w:t xml:space="preserve">acyclic compounds were clustered by agglomerative clustering on Morgan</w:t>
      </w:r>
      <w:r>
        <w:t xml:space="preserve"> </w:t>
      </w:r>
      <w:r>
        <w:t xml:space="preserve">fingerprint</w:t>
      </w:r>
      <w:r>
        <w:t xml:space="preserve"> </w:t>
      </w:r>
      <w:r>
        <w:t xml:space="preserve">similarity.</w:t>
      </w:r>
    </w:p>
    <w:bookmarkStart w:id="13" w:name="tab:datasets"/>
    <w:p>
      <w:pPr>
        <w:pStyle w:val="TableCaption"/>
      </w:pPr>
      <w:r>
        <w:t xml:space="preserve">Dataset summary. Positive rate refers to the training partition. The 225 total</w:t>
      </w:r>
      <w:r>
        <w:t xml:space="preserve"> </w:t>
      </w:r>
      <w:r>
        <w:t xml:space="preserve">configurations comprise 3 datasets</w:t>
      </w:r>
      <w:r>
        <w:t xml:space="preserve"> </w:t>
      </w:r>
      <m:oMath>
        <m:r>
          <m:rPr>
            <m:sty m:val="p"/>
          </m:rPr>
          <m:t>×</m:t>
        </m:r>
      </m:oMath>
      <w:r>
        <w:t xml:space="preserve"> </w:t>
      </w:r>
      <w:r>
        <w:t xml:space="preserve">3 preprocessing scenarios</w:t>
      </w:r>
      <w:r>
        <w:t xml:space="preserve"> </w:t>
      </w:r>
      <m:oMath>
        <m:r>
          <m:rPr>
            <m:sty m:val="p"/>
          </m:rPr>
          <m:t>×</m:t>
        </m:r>
      </m:oMath>
      <w:r>
        <w:t xml:space="preserve"> </w:t>
      </w:r>
      <w:r>
        <w:t xml:space="preserve">(6 tabular</w:t>
      </w:r>
      <w:r>
        <w:t xml:space="preserve"> </w:t>
      </w:r>
      <w:r>
        <w:t xml:space="preserve">models</w:t>
      </w:r>
      <w:r>
        <w:t xml:space="preserve"> </w:t>
      </w:r>
      <m:oMath>
        <m:r>
          <m:rPr>
            <m:sty m:val="p"/>
          </m:rPr>
          <m:t>×</m:t>
        </m:r>
      </m:oMath>
      <w:r>
        <w:t xml:space="preserve"> </w:t>
      </w:r>
      <w:r>
        <w:t xml:space="preserve">4 feature modes + 1 GNN).</w:t>
      </w:r>
    </w:p>
    <w:tbl>
      <w:tblPr>
        <w:tblStyle w:val="Table"/>
        <w:tblW w:type="auto" w:w="0"/>
        <w:tblLook w:firstRow="1" w:lastRow="0" w:firstColumn="0" w:lastColumn="0" w:noHBand="0" w:noVBand="0" w:val="0020"/>
        <w:tblCaption w:val="Dataset summary. Positive rate refers to the training partition. The 225 total configurations comprise 3 datasets \times 3 preprocessing scenarios \times (6 tabular models \times 4 feature modes + 1 GNN)."/>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left"/>
            </w:pPr>
            <w:r>
              <w:t xml:space="preserve">Assay</w:t>
            </w:r>
          </w:p>
        </w:tc>
        <w:tc>
          <w:tcPr/>
          <w:p>
            <w:pPr>
              <w:pStyle w:val="Compact"/>
              <w:jc w:val="right"/>
            </w:pPr>
            <m:oMath>
              <m:r>
                <m:t>n</m:t>
              </m:r>
            </m:oMath>
          </w:p>
        </w:tc>
        <w:tc>
          <w:tcPr/>
          <w:p>
            <w:pPr>
              <w:pStyle w:val="Compact"/>
              <w:jc w:val="right"/>
            </w:pPr>
            <w:r>
              <w:t xml:space="preserve">Train</w:t>
            </w:r>
          </w:p>
        </w:tc>
        <w:tc>
          <w:tcPr/>
          <w:p>
            <w:pPr>
              <w:pStyle w:val="Compact"/>
              <w:jc w:val="right"/>
            </w:pPr>
            <w:r>
              <w:t xml:space="preserve">Test</w:t>
            </w:r>
          </w:p>
        </w:tc>
        <w:tc>
          <w:tcPr/>
          <w:p>
            <w:pPr>
              <w:pStyle w:val="Compact"/>
              <w:jc w:val="right"/>
            </w:pPr>
            <w:r>
              <w:t xml:space="preserve">Pos. rate (%)</w:t>
            </w:r>
          </w:p>
        </w:tc>
        <w:tc>
          <w:tcPr/>
          <w:p>
            <w:pPr>
              <w:pStyle w:val="Compact"/>
              <w:jc w:val="right"/>
            </w:pPr>
            <w:r>
              <w:t xml:space="preserve">Scaffolds</w:t>
            </w:r>
          </w:p>
        </w:tc>
      </w:tr>
      <w:tr>
        <w:tc>
          <w:tcPr/>
          <w:p>
            <w:pPr>
              <w:pStyle w:val="Compact"/>
              <w:jc w:val="left"/>
            </w:pPr>
            <w:r>
              <w:t xml:space="preserve">Ames</w:t>
            </w:r>
          </w:p>
        </w:tc>
        <w:tc>
          <w:tcPr/>
          <w:p>
            <w:pPr>
              <w:pStyle w:val="Compact"/>
              <w:jc w:val="left"/>
            </w:pPr>
            <w:r>
              <w:t xml:space="preserve">Bacterial reverse mutation</w:t>
            </w:r>
          </w:p>
        </w:tc>
        <w:tc>
          <w:tcPr/>
          <w:p>
            <w:pPr>
              <w:pStyle w:val="Compact"/>
              <w:jc w:val="right"/>
            </w:pPr>
            <w:r>
              <w:t xml:space="preserve">13,560</w:t>
            </w:r>
          </w:p>
        </w:tc>
        <w:tc>
          <w:tcPr/>
          <w:p>
            <w:pPr>
              <w:pStyle w:val="Compact"/>
              <w:jc w:val="right"/>
            </w:pPr>
            <w:r>
              <w:t xml:space="preserve">10,848</w:t>
            </w:r>
          </w:p>
        </w:tc>
        <w:tc>
          <w:tcPr/>
          <w:p>
            <w:pPr>
              <w:pStyle w:val="Compact"/>
              <w:jc w:val="right"/>
            </w:pPr>
            <w:r>
              <w:t xml:space="preserve">2,712</w:t>
            </w:r>
          </w:p>
        </w:tc>
        <w:tc>
          <w:tcPr/>
          <w:p>
            <w:pPr>
              <w:pStyle w:val="Compact"/>
              <w:jc w:val="right"/>
            </w:pPr>
            <w:r>
              <w:t xml:space="preserve">29.1</w:t>
            </w:r>
          </w:p>
        </w:tc>
        <w:tc>
          <w:tcPr/>
          <w:p>
            <w:pPr>
              <w:pStyle w:val="Compact"/>
              <w:jc w:val="right"/>
            </w:pPr>
            <w:r>
              <w:t xml:space="preserve">1,691</w:t>
            </w:r>
          </w:p>
        </w:tc>
      </w:tr>
      <w:tr>
        <w:tc>
          <w:tcPr/>
          <w:p>
            <w:pPr>
              <w:pStyle w:val="Compact"/>
              <w:jc w:val="left"/>
            </w:pPr>
            <w:r>
              <w:t xml:space="preserve">In vitro CA</w:t>
            </w:r>
          </w:p>
        </w:tc>
        <w:tc>
          <w:tcPr/>
          <w:p>
            <w:pPr>
              <w:pStyle w:val="Compact"/>
              <w:jc w:val="left"/>
            </w:pPr>
            <w:r>
              <w:t xml:space="preserve">Chromosome aberration</w:t>
            </w:r>
          </w:p>
        </w:tc>
        <w:tc>
          <w:tcPr/>
          <w:p>
            <w:pPr>
              <w:pStyle w:val="Compact"/>
              <w:jc w:val="right"/>
            </w:pPr>
            <w:r>
              <w:t xml:space="preserve">1,619</w:t>
            </w:r>
          </w:p>
        </w:tc>
        <w:tc>
          <w:tcPr/>
          <w:p>
            <w:pPr>
              <w:pStyle w:val="Compact"/>
              <w:jc w:val="right"/>
            </w:pPr>
            <w:r>
              <w:t xml:space="preserve">1,295</w:t>
            </w:r>
          </w:p>
        </w:tc>
        <w:tc>
          <w:tcPr/>
          <w:p>
            <w:pPr>
              <w:pStyle w:val="Compact"/>
              <w:jc w:val="right"/>
            </w:pPr>
            <w:r>
              <w:t xml:space="preserve">324</w:t>
            </w:r>
          </w:p>
        </w:tc>
        <w:tc>
          <w:tcPr/>
          <w:p>
            <w:pPr>
              <w:pStyle w:val="Compact"/>
              <w:jc w:val="right"/>
            </w:pPr>
            <w:r>
              <w:t xml:space="preserve">10.4</w:t>
            </w:r>
          </w:p>
        </w:tc>
        <w:tc>
          <w:tcPr/>
          <w:p>
            <w:pPr>
              <w:pStyle w:val="Compact"/>
              <w:jc w:val="right"/>
            </w:pPr>
            <w:r>
              <w:t xml:space="preserve">353</w:t>
            </w:r>
          </w:p>
        </w:tc>
      </w:tr>
      <w:tr>
        <w:tc>
          <w:tcPr/>
          <w:p>
            <w:pPr>
              <w:pStyle w:val="Compact"/>
              <w:jc w:val="left"/>
            </w:pPr>
            <w:r>
              <w:t xml:space="preserve">In vivo MN</w:t>
            </w:r>
          </w:p>
        </w:tc>
        <w:tc>
          <w:tcPr/>
          <w:p>
            <w:pPr>
              <w:pStyle w:val="Compact"/>
              <w:jc w:val="left"/>
            </w:pPr>
            <w:r>
              <w:t xml:space="preserve">Micronucleus</w:t>
            </w:r>
          </w:p>
        </w:tc>
        <w:tc>
          <w:tcPr/>
          <w:p>
            <w:pPr>
              <w:pStyle w:val="Compact"/>
              <w:jc w:val="right"/>
            </w:pPr>
            <w:r>
              <w:t xml:space="preserve">2,153</w:t>
            </w:r>
          </w:p>
        </w:tc>
        <w:tc>
          <w:tcPr/>
          <w:p>
            <w:pPr>
              <w:pStyle w:val="Compact"/>
              <w:jc w:val="right"/>
            </w:pPr>
            <w:r>
              <w:t xml:space="preserve">1,722</w:t>
            </w:r>
          </w:p>
        </w:tc>
        <w:tc>
          <w:tcPr/>
          <w:p>
            <w:pPr>
              <w:pStyle w:val="Compact"/>
              <w:jc w:val="right"/>
            </w:pPr>
            <w:r>
              <w:t xml:space="preserve">431</w:t>
            </w:r>
          </w:p>
        </w:tc>
        <w:tc>
          <w:tcPr/>
          <w:p>
            <w:pPr>
              <w:pStyle w:val="Compact"/>
              <w:jc w:val="right"/>
            </w:pPr>
            <w:r>
              <w:t xml:space="preserve">3.7 / 2.8</w:t>
            </w:r>
            <w:r>
              <w:rPr>
                <w:vertAlign w:val="superscript"/>
              </w:rPr>
              <w:t xml:space="preserve">a</w:t>
            </w:r>
          </w:p>
        </w:tc>
        <w:tc>
          <w:tcPr/>
          <w:p>
            <w:pPr>
              <w:pStyle w:val="Compact"/>
              <w:jc w:val="right"/>
            </w:pPr>
            <w:r>
              <w:t xml:space="preserve">410</w:t>
            </w:r>
          </w:p>
        </w:tc>
      </w:tr>
    </w:tbl>
    <w:bookmarkEnd w:id="13"/>
    <w:p>
      <w:pPr>
        <w:pStyle w:val="BodyText"/>
      </w:pPr>
      <w:r>
        <w:rPr>
          <w:vertAlign w:val="superscript"/>
        </w:rPr>
        <w:t xml:space="preserve">a</w:t>
      </w:r>
      <w:r>
        <w:t xml:space="preserve">Training / test positive rate.</w:t>
      </w:r>
    </w:p>
    <w:bookmarkEnd w:id="14"/>
    <w:bookmarkStart w:id="15" w:name="preprocessing-features-and-algorithms"/>
    <w:p>
      <w:pPr>
        <w:pStyle w:val="Heading2"/>
      </w:pPr>
      <w:r>
        <w:t xml:space="preserve">Preprocessing, Features, and Algorithms</w:t>
      </w:r>
    </w:p>
    <w:p>
      <w:pPr>
        <w:pStyle w:val="FirstParagraph"/>
      </w:pPr>
      <w:r>
        <w:t xml:space="preserve">Each dataset was processed under three scenarios.</w:t>
      </w:r>
      <w:r>
        <w:t xml:space="preserve"> </w:t>
      </w:r>
      <w:r>
        <w:rPr>
          <w:b/>
          <w:bCs/>
        </w:rPr>
        <w:t xml:space="preserve">Raw</w:t>
      </w:r>
      <w:r>
        <w:t xml:space="preserve">: original SMILES with no</w:t>
      </w:r>
      <w:r>
        <w:t xml:space="preserve"> </w:t>
      </w:r>
      <w:r>
        <w:t xml:space="preserve">modification.</w:t>
      </w:r>
      <w:r>
        <w:t xml:space="preserve"> </w:t>
      </w:r>
      <w:r>
        <w:rPr>
          <w:b/>
          <w:bCs/>
        </w:rPr>
        <w:t xml:space="preserve">Salt-stripped</w:t>
      </w:r>
      <w:r>
        <w:t xml:space="preserve">: the largest fragment was retained using RDKit’s</w:t>
      </w:r>
      <w:r>
        <w:t xml:space="preserve"> </w:t>
      </w:r>
      <w:r>
        <w:rPr>
          <w:rStyle w:val="VerbatimChar"/>
        </w:rPr>
        <w:t xml:space="preserve">LargestFragmentChooser</w:t>
      </w:r>
      <w:r>
        <w:t xml:space="preserve"> </w:t>
      </w:r>
      <w:r>
        <w:t xml:space="preserve">followed by charge normalization, which</w:t>
      </w:r>
      <w:r>
        <w:t xml:space="preserve"> </w:t>
      </w:r>
      <w:r>
        <w:t xml:space="preserve">modified 45% of Ames, 81% of</w:t>
      </w:r>
      <w:r>
        <w:t xml:space="preserve"> </w:t>
      </w:r>
      <w:r>
        <w:rPr>
          <w:i/>
          <w:iCs/>
        </w:rPr>
        <w:t xml:space="preserve">in vitro</w:t>
      </w:r>
      <w:r>
        <w:t xml:space="preserve">, and 83% of</w:t>
      </w:r>
      <w:r>
        <w:t xml:space="preserve"> </w:t>
      </w:r>
      <w:r>
        <w:rPr>
          <w:i/>
          <w:iCs/>
        </w:rPr>
        <w:t xml:space="preserve">in vivo</w:t>
      </w:r>
      <w:r>
        <w:t xml:space="preserve"> </w:t>
      </w:r>
      <w:r>
        <w:t xml:space="preserve">SMILES.</w:t>
      </w:r>
      <w:r>
        <w:t xml:space="preserve"> </w:t>
      </w:r>
      <w:r>
        <w:rPr>
          <w:b/>
          <w:bCs/>
        </w:rPr>
        <w:t xml:space="preserve">No-metal</w:t>
      </w:r>
      <w:r>
        <w:t xml:space="preserve">:</w:t>
      </w:r>
      <w:r>
        <w:t xml:space="preserve"> </w:t>
      </w:r>
      <w:r>
        <w:t xml:space="preserve">compounds containing metal atoms were excluded.</w:t>
      </w:r>
    </w:p>
    <w:p>
      <w:pPr>
        <w:pStyle w:val="BodyText"/>
      </w:pPr>
      <w:r>
        <w:t xml:space="preserve">Five feature representations were evaluated.</w:t>
      </w:r>
      <w:r>
        <w:t xml:space="preserve"> </w:t>
      </w:r>
      <w:r>
        <w:rPr>
          <w:b/>
          <w:bCs/>
        </w:rPr>
        <w:t xml:space="preserve">Compact</w:t>
      </w:r>
      <w:r>
        <w:t xml:space="preserve"> </w:t>
      </w:r>
      <w:r>
        <w:t xml:space="preserve">(138 features) combined 13</w:t>
      </w:r>
      <w:r>
        <w:t xml:space="preserve"> </w:t>
      </w:r>
      <w:r>
        <w:t xml:space="preserve">physicochemical descriptors (MW, LogP, TPSA, HBD, HBA, rotatable bonds, fraction</w:t>
      </w:r>
      <w:r>
        <w:t xml:space="preserve"> </w:t>
      </w:r>
      <m:oMath>
        <m:sSub>
          <m:e>
            <m:r>
              <m:rPr>
                <m:sty m:val="p"/>
              </m:rPr>
              <m:t>C</m:t>
            </m:r>
          </m:e>
          <m:sub>
            <m:r>
              <m:rPr>
                <m:sty m:val="p"/>
              </m:rPr>
              <m:t>s</m:t>
            </m:r>
            <m:r>
              <m:rPr>
                <m:sty m:val="p"/>
              </m:rPr>
              <m:t>p</m:t>
            </m:r>
            <m:r>
              <m:rPr>
                <m:sty m:val="p"/>
              </m:rPr>
              <m:t>3</m:t>
            </m:r>
          </m:sub>
        </m:sSub>
      </m:oMath>
      <w:r>
        <w:t xml:space="preserve">, ring counts, heteroatoms, heavy atoms, formal charge, valence electrons,</w:t>
      </w:r>
      <w:r>
        <w:t xml:space="preserve"> </w:t>
      </w:r>
      <w:r>
        <w:t xml:space="preserve">aromatic ring count) with 125 structural alerts based on Benigni–Bossa</w:t>
      </w:r>
      <w:r>
        <w:t xml:space="preserve"> </w:t>
      </w:r>
      <w:r>
        <w:t xml:space="preserve">SA1–SA31,</w:t>
      </w:r>
      <w:r>
        <w:t xml:space="preserve"> </w:t>
      </w:r>
      <w:r>
        <w:t xml:space="preserve">Kazius toxicophores,</w:t>
      </w:r>
      <w:r>
        <w:t xml:space="preserve"> </w:t>
      </w:r>
      <w:r>
        <w:t xml:space="preserve">and</w:t>
      </w:r>
      <w:r>
        <w:t xml:space="preserve"> </w:t>
      </w:r>
      <w:r>
        <w:t xml:space="preserve">ISS Ames alerts.</w:t>
      </w:r>
      <w:r>
        <w:t xml:space="preserve"> </w:t>
      </w:r>
      <w:r>
        <w:rPr>
          <w:b/>
          <w:bCs/>
        </w:rPr>
        <w:t xml:space="preserve">Broad FP-512/1024/2048</w:t>
      </w:r>
      <w:r>
        <w:t xml:space="preserve"> </w:t>
      </w:r>
      <w:r>
        <w:t xml:space="preserve">(266/394/522 features) extended compact</w:t>
      </w:r>
      <w:r>
        <w:t xml:space="preserve"> </w:t>
      </w:r>
      <w:r>
        <w:t xml:space="preserve">with 128/256/384 Morgan fingerprint bits</w:t>
      </w:r>
      <w:r>
        <w:t xml:space="preserve"> </w:t>
      </w:r>
      <w:r>
        <w:t xml:space="preserve">selected by mutual</w:t>
      </w:r>
      <w:r>
        <w:t xml:space="preserve"> </w:t>
      </w:r>
      <w:r>
        <w:t xml:space="preserve">information</w:t>
      </w:r>
      <w:r>
        <w:t xml:space="preserve"> </w:t>
      </w:r>
      <w:r>
        <w:t xml:space="preserve">on the training set only (bits with prevalence below 1% or</w:t>
      </w:r>
      <w:r>
        <w:t xml:space="preserve"> </w:t>
      </w:r>
      <w:r>
        <w:t xml:space="preserve">above 99% excluded).</w:t>
      </w:r>
      <w:r>
        <w:t xml:space="preserve"> </w:t>
      </w:r>
      <w:r>
        <w:rPr>
          <w:b/>
          <w:bCs/>
        </w:rPr>
        <w:t xml:space="preserve">Graph</w:t>
      </w:r>
      <w:r>
        <w:t xml:space="preserve"> </w:t>
      </w:r>
      <w:r>
        <w:t xml:space="preserve">representations used molecular graphs with 9-dimensional</w:t>
      </w:r>
      <w:r>
        <w:t xml:space="preserve"> </w:t>
      </w:r>
      <w:r>
        <w:t xml:space="preserve">atom features and normalized adjacency matrices, paired exclusively with the GCN.</w:t>
      </w:r>
    </w:p>
    <w:p>
      <w:pPr>
        <w:pStyle w:val="BodyText"/>
      </w:pPr>
      <w:r>
        <w:t xml:space="preserve">Seven classifiers were evaluated: XGBoost (XGB),</w:t>
      </w:r>
      <w:r>
        <w:t xml:space="preserve"> </w:t>
      </w:r>
      <w:r>
        <w:t xml:space="preserve">LightGBM</w:t>
      </w:r>
      <w:r>
        <w:t xml:space="preserve"> </w:t>
      </w:r>
      <w:r>
        <w:t xml:space="preserve">(LGBM),</w:t>
      </w:r>
      <w:r>
        <w:t xml:space="preserve"> </w:t>
      </w:r>
      <w:r>
        <w:t xml:space="preserve">Random Forest (RF),</w:t>
      </w:r>
      <w:r>
        <w:t xml:space="preserve"> </w:t>
      </w:r>
      <w:r>
        <w:t xml:space="preserve">SVM with RBF</w:t>
      </w:r>
      <w:r>
        <w:t xml:space="preserve"> </w:t>
      </w:r>
      <w:r>
        <w:t xml:space="preserve">kernel,</w:t>
      </w:r>
      <w:r>
        <w:t xml:space="preserve"> </w:t>
      </w:r>
      <w:r>
        <w:t xml:space="preserve">Logistic Regression (LR),</w:t>
      </w:r>
      <w:r>
        <w:t xml:space="preserve"> </w:t>
      </w:r>
      <w:r>
        <w:t xml:space="preserve">a 128–64</w:t>
      </w:r>
      <w:r>
        <w:t xml:space="preserve"> </w:t>
      </w:r>
      <w:r>
        <w:t xml:space="preserve">MLP,</w:t>
      </w:r>
      <w:r>
        <w:t xml:space="preserve"> </w:t>
      </w:r>
      <w:r>
        <w:t xml:space="preserve">and a three-layer GCN</w:t>
      </w:r>
      <w:r>
        <w:t xml:space="preserve"> </w:t>
      </w:r>
      <w:r>
        <w:t xml:space="preserve">with LayerNorm and</w:t>
      </w:r>
      <w:r>
        <w:t xml:space="preserve"> </w:t>
      </w:r>
      <w:r>
        <w:t xml:space="preserve">global mean pooling. SVM and LR used standard scaling. Class imbalance was handled via</w:t>
      </w:r>
      <w:r>
        <w:t xml:space="preserve"> </w:t>
      </w:r>
      <w:r>
        <w:rPr>
          <w:rStyle w:val="VerbatimChar"/>
        </w:rPr>
        <w:t xml:space="preserve">scale_pos_weight</w:t>
      </w:r>
      <w:r>
        <w:t xml:space="preserve"> </w:t>
      </w:r>
      <w:r>
        <w:t xml:space="preserve">or</w:t>
      </w:r>
      <w:r>
        <w:t xml:space="preserve"> </w:t>
      </w:r>
      <w:r>
        <w:rPr>
          <w:rStyle w:val="VerbatimChar"/>
        </w:rPr>
        <w:t xml:space="preserve">class_weight=’balanced’</w:t>
      </w:r>
      <w:r>
        <w:t xml:space="preserve">. Hyperparameters were tuned</w:t>
      </w:r>
      <w:r>
        <w:t xml:space="preserve"> </w:t>
      </w:r>
      <w:r>
        <w:t xml:space="preserve">via</w:t>
      </w:r>
      <w:r>
        <w:t xml:space="preserve"> </w:t>
      </w:r>
      <w:r>
        <w:rPr>
          <w:rStyle w:val="VerbatimChar"/>
        </w:rPr>
        <w:t xml:space="preserve">RandomizedSearchCV</w:t>
      </w:r>
      <w:r>
        <w:t xml:space="preserve"> </w:t>
      </w:r>
      <w:r>
        <w:t xml:space="preserve">with</w:t>
      </w:r>
      <w:r>
        <w:t xml:space="preserve"> </w:t>
      </w:r>
      <w:r>
        <w:rPr>
          <w:rStyle w:val="VerbatimChar"/>
        </w:rPr>
        <w:t xml:space="preserve">GroupKFold</w:t>
      </w:r>
      <w:r>
        <w:t xml:space="preserve">.</w:t>
      </w:r>
    </w:p>
    <w:bookmarkEnd w:id="15"/>
    <w:bookmarkStart w:id="16" w:name="evaluation-cascade"/>
    <w:p>
      <w:pPr>
        <w:pStyle w:val="Heading2"/>
      </w:pPr>
      <w:r>
        <w:t xml:space="preserve">Evaluation Cascade</w:t>
      </w:r>
    </w:p>
    <w:p>
      <w:pPr>
        <w:pStyle w:val="FirstParagraph"/>
      </w:pPr>
      <w:r>
        <w:t xml:space="preserve">To compare evaluation methods under identical conditions, a single fixed model</w:t>
      </w:r>
      <w:r>
        <w:t xml:space="preserve"> </w:t>
      </w:r>
      <w:r>
        <w:t xml:space="preserve">configuration—XGB, compact features, raw SMILES—was applied at all three cascade</w:t>
      </w:r>
      <w:r>
        <w:t xml:space="preserve"> </w:t>
      </w:r>
      <w:r>
        <w:t xml:space="preserve">levels (Figure </w:t>
      </w:r>
      <w:hyperlink w:anchor="fig:framework">
        <w:r>
          <w:rPr>
            <w:rStyle w:val="Hyperlink"/>
          </w:rPr>
          <w:t xml:space="preserve">1</w:t>
        </w:r>
      </w:hyperlink>
      <w:r>
        <w:t xml:space="preserve">):</w:t>
      </w:r>
    </w:p>
    <w:p>
      <w:pPr>
        <w:pStyle w:val="BodyText"/>
      </w:pPr>
      <w:r>
        <w:rPr>
          <w:b/>
          <w:bCs/>
        </w:rPr>
        <w:t xml:space="preserve">Level 1 (in-domain test):</w:t>
      </w:r>
      <w:r>
        <w:t xml:space="preserve"> </w:t>
      </w:r>
      <w:r>
        <w:t xml:space="preserve">the scaffold-split held-out test set, with bootstrap</w:t>
      </w:r>
      <w:r>
        <w:t xml:space="preserve"> </w:t>
      </w:r>
      <w:r>
        <w:t xml:space="preserve">95% CI (500 iterations) on MCC,</w:t>
      </w:r>
      <w:r>
        <w:t xml:space="preserve"> </w:t>
      </w:r>
      <w:r>
        <w:t xml:space="preserve">ROC-AUC, PR-AUC, balanced accuracy,</w:t>
      </w:r>
      <w:r>
        <w:t xml:space="preserve"> </w:t>
      </w:r>
      <w:r>
        <w:t xml:space="preserve">sensitivity, specificity, and Brier score.</w:t>
      </w:r>
    </w:p>
    <w:p>
      <w:pPr>
        <w:pStyle w:val="BodyText"/>
      </w:pPr>
      <w:r>
        <w:rPr>
          <w:b/>
          <w:bCs/>
        </w:rPr>
        <w:t xml:space="preserve">Level 2 (split-method comparison):</w:t>
      </w:r>
      <w:r>
        <w:t xml:space="preserve"> </w:t>
      </w:r>
      <w:r>
        <w:t xml:space="preserve">5-fold stratified random CV and 5-fold</w:t>
      </w:r>
      <w:r>
        <w:t xml:space="preserve"> </w:t>
      </w:r>
      <w:r>
        <w:t xml:space="preserve">scaffold-grouped CV, each with 5 repeats, on the full dataset.</w:t>
      </w:r>
    </w:p>
    <w:p>
      <w:pPr>
        <w:pStyle w:val="BodyText"/>
      </w:pPr>
      <w:r>
        <w:rPr>
          <w:b/>
          <w:bCs/>
        </w:rPr>
        <w:t xml:space="preserve">Level 3 (cross-source LDO):</w:t>
      </w:r>
      <w:r>
        <w:t xml:space="preserve"> </w:t>
      </w:r>
      <w:r>
        <w:t xml:space="preserve">for Ames, models were trained on one source and</w:t>
      </w:r>
      <w:r>
        <w:t xml:space="preserve"> </w:t>
      </w:r>
      <w:r>
        <w:t xml:space="preserve">tested on the other, using the fixed configuration plus LGBM and RF to assess</w:t>
      </w:r>
      <w:r>
        <w:t xml:space="preserve"> </w:t>
      </w:r>
      <w:r>
        <w:t xml:space="preserve">algorithm-specific robustness.</w:t>
      </w:r>
    </w:p>
    <w:bookmarkEnd w:id="16"/>
    <w:bookmarkStart w:id="21" w:name="additional-analyses"/>
    <w:p>
      <w:pPr>
        <w:pStyle w:val="Heading2"/>
      </w:pPr>
      <w:r>
        <w:t xml:space="preserve">Additional Analyses</w:t>
      </w:r>
    </w:p>
    <w:p>
      <w:pPr>
        <w:pStyle w:val="FirstParagraph"/>
      </w:pPr>
      <w:r>
        <w:t xml:space="preserve">Beyond the fixed configuration, all 225 combinations were evaluated on the scaffold-split</w:t>
      </w:r>
      <w:r>
        <w:t xml:space="preserve"> </w:t>
      </w:r>
      <w:r>
        <w:t xml:space="preserve">test set (</w:t>
      </w:r>
      <m:oMath>
        <m:r>
          <m:t>3</m:t>
        </m:r>
        <m:r>
          <m:rPr>
            <m:sty m:val="p"/>
          </m:rPr>
          <m:t>×</m:t>
        </m:r>
        <m:r>
          <m:t>3</m:t>
        </m:r>
        <m:r>
          <m:rPr>
            <m:sty m:val="p"/>
          </m:rPr>
          <m:t>×</m:t>
        </m:r>
        <m:r>
          <m:rPr>
            <m:sty m:val="p"/>
          </m:rPr>
          <m:t>[</m:t>
        </m:r>
        <m:r>
          <m:t>6</m:t>
        </m:r>
        <m:r>
          <m:rPr>
            <m:sty m:val="p"/>
          </m:rPr>
          <m:t>×</m:t>
        </m:r>
        <m:r>
          <m:t>4</m:t>
        </m:r>
        <m:r>
          <m:rPr>
            <m:sty m:val="p"/>
          </m:rPr>
          <m:t>+</m:t>
        </m:r>
        <m:r>
          <m:t>1</m:t>
        </m:r>
        <m:r>
          <m:rPr>
            <m:sty m:val="p"/>
          </m:rPr>
          <m:t>]</m:t>
        </m:r>
        <m:r>
          <m:rPr>
            <m:sty m:val="p"/>
          </m:rPr>
          <m:t>=</m:t>
        </m:r>
        <m:r>
          <m:t>225</m:t>
        </m:r>
      </m:oMath>
      <w:r>
        <w:t xml:space="preserve">). Applicability domain (AD) was</w:t>
      </w:r>
      <w:r>
        <w:t xml:space="preserve"> </w:t>
      </w:r>
      <w:r>
        <w:t xml:space="preserve">assessed using Tanimoto similarity on 1024-bit Morgan</w:t>
      </w:r>
      <w:r>
        <w:t xml:space="preserve"> </w:t>
      </w:r>
      <w:r>
        <w:t xml:space="preserve">fingerprints</w:t>
      </w:r>
      <w:r>
        <w:t xml:space="preserve"> </w:t>
      </w:r>
      <w:r>
        <w:t xml:space="preserve">with a threshold of</w:t>
      </w:r>
      <w:r>
        <w:t xml:space="preserve"> </w:t>
      </w:r>
      <m:oMath>
        <m:r>
          <m:rPr>
            <m:sty m:val="p"/>
          </m:rPr>
          <m:t>≥</m:t>
        </m:r>
        <m:r>
          <m:t>0.3</m:t>
        </m:r>
      </m:oMath>
      <w:r>
        <w:t xml:space="preserve">. SHAP</w:t>
      </w:r>
      <w:r>
        <w:t xml:space="preserve"> </w:t>
      </w:r>
      <w:r>
        <w:t xml:space="preserve">values</w:t>
      </w:r>
      <w:r>
        <w:t xml:space="preserve"> </w:t>
      </w:r>
      <w:r>
        <w:t xml:space="preserve">(</w:t>
      </w:r>
      <w:r>
        <w:rPr>
          <w:rStyle w:val="VerbatimChar"/>
        </w:rPr>
        <w:t xml:space="preserve">TreeExplainer</w:t>
      </w:r>
      <w:r>
        <w:t xml:space="preserve">) were computed for tree-based</w:t>
      </w:r>
      <w:r>
        <w:t xml:space="preserve"> </w:t>
      </w:r>
      <w:r>
        <w:t xml:space="preserve">models on the three primary endpoints. Learning curves were generated at training fractions</w:t>
      </w:r>
      <w:r>
        <w:t xml:space="preserve"> </w:t>
      </w:r>
      <w:r>
        <w:t xml:space="preserve">from 10% to 100% using 5-fold scaffold CV under the fixed configuration. McNemar’s</w:t>
      </w:r>
      <w:r>
        <w:t xml:space="preserve"> </w:t>
      </w:r>
      <w:r>
        <w:t xml:space="preserve">test</w:t>
      </w:r>
      <w:r>
        <w:t xml:space="preserve"> </w:t>
      </w:r>
      <w:r>
        <w:t xml:space="preserve">with continuity correction was used to compare the top two models</w:t>
      </w:r>
      <w:r>
        <w:t xml:space="preserve"> </w:t>
      </w:r>
      <w:r>
        <w:t xml:space="preserve">per endpoint.</w:t>
      </w:r>
    </w:p>
    <w:p>
      <w:pPr>
        <w:pStyle w:val="BodyText"/>
      </w:pPr>
      <w:r>
        <w:rPr>
          <w:b/>
          <w:bCs/>
        </w:rPr>
        <w:t xml:space="preserve">LDO threshold decomposition.</w:t>
      </w:r>
      <w:r>
        <w:t xml:space="preserve"> </w:t>
      </w:r>
      <w:r>
        <w:t xml:space="preserve">To separate the effect of prior shift from other</w:t>
      </w:r>
      <w:r>
        <w:t xml:space="preserve"> </w:t>
      </w:r>
      <w:r>
        <w:t xml:space="preserve">sources of performance loss, LDO MCC was evaluated at three decision thresholds:</w:t>
      </w:r>
      <w:r>
        <w:t xml:space="preserve"> </w:t>
      </w:r>
      <w:r>
        <w:rPr>
          <w:i/>
          <w:iCs/>
        </w:rPr>
        <w:t xml:space="preserve">default</w:t>
      </w:r>
      <w:r>
        <w:t xml:space="preserve"> </w:t>
      </w:r>
      <w:r>
        <w:t xml:space="preserve">(</w:t>
      </w:r>
      <m:oMath>
        <m:r>
          <m:t>t</m:t>
        </m:r>
        <m:r>
          <m:rPr>
            <m:sty m:val="p"/>
          </m:rPr>
          <m:t>=</m:t>
        </m:r>
        <m:r>
          <m:t>0.5</m:t>
        </m:r>
      </m:oMath>
      <w:r>
        <w:t xml:space="preserve">),</w:t>
      </w:r>
      <w:r>
        <w:t xml:space="preserve"> </w:t>
      </w:r>
      <w:r>
        <w:rPr>
          <w:i/>
          <w:iCs/>
        </w:rPr>
        <w:t xml:space="preserve">prior-corrected</w:t>
      </w:r>
      <w:r>
        <w:t xml:space="preserve"> </w:t>
      </w:r>
      <w:r>
        <w:t xml:space="preserve">(</w:t>
      </w:r>
      <m:oMath>
        <m:r>
          <m:t>t</m:t>
        </m:r>
      </m:oMath>
      <w:r>
        <w:t xml:space="preserve"> </w:t>
      </w:r>
      <w:r>
        <w:t xml:space="preserve">set to the training positive</w:t>
      </w:r>
      <w:r>
        <w:t xml:space="preserve"> </w:t>
      </w:r>
      <w:r>
        <w:t xml:space="preserve">rate, which is optimal assuming pure prior shift), and</w:t>
      </w:r>
      <w:r>
        <w:t xml:space="preserve"> </w:t>
      </w:r>
      <w:r>
        <w:rPr>
          <w:i/>
          <w:iCs/>
        </w:rPr>
        <w:t xml:space="preserve">oracle</w:t>
      </w:r>
      <w:r>
        <w:t xml:space="preserve"> </w:t>
      </w:r>
      <w:r>
        <w:t xml:space="preserve">(</w:t>
      </w:r>
      <m:oMath>
        <m:r>
          <m:t>t</m:t>
        </m:r>
      </m:oMath>
      <w:r>
        <w:t xml:space="preserve"> </w:t>
      </w:r>
      <w:r>
        <w:t xml:space="preserve">chosen</w:t>
      </w:r>
      <w:r>
        <w:t xml:space="preserve"> </w:t>
      </w:r>
      <w:r>
        <w:t xml:space="preserve">to maximize MCC on the test set, providing an upper bound on threshold-based</w:t>
      </w:r>
      <w:r>
        <w:t xml:space="preserve"> </w:t>
      </w:r>
      <w:r>
        <w:t xml:space="preserve">recalibration).</w:t>
      </w:r>
    </w:p>
    <w:bookmarkStart w:id="20" w:name="fig:framework"/>
    <w:p>
      <w:pPr>
        <w:pStyle w:val="CaptionedFigure"/>
      </w:pPr>
      <w:r>
        <w:drawing>
          <wp:inline>
            <wp:extent cx="5334000" cy="3000375"/>
            <wp:effectExtent b="0" l="0" r="0" t="0"/>
            <wp:docPr descr="" title="" id="18" name="Picture"/>
            <a:graphic>
              <a:graphicData uri="http://schemas.openxmlformats.org/drawingml/2006/picture">
                <pic:pic>
                  <pic:nvPicPr>
                    <pic:cNvPr descr="figures/figure1_framework.pdf" id="19" name="Picture"/>
                    <pic:cNvPicPr>
                      <a:picLocks noChangeArrowheads="1" noChangeAspect="1"/>
                    </pic:cNvPicPr>
                  </pic:nvPicPr>
                  <pic:blipFill>
                    <a:blip r:embed="rId1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Evaluation cascade framework. All levels use the same fixed configuration (XGB,</w:t>
      </w:r>
      <w:r>
        <w:t xml:space="preserve"> </w:t>
      </w:r>
      <w:r>
        <w:t xml:space="preserve">compact features, raw SMILES), enabling fair MCC comparison across evaluation methods.</w:t>
      </w:r>
    </w:p>
    <w:bookmarkEnd w:id="20"/>
    <w:bookmarkEnd w:id="21"/>
    <w:bookmarkEnd w:id="22"/>
    <w:bookmarkStart w:id="55" w:name="results"/>
    <w:p>
      <w:pPr>
        <w:pStyle w:val="Heading1"/>
      </w:pPr>
      <w:r>
        <w:t xml:space="preserve">Results</w:t>
      </w:r>
    </w:p>
    <w:bookmarkStart w:id="29" w:name="X2bc46353d1c13536ddbbca70feb5ee137b60b06"/>
    <w:p>
      <w:pPr>
        <w:pStyle w:val="Heading2"/>
      </w:pPr>
      <w:r>
        <w:t xml:space="preserve">Best Observed Performance Across the Full Grid</w:t>
      </w:r>
    </w:p>
    <w:p>
      <w:pPr>
        <w:pStyle w:val="FirstParagraph"/>
      </w:pPr>
      <w:r>
        <w:t xml:space="preserve">Table </w:t>
      </w:r>
      <w:hyperlink w:anchor="tab:best_models">
        <w:r>
          <w:rPr>
            <w:rStyle w:val="Hyperlink"/>
          </w:rPr>
          <w:t xml:space="preserve">2</w:t>
        </w:r>
      </w:hyperlink>
      <w:r>
        <w:t xml:space="preserve"> </w:t>
      </w:r>
      <w:r>
        <w:t xml:space="preserve">reports the best observed performance per endpoint across all</w:t>
      </w:r>
      <w:r>
        <w:t xml:space="preserve"> </w:t>
      </w:r>
      <w:r>
        <w:t xml:space="preserve">225 configurations. These values are an upper bound from extensive search and should be read</w:t>
      </w:r>
      <w:r>
        <w:t xml:space="preserve"> </w:t>
      </w:r>
      <w:r>
        <w:t xml:space="preserve">as a descriptive benchmark, not unbiased estimates; the confirmatory analysis uses the fixed</w:t>
      </w:r>
      <w:r>
        <w:t xml:space="preserve"> </w:t>
      </w:r>
      <w:r>
        <w:t xml:space="preserve">configuration (Table </w:t>
      </w:r>
      <w:hyperlink w:anchor="tab:cascade">
        <w:r>
          <w:rPr>
            <w:rStyle w:val="Hyperlink"/>
          </w:rPr>
          <w:t xml:space="preserve">4</w:t>
        </w:r>
      </w:hyperlink>
      <w:r>
        <w:t xml:space="preserve">).</w:t>
      </w:r>
    </w:p>
    <w:bookmarkStart w:id="23" w:name="tab:best_models"/>
    <w:p>
      <w:pPr>
        <w:pStyle w:val="TableCaption"/>
      </w:pPr>
      <w:r>
        <w:t xml:space="preserve">Best observed performance per endpoint (scaffold-split test set, full grid). Best</w:t>
      </w:r>
      <w:r>
        <w:t xml:space="preserve"> </w:t>
      </w:r>
      <w:r>
        <w:t xml:space="preserve">among 225 configurations; descriptive benchmark, not unbiased estimates.</w:t>
      </w:r>
    </w:p>
    <w:tbl>
      <w:tblPr>
        <w:tblStyle w:val="Table"/>
        <w:tblW w:type="auto" w:w="0"/>
        <w:tblLook w:firstRow="1" w:lastRow="0" w:firstColumn="0" w:lastColumn="0" w:noHBand="0" w:noVBand="0" w:val="0020"/>
        <w:tblCaption w:val="Best observed performance per endpoint (scaffold-split test set, full grid). Best among 225 configurations; descriptive benchmark, not unbiased estimates."/>
      </w:tblPr>
      <w:tblGrid>
        <w:gridCol w:w="880"/>
        <w:gridCol w:w="880"/>
        <w:gridCol w:w="880"/>
        <w:gridCol w:w="880"/>
        <w:gridCol w:w="880"/>
        <w:gridCol w:w="880"/>
        <w:gridCol w:w="880"/>
        <w:gridCol w:w="880"/>
        <w:gridCol w:w="880"/>
      </w:tblGrid>
      <w:tr>
        <w:trPr>
          <w:tblHeader w:val="on"/>
        </w:trPr>
        <w:tc>
          <w:tcPr/>
          <w:p>
            <w:pPr>
              <w:pStyle w:val="Compact"/>
              <w:jc w:val="left"/>
            </w:pPr>
            <w:r>
              <w:t xml:space="preserve">Endpoint</w:t>
            </w:r>
          </w:p>
        </w:tc>
        <w:tc>
          <w:tcPr/>
          <w:p>
            <w:pPr>
              <w:pStyle w:val="Compact"/>
              <w:jc w:val="left"/>
            </w:pPr>
            <w:r>
              <w:t xml:space="preserve">Algo.</w:t>
            </w:r>
          </w:p>
        </w:tc>
        <w:tc>
          <w:tcPr/>
          <w:p>
            <w:pPr>
              <w:pStyle w:val="Compact"/>
              <w:jc w:val="left"/>
            </w:pPr>
            <w:r>
              <w:t xml:space="preserve">Preproc.</w:t>
            </w:r>
          </w:p>
        </w:tc>
        <w:tc>
          <w:tcPr/>
          <w:p>
            <w:pPr>
              <w:pStyle w:val="Compact"/>
              <w:jc w:val="left"/>
            </w:pPr>
            <w:r>
              <w:t xml:space="preserve">Features (</w:t>
            </w:r>
            <m:oMath>
              <m:r>
                <m:t>n</m:t>
              </m:r>
            </m:oMath>
            <w:r>
              <w:t xml:space="preserve">)</w:t>
            </w:r>
          </w:p>
        </w:tc>
        <w:tc>
          <w:tcPr/>
          <w:p>
            <w:pPr>
              <w:pStyle w:val="Compact"/>
              <w:jc w:val="center"/>
            </w:pPr>
            <w:r>
              <w:t xml:space="preserve">MCC [95% CI]</w:t>
            </w:r>
          </w:p>
        </w:tc>
        <w:tc>
          <w:tcPr/>
          <w:p>
            <w:pPr>
              <w:pStyle w:val="Compact"/>
              <w:jc w:val="center"/>
            </w:pPr>
            <w:r>
              <w:t xml:space="preserve">AUC</w:t>
            </w:r>
          </w:p>
        </w:tc>
        <w:tc>
          <w:tcPr/>
          <w:p>
            <w:pPr>
              <w:pStyle w:val="Compact"/>
              <w:jc w:val="center"/>
            </w:pPr>
            <w:r>
              <w:t xml:space="preserve">PR-AUC</w:t>
            </w:r>
          </w:p>
        </w:tc>
        <w:tc>
          <w:tcPr/>
          <w:p>
            <w:pPr>
              <w:pStyle w:val="Compact"/>
              <w:jc w:val="center"/>
            </w:pPr>
            <w:r>
              <w:t xml:space="preserve">Sens.</w:t>
            </w:r>
          </w:p>
        </w:tc>
        <w:tc>
          <w:tcPr/>
          <w:p>
            <w:pPr>
              <w:pStyle w:val="Compact"/>
              <w:jc w:val="center"/>
            </w:pPr>
            <w:r>
              <w:t xml:space="preserve">Spec.</w:t>
            </w:r>
          </w:p>
        </w:tc>
      </w:tr>
      <w:tr>
        <w:tc>
          <w:tcPr/>
          <w:p>
            <w:pPr>
              <w:pStyle w:val="Compact"/>
              <w:jc w:val="left"/>
            </w:pPr>
            <w:r>
              <w:t xml:space="preserve">Ames</w:t>
            </w:r>
          </w:p>
        </w:tc>
        <w:tc>
          <w:tcPr/>
          <w:p>
            <w:pPr>
              <w:pStyle w:val="Compact"/>
              <w:jc w:val="left"/>
            </w:pPr>
            <w:r>
              <w:t xml:space="preserve">XGB</w:t>
            </w:r>
          </w:p>
        </w:tc>
        <w:tc>
          <w:tcPr/>
          <w:p>
            <w:pPr>
              <w:pStyle w:val="Compact"/>
              <w:jc w:val="left"/>
            </w:pPr>
            <w:r>
              <w:t xml:space="preserve">raw</w:t>
            </w:r>
          </w:p>
        </w:tc>
        <w:tc>
          <w:tcPr/>
          <w:p>
            <w:pPr>
              <w:pStyle w:val="Compact"/>
              <w:jc w:val="left"/>
            </w:pPr>
            <w:r>
              <w:t xml:space="preserve">FP-2048 (522)</w:t>
            </w:r>
          </w:p>
        </w:tc>
        <w:tc>
          <w:tcPr/>
          <w:p>
            <w:pPr>
              <w:pStyle w:val="Compact"/>
              <w:jc w:val="center"/>
            </w:pPr>
            <w:r>
              <w:t xml:space="preserve">0.555 [.522,.588]</w:t>
            </w:r>
          </w:p>
        </w:tc>
        <w:tc>
          <w:tcPr/>
          <w:p>
            <w:pPr>
              <w:pStyle w:val="Compact"/>
              <w:jc w:val="center"/>
            </w:pPr>
            <w:r>
              <w:t xml:space="preserve">0.850</w:t>
            </w:r>
          </w:p>
        </w:tc>
        <w:tc>
          <w:tcPr/>
          <w:p>
            <w:pPr>
              <w:pStyle w:val="Compact"/>
              <w:jc w:val="center"/>
            </w:pPr>
            <w:r>
              <w:t xml:space="preserve">0.765</w:t>
            </w:r>
          </w:p>
        </w:tc>
        <w:tc>
          <w:tcPr/>
          <w:p>
            <w:pPr>
              <w:pStyle w:val="Compact"/>
              <w:jc w:val="center"/>
            </w:pPr>
            <w:r>
              <w:t xml:space="preserve">0.756</w:t>
            </w:r>
          </w:p>
        </w:tc>
        <w:tc>
          <w:tcPr/>
          <w:p>
            <w:pPr>
              <w:pStyle w:val="Compact"/>
              <w:jc w:val="center"/>
            </w:pPr>
            <w:r>
              <w:t xml:space="preserve">0.822</w:t>
            </w:r>
          </w:p>
        </w:tc>
      </w:tr>
      <w:tr>
        <w:tc>
          <w:tcPr/>
          <w:p>
            <w:pPr>
              <w:pStyle w:val="Compact"/>
              <w:jc w:val="left"/>
            </w:pPr>
            <w:r>
              <w:t xml:space="preserve">In vitro</w:t>
            </w:r>
          </w:p>
        </w:tc>
        <w:tc>
          <w:tcPr/>
          <w:p>
            <w:pPr>
              <w:pStyle w:val="Compact"/>
              <w:jc w:val="left"/>
            </w:pPr>
            <w:r>
              <w:t xml:space="preserve">LGBM</w:t>
            </w:r>
          </w:p>
        </w:tc>
        <w:tc>
          <w:tcPr/>
          <w:p>
            <w:pPr>
              <w:pStyle w:val="Compact"/>
              <w:jc w:val="left"/>
            </w:pPr>
            <w:r>
              <w:t xml:space="preserve">salt_str.</w:t>
            </w:r>
          </w:p>
        </w:tc>
        <w:tc>
          <w:tcPr/>
          <w:p>
            <w:pPr>
              <w:pStyle w:val="Compact"/>
              <w:jc w:val="left"/>
            </w:pPr>
            <w:r>
              <w:t xml:space="preserve">FP-1024 (394)</w:t>
            </w:r>
          </w:p>
        </w:tc>
        <w:tc>
          <w:tcPr/>
          <w:p>
            <w:pPr>
              <w:pStyle w:val="Compact"/>
              <w:jc w:val="center"/>
            </w:pPr>
            <w:r>
              <w:t xml:space="preserve">0.297 [.131,.450]</w:t>
            </w:r>
          </w:p>
        </w:tc>
        <w:tc>
          <w:tcPr/>
          <w:p>
            <w:pPr>
              <w:pStyle w:val="Compact"/>
              <w:jc w:val="center"/>
            </w:pPr>
            <w:r>
              <w:t xml:space="preserve">0.665</w:t>
            </w:r>
          </w:p>
        </w:tc>
        <w:tc>
          <w:tcPr/>
          <w:p>
            <w:pPr>
              <w:pStyle w:val="Compact"/>
              <w:jc w:val="center"/>
            </w:pPr>
            <w:r>
              <w:t xml:space="preserve">0.278</w:t>
            </w:r>
          </w:p>
        </w:tc>
        <w:tc>
          <w:tcPr/>
          <w:p>
            <w:pPr>
              <w:pStyle w:val="Compact"/>
              <w:jc w:val="center"/>
            </w:pPr>
            <w:r>
              <w:t xml:space="preserve">0.349</w:t>
            </w:r>
          </w:p>
        </w:tc>
        <w:tc>
          <w:tcPr/>
          <w:p>
            <w:pPr>
              <w:pStyle w:val="Compact"/>
              <w:jc w:val="center"/>
            </w:pPr>
            <w:r>
              <w:t xml:space="preserve">0.929</w:t>
            </w:r>
          </w:p>
        </w:tc>
      </w:tr>
      <w:tr>
        <w:tc>
          <w:tcPr/>
          <w:p>
            <w:pPr>
              <w:pStyle w:val="Compact"/>
              <w:jc w:val="left"/>
            </w:pPr>
            <w:r>
              <w:t xml:space="preserve">In vivo</w:t>
            </w:r>
          </w:p>
        </w:tc>
        <w:tc>
          <w:tcPr/>
          <w:p>
            <w:pPr>
              <w:pStyle w:val="Compact"/>
              <w:jc w:val="left"/>
            </w:pPr>
            <w:r>
              <w:t xml:space="preserve">XGB</w:t>
            </w:r>
          </w:p>
        </w:tc>
        <w:tc>
          <w:tcPr/>
          <w:p>
            <w:pPr>
              <w:pStyle w:val="Compact"/>
              <w:jc w:val="left"/>
            </w:pPr>
            <w:r>
              <w:t xml:space="preserve">salt_str.</w:t>
            </w:r>
          </w:p>
        </w:tc>
        <w:tc>
          <w:tcPr/>
          <w:p>
            <w:pPr>
              <w:pStyle w:val="Compact"/>
              <w:jc w:val="left"/>
            </w:pPr>
            <w:r>
              <w:t xml:space="preserve">FP-512 (266)</w:t>
            </w:r>
          </w:p>
        </w:tc>
        <w:tc>
          <w:tcPr/>
          <w:p>
            <w:pPr>
              <w:pStyle w:val="Compact"/>
              <w:jc w:val="center"/>
            </w:pPr>
            <w:r>
              <w:t xml:space="preserve">0.311 [</w:t>
            </w:r>
            <m:oMath>
              <m:r>
                <m:rPr>
                  <m:sty m:val="p"/>
                </m:rPr>
                <m:t>−</m:t>
              </m:r>
            </m:oMath>
            <w:r>
              <w:t xml:space="preserve">.014,.571]</w:t>
            </w:r>
          </w:p>
        </w:tc>
        <w:tc>
          <w:tcPr/>
          <w:p>
            <w:pPr>
              <w:pStyle w:val="Compact"/>
              <w:jc w:val="center"/>
            </w:pPr>
            <w:r>
              <w:t xml:space="preserve">0.860</w:t>
            </w:r>
          </w:p>
        </w:tc>
        <w:tc>
          <w:tcPr/>
          <w:p>
            <w:pPr>
              <w:pStyle w:val="Compact"/>
              <w:jc w:val="center"/>
            </w:pPr>
            <w:r>
              <w:t xml:space="preserve">0.237</w:t>
            </w:r>
          </w:p>
        </w:tc>
        <w:tc>
          <w:tcPr/>
          <w:p>
            <w:pPr>
              <w:pStyle w:val="Compact"/>
              <w:jc w:val="center"/>
            </w:pPr>
            <w:r>
              <w:t xml:space="preserve">0.319</w:t>
            </w:r>
          </w:p>
        </w:tc>
        <w:tc>
          <w:tcPr/>
          <w:p>
            <w:pPr>
              <w:pStyle w:val="Compact"/>
              <w:jc w:val="center"/>
            </w:pPr>
            <w:r>
              <w:t xml:space="preserve">0.983</w:t>
            </w:r>
          </w:p>
        </w:tc>
      </w:tr>
    </w:tbl>
    <w:bookmarkEnd w:id="23"/>
    <w:p>
      <w:pPr>
        <w:pStyle w:val="BodyText"/>
      </w:pPr>
      <w:r>
        <w:t xml:space="preserve">PR-AUC baselines (prevalence): Ames 0.302,</w:t>
      </w:r>
      <w:r>
        <w:t xml:space="preserve"> </w:t>
      </w:r>
      <w:r>
        <w:rPr>
          <w:i/>
          <w:iCs/>
        </w:rPr>
        <w:t xml:space="preserve">in vitro</w:t>
      </w:r>
      <w:r>
        <w:t xml:space="preserve"> </w:t>
      </w:r>
      <w:r>
        <w:t xml:space="preserve">0.124,</w:t>
      </w:r>
      <w:r>
        <w:t xml:space="preserve"> </w:t>
      </w:r>
      <w:r>
        <w:rPr>
          <w:i/>
          <w:iCs/>
        </w:rPr>
        <w:t xml:space="preserve">in vivo</w:t>
      </w:r>
      <w:r>
        <w:t xml:space="preserve"> </w:t>
      </w:r>
      <w:r>
        <w:t xml:space="preserve">0.028.</w:t>
      </w:r>
    </w:p>
    <w:p>
      <w:pPr>
        <w:pStyle w:val="BodyText"/>
      </w:pPr>
      <w:r>
        <w:t xml:space="preserve">Under fixed features and preprocessing (compact, raw SMILES), all seven algorithms on Ames</w:t>
      </w:r>
      <w:r>
        <w:t xml:space="preserve"> </w:t>
      </w:r>
      <w:r>
        <w:t xml:space="preserve">spanned an MCC range of only 0.063 (Table </w:t>
      </w:r>
      <w:hyperlink w:anchor="tab:all_algorithms">
        <w:r>
          <w:rPr>
            <w:rStyle w:val="Hyperlink"/>
          </w:rPr>
          <w:t xml:space="preserve">3</w:t>
        </w:r>
      </w:hyperlink>
      <w:r>
        <w:t xml:space="preserve">,</w:t>
      </w:r>
      <w:r>
        <w:t xml:space="preserve"> </w:t>
      </w:r>
      <w:r>
        <w:t xml:space="preserve">Figure </w:t>
      </w:r>
      <w:hyperlink w:anchor="fig:model_comparison">
        <w:r>
          <w:rPr>
            <w:rStyle w:val="Hyperlink"/>
          </w:rPr>
          <w:t xml:space="preserve">2</w:t>
        </w:r>
      </w:hyperlink>
      <w:r>
        <w:t xml:space="preserve">); the five tabular models excluding LR spanned 0.023.</w:t>
      </w:r>
      <w:r>
        <w:t xml:space="preserve"> </w:t>
      </w:r>
      <w:r>
        <w:t xml:space="preserve">Pairwise McNemar tests</w:t>
      </w:r>
      <w:r>
        <w:t xml:space="preserve"> </w:t>
      </w:r>
      <w:r>
        <w:t xml:space="preserve">between the top two models found no significant</w:t>
      </w:r>
      <w:r>
        <w:t xml:space="preserve"> </w:t>
      </w:r>
      <w:r>
        <w:t xml:space="preserve">differences (Ames</w:t>
      </w:r>
      <w:r>
        <w:t xml:space="preserve"> </w:t>
      </w:r>
      <m:oMath>
        <m:r>
          <m:t>p</m:t>
        </m:r>
        <m:r>
          <m:rPr>
            <m:sty m:val="p"/>
          </m:rPr>
          <m:t>=</m:t>
        </m:r>
        <m:r>
          <m:t>0.39</m:t>
        </m:r>
      </m:oMath>
      <w:r>
        <w:t xml:space="preserve">;</w:t>
      </w:r>
      <w:r>
        <w:t xml:space="preserve"> </w:t>
      </w:r>
      <w:r>
        <w:rPr>
          <w:i/>
          <w:iCs/>
        </w:rPr>
        <w:t xml:space="preserve">in vivo</w:t>
      </w:r>
      <w:r>
        <w:t xml:space="preserve"> </w:t>
      </w:r>
      <m:oMath>
        <m:r>
          <m:t>p</m:t>
        </m:r>
        <m:r>
          <m:rPr>
            <m:sty m:val="p"/>
          </m:rPr>
          <m:t>=</m:t>
        </m:r>
        <m:r>
          <m:t>0.72</m:t>
        </m:r>
      </m:oMath>
      <w:r>
        <w:t xml:space="preserve">). This in-domain equivalence did not</w:t>
      </w:r>
      <w:r>
        <w:t xml:space="preserve"> </w:t>
      </w:r>
      <w:r>
        <w:t xml:space="preserve">extend to cross-source settings (see</w:t>
      </w:r>
      <w:r>
        <w:t xml:space="preserve"> </w:t>
      </w:r>
      <w:r>
        <w:rPr>
          <w:i/>
          <w:iCs/>
        </w:rPr>
        <w:t xml:space="preserve">Data Source Heterogeneity and Algorithm-Specific Robustness</w:t>
      </w:r>
      <w:r>
        <w:t xml:space="preserve">).</w:t>
      </w:r>
    </w:p>
    <w:p>
      <w:pPr>
        <w:pStyle w:val="BodyText"/>
      </w:pPr>
      <w:r>
        <w:t xml:space="preserve">The GCN underperformed</w:t>
      </w:r>
      <w:r>
        <w:t xml:space="preserve"> </w:t>
      </w:r>
      <w:r>
        <w:t xml:space="preserve">fingerprint-based approaches across endpoints (Ames mean MCC 0.402 vs. 0.507 for XGB),</w:t>
      </w:r>
      <w:r>
        <w:t xml:space="preserve"> </w:t>
      </w:r>
      <w:r>
        <w:t xml:space="preserve">consistent with prior reports that graph networks require considerably larger datasets to</w:t>
      </w:r>
      <w:r>
        <w:t xml:space="preserve"> </w:t>
      </w:r>
      <w:r>
        <w:t xml:space="preserve">outperform engineered features.</w:t>
      </w:r>
    </w:p>
    <w:bookmarkStart w:id="24" w:name="tab:all_algorithms"/>
    <w:p>
      <w:pPr>
        <w:pStyle w:val="TableCaption"/>
      </w:pPr>
      <w:r>
        <w:t xml:space="preserve">All-algorithm comparison (compact features, raw SMILES, Ames scaffold-split test).</w:t>
      </w:r>
      <w:r>
        <w:t xml:space="preserve"> </w:t>
      </w:r>
      <w:r>
        <w:t xml:space="preserve">Range across all 7 algorithms: 0.063; range excluding LR and GCN: 0.023.</w:t>
      </w:r>
    </w:p>
    <w:tbl>
      <w:tblPr>
        <w:tblStyle w:val="Table"/>
        <w:tblW w:type="auto" w:w="0"/>
        <w:tblLook w:firstRow="1" w:lastRow="0" w:firstColumn="0" w:lastColumn="0" w:noHBand="0" w:noVBand="0" w:val="0020"/>
        <w:tblCaption w:val="All-algorithm comparison (compact features, raw SMILES, Ames scaffold-split test). Range across all 7 algorithms: 0.063; range excluding LR and GCN: 0.023."/>
      </w:tblPr>
      <w:tblGrid>
        <w:gridCol w:w="2640"/>
        <w:gridCol w:w="2640"/>
        <w:gridCol w:w="2640"/>
      </w:tblGrid>
      <w:tr>
        <w:trPr>
          <w:tblHeader w:val="on"/>
        </w:trPr>
        <w:tc>
          <w:tcPr/>
          <w:p>
            <w:pPr>
              <w:pStyle w:val="Compact"/>
              <w:jc w:val="left"/>
            </w:pPr>
            <w:r>
              <w:t xml:space="preserve">Algorithm</w:t>
            </w:r>
          </w:p>
        </w:tc>
        <w:tc>
          <w:tcPr/>
          <w:p>
            <w:pPr>
              <w:pStyle w:val="Compact"/>
              <w:jc w:val="center"/>
            </w:pPr>
            <w:r>
              <w:t xml:space="preserve">MCC</w:t>
            </w:r>
          </w:p>
        </w:tc>
        <w:tc>
          <w:tcPr/>
          <w:p>
            <w:pPr>
              <w:pStyle w:val="Compact"/>
              <w:jc w:val="center"/>
            </w:pPr>
            <w:r>
              <w:t xml:space="preserve">ROC-AUC</w:t>
            </w:r>
          </w:p>
        </w:tc>
      </w:tr>
      <w:tr>
        <w:tc>
          <w:tcPr/>
          <w:p>
            <w:pPr>
              <w:pStyle w:val="Compact"/>
              <w:jc w:val="left"/>
            </w:pPr>
            <w:r>
              <w:t xml:space="preserve">RF</w:t>
            </w:r>
          </w:p>
        </w:tc>
        <w:tc>
          <w:tcPr/>
          <w:p>
            <w:pPr>
              <w:pStyle w:val="Compact"/>
              <w:jc w:val="center"/>
            </w:pPr>
            <w:r>
              <w:t xml:space="preserve">0.492</w:t>
            </w:r>
          </w:p>
        </w:tc>
        <w:tc>
          <w:tcPr/>
          <w:p>
            <w:pPr>
              <w:pStyle w:val="Compact"/>
              <w:jc w:val="center"/>
            </w:pPr>
            <w:r>
              <w:t xml:space="preserve">0.838</w:t>
            </w:r>
          </w:p>
        </w:tc>
      </w:tr>
      <w:tr>
        <w:tc>
          <w:tcPr/>
          <w:p>
            <w:pPr>
              <w:pStyle w:val="Compact"/>
              <w:jc w:val="left"/>
            </w:pPr>
            <w:r>
              <w:t xml:space="preserve">ANN (MLP)</w:t>
            </w:r>
          </w:p>
        </w:tc>
        <w:tc>
          <w:tcPr/>
          <w:p>
            <w:pPr>
              <w:pStyle w:val="Compact"/>
              <w:jc w:val="center"/>
            </w:pPr>
            <w:r>
              <w:t xml:space="preserve">0.489</w:t>
            </w:r>
          </w:p>
        </w:tc>
        <w:tc>
          <w:tcPr/>
          <w:p>
            <w:pPr>
              <w:pStyle w:val="Compact"/>
              <w:jc w:val="center"/>
            </w:pPr>
            <w:r>
              <w:t xml:space="preserve">0.834</w:t>
            </w:r>
          </w:p>
        </w:tc>
      </w:tr>
      <w:tr>
        <w:tc>
          <w:tcPr/>
          <w:p>
            <w:pPr>
              <w:pStyle w:val="Compact"/>
              <w:jc w:val="left"/>
            </w:pPr>
            <w:r>
              <w:t xml:space="preserve">LGBM</w:t>
            </w:r>
          </w:p>
        </w:tc>
        <w:tc>
          <w:tcPr/>
          <w:p>
            <w:pPr>
              <w:pStyle w:val="Compact"/>
              <w:jc w:val="center"/>
            </w:pPr>
            <w:r>
              <w:t xml:space="preserve">0.479</w:t>
            </w:r>
          </w:p>
        </w:tc>
        <w:tc>
          <w:tcPr/>
          <w:p>
            <w:pPr>
              <w:pStyle w:val="Compact"/>
              <w:jc w:val="center"/>
            </w:pPr>
            <w:r>
              <w:t xml:space="preserve">0.833</w:t>
            </w:r>
          </w:p>
        </w:tc>
      </w:tr>
      <w:tr>
        <w:tc>
          <w:tcPr/>
          <w:p>
            <w:pPr>
              <w:pStyle w:val="Compact"/>
              <w:jc w:val="left"/>
            </w:pPr>
            <w:r>
              <w:t xml:space="preserve">SVM (RBF)</w:t>
            </w:r>
          </w:p>
        </w:tc>
        <w:tc>
          <w:tcPr/>
          <w:p>
            <w:pPr>
              <w:pStyle w:val="Compact"/>
              <w:jc w:val="center"/>
            </w:pPr>
            <w:r>
              <w:t xml:space="preserve">0.470</w:t>
            </w:r>
          </w:p>
        </w:tc>
        <w:tc>
          <w:tcPr/>
          <w:p>
            <w:pPr>
              <w:pStyle w:val="Compact"/>
              <w:jc w:val="center"/>
            </w:pPr>
            <w:r>
              <w:t xml:space="preserve">0.832</w:t>
            </w:r>
          </w:p>
        </w:tc>
      </w:tr>
      <w:tr>
        <w:tc>
          <w:tcPr/>
          <w:p>
            <w:pPr>
              <w:pStyle w:val="Compact"/>
              <w:jc w:val="left"/>
            </w:pPr>
            <w:r>
              <w:t xml:space="preserve">XGB</w:t>
            </w:r>
          </w:p>
        </w:tc>
        <w:tc>
          <w:tcPr/>
          <w:p>
            <w:pPr>
              <w:pStyle w:val="Compact"/>
              <w:jc w:val="center"/>
            </w:pPr>
            <w:r>
              <w:t xml:space="preserve">0.470</w:t>
            </w:r>
          </w:p>
        </w:tc>
        <w:tc>
          <w:tcPr/>
          <w:p>
            <w:pPr>
              <w:pStyle w:val="Compact"/>
              <w:jc w:val="center"/>
            </w:pPr>
            <w:r>
              <w:t xml:space="preserve">0.825</w:t>
            </w:r>
          </w:p>
        </w:tc>
      </w:tr>
      <w:tr>
        <w:tc>
          <w:tcPr/>
          <w:p>
            <w:pPr>
              <w:pStyle w:val="Compact"/>
              <w:jc w:val="left"/>
            </w:pPr>
            <w:r>
              <w:t xml:space="preserve">GCN</w:t>
            </w:r>
          </w:p>
        </w:tc>
        <w:tc>
          <w:tcPr/>
          <w:p>
            <w:pPr>
              <w:pStyle w:val="Compact"/>
              <w:jc w:val="center"/>
            </w:pPr>
            <w:r>
              <w:t xml:space="preserve">0.445</w:t>
            </w:r>
          </w:p>
        </w:tc>
        <w:tc>
          <w:tcPr/>
          <w:p>
            <w:pPr>
              <w:pStyle w:val="Compact"/>
              <w:jc w:val="center"/>
            </w:pPr>
            <w:r>
              <w:t xml:space="preserve">0.815</w:t>
            </w:r>
          </w:p>
        </w:tc>
      </w:tr>
      <w:tr>
        <w:tc>
          <w:tcPr/>
          <w:p>
            <w:pPr>
              <w:pStyle w:val="Compact"/>
              <w:jc w:val="left"/>
            </w:pPr>
            <w:r>
              <w:t xml:space="preserve">LR</w:t>
            </w:r>
          </w:p>
        </w:tc>
        <w:tc>
          <w:tcPr/>
          <w:p>
            <w:pPr>
              <w:pStyle w:val="Compact"/>
              <w:jc w:val="center"/>
            </w:pPr>
            <w:r>
              <w:t xml:space="preserve">0.430</w:t>
            </w:r>
          </w:p>
        </w:tc>
        <w:tc>
          <w:tcPr/>
          <w:p>
            <w:pPr>
              <w:pStyle w:val="Compact"/>
              <w:jc w:val="center"/>
            </w:pPr>
            <w:r>
              <w:t xml:space="preserve">0.800</w:t>
            </w:r>
          </w:p>
        </w:tc>
      </w:tr>
    </w:tbl>
    <w:bookmarkEnd w:id="24"/>
    <w:bookmarkStart w:id="28" w:name="fig:model_comparison"/>
    <w:p>
      <w:pPr>
        <w:pStyle w:val="CaptionedFigure"/>
      </w:pPr>
      <w:r>
        <w:drawing>
          <wp:inline>
            <wp:extent cx="5334000" cy="2020660"/>
            <wp:effectExtent b="0" l="0" r="0" t="0"/>
            <wp:docPr descr="" title="" id="26" name="Picture"/>
            <a:graphic>
              <a:graphicData uri="http://schemas.openxmlformats.org/drawingml/2006/picture">
                <pic:pic>
                  <pic:nvPicPr>
                    <pic:cNvPr descr="figures/figure2_model_comparison.pdf" id="27" name="Picture"/>
                    <pic:cNvPicPr>
                      <a:picLocks noChangeArrowheads="1" noChangeAspect="1"/>
                    </pic:cNvPicPr>
                  </pic:nvPicPr>
                  <pic:blipFill>
                    <a:blip r:embed="rId25"/>
                    <a:stretch>
                      <a:fillRect/>
                    </a:stretch>
                  </pic:blipFill>
                  <pic:spPr bwMode="auto">
                    <a:xfrm>
                      <a:off x="0" y="0"/>
                      <a:ext cx="5334000" cy="2020660"/>
                    </a:xfrm>
                    <a:prstGeom prst="rect">
                      <a:avLst/>
                    </a:prstGeom>
                    <a:noFill/>
                    <a:ln w="9525">
                      <a:noFill/>
                      <a:headEnd/>
                      <a:tailEnd/>
                    </a:ln>
                  </pic:spPr>
                </pic:pic>
              </a:graphicData>
            </a:graphic>
          </wp:inline>
        </w:drawing>
      </w:r>
    </w:p>
    <w:p>
      <w:pPr>
        <w:pStyle w:val="ImageCaption"/>
      </w:pPr>
      <w:r>
        <w:t xml:space="preserve">Mean MCC (</w:t>
      </w:r>
      <m:oMath>
        <m:r>
          <m:rPr>
            <m:sty m:val="p"/>
          </m:rPr>
          <m:t>±</m:t>
        </m:r>
      </m:oMath>
      <w:r>
        <w:t xml:space="preserve">SD) by algorithm across all feature modes and preprocessing</w:t>
      </w:r>
      <w:r>
        <w:t xml:space="preserve"> </w:t>
      </w:r>
      <w:r>
        <w:t xml:space="preserve">scenarios, grouped by endpoint.</w:t>
      </w:r>
    </w:p>
    <w:bookmarkEnd w:id="28"/>
    <w:bookmarkEnd w:id="29"/>
    <w:bookmarkStart w:id="35" w:name="evaluation-cascade-1"/>
    <w:p>
      <w:pPr>
        <w:pStyle w:val="Heading2"/>
      </w:pPr>
      <w:r>
        <w:t xml:space="preserve">Evaluation Cascade</w:t>
      </w:r>
    </w:p>
    <w:p>
      <w:pPr>
        <w:pStyle w:val="FirstParagraph"/>
      </w:pPr>
      <w:r>
        <w:t xml:space="preserve">For Ames, random-split CV reached MCC =</w:t>
      </w:r>
      <w:r>
        <w:t xml:space="preserve"> </w:t>
      </w:r>
      <m:oMath>
        <m:r>
          <m:t>0.670</m:t>
        </m:r>
        <m:r>
          <m:rPr>
            <m:sty m:val="p"/>
          </m:rPr>
          <m:t>±</m:t>
        </m:r>
        <m:r>
          <m:t>0.010</m:t>
        </m:r>
      </m:oMath>
      <w:r>
        <w:t xml:space="preserve">, in line with published</w:t>
      </w:r>
      <w:r>
        <w:t xml:space="preserve"> </w:t>
      </w:r>
      <w:r>
        <w:t xml:space="preserve">benchmarks,</w:t>
      </w:r>
      <w:r>
        <w:t xml:space="preserve"> </w:t>
      </w:r>
      <w:r>
        <w:t xml:space="preserve">while scaffold-split CV fell to</w:t>
      </w:r>
      <w:r>
        <w:t xml:space="preserve"> </w:t>
      </w:r>
      <m:oMath>
        <m:r>
          <m:t>0.624</m:t>
        </m:r>
        <m:r>
          <m:rPr>
            <m:sty m:val="p"/>
          </m:rPr>
          <m:t>±</m:t>
        </m:r>
        <m:r>
          <m:t>0.049</m:t>
        </m:r>
      </m:oMath>
      <w:r>
        <w:t xml:space="preserve"> </w:t>
      </w:r>
      <w:r>
        <w:t xml:space="preserve">(</w:t>
      </w:r>
      <m:oMath>
        <m:r>
          <m:rPr>
            <m:sty m:val="p"/>
          </m:rPr>
          <m:t>Δ</m:t>
        </m:r>
        <m:r>
          <m:rPr>
            <m:sty m:val="p"/>
          </m:rPr>
          <m:t>=</m:t>
        </m:r>
        <m:r>
          <m:t>0.046</m:t>
        </m:r>
      </m:oMath>
      <w:r>
        <w:t xml:space="preserve">) and the held-out scaffold-based test set to 0.470</w:t>
      </w:r>
      <w:r>
        <w:t xml:space="preserve"> </w:t>
      </w:r>
      <w:r>
        <w:t xml:space="preserve">(Table </w:t>
      </w:r>
      <w:hyperlink w:anchor="tab:cascade">
        <w:r>
          <w:rPr>
            <w:rStyle w:val="Hyperlink"/>
          </w:rPr>
          <w:t xml:space="preserve">4</w:t>
        </w:r>
      </w:hyperlink>
      <w:r>
        <w:t xml:space="preserve">, Figure </w:t>
      </w:r>
      <w:hyperlink w:anchor="fig:cascade">
        <w:r>
          <w:rPr>
            <w:rStyle w:val="Hyperlink"/>
          </w:rPr>
          <w:t xml:space="preserve">3</w:t>
        </w:r>
      </w:hyperlink>
      <w:r>
        <w:t xml:space="preserve">). Cross-source LDO revealed a</w:t>
      </w:r>
      <w:r>
        <w:t xml:space="preserve"> </w:t>
      </w:r>
      <w:r>
        <w:t xml:space="preserve">markedly larger decline: drug</w:t>
      </w:r>
      <m:oMath>
        <m:r>
          <m:rPr>
            <m:sty m:val="p"/>
          </m:rPr>
          <m:t>→</m:t>
        </m:r>
      </m:oMath>
      <w:r>
        <w:t xml:space="preserve">industrial yielded MCC = 0.234 and</w:t>
      </w:r>
      <w:r>
        <w:t xml:space="preserve"> </w:t>
      </w:r>
      <w:r>
        <w:t xml:space="preserve">industrial</w:t>
      </w:r>
      <m:oMath>
        <m:r>
          <m:rPr>
            <m:sty m:val="p"/>
          </m:rPr>
          <m:t>→</m:t>
        </m:r>
      </m:oMath>
      <w:r>
        <w:t xml:space="preserve">drug yielded MCC = 0.122. The source heterogeneity gap (</w:t>
      </w:r>
      <m:oMath>
        <m:r>
          <m:rPr>
            <m:sty m:val="p"/>
          </m:rPr>
          <m:t>Δ</m:t>
        </m:r>
        <m:r>
          <m:rPr>
            <m:sty m:val="p"/>
          </m:rPr>
          <m:t>=</m:t>
        </m:r>
        <m:r>
          <m:t>0.390</m:t>
        </m:r>
      </m:oMath>
      <w:r>
        <w:t xml:space="preserve">)</w:t>
      </w:r>
      <w:r>
        <w:t xml:space="preserve"> </w:t>
      </w:r>
      <w:r>
        <w:t xml:space="preserve">was considerably larger than the split-method gap (</w:t>
      </w:r>
      <m:oMath>
        <m:r>
          <m:rPr>
            <m:sty m:val="p"/>
          </m:rPr>
          <m:t>Δ</m:t>
        </m:r>
        <m:r>
          <m:rPr>
            <m:sty m:val="p"/>
          </m:rPr>
          <m:t>=</m:t>
        </m:r>
        <m:r>
          <m:t>0.046</m:t>
        </m:r>
      </m:oMath>
      <w:r>
        <w:t xml:space="preserve">). The LDO values also</w:t>
      </w:r>
      <w:r>
        <w:t xml:space="preserve"> </w:t>
      </w:r>
      <w:r>
        <w:t xml:space="preserve">reflect differences in test set size and class distribution across directions, so</w:t>
      </w:r>
      <w:r>
        <w:t xml:space="preserve"> </w:t>
      </w:r>
      <m:oMath>
        <m:r>
          <m:rPr>
            <m:sty m:val="p"/>
          </m:rPr>
          <m:t>Δ</m:t>
        </m:r>
        <m:r>
          <m:rPr>
            <m:sty m:val="p"/>
          </m:rPr>
          <m:t>=</m:t>
        </m:r>
        <m:r>
          <m:t>0.390</m:t>
        </m:r>
      </m:oMath>
      <w:r>
        <w:t xml:space="preserve"> </w:t>
      </w:r>
      <w:r>
        <w:t xml:space="preserve">captures a combined effect rather than source heterogeneity alone—but</w:t>
      </w:r>
      <w:r>
        <w:t xml:space="preserve"> </w:t>
      </w:r>
      <w:r>
        <w:t xml:space="preserve">the relative magnitude of the two effects is unambiguous. For</w:t>
      </w:r>
      <w:r>
        <w:t xml:space="preserve"> </w:t>
      </w:r>
      <w:r>
        <w:rPr>
          <w:i/>
          <w:iCs/>
        </w:rPr>
        <w:t xml:space="preserve">in vitro</w:t>
      </w:r>
      <w:r>
        <w:t xml:space="preserve"> </w:t>
      </w:r>
      <w:r>
        <w:t xml:space="preserve">CA, random and</w:t>
      </w:r>
      <w:r>
        <w:t xml:space="preserve"> </w:t>
      </w:r>
      <w:r>
        <w:t xml:space="preserve">scaffold splits yielded nearly identical results (0.180 vs. 0.189); for</w:t>
      </w:r>
      <w:r>
        <w:t xml:space="preserve"> </w:t>
      </w:r>
      <w:r>
        <w:rPr>
          <w:i/>
          <w:iCs/>
        </w:rPr>
        <w:t xml:space="preserve">in vivo</w:t>
      </w:r>
      <w:r>
        <w:t xml:space="preserve"> </w:t>
      </w:r>
      <w:r>
        <w:t xml:space="preserve">MN, both</w:t>
      </w:r>
      <w:r>
        <w:t xml:space="preserve"> </w:t>
      </w:r>
      <w:r>
        <w:t xml:space="preserve">values were near chance level given their standard deviations.</w:t>
      </w:r>
    </w:p>
    <w:bookmarkStart w:id="30" w:name="tab:cascade"/>
    <w:p>
      <w:pPr>
        <w:pStyle w:val="TableCaption"/>
      </w:pPr>
      <w:r>
        <w:t xml:space="preserve">Evaluation cascade (fixed configuration: XGBoost, compact features, raw SMILES).</w:t>
      </w:r>
      <w:r>
        <w:t xml:space="preserve"> </w:t>
      </w:r>
      <w:r>
        <w:t xml:space="preserve">Level 2: mean</w:t>
      </w:r>
      <w:r>
        <w:t xml:space="preserve"> </w:t>
      </w:r>
      <m:oMath>
        <m:r>
          <m:rPr>
            <m:sty m:val="p"/>
          </m:rPr>
          <m:t>±</m:t>
        </m:r>
      </m:oMath>
      <w:r>
        <w:t xml:space="preserve"> </w:t>
      </w:r>
      <w:r>
        <w:t xml:space="preserve">SD (25 folds). Level 1: MCC [95% bootstrap CI]. Level 3: Ames only.</w:t>
      </w:r>
    </w:p>
    <w:tbl>
      <w:tblPr>
        <w:tblStyle w:val="Table"/>
        <w:tblW w:type="auto" w:w="0"/>
        <w:tblLook w:firstRow="1" w:lastRow="0" w:firstColumn="0" w:lastColumn="0" w:noHBand="0" w:noVBand="0" w:val="0020"/>
        <w:tblCaption w:val="Evaluation cascade (fixed configuration: XGBoost, compact features, raw SMILES). Level 2: mean \pm SD (25 folds). Level 1: MCC [95% bootstrap CI]. Level 3: Ames only."/>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left"/>
            </w:pPr>
            <w:r>
              <w:t xml:space="preserve">Evaluation method</w:t>
            </w:r>
          </w:p>
        </w:tc>
        <w:tc>
          <w:tcPr/>
          <w:p>
            <w:pPr>
              <w:pStyle w:val="Compact"/>
              <w:jc w:val="center"/>
            </w:pPr>
            <w:r>
              <w:t xml:space="preserve">Ames MCC</w:t>
            </w:r>
          </w:p>
        </w:tc>
        <w:tc>
          <w:tcPr/>
          <w:p>
            <w:pPr>
              <w:pStyle w:val="Compact"/>
              <w:jc w:val="center"/>
            </w:pPr>
            <w:r>
              <w:t xml:space="preserve">In vitro MCC</w:t>
            </w:r>
          </w:p>
        </w:tc>
        <w:tc>
          <w:tcPr/>
          <w:p>
            <w:pPr>
              <w:pStyle w:val="Compact"/>
              <w:jc w:val="center"/>
            </w:pPr>
            <w:r>
              <w:t xml:space="preserve">In vivo MCC</w:t>
            </w:r>
          </w:p>
        </w:tc>
      </w:tr>
      <w:tr>
        <w:tc>
          <w:tcPr/>
          <w:p>
            <w:pPr>
              <w:pStyle w:val="Compact"/>
              <w:jc w:val="left"/>
            </w:pPr>
            <w:r>
              <w:t xml:space="preserve">2a</w:t>
            </w:r>
          </w:p>
        </w:tc>
        <w:tc>
          <w:tcPr/>
          <w:p>
            <w:pPr>
              <w:pStyle w:val="Compact"/>
              <w:jc w:val="left"/>
            </w:pPr>
            <w:r>
              <w:t xml:space="preserve">Random-split</w:t>
            </w:r>
            <w:r>
              <w:t xml:space="preserve"> </w:t>
            </w:r>
            <m:oMath>
              <m:r>
                <m:t>5</m:t>
              </m:r>
              <m:r>
                <m:t>​</m:t>
              </m:r>
              <m:r>
                <m:rPr>
                  <m:sty m:val="p"/>
                </m:rPr>
                <m:t>×</m:t>
              </m:r>
              <m:r>
                <m:t>​</m:t>
              </m:r>
              <m:r>
                <m:t>5</m:t>
              </m:r>
            </m:oMath>
            <w:r>
              <w:t xml:space="preserve"> </w:t>
            </w:r>
            <w:r>
              <w:t xml:space="preserve">CV</w:t>
            </w:r>
          </w:p>
        </w:tc>
        <w:tc>
          <w:tcPr/>
          <w:p>
            <w:pPr>
              <w:pStyle w:val="Compact"/>
              <w:jc w:val="center"/>
            </w:pPr>
            <m:oMath>
              <m:r>
                <m:t>0.670</m:t>
              </m:r>
              <m:r>
                <m:rPr>
                  <m:sty m:val="p"/>
                </m:rPr>
                <m:t>±</m:t>
              </m:r>
              <m:r>
                <m:t>0.010</m:t>
              </m:r>
            </m:oMath>
          </w:p>
        </w:tc>
        <w:tc>
          <w:tcPr/>
          <w:p>
            <w:pPr>
              <w:pStyle w:val="Compact"/>
              <w:jc w:val="center"/>
            </w:pPr>
            <m:oMath>
              <m:r>
                <m:t>0.180</m:t>
              </m:r>
              <m:r>
                <m:rPr>
                  <m:sty m:val="p"/>
                </m:rPr>
                <m:t>±</m:t>
              </m:r>
              <m:r>
                <m:t>0.053</m:t>
              </m:r>
            </m:oMath>
          </w:p>
        </w:tc>
        <w:tc>
          <w:tcPr/>
          <w:p>
            <w:pPr>
              <w:pStyle w:val="Compact"/>
              <w:jc w:val="center"/>
            </w:pPr>
            <m:oMath>
              <m:r>
                <m:t>0.181</m:t>
              </m:r>
              <m:r>
                <m:rPr>
                  <m:sty m:val="p"/>
                </m:rPr>
                <m:t>±</m:t>
              </m:r>
              <m:r>
                <m:t>0.094</m:t>
              </m:r>
            </m:oMath>
          </w:p>
        </w:tc>
      </w:tr>
      <w:tr>
        <w:tc>
          <w:tcPr/>
          <w:p>
            <w:pPr>
              <w:pStyle w:val="Compact"/>
              <w:jc w:val="left"/>
            </w:pPr>
            <w:r>
              <w:t xml:space="preserve">2b</w:t>
            </w:r>
          </w:p>
        </w:tc>
        <w:tc>
          <w:tcPr/>
          <w:p>
            <w:pPr>
              <w:pStyle w:val="Compact"/>
              <w:jc w:val="left"/>
            </w:pPr>
            <w:r>
              <w:t xml:space="preserve">Scaffold-split</w:t>
            </w:r>
            <w:r>
              <w:t xml:space="preserve"> </w:t>
            </w:r>
            <m:oMath>
              <m:r>
                <m:t>5</m:t>
              </m:r>
              <m:r>
                <m:t>​</m:t>
              </m:r>
              <m:r>
                <m:rPr>
                  <m:sty m:val="p"/>
                </m:rPr>
                <m:t>×</m:t>
              </m:r>
              <m:r>
                <m:t>​</m:t>
              </m:r>
              <m:r>
                <m:t>5</m:t>
              </m:r>
            </m:oMath>
            <w:r>
              <w:t xml:space="preserve"> </w:t>
            </w:r>
            <w:r>
              <w:t xml:space="preserve">CV</w:t>
            </w:r>
          </w:p>
        </w:tc>
        <w:tc>
          <w:tcPr/>
          <w:p>
            <w:pPr>
              <w:pStyle w:val="Compact"/>
              <w:jc w:val="center"/>
            </w:pPr>
            <m:oMath>
              <m:r>
                <m:t>0.624</m:t>
              </m:r>
              <m:r>
                <m:rPr>
                  <m:sty m:val="p"/>
                </m:rPr>
                <m:t>±</m:t>
              </m:r>
              <m:r>
                <m:t>0.049</m:t>
              </m:r>
            </m:oMath>
          </w:p>
        </w:tc>
        <w:tc>
          <w:tcPr/>
          <w:p>
            <w:pPr>
              <w:pStyle w:val="Compact"/>
              <w:jc w:val="center"/>
            </w:pPr>
            <m:oMath>
              <m:r>
                <m:t>0.189</m:t>
              </m:r>
              <m:r>
                <m:rPr>
                  <m:sty m:val="p"/>
                </m:rPr>
                <m:t>±</m:t>
              </m:r>
              <m:r>
                <m:t>0.084</m:t>
              </m:r>
            </m:oMath>
          </w:p>
        </w:tc>
        <w:tc>
          <w:tcPr/>
          <w:p>
            <w:pPr>
              <w:pStyle w:val="Compact"/>
              <w:jc w:val="center"/>
            </w:pPr>
            <m:oMath>
              <m:r>
                <m:t>0.104</m:t>
              </m:r>
              <m:r>
                <m:rPr>
                  <m:sty m:val="p"/>
                </m:rPr>
                <m:t>±</m:t>
              </m:r>
              <m:r>
                <m:t>0.111</m:t>
              </m:r>
            </m:oMath>
          </w:p>
        </w:tc>
      </w:tr>
      <w:tr>
        <w:tc>
          <w:tcPr/>
          <w:p>
            <w:pPr>
              <w:pStyle w:val="Compact"/>
              <w:jc w:val="left"/>
            </w:pPr>
            <w:r>
              <w:t xml:space="preserve">1</w:t>
            </w:r>
          </w:p>
        </w:tc>
        <w:tc>
          <w:tcPr/>
          <w:p>
            <w:pPr>
              <w:pStyle w:val="Compact"/>
              <w:jc w:val="left"/>
            </w:pPr>
            <w:r>
              <w:t xml:space="preserve">Scaffold-split test</w:t>
            </w:r>
          </w:p>
        </w:tc>
        <w:tc>
          <w:tcPr/>
          <w:p>
            <w:pPr>
              <w:pStyle w:val="Compact"/>
              <w:jc w:val="center"/>
            </w:pPr>
            <w:r>
              <w:t xml:space="preserve">0.470 [.434,.502]</w:t>
            </w:r>
          </w:p>
        </w:tc>
        <w:tc>
          <w:tcPr/>
          <w:p>
            <w:pPr>
              <w:pStyle w:val="Compact"/>
              <w:jc w:val="center"/>
            </w:pPr>
            <w:r>
              <w:t xml:space="preserve">0.114 [</w:t>
            </w:r>
            <m:oMath>
              <m:r>
                <m:rPr>
                  <m:sty m:val="p"/>
                </m:rPr>
                <m:t>−</m:t>
              </m:r>
            </m:oMath>
            <w:r>
              <w:t xml:space="preserve">.023,.270]</w:t>
            </w:r>
          </w:p>
        </w:tc>
        <w:tc>
          <w:tcPr/>
          <w:p>
            <w:pPr>
              <w:pStyle w:val="Compact"/>
              <w:jc w:val="center"/>
            </w:pPr>
            <w:r>
              <w:t xml:space="preserve">0.071 [</w:t>
            </w:r>
            <m:oMath>
              <m:r>
                <m:rPr>
                  <m:sty m:val="p"/>
                </m:rPr>
                <m:t>−</m:t>
              </m:r>
            </m:oMath>
            <w:r>
              <w:t xml:space="preserve">.029,.285]</w:t>
            </w:r>
          </w:p>
        </w:tc>
      </w:tr>
      <w:tr>
        <w:tc>
          <w:tcPr/>
          <w:p>
            <w:pPr>
              <w:pStyle w:val="Compact"/>
              <w:jc w:val="left"/>
            </w:pPr>
            <w:r>
              <w:t xml:space="preserve">3a</w:t>
            </w:r>
          </w:p>
        </w:tc>
        <w:tc>
          <w:tcPr/>
          <w:p>
            <w:pPr>
              <w:pStyle w:val="Compact"/>
              <w:jc w:val="left"/>
            </w:pPr>
            <w:r>
              <w:t xml:space="preserve">LDO: drug</w:t>
            </w:r>
            <w:r>
              <w:t xml:space="preserve"> </w:t>
            </w:r>
            <m:oMath>
              <m:r>
                <m:rPr>
                  <m:sty m:val="p"/>
                </m:rPr>
                <m:t>→</m:t>
              </m:r>
            </m:oMath>
            <w:r>
              <w:t xml:space="preserve"> </w:t>
            </w:r>
            <w:r>
              <w:t xml:space="preserve">industrial</w:t>
            </w:r>
          </w:p>
        </w:tc>
        <w:tc>
          <w:tcPr/>
          <w:p>
            <w:pPr>
              <w:pStyle w:val="Compact"/>
              <w:jc w:val="center"/>
            </w:pPr>
            <w:r>
              <w:t xml:space="preserve">0.234</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3b</w:t>
            </w:r>
          </w:p>
        </w:tc>
        <w:tc>
          <w:tcPr/>
          <w:p>
            <w:pPr>
              <w:pStyle w:val="Compact"/>
              <w:jc w:val="left"/>
            </w:pPr>
            <w:r>
              <w:t xml:space="preserve">LDO: industrial</w:t>
            </w:r>
            <w:r>
              <w:t xml:space="preserve"> </w:t>
            </w:r>
            <m:oMath>
              <m:r>
                <m:rPr>
                  <m:sty m:val="p"/>
                </m:rPr>
                <m:t>→</m:t>
              </m:r>
            </m:oMath>
            <w:r>
              <w:t xml:space="preserve"> </w:t>
            </w:r>
            <w:r>
              <w:t xml:space="preserve">drug</w:t>
            </w:r>
          </w:p>
        </w:tc>
        <w:tc>
          <w:tcPr/>
          <w:p>
            <w:pPr>
              <w:pStyle w:val="Compact"/>
              <w:jc w:val="center"/>
            </w:pPr>
            <w:r>
              <w:t xml:space="preserve">0.122</w:t>
            </w:r>
          </w:p>
        </w:tc>
        <w:tc>
          <w:tcPr/>
          <w:p>
            <w:pPr>
              <w:pStyle w:val="Compact"/>
              <w:jc w:val="center"/>
            </w:pPr>
            <w:r>
              <w:t xml:space="preserve">—</w:t>
            </w:r>
          </w:p>
        </w:tc>
        <w:tc>
          <w:tcPr/>
          <w:p>
            <w:pPr>
              <w:pStyle w:val="Compact"/>
              <w:jc w:val="center"/>
            </w:pPr>
            <w:r>
              <w:t xml:space="preserve">—</w:t>
            </w:r>
          </w:p>
        </w:tc>
      </w:tr>
    </w:tbl>
    <w:bookmarkEnd w:id="30"/>
    <w:bookmarkStart w:id="34" w:name="fig:cascade"/>
    <w:p>
      <w:pPr>
        <w:pStyle w:val="CaptionedFigure"/>
      </w:pPr>
      <w:r>
        <w:drawing>
          <wp:inline>
            <wp:extent cx="4533900" cy="2550318"/>
            <wp:effectExtent b="0" l="0" r="0" t="0"/>
            <wp:docPr descr="" title="" id="32" name="Picture"/>
            <a:graphic>
              <a:graphicData uri="http://schemas.openxmlformats.org/drawingml/2006/picture">
                <pic:pic>
                  <pic:nvPicPr>
                    <pic:cNvPr descr="figures/figure3_cascade.pdf" id="33" name="Picture"/>
                    <pic:cNvPicPr>
                      <a:picLocks noChangeArrowheads="1" noChangeAspect="1"/>
                    </pic:cNvPicPr>
                  </pic:nvPicPr>
                  <pic:blipFill>
                    <a:blip r:embed="rId31"/>
                    <a:stretch>
                      <a:fillRect/>
                    </a:stretch>
                  </pic:blipFill>
                  <pic:spPr bwMode="auto">
                    <a:xfrm>
                      <a:off x="0" y="0"/>
                      <a:ext cx="4533900" cy="2550318"/>
                    </a:xfrm>
                    <a:prstGeom prst="rect">
                      <a:avLst/>
                    </a:prstGeom>
                    <a:noFill/>
                    <a:ln w="9525">
                      <a:noFill/>
                      <a:headEnd/>
                      <a:tailEnd/>
                    </a:ln>
                  </pic:spPr>
                </pic:pic>
              </a:graphicData>
            </a:graphic>
          </wp:inline>
        </w:drawing>
      </w:r>
    </w:p>
    <w:p>
      <w:pPr>
        <w:pStyle w:val="ImageCaption"/>
      </w:pPr>
      <w:r>
        <w:t xml:space="preserve">Evaluation cascade for Ames mutagenicity (fixed configuration). The data source</w:t>
      </w:r>
      <w:r>
        <w:t xml:space="preserve"> </w:t>
      </w:r>
      <w:r>
        <w:t xml:space="preserve">heterogeneity effect (</w:t>
      </w:r>
      <m:oMath>
        <m:r>
          <m:rPr>
            <m:sty m:val="p"/>
          </m:rPr>
          <m:t>Δ</m:t>
        </m:r>
        <m:r>
          <m:rPr>
            <m:sty m:val="p"/>
          </m:rPr>
          <m:t>=</m:t>
        </m:r>
        <m:r>
          <m:t>0.390</m:t>
        </m:r>
      </m:oMath>
      <w:r>
        <w:t xml:space="preserve">) clearly exceeds the split-method effect</w:t>
      </w:r>
      <w:r>
        <w:t xml:space="preserve"> </w:t>
      </w:r>
      <w:r>
        <w:t xml:space="preserve">(</w:t>
      </w:r>
      <m:oMath>
        <m:r>
          <m:rPr>
            <m:sty m:val="p"/>
          </m:rPr>
          <m:t>Δ</m:t>
        </m:r>
        <m:r>
          <m:rPr>
            <m:sty m:val="p"/>
          </m:rPr>
          <m:t>=</m:t>
        </m:r>
        <m:r>
          <m:t>0.046</m:t>
        </m:r>
      </m:oMath>
      <w:r>
        <w:t xml:space="preserve">).</w:t>
      </w:r>
    </w:p>
    <w:bookmarkEnd w:id="34"/>
    <w:bookmarkEnd w:id="35"/>
    <w:bookmarkStart w:id="41" w:name="sec:domain"/>
    <w:p>
      <w:pPr>
        <w:pStyle w:val="Heading2"/>
      </w:pPr>
      <w:r>
        <w:t xml:space="preserve">Data Source Heterogeneity and Algorithm-Specific Robustness</w:t>
      </w:r>
    </w:p>
    <w:p>
      <w:pPr>
        <w:pStyle w:val="FirstParagraph"/>
      </w:pPr>
      <w:r>
        <w:t xml:space="preserve">Drug-sourced compounds (</w:t>
      </w:r>
      <m:oMath>
        <m:r>
          <m:t>n</m:t>
        </m:r>
        <m:r>
          <m:rPr>
            <m:sty m:val="p"/>
          </m:rPr>
          <m:t>=</m:t>
        </m:r>
        <m:r>
          <m:t>6</m:t>
        </m:r>
        <m:r>
          <m:rPr>
            <m:sty m:val="p"/>
          </m:rPr>
          <m:t>,</m:t>
        </m:r>
        <m:r>
          <m:t>416</m:t>
        </m:r>
      </m:oMath>
      <w:r>
        <w:t xml:space="preserve">, positive rate 58.3%) and industrial-sourced</w:t>
      </w:r>
      <w:r>
        <w:t xml:space="preserve"> </w:t>
      </w:r>
      <w:r>
        <w:t xml:space="preserve">compounds (</w:t>
      </w:r>
      <m:oMath>
        <m:r>
          <m:t>n</m:t>
        </m:r>
        <m:r>
          <m:rPr>
            <m:sty m:val="p"/>
          </m:rPr>
          <m:t>=</m:t>
        </m:r>
        <m:r>
          <m:t>7</m:t>
        </m:r>
        <m:r>
          <m:rPr>
            <m:sty m:val="p"/>
          </m:rPr>
          <m:t>,</m:t>
        </m:r>
        <m:r>
          <m:t>144</m:t>
        </m:r>
      </m:oMath>
      <w:r>
        <w:t xml:space="preserve">, positive rate 3.0%) differed by a factor of 19.5 in</w:t>
      </w:r>
      <w:r>
        <w:t xml:space="preserve"> </w:t>
      </w:r>
      <w:r>
        <w:t xml:space="preserve">mutagenicity prevalence (Figure </w:t>
      </w:r>
      <w:hyperlink w:anchor="fig:domain">
        <w:r>
          <w:rPr>
            <w:rStyle w:val="Hyperlink"/>
          </w:rPr>
          <w:t xml:space="preserve">4</w:t>
        </w:r>
      </w:hyperlink>
      <w:r>
        <w:t xml:space="preserve">). A naive classifier predicting positive</w:t>
      </w:r>
      <w:r>
        <w:t xml:space="preserve"> </w:t>
      </w:r>
      <w:r>
        <w:t xml:space="preserve">for drug-sourced and negative for industrial-sourced compounds achieved MCC = 0.608 and</w:t>
      </w:r>
      <w:r>
        <w:t xml:space="preserve"> </w:t>
      </w:r>
      <w:r>
        <w:t xml:space="preserve">balanced accuracy = 0.834 without any structural information—approaching the random-split</w:t>
      </w:r>
      <w:r>
        <w:t xml:space="preserve"> </w:t>
      </w:r>
      <w:r>
        <w:t xml:space="preserve">CV MCC of 0.670.</w:t>
      </w:r>
    </w:p>
    <w:p>
      <w:pPr>
        <w:pStyle w:val="BodyText"/>
      </w:pPr>
      <w:r>
        <w:t xml:space="preserve">Comparing three algorithms under LDO (Table </w:t>
      </w:r>
      <w:hyperlink w:anchor="tab:ldo">
        <w:r>
          <w:rPr>
            <w:rStyle w:val="Hyperlink"/>
          </w:rPr>
          <w:t xml:space="preserve">5</w:t>
        </w:r>
      </w:hyperlink>
      <w:r>
        <w:t xml:space="preserve">) revealed two distinct patterns.</w:t>
      </w:r>
      <w:r>
        <w:t xml:space="preserve"> </w:t>
      </w:r>
      <w:r>
        <w:t xml:space="preserve">Drug</w:t>
      </w:r>
      <m:oMath>
        <m:r>
          <m:rPr>
            <m:sty m:val="p"/>
          </m:rPr>
          <m:t>→</m:t>
        </m:r>
      </m:oMath>
      <w:r>
        <w:t xml:space="preserve">industrial generalization was consistent across all algorithms (MCC 0.232–0.235).</w:t>
      </w:r>
      <w:r>
        <w:t xml:space="preserve"> </w:t>
      </w:r>
      <w:r>
        <w:t xml:space="preserve">The industrial</w:t>
      </w:r>
      <m:oMath>
        <m:r>
          <m:rPr>
            <m:sty m:val="p"/>
          </m:rPr>
          <m:t>→</m:t>
        </m:r>
      </m:oMath>
      <w:r>
        <w:t xml:space="preserve">drug direction exposed sharp differences: XGB reached only MCC = 0.122</w:t>
      </w:r>
      <w:r>
        <w:t xml:space="preserve"> </w:t>
      </w:r>
      <w:r>
        <w:t xml:space="preserve">(sensitivity 0.062) and LGBM 0.134, while RF maintained MCC = 0.325 (sensitivity 0.466). We hypothesize</w:t>
      </w:r>
      <w:r>
        <w:t xml:space="preserve"> </w:t>
      </w:r>
      <w:r>
        <w:t xml:space="preserve">that RF’s better cross-source robustness may reflect random feature subsampling at each</w:t>
      </w:r>
      <w:r>
        <w:t xml:space="preserve"> </w:t>
      </w:r>
      <w:r>
        <w:t xml:space="preserve">split (random subspace method),</w:t>
      </w:r>
      <w:r>
        <w:t xml:space="preserve"> </w:t>
      </w:r>
      <w:r>
        <w:t xml:space="preserve">which reduces reliance on</w:t>
      </w:r>
      <w:r>
        <w:t xml:space="preserve"> </w:t>
      </w:r>
      <w:r>
        <w:t xml:space="preserve">source-correlated feature subsets.</w:t>
      </w:r>
    </w:p>
    <w:bookmarkStart w:id="36" w:name="tab:ldo"/>
    <w:p>
      <w:pPr>
        <w:pStyle w:val="TableCaption"/>
      </w:pPr>
      <w:r>
        <w:t xml:space="preserve">Leave-domain-out results by algorithm (Ames). Drug:</w:t>
      </w:r>
      <w:r>
        <w:t xml:space="preserve"> </w:t>
      </w:r>
      <m:oMath>
        <m:r>
          <m:t>n</m:t>
        </m:r>
        <m:r>
          <m:rPr>
            <m:sty m:val="p"/>
          </m:rPr>
          <m:t>=</m:t>
        </m:r>
        <m:r>
          <m:t>6</m:t>
        </m:r>
        <m:r>
          <m:rPr>
            <m:sty m:val="p"/>
          </m:rPr>
          <m:t>,</m:t>
        </m:r>
        <m:r>
          <m:t>416</m:t>
        </m:r>
      </m:oMath>
      <w:r>
        <w:t xml:space="preserve">, pos. rate</w:t>
      </w:r>
      <w:r>
        <w:t xml:space="preserve"> </w:t>
      </w:r>
      <w:r>
        <w:t xml:space="preserve">58.3%. Industrial:</w:t>
      </w:r>
      <w:r>
        <w:t xml:space="preserve"> </w:t>
      </w:r>
      <m:oMath>
        <m:r>
          <m:t>n</m:t>
        </m:r>
        <m:r>
          <m:rPr>
            <m:sty m:val="p"/>
          </m:rPr>
          <m:t>=</m:t>
        </m:r>
        <m:r>
          <m:t>7</m:t>
        </m:r>
        <m:r>
          <m:rPr>
            <m:sty m:val="p"/>
          </m:rPr>
          <m:t>,</m:t>
        </m:r>
        <m:r>
          <m:t>144</m:t>
        </m:r>
      </m:oMath>
      <w:r>
        <w:t xml:space="preserve">, pos. rate 3.0%. Naive source classifier: MCC = 0.608.</w:t>
      </w:r>
    </w:p>
    <w:tbl>
      <w:tblPr>
        <w:tblStyle w:val="Table"/>
        <w:tblW w:type="auto" w:w="0"/>
        <w:tblLook w:firstRow="1" w:lastRow="0" w:firstColumn="0" w:lastColumn="0" w:noHBand="0" w:noVBand="0" w:val="0020"/>
        <w:tblCaption w:val="Leave-domain-out results by algorithm (Ames). Drug: n = 6{,}416, pos. rate 58.3%. Industrial: n = 7{,}144, pos. rate 3.0%. Naive source classifier: MCC = 0.608."/>
      </w:tblPr>
      <w:tblGrid>
        <w:gridCol w:w="1980"/>
        <w:gridCol w:w="1980"/>
        <w:gridCol w:w="1980"/>
        <w:gridCol w:w="1980"/>
      </w:tblGrid>
      <w:tr>
        <w:trPr>
          <w:tblHeader w:val="on"/>
        </w:trPr>
        <w:tc>
          <w:tcPr/>
          <w:p>
            <w:pPr>
              <w:pStyle w:val="Compact"/>
              <w:jc w:val="left"/>
            </w:pPr>
            <w:r>
              <w:t xml:space="preserve">Algorithm</w:t>
            </w:r>
          </w:p>
        </w:tc>
        <w:tc>
          <w:tcPr/>
          <w:p>
            <w:pPr>
              <w:pStyle w:val="Compact"/>
              <w:jc w:val="center"/>
            </w:pPr>
            <w:r>
              <w:t xml:space="preserve">Drug</w:t>
            </w:r>
            <w:r>
              <w:t xml:space="preserve"> </w:t>
            </w:r>
            <m:oMath>
              <m:r>
                <m:rPr>
                  <m:sty m:val="p"/>
                </m:rPr>
                <m:t>→</m:t>
              </m:r>
            </m:oMath>
            <w:r>
              <w:t xml:space="preserve"> </w:t>
            </w:r>
            <w:r>
              <w:t xml:space="preserve">Ind. MCC</w:t>
            </w:r>
          </w:p>
        </w:tc>
        <w:tc>
          <w:tcPr/>
          <w:p>
            <w:pPr>
              <w:pStyle w:val="Compact"/>
              <w:jc w:val="center"/>
            </w:pPr>
            <w:r>
              <w:t xml:space="preserve">Ind. </w:t>
            </w:r>
            <m:oMath>
              <m:r>
                <m:rPr>
                  <m:sty m:val="p"/>
                </m:rPr>
                <m:t>→</m:t>
              </m:r>
            </m:oMath>
            <w:r>
              <w:t xml:space="preserve"> </w:t>
            </w:r>
            <w:r>
              <w:t xml:space="preserve">Drug MCC</w:t>
            </w:r>
          </w:p>
        </w:tc>
        <w:tc>
          <w:tcPr/>
          <w:p>
            <w:pPr>
              <w:pStyle w:val="Compact"/>
              <w:jc w:val="center"/>
            </w:pPr>
            <w:r>
              <w:t xml:space="preserve">Ind. </w:t>
            </w:r>
            <m:oMath>
              <m:r>
                <m:rPr>
                  <m:sty m:val="p"/>
                </m:rPr>
                <m:t>→</m:t>
              </m:r>
            </m:oMath>
            <w:r>
              <w:t xml:space="preserve"> </w:t>
            </w:r>
            <w:r>
              <w:t xml:space="preserve">Drug Sens.</w:t>
            </w:r>
          </w:p>
        </w:tc>
      </w:tr>
      <w:tr>
        <w:tc>
          <w:tcPr/>
          <w:p>
            <w:pPr>
              <w:pStyle w:val="Compact"/>
              <w:jc w:val="left"/>
            </w:pPr>
            <w:r>
              <w:t xml:space="preserve">XGB</w:t>
            </w:r>
          </w:p>
        </w:tc>
        <w:tc>
          <w:tcPr/>
          <w:p>
            <w:pPr>
              <w:pStyle w:val="Compact"/>
              <w:jc w:val="center"/>
            </w:pPr>
            <w:r>
              <w:t xml:space="preserve">0.234</w:t>
            </w:r>
          </w:p>
        </w:tc>
        <w:tc>
          <w:tcPr/>
          <w:p>
            <w:pPr>
              <w:pStyle w:val="Compact"/>
              <w:jc w:val="center"/>
            </w:pPr>
            <w:r>
              <w:t xml:space="preserve">0.122</w:t>
            </w:r>
          </w:p>
        </w:tc>
        <w:tc>
          <w:tcPr/>
          <w:p>
            <w:pPr>
              <w:pStyle w:val="Compact"/>
              <w:jc w:val="center"/>
            </w:pPr>
            <w:r>
              <w:t xml:space="preserve">0.062</w:t>
            </w:r>
          </w:p>
        </w:tc>
      </w:tr>
      <w:tr>
        <w:tc>
          <w:tcPr/>
          <w:p>
            <w:pPr>
              <w:pStyle w:val="Compact"/>
              <w:jc w:val="left"/>
            </w:pPr>
            <w:r>
              <w:t xml:space="preserve">LGBM</w:t>
            </w:r>
          </w:p>
        </w:tc>
        <w:tc>
          <w:tcPr/>
          <w:p>
            <w:pPr>
              <w:pStyle w:val="Compact"/>
              <w:jc w:val="center"/>
            </w:pPr>
            <w:r>
              <w:t xml:space="preserve">0.232</w:t>
            </w:r>
          </w:p>
        </w:tc>
        <w:tc>
          <w:tcPr/>
          <w:p>
            <w:pPr>
              <w:pStyle w:val="Compact"/>
              <w:jc w:val="center"/>
            </w:pPr>
            <w:r>
              <w:t xml:space="preserve">0.134</w:t>
            </w:r>
          </w:p>
        </w:tc>
        <w:tc>
          <w:tcPr/>
          <w:p>
            <w:pPr>
              <w:pStyle w:val="Compact"/>
              <w:jc w:val="center"/>
            </w:pPr>
            <w:r>
              <w:t xml:space="preserve">0.081</w:t>
            </w:r>
          </w:p>
        </w:tc>
      </w:tr>
      <w:tr>
        <w:tc>
          <w:tcPr/>
          <w:p>
            <w:pPr>
              <w:pStyle w:val="Compact"/>
              <w:jc w:val="left"/>
            </w:pPr>
            <w:r>
              <w:t xml:space="preserve">RF</w:t>
            </w:r>
          </w:p>
        </w:tc>
        <w:tc>
          <w:tcPr/>
          <w:p>
            <w:pPr>
              <w:pStyle w:val="Compact"/>
              <w:jc w:val="center"/>
            </w:pPr>
            <w:r>
              <w:t xml:space="preserve">0.235</w:t>
            </w:r>
          </w:p>
        </w:tc>
        <w:tc>
          <w:tcPr/>
          <w:p>
            <w:pPr>
              <w:pStyle w:val="Compact"/>
              <w:jc w:val="center"/>
            </w:pPr>
            <w:r>
              <w:t xml:space="preserve">0.325</w:t>
            </w:r>
          </w:p>
        </w:tc>
        <w:tc>
          <w:tcPr/>
          <w:p>
            <w:pPr>
              <w:pStyle w:val="Compact"/>
              <w:jc w:val="center"/>
            </w:pPr>
            <w:r>
              <w:t xml:space="preserve">0.466</w:t>
            </w:r>
          </w:p>
        </w:tc>
      </w:tr>
    </w:tbl>
    <w:bookmarkEnd w:id="36"/>
    <w:bookmarkStart w:id="40" w:name="fig:domain"/>
    <w:p>
      <w:pPr>
        <w:pStyle w:val="CaptionedFigure"/>
      </w:pPr>
      <w:r>
        <w:drawing>
          <wp:inline>
            <wp:extent cx="5334000" cy="3000375"/>
            <wp:effectExtent b="0" l="0" r="0" t="0"/>
            <wp:docPr descr="" title="" id="38" name="Picture"/>
            <a:graphic>
              <a:graphicData uri="http://schemas.openxmlformats.org/drawingml/2006/picture">
                <pic:pic>
                  <pic:nvPicPr>
                    <pic:cNvPr descr="figures/figure4_domain_ldo.pdf" id="39"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Data source heterogeneity in Ames. (A) Positive rate by source: drug 58.3% vs. industrial 3.0% (19.5-fold). (B) LDO MCC by algorithm; RF was appreciably more robust in</w:t>
      </w:r>
      <w:r>
        <w:t xml:space="preserve"> </w:t>
      </w:r>
      <w:r>
        <w:t xml:space="preserve">the industrial</w:t>
      </w:r>
      <m:oMath>
        <m:r>
          <m:rPr>
            <m:sty m:val="p"/>
          </m:rPr>
          <m:t>→</m:t>
        </m:r>
      </m:oMath>
      <w:r>
        <w:t xml:space="preserve">drug direction.</w:t>
      </w:r>
    </w:p>
    <w:bookmarkEnd w:id="40"/>
    <w:bookmarkEnd w:id="41"/>
    <w:bookmarkStart w:id="54" w:name="Xde9cc8d366da7d8e803c37fd5785ebd55d952fd"/>
    <w:p>
      <w:pPr>
        <w:pStyle w:val="Heading2"/>
      </w:pPr>
      <w:r>
        <w:t xml:space="preserve">Preprocessing,</w:t>
      </w:r>
      <w:r>
        <w:t xml:space="preserve"> </w:t>
      </w:r>
      <w:r>
        <w:rPr>
          <w:i/>
          <w:iCs/>
        </w:rPr>
        <w:t xml:space="preserve">In Vivo</w:t>
      </w:r>
      <w:r>
        <w:t xml:space="preserve"> </w:t>
      </w:r>
      <w:r>
        <w:t xml:space="preserve">Behavior, and Feature Importance</w:t>
      </w:r>
    </w:p>
    <w:p>
      <w:pPr>
        <w:pStyle w:val="FirstParagraph"/>
      </w:pPr>
      <w:r>
        <w:rPr>
          <w:b/>
          <w:bCs/>
        </w:rPr>
        <w:t xml:space="preserve">Preprocessing.</w:t>
      </w:r>
      <w:r>
        <w:t xml:space="preserve"> </w:t>
      </w:r>
      <w:r>
        <w:t xml:space="preserve">Salt stripping effects were strongly endpoint-specific</w:t>
      </w:r>
      <w:r>
        <w:t xml:space="preserve"> </w:t>
      </w:r>
      <w:r>
        <w:t xml:space="preserve">(Figure </w:t>
      </w:r>
      <w:hyperlink w:anchor="fig:salt">
        <w:r>
          <w:rPr>
            <w:rStyle w:val="Hyperlink"/>
          </w:rPr>
          <w:t xml:space="preserve">5</w:t>
        </w:r>
      </w:hyperlink>
      <w:r>
        <w:t xml:space="preserve">). For</w:t>
      </w:r>
      <w:r>
        <w:t xml:space="preserve"> </w:t>
      </w:r>
      <w:r>
        <w:rPr>
          <w:i/>
          <w:iCs/>
        </w:rPr>
        <w:t xml:space="preserve">in vivo</w:t>
      </w:r>
      <w:r>
        <w:t xml:space="preserve"> </w:t>
      </w:r>
      <w:r>
        <w:t xml:space="preserve">MN, the best salt-stripped model reached MCC = 0.311</w:t>
      </w:r>
      <w:r>
        <w:t xml:space="preserve"> </w:t>
      </w:r>
      <w:r>
        <w:t xml:space="preserve">versus 0.086 for the best raw model (</w:t>
      </w:r>
      <m:oMath>
        <m:r>
          <m:rPr>
            <m:sty m:val="p"/>
          </m:rPr>
          <m:t>+</m:t>
        </m:r>
        <m:r>
          <m:t>0.225</m:t>
        </m:r>
      </m:oMath>
      <w:r>
        <w:t xml:space="preserve">). Salt fragments were present in 83% of</w:t>
      </w:r>
      <w:r>
        <w:t xml:space="preserve"> </w:t>
      </w:r>
      <w:r>
        <w:rPr>
          <w:i/>
          <w:iCs/>
        </w:rPr>
        <w:t xml:space="preserve">in vivo</w:t>
      </w:r>
      <w:r>
        <w:t xml:space="preserve"> </w:t>
      </w:r>
      <w:r>
        <w:t xml:space="preserve">SMILES. Among salt-containing compounds, the positive rate was 2.8% versus 7.1%</w:t>
      </w:r>
      <w:r>
        <w:t xml:space="preserve"> </w:t>
      </w:r>
      <w:r>
        <w:t xml:space="preserve">for non-salt compounds, indicating that salts were disproportionately associated with</w:t>
      </w:r>
      <w:r>
        <w:t xml:space="preserve"> </w:t>
      </w:r>
      <w:r>
        <w:t xml:space="preserve">non-mutagenic structures. For Ames, salt stripping had mixed effects (</w:t>
      </w:r>
      <m:oMath>
        <m:r>
          <m:rPr>
            <m:sty m:val="p"/>
          </m:rPr>
          <m:t>Δ</m:t>
        </m:r>
        <m:r>
          <m:rPr>
            <m:sty m:val="p"/>
          </m:rPr>
          <m:t>=</m:t>
        </m:r>
        <m:r>
          <m:rPr>
            <m:sty m:val="p"/>
          </m:rPr>
          <m:t>−</m:t>
        </m:r>
        <m:r>
          <m:t>0.03</m:t>
        </m:r>
      </m:oMath>
      <w:r>
        <w:t xml:space="preserve"> </w:t>
      </w:r>
      <w:r>
        <w:t xml:space="preserve">to</w:t>
      </w:r>
      <w:r>
        <w:t xml:space="preserve"> </w:t>
      </w:r>
      <m:oMath>
        <m:r>
          <m:rPr>
            <m:sty m:val="p"/>
          </m:rPr>
          <m:t>+</m:t>
        </m:r>
        <m:r>
          <m:t>0.02</m:t>
        </m:r>
      </m:oMath>
      <w:r>
        <w:t xml:space="preserve">). For</w:t>
      </w:r>
      <w:r>
        <w:t xml:space="preserve"> </w:t>
      </w:r>
      <w:r>
        <w:rPr>
          <w:i/>
          <w:iCs/>
        </w:rPr>
        <w:t xml:space="preserve">in vitro</w:t>
      </w:r>
      <w:r>
        <w:t xml:space="preserve"> </w:t>
      </w:r>
      <w:r>
        <w:t xml:space="preserve">CA it was generally detrimental (mean MCC</w:t>
      </w:r>
      <w:r>
        <w:t xml:space="preserve"> </w:t>
      </w:r>
      <m:oMath>
        <m:r>
          <m:t>0.081</m:t>
        </m:r>
        <m:r>
          <m:rPr>
            <m:sty m:val="p"/>
          </m:rPr>
          <m:t>→</m:t>
        </m:r>
        <m:r>
          <m:t>0.056</m:t>
        </m:r>
      </m:oMath>
      <w:r>
        <w:t xml:space="preserve">). These</w:t>
      </w:r>
      <w:r>
        <w:t xml:space="preserve"> </w:t>
      </w:r>
      <w:r>
        <w:t xml:space="preserve">results argue against uniform preprocessing across endpoints and support endpoint-specific</w:t>
      </w:r>
      <w:r>
        <w:t xml:space="preserve"> </w:t>
      </w:r>
      <w:r>
        <w:t xml:space="preserve">optimization.</w:t>
      </w:r>
    </w:p>
    <w:bookmarkStart w:id="45" w:name="fig:salt"/>
    <w:p>
      <w:pPr>
        <w:pStyle w:val="CaptionedFigure"/>
      </w:pPr>
      <w:r>
        <w:drawing>
          <wp:inline>
            <wp:extent cx="4000500" cy="2641839"/>
            <wp:effectExtent b="0" l="0" r="0" t="0"/>
            <wp:docPr descr="" title="" id="43" name="Picture"/>
            <a:graphic>
              <a:graphicData uri="http://schemas.openxmlformats.org/drawingml/2006/picture">
                <pic:pic>
                  <pic:nvPicPr>
                    <pic:cNvPr descr="figures/figure5_salt_stripping.pdf" id="44" name="Picture"/>
                    <pic:cNvPicPr>
                      <a:picLocks noChangeArrowheads="1" noChangeAspect="1"/>
                    </pic:cNvPicPr>
                  </pic:nvPicPr>
                  <pic:blipFill>
                    <a:blip r:embed="rId42"/>
                    <a:stretch>
                      <a:fillRect/>
                    </a:stretch>
                  </pic:blipFill>
                  <pic:spPr bwMode="auto">
                    <a:xfrm>
                      <a:off x="0" y="0"/>
                      <a:ext cx="4000500" cy="2641839"/>
                    </a:xfrm>
                    <a:prstGeom prst="rect">
                      <a:avLst/>
                    </a:prstGeom>
                    <a:noFill/>
                    <a:ln w="9525">
                      <a:noFill/>
                      <a:headEnd/>
                      <a:tailEnd/>
                    </a:ln>
                  </pic:spPr>
                </pic:pic>
              </a:graphicData>
            </a:graphic>
          </wp:inline>
        </w:drawing>
      </w:r>
    </w:p>
    <w:p>
      <w:pPr>
        <w:pStyle w:val="ImageCaption"/>
      </w:pPr>
      <w:r>
        <w:t xml:space="preserve">Effect of salt stripping on mean MCC (averaged across all models and feature</w:t>
      </w:r>
      <w:r>
        <w:t xml:space="preserve"> </w:t>
      </w:r>
      <w:r>
        <w:t xml:space="preserve">modes).</w:t>
      </w:r>
      <w:r>
        <w:t xml:space="preserve"> </w:t>
      </w:r>
      <w:r>
        <w:rPr>
          <w:i/>
          <w:iCs/>
        </w:rPr>
        <w:t xml:space="preserve">In vivo</w:t>
      </w:r>
      <w:r>
        <w:t xml:space="preserve"> </w:t>
      </w:r>
      <w:r>
        <w:t xml:space="preserve">improved by</w:t>
      </w:r>
      <w:r>
        <w:t xml:space="preserve"> </w:t>
      </w:r>
      <m:oMath>
        <m:r>
          <m:rPr>
            <m:sty m:val="p"/>
          </m:rPr>
          <m:t>+</m:t>
        </m:r>
        <m:r>
          <m:t>0.063</m:t>
        </m:r>
      </m:oMath>
      <w:r>
        <w:t xml:space="preserve"> </w:t>
      </w:r>
      <w:r>
        <w:t xml:space="preserve">on average and</w:t>
      </w:r>
      <w:r>
        <w:t xml:space="preserve"> </w:t>
      </w:r>
      <m:oMath>
        <m:r>
          <m:rPr>
            <m:sty m:val="p"/>
          </m:rPr>
          <m:t>+</m:t>
        </m:r>
        <m:r>
          <m:t>0.225</m:t>
        </m:r>
      </m:oMath>
      <w:r>
        <w:t xml:space="preserve"> </w:t>
      </w:r>
      <w:r>
        <w:t xml:space="preserve">for the best model; Ames</w:t>
      </w:r>
      <w:r>
        <w:t xml:space="preserve"> </w:t>
      </w:r>
      <w:r>
        <w:t xml:space="preserve">mixed;</w:t>
      </w:r>
      <w:r>
        <w:t xml:space="preserve"> </w:t>
      </w:r>
      <w:r>
        <w:rPr>
          <w:i/>
          <w:iCs/>
        </w:rPr>
        <w:t xml:space="preserve">in vitro</w:t>
      </w:r>
      <w:r>
        <w:t xml:space="preserve"> </w:t>
      </w:r>
      <w:r>
        <w:t xml:space="preserve">decreased.</w:t>
      </w:r>
    </w:p>
    <w:bookmarkEnd w:id="45"/>
    <w:p>
      <w:pPr>
        <w:pStyle w:val="BodyText"/>
      </w:pPr>
      <w:r>
        <w:rPr>
          <w:b/>
          <w:bCs/>
          <w:i/>
          <w:iCs/>
        </w:rPr>
        <w:t xml:space="preserve">In vivo</w:t>
      </w:r>
      <w:r>
        <w:rPr>
          <w:b/>
          <w:bCs/>
        </w:rPr>
        <w:t xml:space="preserve"> </w:t>
      </w:r>
      <w:r>
        <w:rPr>
          <w:b/>
          <w:bCs/>
        </w:rPr>
        <w:t xml:space="preserve">micronucleus.</w:t>
      </w:r>
      <w:r>
        <w:t xml:space="preserve"> </w:t>
      </w:r>
      <w:r>
        <w:t xml:space="preserve">The best</w:t>
      </w:r>
      <w:r>
        <w:t xml:space="preserve"> </w:t>
      </w:r>
      <w:r>
        <w:rPr>
          <w:i/>
          <w:iCs/>
        </w:rPr>
        <w:t xml:space="preserve">in vivo</w:t>
      </w:r>
      <w:r>
        <w:t xml:space="preserve"> </w:t>
      </w:r>
      <w:r>
        <w:t xml:space="preserve">model achieved ROC-AUC = 0.860 and PR-AUC</w:t>
      </w:r>
      <w:r>
        <w:t xml:space="preserve"> </w:t>
      </w:r>
      <w:r>
        <w:t xml:space="preserve">= 0.237 (an 8.5-fold enrichment over the 0.028 baseline), but MCC = 0.311 with a 95% CI</w:t>
      </w:r>
      <w:r>
        <w:t xml:space="preserve"> </w:t>
      </w:r>
      <w:r>
        <w:t xml:space="preserve">that crossed zero (</w:t>
      </w:r>
      <m:oMath>
        <m:r>
          <m:rPr>
            <m:sty m:val="p"/>
          </m:rPr>
          <m:t>−</m:t>
        </m:r>
        <m:r>
          <m:t>0.014</m:t>
        </m:r>
      </m:oMath>
      <w:r>
        <w:t xml:space="preserve"> </w:t>
      </w:r>
      <w:r>
        <w:t xml:space="preserve">to 0.571), meaning classification at any fixed threshold is</w:t>
      </w:r>
      <w:r>
        <w:t xml:space="preserve"> </w:t>
      </w:r>
      <w:r>
        <w:t xml:space="preserve">unreliable. The test set contains only 12 positives among 431 compounds. The</w:t>
      </w:r>
      <w:r>
        <w:t xml:space="preserve"> </w:t>
      </w:r>
      <w:r>
        <w:t xml:space="preserve">fixed-configuration learning curve was flat at MCC</w:t>
      </w:r>
      <w:r>
        <w:t xml:space="preserve"> </w:t>
      </w:r>
      <m:oMath>
        <m:r>
          <m:rPr>
            <m:sty m:val="p"/>
          </m:rPr>
          <m:t>≈</m:t>
        </m:r>
        <m:r>
          <m:t>0.055</m:t>
        </m:r>
      </m:oMath>
      <w:r>
        <w:t xml:space="preserve"> </w:t>
      </w:r>
      <w:r>
        <w:t xml:space="preserve">from 10% to 100% of</w:t>
      </w:r>
      <w:r>
        <w:t xml:space="preserve"> </w:t>
      </w:r>
      <w:r>
        <w:t xml:space="preserve">training data (Figure </w:t>
      </w:r>
      <w:hyperlink w:anchor="fig:learning_curves">
        <w:r>
          <w:rPr>
            <w:rStyle w:val="Hyperlink"/>
          </w:rPr>
          <w:t xml:space="preserve">7</w:t>
        </w:r>
      </w:hyperlink>
      <w:r>
        <w:t xml:space="preserve">), though this curve was not computed for the</w:t>
      </w:r>
      <w:r>
        <w:t xml:space="preserve"> </w:t>
      </w:r>
      <w:r>
        <w:t xml:space="preserve">salt-stripped configuration.</w:t>
      </w:r>
    </w:p>
    <w:p>
      <w:pPr>
        <w:pStyle w:val="BodyText"/>
      </w:pPr>
      <w:r>
        <w:rPr>
          <w:b/>
          <w:bCs/>
        </w:rPr>
        <w:t xml:space="preserve">Feature importance.</w:t>
      </w:r>
      <w:r>
        <w:t xml:space="preserve"> </w:t>
      </w:r>
      <w:r>
        <w:t xml:space="preserve">SHAP analysis</w:t>
      </w:r>
      <w:r>
        <w:t xml:space="preserve"> </w:t>
      </w:r>
      <w:r>
        <w:t xml:space="preserve">revealed consistent</w:t>
      </w:r>
      <w:r>
        <w:t xml:space="preserve"> </w:t>
      </w:r>
      <w:r>
        <w:t xml:space="preserve">patterns (Figure </w:t>
      </w:r>
      <w:hyperlink w:anchor="fig:shap">
        <w:r>
          <w:rPr>
            <w:rStyle w:val="Hyperlink"/>
          </w:rPr>
          <w:t xml:space="preserve">6</w:t>
        </w:r>
      </w:hyperlink>
      <w:r>
        <w:t xml:space="preserve">). Physicochemical descriptors dominated the top-5 at every</w:t>
      </w:r>
      <w:r>
        <w:t xml:space="preserve"> </w:t>
      </w:r>
      <w:r>
        <w:t xml:space="preserve">endpoint (alert count and MW for Ames; LogP for</w:t>
      </w:r>
      <w:r>
        <w:t xml:space="preserve"> </w:t>
      </w:r>
      <w:r>
        <w:rPr>
          <w:i/>
          <w:iCs/>
        </w:rPr>
        <w:t xml:space="preserve">in vitro</w:t>
      </w:r>
      <w:r>
        <w:t xml:space="preserve">; MW for</w:t>
      </w:r>
      <w:r>
        <w:t xml:space="preserve"> </w:t>
      </w:r>
      <w:r>
        <w:rPr>
          <w:i/>
          <w:iCs/>
        </w:rPr>
        <w:t xml:space="preserve">in vivo</w:t>
      </w:r>
      <w:r>
        <w:t xml:space="preserve">). No individual</w:t>
      </w:r>
      <w:r>
        <w:t xml:space="preserve"> </w:t>
      </w:r>
      <w:r>
        <w:t xml:space="preserve">fingerprint bit appeared in any top-5 list, despite fingerprints comprising 50–75% of</w:t>
      </w:r>
      <w:r>
        <w:t xml:space="preserve"> </w:t>
      </w:r>
      <w:r>
        <w:t xml:space="preserve">features. Across all Ames configurations, compact features yielded mean MCC = 0.448 versus</w:t>
      </w:r>
      <w:r>
        <w:t xml:space="preserve"> </w:t>
      </w:r>
      <w:r>
        <w:t xml:space="preserve">0.523 for FP-2048 (</w:t>
      </w:r>
      <m:oMath>
        <m:r>
          <m:rPr>
            <m:sty m:val="p"/>
          </m:rPr>
          <m:t>Δ</m:t>
        </m:r>
        <m:r>
          <m:rPr>
            <m:sty m:val="p"/>
          </m:rPr>
          <m:t>=</m:t>
        </m:r>
        <m:r>
          <m:rPr>
            <m:sty m:val="p"/>
          </m:rPr>
          <m:t>+</m:t>
        </m:r>
        <m:r>
          <m:t>0.075</m:t>
        </m:r>
      </m:oMath>
      <w:r>
        <w:t xml:space="preserve">), indicating that fingerprint bits contribute weak</w:t>
      </w:r>
      <w:r>
        <w:t xml:space="preserve"> </w:t>
      </w:r>
      <w:r>
        <w:t xml:space="preserve">signal individually but accumulate meaningful predictive information collectively.</w:t>
      </w:r>
    </w:p>
    <w:bookmarkStart w:id="49" w:name="fig:shap"/>
    <w:p>
      <w:pPr>
        <w:pStyle w:val="CaptionedFigure"/>
      </w:pPr>
      <w:r>
        <w:drawing>
          <wp:inline>
            <wp:extent cx="5334000" cy="1925474"/>
            <wp:effectExtent b="0" l="0" r="0" t="0"/>
            <wp:docPr descr="" title="" id="47" name="Picture"/>
            <a:graphic>
              <a:graphicData uri="http://schemas.openxmlformats.org/drawingml/2006/picture">
                <pic:pic>
                  <pic:nvPicPr>
                    <pic:cNvPr descr="figures/figure6_shap.pdf" id="48" name="Picture"/>
                    <pic:cNvPicPr>
                      <a:picLocks noChangeArrowheads="1" noChangeAspect="1"/>
                    </pic:cNvPicPr>
                  </pic:nvPicPr>
                  <pic:blipFill>
                    <a:blip r:embed="rId46"/>
                    <a:stretch>
                      <a:fillRect/>
                    </a:stretch>
                  </pic:blipFill>
                  <pic:spPr bwMode="auto">
                    <a:xfrm>
                      <a:off x="0" y="0"/>
                      <a:ext cx="5334000" cy="1925474"/>
                    </a:xfrm>
                    <a:prstGeom prst="rect">
                      <a:avLst/>
                    </a:prstGeom>
                    <a:noFill/>
                    <a:ln w="9525">
                      <a:noFill/>
                      <a:headEnd/>
                      <a:tailEnd/>
                    </a:ln>
                  </pic:spPr>
                </pic:pic>
              </a:graphicData>
            </a:graphic>
          </wp:inline>
        </w:drawing>
      </w:r>
    </w:p>
    <w:p>
      <w:pPr>
        <w:pStyle w:val="ImageCaption"/>
      </w:pPr>
      <w:r>
        <w:t xml:space="preserve">SHAP top-5 features per primary endpoint. Physicochemical descriptors dominate;</w:t>
      </w:r>
      <w:r>
        <w:t xml:space="preserve"> </w:t>
      </w:r>
      <w:r>
        <w:t xml:space="preserve">structural alert count ranks first for Ames. No fingerprint bits appear in any top-5.</w:t>
      </w:r>
    </w:p>
    <w:bookmarkEnd w:id="49"/>
    <w:p>
      <w:pPr>
        <w:pStyle w:val="BodyText"/>
      </w:pPr>
      <w:r>
        <w:rPr>
          <w:b/>
          <w:bCs/>
        </w:rPr>
        <w:t xml:space="preserve">Learning curves.</w:t>
      </w:r>
      <w:r>
        <w:t xml:space="preserve"> </w:t>
      </w:r>
      <w:r>
        <w:t xml:space="preserve">Fixed-configuration learning curves (Figure </w:t>
      </w:r>
      <w:hyperlink w:anchor="fig:learning_curves">
        <w:r>
          <w:rPr>
            <w:rStyle w:val="Hyperlink"/>
          </w:rPr>
          <w:t xml:space="preserve">7</w:t>
        </w:r>
      </w:hyperlink>
      <w:r>
        <w:t xml:space="preserve">)</w:t>
      </w:r>
      <w:r>
        <w:t xml:space="preserve"> </w:t>
      </w:r>
      <w:r>
        <w:t xml:space="preserve">showed three patterns: Ames MCC saturated early (0.543 at 10%, 0.640 at 100%);</w:t>
      </w:r>
      <w:r>
        <w:t xml:space="preserve"> </w:t>
      </w:r>
      <w:r>
        <w:rPr>
          <w:i/>
          <w:iCs/>
        </w:rPr>
        <w:t xml:space="preserve">in vitro</w:t>
      </w:r>
      <w:r>
        <w:t xml:space="preserve"> </w:t>
      </w:r>
      <w:r>
        <w:t xml:space="preserve">showed a noisy upward trend (</w:t>
      </w:r>
      <m:oMath>
        <m:r>
          <m:t>0.070</m:t>
        </m:r>
        <m:r>
          <m:rPr>
            <m:sty m:val="p"/>
          </m:rPr>
          <m:t>→</m:t>
        </m:r>
        <m:r>
          <m:t>0.170</m:t>
        </m:r>
      </m:oMath>
      <w:r>
        <w:t xml:space="preserve">);</w:t>
      </w:r>
      <w:r>
        <w:t xml:space="preserve"> </w:t>
      </w:r>
      <w:r>
        <w:rPr>
          <w:i/>
          <w:iCs/>
        </w:rPr>
        <w:t xml:space="preserve">in vivo</w:t>
      </w:r>
      <w:r>
        <w:t xml:space="preserve"> </w:t>
      </w:r>
      <w:r>
        <w:t xml:space="preserve">remained flat (</w:t>
      </w:r>
      <m:oMath>
        <m:r>
          <m:rPr>
            <m:sty m:val="p"/>
          </m:rPr>
          <m:t>≈</m:t>
        </m:r>
        <m:r>
          <m:t>0.055</m:t>
        </m:r>
      </m:oMath>
      <w:r>
        <w:t xml:space="preserve">).</w:t>
      </w:r>
    </w:p>
    <w:bookmarkStart w:id="53" w:name="fig:learning_curves"/>
    <w:p>
      <w:pPr>
        <w:pStyle w:val="CaptionedFigure"/>
      </w:pPr>
      <w:r>
        <w:drawing>
          <wp:inline>
            <wp:extent cx="4267200" cy="2718619"/>
            <wp:effectExtent b="0" l="0" r="0" t="0"/>
            <wp:docPr descr="" title="" id="51" name="Picture"/>
            <a:graphic>
              <a:graphicData uri="http://schemas.openxmlformats.org/drawingml/2006/picture">
                <pic:pic>
                  <pic:nvPicPr>
                    <pic:cNvPr descr="figures/figure7_learning_curves.pdf" id="52" name="Picture"/>
                    <pic:cNvPicPr>
                      <a:picLocks noChangeArrowheads="1" noChangeAspect="1"/>
                    </pic:cNvPicPr>
                  </pic:nvPicPr>
                  <pic:blipFill>
                    <a:blip r:embed="rId50"/>
                    <a:stretch>
                      <a:fillRect/>
                    </a:stretch>
                  </pic:blipFill>
                  <pic:spPr bwMode="auto">
                    <a:xfrm>
                      <a:off x="0" y="0"/>
                      <a:ext cx="4267200" cy="2718619"/>
                    </a:xfrm>
                    <a:prstGeom prst="rect">
                      <a:avLst/>
                    </a:prstGeom>
                    <a:noFill/>
                    <a:ln w="9525">
                      <a:noFill/>
                      <a:headEnd/>
                      <a:tailEnd/>
                    </a:ln>
                  </pic:spPr>
                </pic:pic>
              </a:graphicData>
            </a:graphic>
          </wp:inline>
        </w:drawing>
      </w:r>
    </w:p>
    <w:p>
      <w:pPr>
        <w:pStyle w:val="ImageCaption"/>
      </w:pPr>
      <w:r>
        <w:t xml:space="preserve">Learning curves (fixed configuration). Shaded regions:</w:t>
      </w:r>
      <w:r>
        <w:t xml:space="preserve"> </w:t>
      </w:r>
      <m:oMath>
        <m:r>
          <m:rPr>
            <m:sty m:val="p"/>
          </m:rPr>
          <m:t>±</m:t>
        </m:r>
      </m:oMath>
      <w:r>
        <w:t xml:space="preserve">1 SD across 5-fold</w:t>
      </w:r>
      <w:r>
        <w:t xml:space="preserve"> </w:t>
      </w:r>
      <w:r>
        <w:t xml:space="preserve">scaffold CV.</w:t>
      </w:r>
    </w:p>
    <w:bookmarkEnd w:id="53"/>
    <w:bookmarkEnd w:id="54"/>
    <w:bookmarkEnd w:id="55"/>
    <w:bookmarkStart w:id="61" w:name="discussion"/>
    <w:p>
      <w:pPr>
        <w:pStyle w:val="Heading1"/>
      </w:pPr>
      <w:r>
        <w:t xml:space="preserve">Discussion</w:t>
      </w:r>
    </w:p>
    <w:bookmarkStart w:id="56" w:name="the-performance-variation-hierarchy"/>
    <w:p>
      <w:pPr>
        <w:pStyle w:val="Heading2"/>
      </w:pPr>
      <w:r>
        <w:t xml:space="preserve">The Performance Variation Hierarchy</w:t>
      </w:r>
    </w:p>
    <w:p>
      <w:pPr>
        <w:pStyle w:val="FirstParagraph"/>
      </w:pPr>
      <w:r>
        <w:t xml:space="preserve">The fixed-configuration analysis yielded a clear hierarchy:</w:t>
      </w:r>
    </w:p>
    <w:p>
      <w:pPr>
        <w:pStyle w:val="BodyText"/>
      </w:pPr>
      <w:r>
        <w:t xml:space="preserve">Data source heterogeneity</w:t>
      </w:r>
      <w:r>
        <w:t xml:space="preserve"> </w:t>
      </w:r>
      <m:oMath>
        <m:r>
          <m:rPr>
            <m:sty m:val="p"/>
          </m:rPr>
          <m:t>≫</m:t>
        </m:r>
      </m:oMath>
      <w:r>
        <w:t xml:space="preserve"> </w:t>
      </w:r>
      <w:r>
        <w:t xml:space="preserve">Splitting method</w:t>
      </w:r>
      <w:r>
        <w:t xml:space="preserve"> </w:t>
      </w:r>
      <m:oMath>
        <m:r>
          <m:rPr>
            <m:sty m:val="p"/>
          </m:rPr>
          <m:t>≈</m:t>
        </m:r>
      </m:oMath>
      <w:r>
        <w:t xml:space="preserve"> </w:t>
      </w:r>
      <w:r>
        <w:t xml:space="preserve">In-domain algorithm choice</w:t>
      </w:r>
    </w:p>
    <w:p>
      <w:pPr>
        <w:pStyle w:val="BodyText"/>
      </w:pPr>
      <w:r>
        <w:t xml:space="preserve">The source heterogeneity gap (</w:t>
      </w:r>
      <m:oMath>
        <m:r>
          <m:rPr>
            <m:sty m:val="p"/>
          </m:rPr>
          <m:t>Δ</m:t>
        </m:r>
        <m:r>
          <m:rPr>
            <m:sty m:val="p"/>
          </m:rPr>
          <m:t>=</m:t>
        </m:r>
        <m:r>
          <m:t>0.390</m:t>
        </m:r>
      </m:oMath>
      <w:r>
        <w:t xml:space="preserve">) substantially exceeded the</w:t>
      </w:r>
      <w:r>
        <w:t xml:space="preserve"> </w:t>
      </w:r>
      <w:r>
        <w:t xml:space="preserve">split-method gap (</w:t>
      </w:r>
      <m:oMath>
        <m:r>
          <m:rPr>
            <m:sty m:val="p"/>
          </m:rPr>
          <m:t>Δ</m:t>
        </m:r>
        <m:r>
          <m:rPr>
            <m:sty m:val="p"/>
          </m:rPr>
          <m:t>=</m:t>
        </m:r>
        <m:r>
          <m:t>0.046</m:t>
        </m:r>
      </m:oMath>
      <w:r>
        <w:t xml:space="preserve">). The split-method gap, in turn, was comparable</w:t>
      </w:r>
      <w:r>
        <w:t xml:space="preserve"> </w:t>
      </w:r>
      <w:r>
        <w:t xml:space="preserve">to the in-domain algorithm spread (MCC range = 0.063). Three caveats apply. First, the</w:t>
      </w:r>
      <w:r>
        <w:t xml:space="preserve"> </w:t>
      </w:r>
      <w:r>
        <w:t xml:space="preserve">hierarchy was established on a single Ames benchmark. Second, the LDO</w:t>
      </w:r>
      <w:r>
        <w:t xml:space="preserve"> </w:t>
      </w:r>
      <m:oMath>
        <m:r>
          <m:rPr>
            <m:sty m:val="p"/>
          </m:rPr>
          <m:t>Δ</m:t>
        </m:r>
      </m:oMath>
      <w:r>
        <w:t xml:space="preserve"> </w:t>
      </w:r>
      <w:r>
        <w:t xml:space="preserve">reflects</w:t>
      </w:r>
      <w:r>
        <w:t xml:space="preserve"> </w:t>
      </w:r>
      <w:r>
        <w:t xml:space="preserve">differences in test set size and class distribution across directions and should therefore</w:t>
      </w:r>
      <w:r>
        <w:t xml:space="preserve"> </w:t>
      </w:r>
      <w:r>
        <w:t xml:space="preserve">be treated as an upper bound. Third, algorithm robustness varied under source shift;</w:t>
      </w:r>
      <w:r>
        <w:t xml:space="preserve"> </w:t>
      </w:r>
      <w:r>
        <w:t xml:space="preserve">algorithm choice may thus matter more in cross-source deployment than the in-domain</w:t>
      </w:r>
      <w:r>
        <w:t xml:space="preserve"> </w:t>
      </w:r>
      <w:r>
        <w:t xml:space="preserve">figures suggest.</w:t>
      </w:r>
    </w:p>
    <w:p>
      <w:pPr>
        <w:pStyle w:val="BodyText"/>
      </w:pPr>
      <w:r>
        <w:t xml:space="preserve">The LDO experiment should be interpreted as a diagnostic stress test, not a realistic</w:t>
      </w:r>
      <w:r>
        <w:t xml:space="preserve"> </w:t>
      </w:r>
      <w:r>
        <w:t xml:space="preserve">deployment scenario. In practice, models are trained on all available data regardless of</w:t>
      </w:r>
      <w:r>
        <w:t xml:space="preserve"> </w:t>
      </w:r>
      <w:r>
        <w:t xml:space="preserve">provenance. Mutagenic potential is a property of molecular structure, not database origin.</w:t>
      </w:r>
      <w:r>
        <w:t xml:space="preserve"> </w:t>
      </w:r>
      <w:r>
        <w:t xml:space="preserve">A large LDO drop suggests that apparent in-domain performance depends strongly on the</w:t>
      </w:r>
      <w:r>
        <w:t xml:space="preserve"> </w:t>
      </w:r>
      <w:r>
        <w:t xml:space="preserve">joint composition of the training and test sets. This pattern suggests incomplete learning</w:t>
      </w:r>
      <w:r>
        <w:t xml:space="preserve"> </w:t>
      </w:r>
      <w:r>
        <w:t xml:space="preserve">of broadly generalizable structure-activity relationships.</w:t>
      </w:r>
      <w:r>
        <w:t xml:space="preserve"> </w:t>
      </w:r>
      <w:r>
        <w:t xml:space="preserve">This is a concern for regulatory applications: new chemicals registered under EU REACH or</w:t>
      </w:r>
      <w:r>
        <w:t xml:space="preserve"> </w:t>
      </w:r>
      <w:r>
        <w:t xml:space="preserve">K-REACH may occupy regions of chemical space that are underrepresented in pharmaceutical</w:t>
      </w:r>
      <w:r>
        <w:t xml:space="preserve"> </w:t>
      </w:r>
      <w:r>
        <w:t xml:space="preserve">benchmarks, and a benchmark MCC of 0.67 on a mixed-source test set provides limited</w:t>
      </w:r>
      <w:r>
        <w:t xml:space="preserve"> </w:t>
      </w:r>
      <w:r>
        <w:t xml:space="preserve">assurance in that context. Cross-source LDO reveals this dependence and offers a more</w:t>
      </w:r>
      <w:r>
        <w:t xml:space="preserve"> </w:t>
      </w:r>
      <w:r>
        <w:t xml:space="preserve">conservative estimate of out-of-distribution performance.</w:t>
      </w:r>
    </w:p>
    <w:bookmarkEnd w:id="56"/>
    <w:bookmarkStart w:id="57" w:name="X29a41747973f5d323b53fb3d40c4be7abe5633a"/>
    <w:p>
      <w:pPr>
        <w:pStyle w:val="Heading2"/>
      </w:pPr>
      <w:r>
        <w:t xml:space="preserve">What Drives the Data Source Heterogeneity Gap?</w:t>
      </w:r>
    </w:p>
    <w:p>
      <w:pPr>
        <w:pStyle w:val="FirstParagraph"/>
      </w:pPr>
      <w:r>
        <w:t xml:space="preserve">Four non-exclusive factors may contribute, listed from most to least parsimonious:</w:t>
      </w:r>
    </w:p>
    <w:p>
      <w:pPr>
        <w:numPr>
          <w:ilvl w:val="0"/>
          <w:numId w:val="1002"/>
        </w:numPr>
      </w:pPr>
      <w:r>
        <w:rPr>
          <w:b/>
          <w:bCs/>
        </w:rPr>
        <w:t xml:space="preserve">Prior shift.</w:t>
      </w:r>
      <w:r>
        <w:t xml:space="preserve"> </w:t>
      </w:r>
      <w:r>
        <w:t xml:space="preserve">The 19.5-fold difference in positive rates between sources</w:t>
      </w:r>
      <w:r>
        <w:t xml:space="preserve"> </w:t>
      </w:r>
      <w:r>
        <w:t xml:space="preserve">miscalibrates the default decision threshold. This is consistent with XGB achieving a</w:t>
      </w:r>
      <w:r>
        <w:t xml:space="preserve"> </w:t>
      </w:r>
      <w:r>
        <w:t xml:space="preserve">sensitivity of only 0.062 in the industrial</w:t>
      </w:r>
      <m:oMath>
        <m:r>
          <m:rPr>
            <m:sty m:val="p"/>
          </m:rPr>
          <m:t>→</m:t>
        </m:r>
      </m:oMath>
      <w:r>
        <w:t xml:space="preserve">drug direction.</w:t>
      </w:r>
    </w:p>
    <w:p>
      <w:pPr>
        <w:numPr>
          <w:ilvl w:val="0"/>
          <w:numId w:val="1002"/>
        </w:numPr>
      </w:pPr>
      <w:r>
        <w:rPr>
          <w:b/>
          <w:bCs/>
        </w:rPr>
        <w:t xml:space="preserve">Data quality and labeling differences.</w:t>
      </w:r>
      <w:r>
        <w:t xml:space="preserve"> </w:t>
      </w:r>
      <w:r>
        <w:t xml:space="preserve">Drug-sourced compounds come from</w:t>
      </w:r>
      <w:r>
        <w:t xml:space="preserve"> </w:t>
      </w:r>
      <w:r>
        <w:t xml:space="preserve">curated benchmarks; industrial compounds come from regulatory submissions (ECHA,</w:t>
      </w:r>
      <w:r>
        <w:t xml:space="preserve"> </w:t>
      </w:r>
      <w:r>
        <w:t xml:space="preserve">K-REACH) with varying protocols. Prevalence differences may therefore arise independently</w:t>
      </w:r>
      <w:r>
        <w:t xml:space="preserve"> </w:t>
      </w:r>
      <w:r>
        <w:t xml:space="preserve">of underlying chemical differences.</w:t>
      </w:r>
    </w:p>
    <w:p>
      <w:pPr>
        <w:numPr>
          <w:ilvl w:val="0"/>
          <w:numId w:val="1002"/>
        </w:numPr>
      </w:pPr>
      <w:r>
        <w:rPr>
          <w:b/>
          <w:bCs/>
        </w:rPr>
        <w:t xml:space="preserve">Selection bias.</w:t>
      </w:r>
      <w:r>
        <w:t xml:space="preserve"> </w:t>
      </w:r>
      <w:r>
        <w:t xml:space="preserve">Drug candidates are optimized for biological activity,</w:t>
      </w:r>
      <w:r>
        <w:t xml:space="preserve"> </w:t>
      </w:r>
      <w:r>
        <w:t xml:space="preserve">while industrial chemicals are selected for functional or commercial utility. These</w:t>
      </w:r>
      <w:r>
        <w:t xml:space="preserve"> </w:t>
      </w:r>
      <w:r>
        <w:t xml:space="preserve">represent fundamentally different sampling criteria.</w:t>
      </w:r>
    </w:p>
    <w:p>
      <w:pPr>
        <w:numPr>
          <w:ilvl w:val="0"/>
          <w:numId w:val="1002"/>
        </w:numPr>
      </w:pPr>
      <w:r>
        <w:rPr>
          <w:b/>
          <w:bCs/>
        </w:rPr>
        <w:t xml:space="preserve">Chemical space divergence.</w:t>
      </w:r>
      <w:r>
        <w:t xml:space="preserve"> </w:t>
      </w:r>
      <w:r>
        <w:t xml:space="preserve">Even a</w:t>
      </w:r>
      <w:r>
        <w:t xml:space="preserve"> </w:t>
      </w:r>
      <w:r>
        <w:t xml:space="preserve">perfectly calibrated model may generalize poorly if the two source populations occupy</w:t>
      </w:r>
      <w:r>
        <w:t xml:space="preserve"> </w:t>
      </w:r>
      <w:r>
        <w:t xml:space="preserve">distinct regions of chemical space.</w:t>
      </w:r>
    </w:p>
    <w:p>
      <w:pPr>
        <w:pStyle w:val="FirstParagraph"/>
      </w:pPr>
      <w:r>
        <w:t xml:space="preserve">To estimate the contribution of prior shift, each LDO direction was evaluated at three</w:t>
      </w:r>
      <w:r>
        <w:t xml:space="preserve"> </w:t>
      </w:r>
      <w:r>
        <w:t xml:space="preserve">thresholds:</w:t>
      </w:r>
      <w:r>
        <w:t xml:space="preserve"> </w:t>
      </w:r>
      <w:r>
        <w:rPr>
          <w:i/>
          <w:iCs/>
        </w:rPr>
        <w:t xml:space="preserve">default</w:t>
      </w:r>
      <w:r>
        <w:t xml:space="preserve"> </w:t>
      </w:r>
      <w:r>
        <w:t xml:space="preserve">(</w:t>
      </w:r>
      <m:oMath>
        <m:r>
          <m:t>t</m:t>
        </m:r>
        <m:r>
          <m:rPr>
            <m:sty m:val="p"/>
          </m:rPr>
          <m:t>=</m:t>
        </m:r>
        <m:r>
          <m:t>0.5</m:t>
        </m:r>
      </m:oMath>
      <w:r>
        <w:t xml:space="preserve">),</w:t>
      </w:r>
      <w:r>
        <w:t xml:space="preserve"> </w:t>
      </w:r>
      <w:r>
        <w:rPr>
          <w:i/>
          <w:iCs/>
        </w:rPr>
        <w:t xml:space="preserve">prior-corrected</w:t>
      </w:r>
      <w:r>
        <w:t xml:space="preserve"> </w:t>
      </w:r>
      <w:r>
        <w:t xml:space="preserve">(</w:t>
      </w:r>
      <m:oMath>
        <m:r>
          <m:t>t</m:t>
        </m:r>
      </m:oMath>
      <w:r>
        <w:t xml:space="preserve"> </w:t>
      </w:r>
      <w:r>
        <w:t xml:space="preserve">set to the</w:t>
      </w:r>
      <w:r>
        <w:t xml:space="preserve"> </w:t>
      </w:r>
      <w:r>
        <w:t xml:space="preserve">training positive rate, optimal under pure prior shift), and</w:t>
      </w:r>
      <w:r>
        <w:t xml:space="preserve"> </w:t>
      </w:r>
      <w:r>
        <w:rPr>
          <w:i/>
          <w:iCs/>
        </w:rPr>
        <w:t xml:space="preserve">oracle</w:t>
      </w:r>
      <w:r>
        <w:t xml:space="preserve"> </w:t>
      </w:r>
      <w:r>
        <w:t xml:space="preserve">(</w:t>
      </w:r>
      <m:oMath>
        <m:r>
          <m:t>t</m:t>
        </m:r>
      </m:oMath>
      <w:r>
        <w:t xml:space="preserve"> </w:t>
      </w:r>
      <w:r>
        <w:t xml:space="preserve">maximizing MCC on the test set, an upper bound on recalibration). This analysis used</w:t>
      </w:r>
      <w:r>
        <w:t xml:space="preserve"> </w:t>
      </w:r>
      <w:r>
        <w:t xml:space="preserve">Morgan FP-1024 plus 13 physicochemical descriptors rather than the full 138-feature compact</w:t>
      </w:r>
      <w:r>
        <w:t xml:space="preserve"> </w:t>
      </w:r>
      <w:r>
        <w:t xml:space="preserve">set, so absolute MCC values differ from Table </w:t>
      </w:r>
      <w:hyperlink w:anchor="tab:ldo">
        <w:r>
          <w:rPr>
            <w:rStyle w:val="Hyperlink"/>
          </w:rPr>
          <w:t xml:space="preserve">5</w:t>
        </w:r>
      </w:hyperlink>
      <w:r>
        <w:t xml:space="preserve"> </w:t>
      </w:r>
      <w:r>
        <w:t xml:space="preserve">(notably RF</w:t>
      </w:r>
      <w:r>
        <w:t xml:space="preserve"> </w:t>
      </w:r>
      <w:r>
        <w:t xml:space="preserve">industrial</w:t>
      </w:r>
      <m:oMath>
        <m:r>
          <m:rPr>
            <m:sty m:val="p"/>
          </m:rPr>
          <m:t>→</m:t>
        </m:r>
      </m:oMath>
      <w:r>
        <w:t xml:space="preserve">drug: 0.102 here vs. 0.325 in the main analysis). The three-threshold</w:t>
      </w:r>
      <w:r>
        <w:t xml:space="preserve"> </w:t>
      </w:r>
      <w:r>
        <w:t xml:space="preserve">comparison within each row is nonetheless internally valid.</w:t>
      </w:r>
    </w:p>
    <w:p>
      <w:pPr>
        <w:pStyle w:val="BodyText"/>
      </w:pPr>
      <w:r>
        <w:t xml:space="preserve">The results (Table S7) show that prior-shift correction gave modest gains (mean</w:t>
      </w:r>
      <w:r>
        <w:t xml:space="preserve"> </w:t>
      </w:r>
      <m:oMath>
        <m:r>
          <m:rPr>
            <m:sty m:val="p"/>
          </m:rPr>
          <m:t>+</m:t>
        </m:r>
        <m:r>
          <m:t>0.075</m:t>
        </m:r>
      </m:oMath>
      <w:r>
        <w:t xml:space="preserve">;</w:t>
      </w:r>
      <w:r>
        <w:t xml:space="preserve"> </w:t>
      </w:r>
      <w:r>
        <w:t xml:space="preserve">range</w:t>
      </w:r>
      <w:r>
        <w:t xml:space="preserve"> </w:t>
      </w:r>
      <m:oMath>
        <m:r>
          <m:rPr>
            <m:sty m:val="p"/>
          </m:rPr>
          <m:t>−</m:t>
        </m:r>
        <m:r>
          <m:t>0.024</m:t>
        </m:r>
      </m:oMath>
      <w:r>
        <w:t xml:space="preserve"> </w:t>
      </w:r>
      <w:r>
        <w:t xml:space="preserve">to</w:t>
      </w:r>
      <w:r>
        <w:t xml:space="preserve"> </w:t>
      </w:r>
      <m:oMath>
        <m:r>
          <m:rPr>
            <m:sty m:val="p"/>
          </m:rPr>
          <m:t>+</m:t>
        </m:r>
        <m:r>
          <m:t>0.239</m:t>
        </m:r>
      </m:oMath>
      <w:r>
        <w:t xml:space="preserve">). Oracle MCC topped out at 0.27–0.36, well below the in-domain</w:t>
      </w:r>
      <w:r>
        <w:t xml:space="preserve"> </w:t>
      </w:r>
      <w:r>
        <w:t xml:space="preserve">scaffold-CV MCC of 0.624. This leaves a residual gap of 0.26–0.35 that threshold</w:t>
      </w:r>
      <w:r>
        <w:t xml:space="preserve"> </w:t>
      </w:r>
      <w:r>
        <w:t xml:space="preserve">adjustment alone cannot close. Sensitivity to threshold choice also varied by algorithm:</w:t>
      </w:r>
      <w:r>
        <w:t xml:space="preserve"> </w:t>
      </w:r>
      <w:r>
        <w:t xml:space="preserve">RF gained</w:t>
      </w:r>
      <w:r>
        <w:t xml:space="preserve"> </w:t>
      </w:r>
      <m:oMath>
        <m:r>
          <m:rPr>
            <m:sty m:val="p"/>
          </m:rPr>
          <m:t>+</m:t>
        </m:r>
        <m:r>
          <m:t>0.243</m:t>
        </m:r>
      </m:oMath>
      <w:r>
        <w:t xml:space="preserve"> </w:t>
      </w:r>
      <w:r>
        <w:t xml:space="preserve">MCC from default to oracle in the industrial</w:t>
      </w:r>
      <m:oMath>
        <m:r>
          <m:rPr>
            <m:sty m:val="p"/>
          </m:rPr>
          <m:t>→</m:t>
        </m:r>
      </m:oMath>
      <w:r>
        <w:t xml:space="preserve">drug direction, while</w:t>
      </w:r>
      <w:r>
        <w:t xml:space="preserve"> </w:t>
      </w:r>
      <w:r>
        <w:t xml:space="preserve">gradient boosting models gained only</w:t>
      </w:r>
      <w:r>
        <w:t xml:space="preserve"> </w:t>
      </w:r>
      <m:oMath>
        <m:r>
          <m:rPr>
            <m:sty m:val="p"/>
          </m:rPr>
          <m:t>+</m:t>
        </m:r>
        <m:r>
          <m:t>0.07</m:t>
        </m:r>
      </m:oMath>
      <w:r>
        <w:t xml:space="preserve"> </w:t>
      </w:r>
      <w:r>
        <w:t xml:space="preserve">to</w:t>
      </w:r>
      <w:r>
        <w:t xml:space="preserve"> </w:t>
      </w:r>
      <m:oMath>
        <m:r>
          <m:rPr>
            <m:sty m:val="p"/>
          </m:rPr>
          <m:t>+</m:t>
        </m:r>
        <m:r>
          <m:t>0.10</m:t>
        </m:r>
      </m:oMath>
      <w:r>
        <w:t xml:space="preserve">. Prior shift thus accounts for</w:t>
      </w:r>
      <w:r>
        <w:t xml:space="preserve"> </w:t>
      </w:r>
      <w:r>
        <w:t xml:space="preserve">part of the LDO performance loss, but a substantial residual gap remains. The practical</w:t>
      </w:r>
      <w:r>
        <w:t xml:space="preserve"> </w:t>
      </w:r>
      <w:r>
        <w:t xml:space="preserve">implication holds regardless of the underlying cause: published Ames QSAR performance is highly</w:t>
      </w:r>
      <w:r>
        <w:t xml:space="preserve"> </w:t>
      </w:r>
      <w:r>
        <w:t xml:space="preserve">sensitive to source composition, and recalibration alone is insufficient under cross-source</w:t>
      </w:r>
      <w:r>
        <w:t xml:space="preserve"> </w:t>
      </w:r>
      <w:r>
        <w:t xml:space="preserve">evaluation.</w:t>
      </w:r>
    </w:p>
    <w:bookmarkEnd w:id="57"/>
    <w:bookmarkStart w:id="58" w:name="in-vivo-micronucleus-and-tiered-testing"/>
    <w:p>
      <w:pPr>
        <w:pStyle w:val="Heading2"/>
      </w:pPr>
      <w:r>
        <w:rPr>
          <w:i/>
          <w:iCs/>
        </w:rPr>
        <w:t xml:space="preserve">In Vivo</w:t>
      </w:r>
      <w:r>
        <w:t xml:space="preserve"> </w:t>
      </w:r>
      <w:r>
        <w:t xml:space="preserve">Micronucleus and Tiered Testing</w:t>
      </w:r>
    </w:p>
    <w:p>
      <w:pPr>
        <w:pStyle w:val="FirstParagraph"/>
      </w:pPr>
      <w:r>
        <w:rPr>
          <w:i/>
          <w:iCs/>
        </w:rPr>
        <w:t xml:space="preserve">In vivo</w:t>
      </w:r>
      <w:r>
        <w:t xml:space="preserve"> </w:t>
      </w:r>
      <w:r>
        <w:t xml:space="preserve">MN models showed strong ranking performance (ROC-AUC = 0.860, PR-AUC = 0.237),</w:t>
      </w:r>
      <w:r>
        <w:t xml:space="preserve"> </w:t>
      </w:r>
      <w:r>
        <w:t xml:space="preserve">but classification at any fixed threshold was unreliable (MCC 95% CI crossed zero). This</w:t>
      </w:r>
      <w:r>
        <w:t xml:space="preserve"> </w:t>
      </w:r>
      <w:r>
        <w:t xml:space="preserve">indicates that current 2D-descriptor models are not suitable for regulatory binary hazard</w:t>
      </w:r>
      <w:r>
        <w:t xml:space="preserve"> </w:t>
      </w:r>
      <w:r>
        <w:t xml:space="preserve">decisions under ICH M7</w:t>
      </w:r>
      <w:r>
        <w:t xml:space="preserve"> </w:t>
      </w:r>
      <w:r>
        <w:t xml:space="preserve">or REACH.</w:t>
      </w:r>
      <w:r>
        <w:t xml:space="preserve"> </w:t>
      </w:r>
      <w:r>
        <w:t xml:space="preserve">The 8.5-fold</w:t>
      </w:r>
      <w:r>
        <w:t xml:space="preserve"> </w:t>
      </w:r>
      <w:r>
        <w:t xml:space="preserve">enrichment over baseline prevalence, however, suggests potential utility as a prioritization</w:t>
      </w:r>
      <w:r>
        <w:t xml:space="preserve"> </w:t>
      </w:r>
      <w:r>
        <w:t xml:space="preserve">tool within a tiered screening workflow.</w:t>
      </w:r>
    </w:p>
    <w:p>
      <w:pPr>
        <w:pStyle w:val="BodyText"/>
      </w:pPr>
      <w:r>
        <w:t xml:space="preserve">Performance was also highly sensitive to preprocessing: salt stripping improved MCC by</w:t>
      </w:r>
      <w:r>
        <w:t xml:space="preserve"> </w:t>
      </w:r>
      <m:oMath>
        <m:r>
          <m:rPr>
            <m:sty m:val="p"/>
          </m:rPr>
          <m:t>+</m:t>
        </m:r>
        <m:r>
          <m:t>0.22</m:t>
        </m:r>
      </m:oMath>
      <w:r>
        <w:t xml:space="preserve">. These findings indicate that reported</w:t>
      </w:r>
      <w:r>
        <w:t xml:space="preserve"> </w:t>
      </w:r>
      <w:r>
        <w:rPr>
          <w:i/>
          <w:iCs/>
        </w:rPr>
        <w:t xml:space="preserve">in vivo</w:t>
      </w:r>
      <w:r>
        <w:t xml:space="preserve"> </w:t>
      </w:r>
      <w:r>
        <w:t xml:space="preserve">performance can differ appreciably depending</w:t>
      </w:r>
      <w:r>
        <w:t xml:space="preserve"> </w:t>
      </w:r>
      <w:r>
        <w:t xml:space="preserve">on undocumented preprocessing choices.</w:t>
      </w:r>
      <w:r>
        <w:t xml:space="preserve"> </w:t>
      </w:r>
      <w:r>
        <w:t xml:space="preserve">Mechanistically, micronucleus</w:t>
      </w:r>
      <w:r>
        <w:t xml:space="preserve"> </w:t>
      </w:r>
      <w:r>
        <w:t xml:space="preserve">induction is governed by ADME, metabolic activation, tissue distribution, and DNA</w:t>
      </w:r>
      <w:r>
        <w:t xml:space="preserve"> </w:t>
      </w:r>
      <w:r>
        <w:t xml:space="preserve">repair</w:t>
      </w:r>
      <w:r>
        <w:t xml:space="preserve">—processes that 2D descriptors do not represent.</w:t>
      </w:r>
    </w:p>
    <w:bookmarkEnd w:id="58"/>
    <w:bookmarkStart w:id="59" w:name="cross-endpoint-overlap-and-preprocessing"/>
    <w:p>
      <w:pPr>
        <w:pStyle w:val="Heading2"/>
      </w:pPr>
      <w:r>
        <w:t xml:space="preserve">Cross-Endpoint Overlap and Preprocessing</w:t>
      </w:r>
    </w:p>
    <w:p>
      <w:pPr>
        <w:pStyle w:val="FirstParagraph"/>
      </w:pPr>
      <w:r>
        <w:t xml:space="preserve">More than 90% of the</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compounds also appear in the Ames dataset.</w:t>
      </w:r>
      <w:r>
        <w:t xml:space="preserve"> </w:t>
      </w:r>
      <w:r>
        <w:t xml:space="preserve">Performance differences across endpoints (Ames MCC = 0.555 vs. </w:t>
      </w:r>
      <w:r>
        <w:rPr>
          <w:i/>
          <w:iCs/>
        </w:rPr>
        <w:t xml:space="preserve">in vivo</w:t>
      </w:r>
      <w:r>
        <w:t xml:space="preserve"> </w:t>
      </w:r>
      <w:r>
        <w:t xml:space="preserve">0.311) therefore</w:t>
      </w:r>
      <w:r>
        <w:t xml:space="preserve"> </w:t>
      </w:r>
      <w:r>
        <w:t xml:space="preserve">most likely reflect intrinsic endpoint predictability from 2D structure, not differences in</w:t>
      </w:r>
      <w:r>
        <w:t xml:space="preserve"> </w:t>
      </w:r>
      <w:r>
        <w:t xml:space="preserve">chemical coverage.</w:t>
      </w:r>
      <w:r>
        <w:t xml:space="preserve"> </w:t>
      </w:r>
      <w:r>
        <w:t xml:space="preserve">Multi-task learning may be a productive avenue for</w:t>
      </w:r>
      <w:r>
        <w:t xml:space="preserve"> </w:t>
      </w:r>
      <w:r>
        <w:t xml:space="preserve">future work.</w:t>
      </w:r>
    </w:p>
    <w:p>
      <w:pPr>
        <w:pStyle w:val="BodyText"/>
      </w:pPr>
      <w:r>
        <w:t xml:space="preserve">Preprocessing effects were endpoint-specific: salt stripping improved</w:t>
      </w:r>
      <w:r>
        <w:t xml:space="preserve"> </w:t>
      </w:r>
      <w:r>
        <w:rPr>
          <w:i/>
          <w:iCs/>
        </w:rPr>
        <w:t xml:space="preserve">in vivo</w:t>
      </w:r>
      <w:r>
        <w:t xml:space="preserve"> </w:t>
      </w:r>
      <w:r>
        <w:t xml:space="preserve">performance,</w:t>
      </w:r>
      <w:r>
        <w:t xml:space="preserve"> </w:t>
      </w:r>
      <w:r>
        <w:t xml:space="preserve">produced mixed results for Ames, and reduced</w:t>
      </w:r>
      <w:r>
        <w:t xml:space="preserve"> </w:t>
      </w:r>
      <w:r>
        <w:rPr>
          <w:i/>
          <w:iCs/>
        </w:rPr>
        <w:t xml:space="preserve">in vitro</w:t>
      </w:r>
      <w:r>
        <w:t xml:space="preserve"> </w:t>
      </w:r>
      <w:r>
        <w:t xml:space="preserve">performance. The reduction for</w:t>
      </w:r>
      <w:r>
        <w:t xml:space="preserve"> </w:t>
      </w:r>
      <w:r>
        <w:rPr>
          <w:i/>
          <w:iCs/>
        </w:rPr>
        <w:t xml:space="preserve">in vitro</w:t>
      </w:r>
      <w:r>
        <w:t xml:space="preserve"> </w:t>
      </w:r>
      <w:r>
        <w:t xml:space="preserve">may reflect clastogenic activity of some counterions. Although standardized</w:t>
      </w:r>
      <w:r>
        <w:t xml:space="preserve"> </w:t>
      </w:r>
      <w:r>
        <w:t xml:space="preserve">preprocessing pipelines are widely recommended,</w:t>
      </w:r>
      <w:r>
        <w:t xml:space="preserve"> </w:t>
      </w:r>
      <w:r>
        <w:t xml:space="preserve">the</w:t>
      </w:r>
      <w:r>
        <w:t xml:space="preserve"> </w:t>
      </w:r>
      <w:r>
        <w:t xml:space="preserve">present results indicate that endpoint-specific optimization is preferable.</w:t>
      </w:r>
    </w:p>
    <w:bookmarkEnd w:id="59"/>
    <w:bookmarkStart w:id="60" w:name="practical-recommendations"/>
    <w:p>
      <w:pPr>
        <w:pStyle w:val="Heading2"/>
      </w:pPr>
      <w:r>
        <w:t xml:space="preserve">Practical Recommendations</w:t>
      </w:r>
    </w:p>
    <w:p>
      <w:pPr>
        <w:pStyle w:val="FirstParagraph"/>
      </w:pPr>
      <w:r>
        <w:t xml:space="preserve">The following reporting standards are proposed for genotoxicity QSAR:</w:t>
      </w:r>
    </w:p>
    <w:p>
      <w:pPr>
        <w:numPr>
          <w:ilvl w:val="0"/>
          <w:numId w:val="1003"/>
        </w:numPr>
      </w:pPr>
      <w:r>
        <w:t xml:space="preserve">Use scaffold-based splitting.</w:t>
      </w:r>
    </w:p>
    <w:p>
      <w:pPr>
        <w:numPr>
          <w:ilvl w:val="0"/>
          <w:numId w:val="1003"/>
        </w:numPr>
      </w:pPr>
      <w:r>
        <w:t xml:space="preserve">When source labels are available, report cross-source LDO performance with</w:t>
      </w:r>
      <w:r>
        <w:t xml:space="preserve"> </w:t>
      </w:r>
      <w:r>
        <w:t xml:space="preserve">disclosed source composition.</w:t>
      </w:r>
    </w:p>
    <w:p>
      <w:pPr>
        <w:numPr>
          <w:ilvl w:val="0"/>
          <w:numId w:val="1003"/>
        </w:numPr>
      </w:pPr>
      <w:r>
        <w:t xml:space="preserve">Optimize preprocessing separately for each endpoint.</w:t>
      </w:r>
    </w:p>
    <w:p>
      <w:pPr>
        <w:numPr>
          <w:ilvl w:val="0"/>
          <w:numId w:val="1003"/>
        </w:numPr>
      </w:pPr>
      <w:r>
        <w:t xml:space="preserve">Report bootstrap CIs and applicability domain coverage.</w:t>
      </w:r>
    </w:p>
    <w:p>
      <w:pPr>
        <w:numPr>
          <w:ilvl w:val="0"/>
          <w:numId w:val="1003"/>
        </w:numPr>
      </w:pPr>
      <w:r>
        <w:t xml:space="preserve">For class-imbalanced endpoints, report both threshold-free (ROC-AUC, PR-AUC) and</w:t>
      </w:r>
      <w:r>
        <w:t xml:space="preserve"> </w:t>
      </w:r>
      <w:r>
        <w:t xml:space="preserve">threshold-dependent (MCC, balanced accuracy) metrics.</w:t>
      </w:r>
    </w:p>
    <w:p>
      <w:pPr>
        <w:numPr>
          <w:ilvl w:val="0"/>
          <w:numId w:val="1003"/>
        </w:numPr>
      </w:pPr>
      <w:r>
        <w:t xml:space="preserve">Test algorithm superiority claims under source shift, not only in-domain.</w:t>
      </w:r>
    </w:p>
    <w:p>
      <w:pPr>
        <w:pStyle w:val="FirstParagraph"/>
      </w:pPr>
      <w:r>
        <w:t xml:space="preserve">Several limitations apply. Only a single scaffold split was used. The GCN lacked edge</w:t>
      </w:r>
      <w:r>
        <w:t xml:space="preserve"> </w:t>
      </w:r>
      <w:r>
        <w:t xml:space="preserve">features and pretraining.</w:t>
      </w:r>
      <w:r>
        <w:t xml:space="preserve"> </w:t>
      </w:r>
      <w:r>
        <w:t xml:space="preserve">Three-dimensional descriptors, metabolite</w:t>
      </w:r>
      <w:r>
        <w:t xml:space="preserve"> </w:t>
      </w:r>
      <w:r>
        <w:t xml:space="preserve">predictions, within-AD vs. out-of-AD stratification for LDO, and multiple-comparison</w:t>
      </w:r>
      <w:r>
        <w:t xml:space="preserve"> </w:t>
      </w:r>
      <w:r>
        <w:t xml:space="preserve">correction for McNemar tests</w:t>
      </w:r>
      <w:r>
        <w:t xml:space="preserve"> </w:t>
      </w:r>
      <w:r>
        <w:t xml:space="preserve">were not evaluated.</w:t>
      </w:r>
    </w:p>
    <w:bookmarkEnd w:id="60"/>
    <w:bookmarkEnd w:id="61"/>
    <w:bookmarkStart w:id="62" w:name="conclusion"/>
    <w:p>
      <w:pPr>
        <w:pStyle w:val="Heading1"/>
      </w:pPr>
      <w:r>
        <w:t xml:space="preserve">Conclusion</w:t>
      </w:r>
    </w:p>
    <w:p>
      <w:pPr>
        <w:pStyle w:val="FirstParagraph"/>
      </w:pPr>
      <w:r>
        <w:t xml:space="preserve">Applying an evaluation cascade to 225 model configurations across three genotoxicity</w:t>
      </w:r>
      <w:r>
        <w:t xml:space="preserve"> </w:t>
      </w:r>
      <w:r>
        <w:t xml:space="preserve">datasets shows that, for the Ames mutagenicity benchmark studied here, mixing drug-like and</w:t>
      </w:r>
      <w:r>
        <w:t xml:space="preserve"> </w:t>
      </w:r>
      <w:r>
        <w:t xml:space="preserve">industrial compounds—which differ sharply in positive rate and data provenance—produces</w:t>
      </w:r>
      <w:r>
        <w:t xml:space="preserve"> </w:t>
      </w:r>
      <w:r>
        <w:t xml:space="preserve">a source heterogeneity gap (</w:t>
      </w:r>
      <m:oMath>
        <m:r>
          <m:rPr>
            <m:sty m:val="p"/>
          </m:rPr>
          <m:t>Δ</m:t>
        </m:r>
        <m:r>
          <m:rPr>
            <m:sty m:val="p"/>
          </m:rPr>
          <m:t>=</m:t>
        </m:r>
        <m:r>
          <m:t>0.390</m:t>
        </m:r>
      </m:oMath>
      <w:r>
        <w:t xml:space="preserve">, scaffold CV to LDO) that is considerably</w:t>
      </w:r>
      <w:r>
        <w:t xml:space="preserve"> </w:t>
      </w:r>
      <w:r>
        <w:t xml:space="preserve">larger than what comes from choosing between random and scaffold splitting (</w:t>
      </w:r>
      <m:oMath>
        <m:r>
          <m:rPr>
            <m:sty m:val="p"/>
          </m:rPr>
          <m:t>Δ</m:t>
        </m:r>
        <m:r>
          <m:rPr>
            <m:sty m:val="p"/>
          </m:rPr>
          <m:t>=</m:t>
        </m:r>
        <m:r>
          <m:t>0.046</m:t>
        </m:r>
      </m:oMath>
      <w:r>
        <w:t xml:space="preserve">).</w:t>
      </w:r>
      <w:r>
        <w:t xml:space="preserve"> </w:t>
      </w:r>
      <w:r>
        <w:t xml:space="preserve">Threshold decomposition attributed only part of this gap to prior shift; a meaningful</w:t>
      </w:r>
      <w:r>
        <w:t xml:space="preserve"> </w:t>
      </w:r>
      <w:r>
        <w:t xml:space="preserve">residual remains that recalibration cannot fix. Algorithm differences are small within a</w:t>
      </w:r>
      <w:r>
        <w:t xml:space="preserve"> </w:t>
      </w:r>
      <w:r>
        <w:t xml:space="preserve">single source domain (MCC range = 0.063) but become pronounced under source shift, with RF</w:t>
      </w:r>
      <w:r>
        <w:t xml:space="preserve"> </w:t>
      </w:r>
      <w:r>
        <w:t xml:space="preserve">performing considerably better than gradient boosting.</w:t>
      </w:r>
      <w:r>
        <w:t xml:space="preserve"> </w:t>
      </w:r>
      <w:r>
        <w:rPr>
          <w:i/>
          <w:iCs/>
        </w:rPr>
        <w:t xml:space="preserve">In vivo</w:t>
      </w:r>
      <w:r>
        <w:t xml:space="preserve"> </w:t>
      </w:r>
      <w:r>
        <w:t xml:space="preserve">micronucleus models can rank</w:t>
      </w:r>
      <w:r>
        <w:t xml:space="preserve"> </w:t>
      </w:r>
      <w:r>
        <w:t xml:space="preserve">compounds but do not yet provide reliable binary classification with 2D descriptors. Taken</w:t>
      </w:r>
      <w:r>
        <w:t xml:space="preserve"> </w:t>
      </w:r>
      <w:r>
        <w:t xml:space="preserve">together, these results call for a source-aware evaluation cascade as a standard reporting</w:t>
      </w:r>
      <w:r>
        <w:t xml:space="preserve"> </w:t>
      </w:r>
      <w:r>
        <w:t xml:space="preserve">requirement for mutagenicity QSAR.</w:t>
      </w:r>
    </w:p>
    <w:bookmarkEnd w:id="62"/>
    <w:bookmarkStart w:id="71" w:name="supporting-information"/>
    <w:p>
      <w:pPr>
        <w:pStyle w:val="Heading1"/>
      </w:pPr>
      <w:r>
        <w:t xml:space="preserve">Supporting Information</w:t>
      </w:r>
    </w:p>
    <w:p>
      <w:pPr>
        <w:pStyle w:val="FirstParagraph"/>
      </w:pPr>
      <w:r>
        <w:t xml:space="preserve">The Supporting Information is available free of charge. Summary tables are shown below;</w:t>
      </w:r>
      <w:r>
        <w:t xml:space="preserve"> </w:t>
      </w:r>
      <w:r>
        <w:t xml:space="preserve">complete per-configuration data are provided as supplementary CSV files in the code</w:t>
      </w:r>
      <w:r>
        <w:t xml:space="preserve"> </w:t>
      </w:r>
      <w:r>
        <w:t xml:space="preserve">repository.</w:t>
      </w:r>
    </w:p>
    <w:bookmarkStart w:id="63" w:name="X6eccdb461ce684fe38697ffb1f5f07bcf7e5a2f"/>
    <w:p>
      <w:pPr>
        <w:pStyle w:val="Heading2"/>
      </w:pPr>
      <w:r>
        <w:t xml:space="preserve">Table S0. Endpoint classification criteria</w:t>
      </w:r>
    </w:p>
    <w:p>
      <w:pPr>
        <w:pStyle w:val="FirstParagraph"/>
      </w:pPr>
      <w:r>
        <w:t xml:space="preserve">The full mapping of OECD, EPA, and EU Test Guidelines to the three endpoint categories</w:t>
      </w:r>
      <w:r>
        <w:t xml:space="preserve"> </w:t>
      </w:r>
      <w:r>
        <w:t xml:space="preserve">(Ames, in vitro CA, in vivo MN) used for curating all datasets is provided as</w:t>
      </w:r>
      <w:r>
        <w:t xml:space="preserve"> </w:t>
      </w:r>
      <w:r>
        <w:rPr>
          <w:rStyle w:val="VerbatimChar"/>
        </w:rPr>
        <w:t xml:space="preserve">table_s0_endpoint_classification.xlsx</w:t>
      </w:r>
      <w:r>
        <w:t xml:space="preserve">. This table was used to assign each raw</w:t>
      </w:r>
      <w:r>
        <w:t xml:space="preserve"> </w:t>
      </w:r>
      <w:r>
        <w:t xml:space="preserve">study record to one of the target endpoints prior to any modeling.</w:t>
      </w:r>
    </w:p>
    <w:bookmarkEnd w:id="63"/>
    <w:bookmarkStart w:id="64" w:name="X1cd5a7563e2286d262b5b997d5d6d6eb3f51443"/>
    <w:p>
      <w:pPr>
        <w:pStyle w:val="Heading2"/>
      </w:pPr>
      <w:r>
        <w:t xml:space="preserve">Table S1. Random versus scaffold split comparison</w:t>
      </w:r>
    </w:p>
    <w:p>
      <w:pPr>
        <w:pStyle w:val="TableCaption"/>
      </w:pPr>
      <w:r>
        <w:t xml:space="preserve">Random vs. scaffold split (XGBoost, compact features, raw SMILES,</w:t>
      </w:r>
      <w:r>
        <w:t xml:space="preserve"> </w:t>
      </w:r>
      <m:oMath>
        <m:r>
          <m:t>5</m:t>
        </m:r>
        <m:r>
          <m:t>​</m:t>
        </m:r>
        <m:r>
          <m:rPr>
            <m:sty m:val="p"/>
          </m:rPr>
          <m:t>×</m:t>
        </m:r>
        <m:r>
          <m:t>​</m:t>
        </m:r>
        <m:r>
          <m:t>5</m:t>
        </m:r>
      </m:oMath>
      <w:r>
        <w:t xml:space="preserve"> </w:t>
      </w:r>
      <w:r>
        <w:t xml:space="preserve">CV).</w:t>
      </w:r>
    </w:p>
    <w:tbl>
      <w:tblPr>
        <w:tblStyle w:val="Table"/>
        <w:tblW w:type="auto" w:w="0"/>
        <w:tblLook w:firstRow="1" w:lastRow="0" w:firstColumn="0" w:lastColumn="0" w:noHBand="0" w:noVBand="0" w:val="0020"/>
        <w:tblCaption w:val="Random vs. scaffold split (XGBoost, compact features, raw SMILES, 5\!\times\!5 CV)."/>
      </w:tblPr>
      <w:tblGrid>
        <w:gridCol w:w="1584"/>
        <w:gridCol w:w="1584"/>
        <w:gridCol w:w="1584"/>
        <w:gridCol w:w="1584"/>
        <w:gridCol w:w="1584"/>
      </w:tblGrid>
      <w:tr>
        <w:trPr>
          <w:tblHeader w:val="on"/>
        </w:trPr>
        <w:tc>
          <w:tcPr/>
          <w:p>
            <w:pPr>
              <w:pStyle w:val="Compact"/>
              <w:jc w:val="left"/>
            </w:pPr>
            <w:r>
              <w:t xml:space="preserve">Endpoint</w:t>
            </w:r>
          </w:p>
        </w:tc>
        <w:tc>
          <w:tcPr/>
          <w:p>
            <w:pPr>
              <w:pStyle w:val="Compact"/>
              <w:jc w:val="right"/>
            </w:pPr>
            <m:oMath>
              <m:r>
                <m:t>n</m:t>
              </m:r>
            </m:oMath>
          </w:p>
        </w:tc>
        <w:tc>
          <w:tcPr/>
          <w:p>
            <w:pPr>
              <w:pStyle w:val="Compact"/>
              <w:jc w:val="center"/>
            </w:pPr>
            <w:r>
              <w:t xml:space="preserve">Random MCC</w:t>
            </w:r>
          </w:p>
        </w:tc>
        <w:tc>
          <w:tcPr/>
          <w:p>
            <w:pPr>
              <w:pStyle w:val="Compact"/>
              <w:jc w:val="center"/>
            </w:pPr>
            <w:r>
              <w:t xml:space="preserve">Scaffold MCC</w:t>
            </w:r>
          </w:p>
        </w:tc>
        <w:tc>
          <w:tcPr/>
          <w:p>
            <w:pPr>
              <w:pStyle w:val="Compact"/>
              <w:jc w:val="center"/>
            </w:pPr>
            <m:oMath>
              <m:r>
                <m:rPr>
                  <m:sty m:val="p"/>
                </m:rPr>
                <m:t>Δ</m:t>
              </m:r>
            </m:oMath>
          </w:p>
        </w:tc>
      </w:tr>
      <w:tr>
        <w:tc>
          <w:tcPr/>
          <w:p>
            <w:pPr>
              <w:pStyle w:val="Compact"/>
              <w:jc w:val="left"/>
            </w:pPr>
            <w:r>
              <w:t xml:space="preserve">Ames</w:t>
            </w:r>
          </w:p>
        </w:tc>
        <w:tc>
          <w:tcPr/>
          <w:p>
            <w:pPr>
              <w:pStyle w:val="Compact"/>
              <w:jc w:val="right"/>
            </w:pPr>
            <w:r>
              <w:t xml:space="preserve">13,560</w:t>
            </w:r>
          </w:p>
        </w:tc>
        <w:tc>
          <w:tcPr/>
          <w:p>
            <w:pPr>
              <w:pStyle w:val="Compact"/>
              <w:jc w:val="center"/>
            </w:pPr>
            <m:oMath>
              <m:r>
                <m:t>0.670</m:t>
              </m:r>
              <m:r>
                <m:rPr>
                  <m:sty m:val="p"/>
                </m:rPr>
                <m:t>±</m:t>
              </m:r>
              <m:r>
                <m:t>0.010</m:t>
              </m:r>
            </m:oMath>
          </w:p>
        </w:tc>
        <w:tc>
          <w:tcPr/>
          <w:p>
            <w:pPr>
              <w:pStyle w:val="Compact"/>
              <w:jc w:val="center"/>
            </w:pPr>
            <m:oMath>
              <m:r>
                <m:t>0.624</m:t>
              </m:r>
              <m:r>
                <m:rPr>
                  <m:sty m:val="p"/>
                </m:rPr>
                <m:t>±</m:t>
              </m:r>
              <m:r>
                <m:t>0.049</m:t>
              </m:r>
            </m:oMath>
          </w:p>
        </w:tc>
        <w:tc>
          <w:tcPr/>
          <w:p>
            <w:pPr>
              <w:pStyle w:val="Compact"/>
              <w:jc w:val="center"/>
            </w:pPr>
            <w:r>
              <w:t xml:space="preserve">0.046</w:t>
            </w:r>
          </w:p>
        </w:tc>
      </w:tr>
      <w:tr>
        <w:tc>
          <w:tcPr/>
          <w:p>
            <w:pPr>
              <w:pStyle w:val="Compact"/>
              <w:jc w:val="left"/>
            </w:pPr>
            <w:r>
              <w:t xml:space="preserve">In vitro CA</w:t>
            </w:r>
          </w:p>
        </w:tc>
        <w:tc>
          <w:tcPr/>
          <w:p>
            <w:pPr>
              <w:pStyle w:val="Compact"/>
              <w:jc w:val="right"/>
            </w:pPr>
            <w:r>
              <w:t xml:space="preserve">1,619</w:t>
            </w:r>
          </w:p>
        </w:tc>
        <w:tc>
          <w:tcPr/>
          <w:p>
            <w:pPr>
              <w:pStyle w:val="Compact"/>
              <w:jc w:val="center"/>
            </w:pPr>
            <m:oMath>
              <m:r>
                <m:t>0.180</m:t>
              </m:r>
              <m:r>
                <m:rPr>
                  <m:sty m:val="p"/>
                </m:rPr>
                <m:t>±</m:t>
              </m:r>
              <m:r>
                <m:t>0.053</m:t>
              </m:r>
            </m:oMath>
          </w:p>
        </w:tc>
        <w:tc>
          <w:tcPr/>
          <w:p>
            <w:pPr>
              <w:pStyle w:val="Compact"/>
              <w:jc w:val="center"/>
            </w:pPr>
            <m:oMath>
              <m:r>
                <m:t>0.189</m:t>
              </m:r>
              <m:r>
                <m:rPr>
                  <m:sty m:val="p"/>
                </m:rPr>
                <m:t>±</m:t>
              </m:r>
              <m:r>
                <m:t>0.084</m:t>
              </m:r>
            </m:oMath>
          </w:p>
        </w:tc>
        <w:tc>
          <w:tcPr/>
          <w:p>
            <w:pPr>
              <w:pStyle w:val="Compact"/>
              <w:jc w:val="center"/>
            </w:pPr>
            <m:oMath>
              <m:r>
                <m:rPr>
                  <m:sty m:val="p"/>
                </m:rPr>
                <m:t>−</m:t>
              </m:r>
            </m:oMath>
            <w:r>
              <w:t xml:space="preserve">0.009</w:t>
            </w:r>
          </w:p>
        </w:tc>
      </w:tr>
      <w:tr>
        <w:tc>
          <w:tcPr/>
          <w:p>
            <w:pPr>
              <w:pStyle w:val="Compact"/>
              <w:jc w:val="left"/>
            </w:pPr>
            <w:r>
              <w:t xml:space="preserve">In vivo MN</w:t>
            </w:r>
          </w:p>
        </w:tc>
        <w:tc>
          <w:tcPr/>
          <w:p>
            <w:pPr>
              <w:pStyle w:val="Compact"/>
              <w:jc w:val="right"/>
            </w:pPr>
            <w:r>
              <w:t xml:space="preserve">2,153</w:t>
            </w:r>
          </w:p>
        </w:tc>
        <w:tc>
          <w:tcPr/>
          <w:p>
            <w:pPr>
              <w:pStyle w:val="Compact"/>
              <w:jc w:val="center"/>
            </w:pPr>
            <m:oMath>
              <m:r>
                <m:t>0.181</m:t>
              </m:r>
              <m:r>
                <m:rPr>
                  <m:sty m:val="p"/>
                </m:rPr>
                <m:t>±</m:t>
              </m:r>
              <m:r>
                <m:t>0.094</m:t>
              </m:r>
            </m:oMath>
          </w:p>
        </w:tc>
        <w:tc>
          <w:tcPr/>
          <w:p>
            <w:pPr>
              <w:pStyle w:val="Compact"/>
              <w:jc w:val="center"/>
            </w:pPr>
            <m:oMath>
              <m:r>
                <m:t>0.104</m:t>
              </m:r>
              <m:r>
                <m:rPr>
                  <m:sty m:val="p"/>
                </m:rPr>
                <m:t>±</m:t>
              </m:r>
              <m:r>
                <m:t>0.111</m:t>
              </m:r>
            </m:oMath>
          </w:p>
        </w:tc>
        <w:tc>
          <w:tcPr/>
          <w:p>
            <w:pPr>
              <w:pStyle w:val="Compact"/>
              <w:jc w:val="center"/>
            </w:pPr>
            <w:r>
              <w:t xml:space="preserve">0.077</w:t>
            </w:r>
          </w:p>
        </w:tc>
      </w:tr>
    </w:tbl>
    <w:bookmarkEnd w:id="64"/>
    <w:bookmarkStart w:id="65" w:name="table-s2.-full-225-experiment-results"/>
    <w:p>
      <w:pPr>
        <w:pStyle w:val="Heading2"/>
      </w:pPr>
      <w:r>
        <w:t xml:space="preserve">Table S2. Full 225-experiment results</w:t>
      </w:r>
    </w:p>
    <w:p>
      <w:pPr>
        <w:pStyle w:val="FirstParagraph"/>
      </w:pPr>
      <w:r>
        <w:t xml:space="preserve">Complete metrics (MCC, bootstrap CI, ROC-AUC, PR-AUC, balanced accuracy, sensitivity,</w:t>
      </w:r>
      <w:r>
        <w:t xml:space="preserve"> </w:t>
      </w:r>
      <w:r>
        <w:t xml:space="preserve">specificity, Brier score, AD coverage) for all 225 configurations are provided in</w:t>
      </w:r>
      <w:r>
        <w:t xml:space="preserve"> </w:t>
      </w:r>
      <w:r>
        <w:rPr>
          <w:rStyle w:val="VerbatimChar"/>
        </w:rPr>
        <w:t xml:space="preserve">table_s2_full_results.csv</w:t>
      </w:r>
      <w:r>
        <w:t xml:space="preserve">.</w:t>
      </w:r>
    </w:p>
    <w:bookmarkEnd w:id="65"/>
    <w:bookmarkStart w:id="66" w:name="X0d30847f2d5a9b6c07a1d4ac89d7bb645583e0d"/>
    <w:p>
      <w:pPr>
        <w:pStyle w:val="Heading2"/>
      </w:pPr>
      <w:r>
        <w:t xml:space="preserve">Table S3. Hyperparameter tuning comparison</w:t>
      </w:r>
    </w:p>
    <w:p>
      <w:pPr>
        <w:pStyle w:val="FirstParagraph"/>
      </w:pPr>
      <w:r>
        <w:t xml:space="preserve">Default versus tuned MCC for all configurations, including optimized parameter values, are</w:t>
      </w:r>
      <w:r>
        <w:t xml:space="preserve"> </w:t>
      </w:r>
      <w:r>
        <w:t xml:space="preserve">provided in</w:t>
      </w:r>
      <w:r>
        <w:t xml:space="preserve"> </w:t>
      </w:r>
      <w:r>
        <w:rPr>
          <w:rStyle w:val="VerbatimChar"/>
        </w:rPr>
        <w:t xml:space="preserve">table_s3_hp_tuning.csv</w:t>
      </w:r>
      <w:r>
        <w:t xml:space="preserve">.</w:t>
      </w:r>
    </w:p>
    <w:bookmarkEnd w:id="66"/>
    <w:bookmarkStart w:id="67" w:name="table-s4.-applicability-domain-coverage"/>
    <w:p>
      <w:pPr>
        <w:pStyle w:val="Heading2"/>
      </w:pPr>
      <w:r>
        <w:t xml:space="preserve">Table S4. Applicability domain coverage</w:t>
      </w:r>
    </w:p>
    <w:p>
      <w:pPr>
        <w:pStyle w:val="FirstParagraph"/>
      </w:pPr>
      <w:r>
        <w:t xml:space="preserve">Per-configuration AD coverage (Tanimoto</w:t>
      </w:r>
      <w:r>
        <w:t xml:space="preserve"> </w:t>
      </w:r>
      <m:oMath>
        <m:r>
          <m:rPr>
            <m:sty m:val="p"/>
          </m:rPr>
          <m:t>≥</m:t>
        </m:r>
      </m:oMath>
      <w:r>
        <w:t xml:space="preserve"> </w:t>
      </w:r>
      <w:r>
        <w:t xml:space="preserve">0.3, 1024-bit Morgan FP) and mean similarity</w:t>
      </w:r>
      <w:r>
        <w:t xml:space="preserve"> </w:t>
      </w:r>
      <w:r>
        <w:t xml:space="preserve">values are provided in</w:t>
      </w:r>
      <w:r>
        <w:t xml:space="preserve"> </w:t>
      </w:r>
      <w:r>
        <w:rPr>
          <w:rStyle w:val="VerbatimChar"/>
        </w:rPr>
        <w:t xml:space="preserve">table_s4_ad_coverage.csv</w:t>
      </w:r>
      <w:r>
        <w:t xml:space="preserve">. Coverage ranged from 48.5%</w:t>
      </w:r>
      <w:r>
        <w:t xml:space="preserve"> </w:t>
      </w:r>
      <w:r>
        <w:t xml:space="preserve">(in vitro) to 58.9% (in vivo) across configurations.</w:t>
      </w:r>
    </w:p>
    <w:bookmarkEnd w:id="67"/>
    <w:bookmarkStart w:id="68" w:name="Xf0acbb9ffc473f581d7ad6e257fffb69a26a220"/>
    <w:p>
      <w:pPr>
        <w:pStyle w:val="Heading2"/>
      </w:pPr>
      <w:r>
        <w:t xml:space="preserve">Table S5. Cross-endpoint compound overlap</w:t>
      </w:r>
    </w:p>
    <w:p>
      <w:pPr>
        <w:pStyle w:val="FirstParagraph"/>
      </w:pPr>
      <w:r>
        <w:t xml:space="preserve">Pairwise compound overlap and label concordance (</w:t>
      </w:r>
      <m:oMath>
        <m:r>
          <m:t>κ</m:t>
        </m:r>
      </m:oMath>
      <w:r>
        <w:t xml:space="preserve">) between the three endpoint</w:t>
      </w:r>
      <w:r>
        <w:t xml:space="preserve"> </w:t>
      </w:r>
      <w:r>
        <w:t xml:space="preserve">datasets are provided in</w:t>
      </w:r>
      <w:r>
        <w:t xml:space="preserve"> </w:t>
      </w:r>
      <w:r>
        <w:rPr>
          <w:rStyle w:val="VerbatimChar"/>
        </w:rPr>
        <w:t xml:space="preserve">table_s5_cross_endpoint.csv</w:t>
      </w:r>
      <w:r>
        <w:t xml:space="preserve">. Overlap with Ames was</w:t>
      </w:r>
      <w:r>
        <w:t xml:space="preserve"> </w:t>
      </w:r>
      <w:r>
        <w:t xml:space="preserve">97.5% for in vitro and 92.1% for in vivo.</w:t>
      </w:r>
    </w:p>
    <w:bookmarkEnd w:id="68"/>
    <w:bookmarkStart w:id="69" w:name="table-s6.-shap-feature-importance"/>
    <w:p>
      <w:pPr>
        <w:pStyle w:val="Heading2"/>
      </w:pPr>
      <w:r>
        <w:t xml:space="preserve">Table S6. SHAP feature importance</w:t>
      </w:r>
    </w:p>
    <w:p>
      <w:pPr>
        <w:pStyle w:val="FirstParagraph"/>
      </w:pPr>
      <w:r>
        <w:t xml:space="preserve">SHAP values (mean</w:t>
      </w:r>
      <w:r>
        <w:t xml:space="preserve"> </w:t>
      </w:r>
      <m:oMath>
        <m:r>
          <m:rPr>
            <m:sty m:val="p"/>
          </m:rPr>
          <m:t>|</m:t>
        </m:r>
      </m:oMath>
      <w:r>
        <w:t xml:space="preserve">SHAP</w:t>
      </w:r>
      <m:oMath>
        <m:r>
          <m:rPr>
            <m:sty m:val="p"/>
          </m:rPr>
          <m:t>|</m:t>
        </m:r>
      </m:oMath>
      <w:r>
        <w:t xml:space="preserve">, TreeExplainer) for all features across all tree-based models</w:t>
      </w:r>
      <w:r>
        <w:t xml:space="preserve"> </w:t>
      </w:r>
      <w:r>
        <w:t xml:space="preserve">are provided in</w:t>
      </w:r>
      <w:r>
        <w:t xml:space="preserve"> </w:t>
      </w:r>
      <w:r>
        <w:rPr>
          <w:rStyle w:val="VerbatimChar"/>
        </w:rPr>
        <w:t xml:space="preserve">table_s6_shap.csv</w:t>
      </w:r>
      <w:r>
        <w:t xml:space="preserve">.</w:t>
      </w:r>
    </w:p>
    <w:bookmarkEnd w:id="69"/>
    <w:bookmarkStart w:id="70" w:name="X2f0359382d230911d3b491e3a0fa88c207a9b78"/>
    <w:p>
      <w:pPr>
        <w:pStyle w:val="Heading2"/>
      </w:pPr>
      <w:r>
        <w:t xml:space="preserve">Table S7. LDO threshold-tuning analysis (prior shift vs. source shift)</w:t>
      </w:r>
    </w:p>
    <w:p>
      <w:pPr>
        <w:pStyle w:val="FirstParagraph"/>
      </w:pPr>
      <w:r>
        <w:t xml:space="preserve">To distinguish prior shift (calibration mismatch from differing prevalence) from genuine</w:t>
      </w:r>
      <w:r>
        <w:t xml:space="preserve"> </w:t>
      </w:r>
      <w:r>
        <w:t xml:space="preserve">source shift, we evaluated each LDO direction at three decision thresholds: default</w:t>
      </w:r>
      <w:r>
        <w:t xml:space="preserve"> </w:t>
      </w:r>
      <w:r>
        <w:t xml:space="preserve">(</w:t>
      </w:r>
      <m:oMath>
        <m:r>
          <m:t>t</m:t>
        </m:r>
        <m:r>
          <m:rPr>
            <m:sty m:val="p"/>
          </m:rPr>
          <m:t>=</m:t>
        </m:r>
        <m:r>
          <m:t>0.5</m:t>
        </m:r>
      </m:oMath>
      <w:r>
        <w:t xml:space="preserve">), prior-corrected (</w:t>
      </w:r>
      <m:oMath>
        <m:r>
          <m:t>t</m:t>
        </m:r>
      </m:oMath>
      <w:r>
        <w:t xml:space="preserve"> </w:t>
      </w:r>
      <w:r>
        <w:t xml:space="preserve">= training positive rate), and oracle (</w:t>
      </w:r>
      <m:oMath>
        <m:r>
          <m:t>t</m:t>
        </m:r>
      </m:oMath>
      <w:r>
        <w:t xml:space="preserve"> </w:t>
      </w:r>
      <w:r>
        <w:t xml:space="preserve">maximizing MCC</w:t>
      </w:r>
      <w:r>
        <w:t xml:space="preserve"> </w:t>
      </w:r>
      <w:r>
        <w:t xml:space="preserve">on the test set, providing an upper bound). Per-direction and per-algorithm results are</w:t>
      </w:r>
      <w:r>
        <w:t xml:space="preserve"> </w:t>
      </w:r>
      <w:r>
        <w:t xml:space="preserve">shown below.</w:t>
      </w:r>
    </w:p>
    <w:p>
      <w:pPr>
        <w:pStyle w:val="BodyText"/>
      </w:pPr>
      <w:r>
        <w:rPr>
          <w:i/>
          <w:iCs/>
        </w:rPr>
        <w:t xml:space="preserve">Note on features:</w:t>
      </w:r>
      <w:r>
        <w:t xml:space="preserve"> </w:t>
      </w:r>
      <w:r>
        <w:t xml:space="preserve">For computational tractability this analysis used Morgan FP-1024</w:t>
      </w:r>
      <w:r>
        <w:t xml:space="preserve"> </w:t>
      </w:r>
      <w:r>
        <w:t xml:space="preserve">+ 13 physicochemical descriptors rather than the full 138-feature compact set used in the</w:t>
      </w:r>
      <w:r>
        <w:t xml:space="preserve"> </w:t>
      </w:r>
      <w:r>
        <w:t xml:space="preserve">main pipeline. Absolute MCC values therefore differ from Table </w:t>
      </w:r>
      <w:hyperlink w:anchor="tab:ldo">
        <w:r>
          <w:rPr>
            <w:rStyle w:val="Hyperlink"/>
          </w:rPr>
          <w:t xml:space="preserve">5</w:t>
        </w:r>
      </w:hyperlink>
      <w:r>
        <w:t xml:space="preserve"> </w:t>
      </w:r>
      <w:r>
        <w:t xml:space="preserve">(notably RF</w:t>
      </w:r>
      <w:r>
        <w:t xml:space="preserve"> </w:t>
      </w:r>
      <w:r>
        <w:t xml:space="preserve">industrial</w:t>
      </w:r>
      <m:oMath>
        <m:r>
          <m:rPr>
            <m:sty m:val="p"/>
          </m:rPr>
          <m:t>→</m:t>
        </m:r>
      </m:oMath>
      <w:r>
        <w:t xml:space="preserve">drug: 0.102 here vs. 0.325 in the main analysis). The internal</w:t>
      </w:r>
      <w:r>
        <w:t xml:space="preserve"> </w:t>
      </w:r>
      <w:r>
        <w:t xml:space="preserve">three-threshold comparison within each row is valid because identical features are used</w:t>
      </w:r>
      <w:r>
        <w:t xml:space="preserve"> </w:t>
      </w:r>
      <w:r>
        <w:t xml:space="preserve">across thresholds.</w:t>
      </w:r>
    </w:p>
    <w:p>
      <w:pPr>
        <w:pStyle w:val="TableCaption"/>
      </w:pPr>
      <w:r>
        <w:t xml:space="preserve">LDO threshold-tuning analysis (Morgan FP-1024 + 13 physchem features). Default =</w:t>
      </w:r>
      <w:r>
        <w:t xml:space="preserve"> </w:t>
      </w:r>
      <w:r>
        <w:t xml:space="preserve">MCC at</w:t>
      </w:r>
      <w:r>
        <w:t xml:space="preserve"> </w:t>
      </w:r>
      <m:oMath>
        <m:r>
          <m:t>t</m:t>
        </m:r>
        <m:r>
          <m:rPr>
            <m:sty m:val="p"/>
          </m:rPr>
          <m:t>=</m:t>
        </m:r>
        <m:r>
          <m:t>0.5</m:t>
        </m:r>
      </m:oMath>
      <w:r>
        <w:t xml:space="preserve">. Prior-corrected = MCC at</w:t>
      </w:r>
      <w:r>
        <w:t xml:space="preserve"> </w:t>
      </w:r>
      <m:oMath>
        <m:r>
          <m:t>t</m:t>
        </m:r>
      </m:oMath>
      <w:r>
        <w:t xml:space="preserve"> </w:t>
      </w:r>
      <w:r>
        <w:t xml:space="preserve">equal to the training positive rate. Oracle</w:t>
      </w:r>
      <w:r>
        <w:t xml:space="preserve"> </w:t>
      </w:r>
      <w:r>
        <w:t xml:space="preserve">= upper bound MCC across all thresholds. The gap between oracle LDO MCC and the in-domain</w:t>
      </w:r>
      <w:r>
        <w:t xml:space="preserve"> </w:t>
      </w:r>
      <w:r>
        <w:t xml:space="preserve">scaffold-CV MCC (</w:t>
      </w:r>
      <m:oMath>
        <m:r>
          <m:rPr>
            <m:sty m:val="p"/>
          </m:rPr>
          <m:t>≈</m:t>
        </m:r>
      </m:oMath>
      <w:r>
        <w:t xml:space="preserve">0.624) isolates the irreducible source shift that cannot be</w:t>
      </w:r>
      <w:r>
        <w:t xml:space="preserve"> </w:t>
      </w:r>
      <w:r>
        <w:t xml:space="preserve">corrected by threshold tuning.</w:t>
      </w:r>
    </w:p>
    <w:tbl>
      <w:tblPr>
        <w:tblStyle w:val="Table"/>
        <w:tblW w:type="auto" w:w="0"/>
        <w:tblLook w:firstRow="1" w:lastRow="0" w:firstColumn="0" w:lastColumn="0" w:noHBand="0" w:noVBand="0" w:val="0020"/>
        <w:tblCaption w:val="LDO threshold-tuning analysis (Morgan FP-1024 + 13 physchem features). Default = MCC at t = 0.5. Prior-corrected = MCC at t equal to the training positive rate. Oracle = upper bound MCC across all thresholds. The gap between oracle LDO MCC and the in-domain scaffold-CV MCC (\approx0.624) isolates the irreducible source shift that cannot be corrected by threshold tuning."/>
      </w:tblPr>
      <w:tblGrid>
        <w:gridCol w:w="1320"/>
        <w:gridCol w:w="1320"/>
        <w:gridCol w:w="1320"/>
        <w:gridCol w:w="1320"/>
        <w:gridCol w:w="1320"/>
        <w:gridCol w:w="1320"/>
      </w:tblGrid>
      <w:tr>
        <w:trPr>
          <w:tblHeader w:val="on"/>
        </w:trPr>
        <w:tc>
          <w:tcPr/>
          <w:p>
            <w:pPr>
              <w:pStyle w:val="Compact"/>
              <w:jc w:val="left"/>
            </w:pPr>
            <w:r>
              <w:t xml:space="preserve">Direction</w:t>
            </w:r>
          </w:p>
        </w:tc>
        <w:tc>
          <w:tcPr/>
          <w:p>
            <w:pPr>
              <w:pStyle w:val="Compact"/>
              <w:jc w:val="left"/>
            </w:pPr>
            <w:r>
              <w:t xml:space="preserve">Algo.</w:t>
            </w:r>
          </w:p>
        </w:tc>
        <w:tc>
          <w:tcPr/>
          <w:p>
            <w:pPr>
              <w:pStyle w:val="Compact"/>
              <w:jc w:val="center"/>
            </w:pPr>
            <w:r>
              <w:t xml:space="preserve">MCC default</w:t>
            </w:r>
          </w:p>
        </w:tc>
        <w:tc>
          <w:tcPr/>
          <w:p>
            <w:pPr>
              <w:pStyle w:val="Compact"/>
              <w:jc w:val="center"/>
            </w:pPr>
            <w:r>
              <w:t xml:space="preserve">MCC prior-corr.</w:t>
            </w:r>
          </w:p>
        </w:tc>
        <w:tc>
          <w:tcPr/>
          <w:p>
            <w:pPr>
              <w:pStyle w:val="Compact"/>
              <w:jc w:val="center"/>
            </w:pPr>
            <w:r>
              <w:t xml:space="preserve">MCC oracle</w:t>
            </w:r>
          </w:p>
        </w:tc>
        <w:tc>
          <w:tcPr/>
          <w:p>
            <w:pPr>
              <w:pStyle w:val="Compact"/>
              <w:jc w:val="center"/>
            </w:pPr>
            <w:r>
              <w:t xml:space="preserve">Oracle threshold</w:t>
            </w:r>
          </w:p>
        </w:tc>
      </w:tr>
      <w:tr>
        <w:tc>
          <w:tcPr/>
          <w:p>
            <w:pPr>
              <w:pStyle w:val="Compact"/>
              <w:jc w:val="left"/>
            </w:pPr>
            <w:r>
              <w:t xml:space="preserve">Drug</w:t>
            </w:r>
            <w:r>
              <w:t xml:space="preserve"> </w:t>
            </w:r>
            <m:oMath>
              <m:r>
                <m:rPr>
                  <m:sty m:val="p"/>
                </m:rPr>
                <m:t>→</m:t>
              </m:r>
            </m:oMath>
            <w:r>
              <w:t xml:space="preserve"> </w:t>
            </w:r>
            <w:r>
              <w:t xml:space="preserve">Ind. </w:t>
            </w:r>
          </w:p>
        </w:tc>
        <w:tc>
          <w:tcPr/>
          <w:p>
            <w:pPr>
              <w:pStyle w:val="Compact"/>
              <w:jc w:val="left"/>
            </w:pPr>
            <w:r>
              <w:t xml:space="preserve">XGBoost</w:t>
            </w:r>
          </w:p>
        </w:tc>
        <w:tc>
          <w:tcPr/>
          <w:p>
            <w:pPr>
              <w:pStyle w:val="Compact"/>
              <w:jc w:val="center"/>
            </w:pPr>
            <w:r>
              <w:t xml:space="preserve">0.231</w:t>
            </w:r>
          </w:p>
        </w:tc>
        <w:tc>
          <w:tcPr/>
          <w:p>
            <w:pPr>
              <w:pStyle w:val="Compact"/>
              <w:jc w:val="center"/>
            </w:pPr>
            <w:r>
              <w:t xml:space="preserve">0.263</w:t>
            </w:r>
          </w:p>
        </w:tc>
        <w:tc>
          <w:tcPr/>
          <w:p>
            <w:pPr>
              <w:pStyle w:val="Compact"/>
              <w:jc w:val="center"/>
            </w:pPr>
            <w:r>
              <w:t xml:space="preserve">0.310</w:t>
            </w:r>
          </w:p>
        </w:tc>
        <w:tc>
          <w:tcPr/>
          <w:p>
            <w:pPr>
              <w:pStyle w:val="Compact"/>
              <w:jc w:val="center"/>
            </w:pPr>
            <w:r>
              <w:t xml:space="preserve">0.788</w:t>
            </w:r>
          </w:p>
        </w:tc>
      </w:tr>
      <w:tr>
        <w:tc>
          <w:tcPr/>
          <w:p>
            <w:pPr>
              <w:pStyle w:val="Compact"/>
              <w:jc w:val="left"/>
            </w:pPr>
            <w:r>
              <w:t xml:space="preserve">Drug</w:t>
            </w:r>
            <w:r>
              <w:t xml:space="preserve"> </w:t>
            </w:r>
            <m:oMath>
              <m:r>
                <m:rPr>
                  <m:sty m:val="p"/>
                </m:rPr>
                <m:t>→</m:t>
              </m:r>
            </m:oMath>
            <w:r>
              <w:t xml:space="preserve"> </w:t>
            </w:r>
            <w:r>
              <w:t xml:space="preserve">Ind. </w:t>
            </w:r>
          </w:p>
        </w:tc>
        <w:tc>
          <w:tcPr/>
          <w:p>
            <w:pPr>
              <w:pStyle w:val="Compact"/>
              <w:jc w:val="left"/>
            </w:pPr>
            <w:r>
              <w:t xml:space="preserve">LightGBM</w:t>
            </w:r>
          </w:p>
        </w:tc>
        <w:tc>
          <w:tcPr/>
          <w:p>
            <w:pPr>
              <w:pStyle w:val="Compact"/>
              <w:jc w:val="center"/>
            </w:pPr>
            <w:r>
              <w:t xml:space="preserve">0.241</w:t>
            </w:r>
          </w:p>
        </w:tc>
        <w:tc>
          <w:tcPr/>
          <w:p>
            <w:pPr>
              <w:pStyle w:val="Compact"/>
              <w:jc w:val="center"/>
            </w:pPr>
            <w:r>
              <w:t xml:space="preserve">0.264</w:t>
            </w:r>
          </w:p>
        </w:tc>
        <w:tc>
          <w:tcPr/>
          <w:p>
            <w:pPr>
              <w:pStyle w:val="Compact"/>
              <w:jc w:val="center"/>
            </w:pPr>
            <w:r>
              <w:t xml:space="preserve">0.304</w:t>
            </w:r>
          </w:p>
        </w:tc>
        <w:tc>
          <w:tcPr/>
          <w:p>
            <w:pPr>
              <w:pStyle w:val="Compact"/>
              <w:jc w:val="center"/>
            </w:pPr>
            <w:r>
              <w:t xml:space="preserve">0.781</w:t>
            </w:r>
          </w:p>
        </w:tc>
      </w:tr>
      <w:tr>
        <w:tc>
          <w:tcPr/>
          <w:p>
            <w:pPr>
              <w:pStyle w:val="Compact"/>
              <w:jc w:val="left"/>
            </w:pPr>
            <w:r>
              <w:t xml:space="preserve">Drug</w:t>
            </w:r>
            <w:r>
              <w:t xml:space="preserve"> </w:t>
            </w:r>
            <m:oMath>
              <m:r>
                <m:rPr>
                  <m:sty m:val="p"/>
                </m:rPr>
                <m:t>→</m:t>
              </m:r>
            </m:oMath>
            <w:r>
              <w:t xml:space="preserve"> </w:t>
            </w:r>
            <w:r>
              <w:t xml:space="preserve">Ind. </w:t>
            </w:r>
          </w:p>
        </w:tc>
        <w:tc>
          <w:tcPr/>
          <w:p>
            <w:pPr>
              <w:pStyle w:val="Compact"/>
              <w:jc w:val="left"/>
            </w:pPr>
            <w:r>
              <w:t xml:space="preserve">RF</w:t>
            </w:r>
          </w:p>
        </w:tc>
        <w:tc>
          <w:tcPr/>
          <w:p>
            <w:pPr>
              <w:pStyle w:val="Compact"/>
              <w:jc w:val="center"/>
            </w:pPr>
            <w:r>
              <w:t xml:space="preserve">0.250</w:t>
            </w:r>
          </w:p>
        </w:tc>
        <w:tc>
          <w:tcPr/>
          <w:p>
            <w:pPr>
              <w:pStyle w:val="Compact"/>
              <w:jc w:val="center"/>
            </w:pPr>
            <w:r>
              <w:t xml:space="preserve">0.299</w:t>
            </w:r>
          </w:p>
        </w:tc>
        <w:tc>
          <w:tcPr/>
          <w:p>
            <w:pPr>
              <w:pStyle w:val="Compact"/>
              <w:jc w:val="center"/>
            </w:pPr>
            <w:r>
              <w:t xml:space="preserve">0.359</w:t>
            </w:r>
          </w:p>
        </w:tc>
        <w:tc>
          <w:tcPr/>
          <w:p>
            <w:pPr>
              <w:pStyle w:val="Compact"/>
              <w:jc w:val="center"/>
            </w:pPr>
            <w:r>
              <w:t xml:space="preserve">0.690</w:t>
            </w:r>
          </w:p>
        </w:tc>
      </w:tr>
      <w:tr>
        <w:tc>
          <w:tcPr/>
          <w:p>
            <w:pPr>
              <w:pStyle w:val="Compact"/>
              <w:jc w:val="left"/>
            </w:pPr>
            <w:r>
              <w:t xml:space="preserve">Ind. </w:t>
            </w:r>
            <m:oMath>
              <m:r>
                <m:rPr>
                  <m:sty m:val="p"/>
                </m:rPr>
                <m:t>→</m:t>
              </m:r>
            </m:oMath>
            <w:r>
              <w:t xml:space="preserve"> </w:t>
            </w:r>
            <w:r>
              <w:t xml:space="preserve">Drug</w:t>
            </w:r>
          </w:p>
        </w:tc>
        <w:tc>
          <w:tcPr/>
          <w:p>
            <w:pPr>
              <w:pStyle w:val="Compact"/>
              <w:jc w:val="left"/>
            </w:pPr>
            <w:r>
              <w:t xml:space="preserve">XGBoost</w:t>
            </w:r>
          </w:p>
        </w:tc>
        <w:tc>
          <w:tcPr/>
          <w:p>
            <w:pPr>
              <w:pStyle w:val="Compact"/>
              <w:jc w:val="center"/>
            </w:pPr>
            <w:r>
              <w:t xml:space="preserve">0.200</w:t>
            </w:r>
          </w:p>
        </w:tc>
        <w:tc>
          <w:tcPr/>
          <w:p>
            <w:pPr>
              <w:pStyle w:val="Compact"/>
              <w:jc w:val="center"/>
            </w:pPr>
            <w:r>
              <w:t xml:space="preserve">0.267</w:t>
            </w:r>
          </w:p>
        </w:tc>
        <w:tc>
          <w:tcPr/>
          <w:p>
            <w:pPr>
              <w:pStyle w:val="Compact"/>
              <w:jc w:val="center"/>
            </w:pPr>
            <w:r>
              <w:t xml:space="preserve">0.273</w:t>
            </w:r>
          </w:p>
        </w:tc>
        <w:tc>
          <w:tcPr/>
          <w:p>
            <w:pPr>
              <w:pStyle w:val="Compact"/>
              <w:jc w:val="center"/>
            </w:pPr>
            <w:r>
              <w:t xml:space="preserve">0.041</w:t>
            </w:r>
          </w:p>
        </w:tc>
      </w:tr>
      <w:tr>
        <w:tc>
          <w:tcPr/>
          <w:p>
            <w:pPr>
              <w:pStyle w:val="Compact"/>
              <w:jc w:val="left"/>
            </w:pPr>
            <w:r>
              <w:t xml:space="preserve">Ind. </w:t>
            </w:r>
            <m:oMath>
              <m:r>
                <m:rPr>
                  <m:sty m:val="p"/>
                </m:rPr>
                <m:t>→</m:t>
              </m:r>
            </m:oMath>
            <w:r>
              <w:t xml:space="preserve"> </w:t>
            </w:r>
            <w:r>
              <w:t xml:space="preserve">Drug</w:t>
            </w:r>
          </w:p>
        </w:tc>
        <w:tc>
          <w:tcPr/>
          <w:p>
            <w:pPr>
              <w:pStyle w:val="Compact"/>
              <w:jc w:val="left"/>
            </w:pPr>
            <w:r>
              <w:t xml:space="preserve">LightGBM</w:t>
            </w:r>
          </w:p>
        </w:tc>
        <w:tc>
          <w:tcPr/>
          <w:p>
            <w:pPr>
              <w:pStyle w:val="Compact"/>
              <w:jc w:val="center"/>
            </w:pPr>
            <w:r>
              <w:t xml:space="preserve">0.239</w:t>
            </w:r>
          </w:p>
        </w:tc>
        <w:tc>
          <w:tcPr/>
          <w:p>
            <w:pPr>
              <w:pStyle w:val="Compact"/>
              <w:jc w:val="center"/>
            </w:pPr>
            <w:r>
              <w:t xml:space="preserve">0.214</w:t>
            </w:r>
          </w:p>
        </w:tc>
        <w:tc>
          <w:tcPr/>
          <w:p>
            <w:pPr>
              <w:pStyle w:val="Compact"/>
              <w:jc w:val="center"/>
            </w:pPr>
            <w:r>
              <w:t xml:space="preserve">0.267</w:t>
            </w:r>
          </w:p>
        </w:tc>
        <w:tc>
          <w:tcPr/>
          <w:p>
            <w:pPr>
              <w:pStyle w:val="Compact"/>
              <w:jc w:val="center"/>
            </w:pPr>
            <w:r>
              <w:t xml:space="preserve">0.180</w:t>
            </w:r>
          </w:p>
        </w:tc>
      </w:tr>
      <w:tr>
        <w:tc>
          <w:tcPr/>
          <w:p>
            <w:pPr>
              <w:pStyle w:val="Compact"/>
              <w:jc w:val="left"/>
            </w:pPr>
            <w:r>
              <w:t xml:space="preserve">Ind. </w:t>
            </w:r>
            <m:oMath>
              <m:r>
                <m:rPr>
                  <m:sty m:val="p"/>
                </m:rPr>
                <m:t>→</m:t>
              </m:r>
            </m:oMath>
            <w:r>
              <w:t xml:space="preserve"> </w:t>
            </w:r>
            <w:r>
              <w:t xml:space="preserve">Drug</w:t>
            </w:r>
          </w:p>
        </w:tc>
        <w:tc>
          <w:tcPr/>
          <w:p>
            <w:pPr>
              <w:pStyle w:val="Compact"/>
              <w:jc w:val="left"/>
            </w:pPr>
            <w:r>
              <w:t xml:space="preserve">RF</w:t>
            </w:r>
          </w:p>
        </w:tc>
        <w:tc>
          <w:tcPr/>
          <w:p>
            <w:pPr>
              <w:pStyle w:val="Compact"/>
              <w:jc w:val="center"/>
            </w:pPr>
            <w:r>
              <w:t xml:space="preserve">0.102</w:t>
            </w:r>
          </w:p>
        </w:tc>
        <w:tc>
          <w:tcPr/>
          <w:p>
            <w:pPr>
              <w:pStyle w:val="Compact"/>
              <w:jc w:val="center"/>
            </w:pPr>
            <w:r>
              <w:t xml:space="preserve">0.341</w:t>
            </w:r>
          </w:p>
        </w:tc>
        <w:tc>
          <w:tcPr/>
          <w:p>
            <w:pPr>
              <w:pStyle w:val="Compact"/>
              <w:jc w:val="center"/>
            </w:pPr>
            <w:r>
              <w:t xml:space="preserve">0.345</w:t>
            </w:r>
          </w:p>
        </w:tc>
        <w:tc>
          <w:tcPr/>
          <w:p>
            <w:pPr>
              <w:pStyle w:val="Compact"/>
              <w:jc w:val="center"/>
            </w:pPr>
            <w:r>
              <w:t xml:space="preserve">0.037</w:t>
            </w:r>
          </w:p>
        </w:tc>
      </w:tr>
    </w:tbl>
    <w:p>
      <w:pPr>
        <w:pStyle w:val="BodyText"/>
      </w:pPr>
      <w:r>
        <w:t xml:space="preserve">Mean improvement (default</w:t>
      </w:r>
      <w:r>
        <w:t xml:space="preserve"> </w:t>
      </w:r>
      <m:oMath>
        <m:r>
          <m:rPr>
            <m:sty m:val="p"/>
          </m:rPr>
          <m:t>→</m:t>
        </m:r>
      </m:oMath>
      <w:r>
        <w:t xml:space="preserve"> </w:t>
      </w:r>
      <w:r>
        <w:t xml:space="preserve">prior-corrected):</w:t>
      </w:r>
      <w:r>
        <w:t xml:space="preserve"> </w:t>
      </w:r>
      <m:oMath>
        <m:r>
          <m:rPr>
            <m:sty m:val="p"/>
          </m:rPr>
          <m:t>+</m:t>
        </m:r>
        <m:r>
          <m:t>0.075</m:t>
        </m:r>
      </m:oMath>
      <w:r>
        <w:t xml:space="preserve"> </w:t>
      </w:r>
      <w:r>
        <w:t xml:space="preserve">(range</w:t>
      </w:r>
      <w:r>
        <w:t xml:space="preserve"> </w:t>
      </w:r>
      <m:oMath>
        <m:r>
          <m:rPr>
            <m:sty m:val="p"/>
          </m:rPr>
          <m:t>−</m:t>
        </m:r>
        <m:r>
          <m:t>0.024</m:t>
        </m:r>
      </m:oMath>
      <w:r>
        <w:t xml:space="preserve"> </w:t>
      </w:r>
      <w:r>
        <w:t xml:space="preserve">to</w:t>
      </w:r>
      <w:r>
        <w:t xml:space="preserve"> </w:t>
      </w:r>
      <m:oMath>
        <m:r>
          <m:rPr>
            <m:sty m:val="p"/>
          </m:rPr>
          <m:t>+</m:t>
        </m:r>
        <m:r>
          <m:t>0.239</m:t>
        </m:r>
      </m:oMath>
      <w:r>
        <w:t xml:space="preserve">).</w:t>
      </w:r>
      <w:r>
        <w:t xml:space="preserve"> </w:t>
      </w:r>
      <w:r>
        <w:t xml:space="preserve">Mean improvement (default</w:t>
      </w:r>
      <w:r>
        <w:t xml:space="preserve"> </w:t>
      </w:r>
      <m:oMath>
        <m:r>
          <m:rPr>
            <m:sty m:val="p"/>
          </m:rPr>
          <m:t>→</m:t>
        </m:r>
      </m:oMath>
      <w:r>
        <w:t xml:space="preserve"> </w:t>
      </w:r>
      <w:r>
        <w:t xml:space="preserve">oracle):</w:t>
      </w:r>
      <w:r>
        <w:t xml:space="preserve"> </w:t>
      </w:r>
      <m:oMath>
        <m:r>
          <m:rPr>
            <m:sty m:val="p"/>
          </m:rPr>
          <m:t>+</m:t>
        </m:r>
        <m:r>
          <m:t>0.108</m:t>
        </m:r>
      </m:oMath>
      <w:r>
        <w:t xml:space="preserve"> </w:t>
      </w:r>
      <w:r>
        <w:t xml:space="preserve">(range</w:t>
      </w:r>
      <w:r>
        <w:t xml:space="preserve"> </w:t>
      </w:r>
      <m:oMath>
        <m:r>
          <m:rPr>
            <m:sty m:val="p"/>
          </m:rPr>
          <m:t>+</m:t>
        </m:r>
        <m:r>
          <m:t>0.028</m:t>
        </m:r>
      </m:oMath>
      <w:r>
        <w:t xml:space="preserve"> </w:t>
      </w:r>
      <w:r>
        <w:t xml:space="preserve">to</w:t>
      </w:r>
      <w:r>
        <w:t xml:space="preserve"> </w:t>
      </w:r>
      <m:oMath>
        <m:r>
          <m:rPr>
            <m:sty m:val="p"/>
          </m:rPr>
          <m:t>+</m:t>
        </m:r>
        <m:r>
          <m:t>0.243</m:t>
        </m:r>
      </m:oMath>
      <w:r>
        <w:t xml:space="preserve">).</w:t>
      </w:r>
      <w:r>
        <w:t xml:space="preserve"> </w:t>
      </w:r>
      <w:r>
        <w:t xml:space="preserve">Oracle MCC range: 0.267–0.359, all substantially below the in-domain scaffold-CV MCC of</w:t>
      </w:r>
      <w:r>
        <w:t xml:space="preserve"> </w:t>
      </w:r>
      <w:r>
        <w:t xml:space="preserve">0.624.</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7" Target="media/rId17.pdf" /><Relationship Type="http://schemas.openxmlformats.org/officeDocument/2006/relationships/image" Id="rId25" Target="media/rId25.pdf" /><Relationship Type="http://schemas.openxmlformats.org/officeDocument/2006/relationships/image" Id="rId31" Target="media/rId31.pdf" /><Relationship Type="http://schemas.openxmlformats.org/officeDocument/2006/relationships/image" Id="rId37" Target="media/rId37.pdf" /><Relationship Type="http://schemas.openxmlformats.org/officeDocument/2006/relationships/image" Id="rId42" Target="media/rId42.pdf" /><Relationship Type="http://schemas.openxmlformats.org/officeDocument/2006/relationships/image" Id="rId46" Target="media/rId46.pdf" /><Relationship Type="http://schemas.openxmlformats.org/officeDocument/2006/relationships/image" Id="rId50" Target="media/rId50.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Source Heterogeneity, Not Algorithm Choice, Drives Performance Gaps in QSAR for Mutagenicity</dc:title>
  <dc:creator>Seungmin Yoon; Sanghun Kim; Hyunpyo Jeon</dc:creator>
  <cp:keywords/>
  <dcterms:created xsi:type="dcterms:W3CDTF">2026-06-12T07:07:04Z</dcterms:created>
  <dcterms:modified xsi:type="dcterms:W3CDTF">2026-06-12T07:07:04Z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QSAR models for Ames mutagenicity are increasingly used in regulatory risk assessment under EU REACH, K-REACH, and ICH M7, but their reported performance varies widely across evaluation protocols. In this study, 225 model configurations—seven algorithms, five feature sets, and three preprocessing scenarios—were systematically evaluated across three genotoxicity datasets: Ames (n = 13{,}560), in vitro chromosome aberration (n = 1{,}619), and in vivo micronucleus (n = 2{,}153). Using a fixed model configuration (XGBoost, compact features, raw SMILES), Ames MCC dropped from 0.670 under random-split CV to 0.624 under scaffold-split CV. Cross-source leave-domain-out (LDO) evaluation produced markedly larger declines: 0.234 (drug\toindustrial) and 0.122 (industrial\todrug). The source heterogeneity gap (\Delta = 0.390) considerably exceeded the split-method gap (\Delta = 0.046). A simple source-based classifier reached MCC = 0.608 with no structural information, reflecting a 19.5-fold difference in positive rates between drug-sourced (58.3%) and industrial-sourced (3.0%) compounds. Threshold decomposition showed that prior shift accounted for only part of this gap, with oracle MCC plateauing at 0.27–0.36. Algorithm robustness under source shift varied considerably: Random Forest maintained MCC = 0.325 in the hardest direction, whereas XGBoost collapsed to 0.122. In vivo micronucleus models showed strong ranking performance (ROC-AUC = 0.860, PR-AUC = 0.237) but unreliable classification (MCC 95% CI crossed zero). These results call for a source-aware evaluation cascade as a standard reporting requirement for mutagenicity QSAR.</vt:lpwstr>
  </property>
  <property fmtid="{D5CDD505-2E9C-101B-9397-08002B2CF9AE}" pid="3" name="bibliography">
    <vt:lpwstr/>
  </property>
</Properties>
</file>