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7"/>
        <w:gridCol w:w="2771"/>
        <w:gridCol w:w="2771"/>
        <w:gridCol w:w="2649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81,393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35,005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46,388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 dummy, mean (SD, range)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 (0.482, 0-1)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 (0.480, 0-1)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 (0.482, 0-1)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Lonely dummy,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 (0.456,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 (0.445,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 (0.463, 0-1)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48.588 (19.172, 14-114)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47.487 (18.876, 14-114)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49.422 (19.352, 15-90)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13.120 (4.089, 0-69)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12.918 (4.025, 0-50)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13.274 (4.131, 0-69)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 (0.500,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 (0.500,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 (0.500, 0-1)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 (0.500,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 (0.500, 0-1)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 (0.500, 0-1)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Size, mean (SD, range)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2.767 (1.388, 1-14)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2.884 (1.426, 1-14)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2.679 (1.351, 1-13)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Income, n(%)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26,530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11,629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14,902 (41%)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Middle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20,574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9,176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11,398 (31%)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Household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18,663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10,247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 size, n(%)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35,173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15,219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19,954 (50%)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to 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15,364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8,654 (22%)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or more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20,588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9,211 (30%)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11,377 (28%)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2026-06-18T17:06:53Z</dcterms:modified>
  <cp:category/>
</cp:coreProperties>
</file>