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E7B8" w14:textId="7B5A8667" w:rsidR="00B57709" w:rsidRPr="008A591B" w:rsidRDefault="007819F7" w:rsidP="0063707A">
      <w:pPr>
        <w:pStyle w:val="ChapterTitle"/>
        <w:rPr>
          <w:b w:val="0"/>
          <w:bCs/>
        </w:rPr>
      </w:pPr>
      <w:r w:rsidRPr="008A591B">
        <w:t>Chapter 1</w:t>
      </w:r>
      <w:r w:rsidR="002B071C" w:rsidRPr="008A591B">
        <w:t>2</w:t>
      </w:r>
      <w:r w:rsidRPr="008A591B">
        <w:t xml:space="preserve">: </w:t>
      </w:r>
      <w:r w:rsidR="00F92C0F" w:rsidRPr="008A591B">
        <w:rPr>
          <w:rFonts w:eastAsia="Times New Roman"/>
          <w:bCs/>
          <w:color w:val="000000"/>
          <w:kern w:val="36"/>
          <w:szCs w:val="32"/>
          <w14:ligatures w14:val="none"/>
        </w:rPr>
        <w:t>Data-Led Technology Roadmapping</w:t>
      </w:r>
      <w:r w:rsidR="00F92C0F" w:rsidRPr="008A591B">
        <w:rPr>
          <w:bCs/>
        </w:rPr>
        <w:t xml:space="preserve"> </w:t>
      </w:r>
      <w:r w:rsidR="00B57709" w:rsidRPr="008A591B">
        <w:rPr>
          <w:bCs/>
        </w:rPr>
        <w:t>Author Info</w:t>
      </w:r>
    </w:p>
    <w:p w14:paraId="17B4EBFA" w14:textId="77777777" w:rsidR="00EC6D43" w:rsidRPr="008A591B" w:rsidRDefault="00EC6D43" w:rsidP="00EC6D43">
      <w:pPr>
        <w:pStyle w:val="AuthorInfo"/>
      </w:pPr>
      <w:r w:rsidRPr="008A591B">
        <w:t>Arif Soyler</w:t>
      </w:r>
    </w:p>
    <w:p w14:paraId="12CDA21A" w14:textId="77777777" w:rsidR="00EC6D43" w:rsidRPr="008A591B" w:rsidRDefault="00EC6D43" w:rsidP="00EC6D43">
      <w:pPr>
        <w:pStyle w:val="AuthorInfo"/>
      </w:pPr>
      <w:r w:rsidRPr="008A591B">
        <w:t xml:space="preserve">Izmir </w:t>
      </w:r>
      <w:proofErr w:type="spellStart"/>
      <w:r w:rsidRPr="008A591B">
        <w:t>Bakırcay</w:t>
      </w:r>
      <w:proofErr w:type="spellEnd"/>
      <w:r w:rsidRPr="008A591B">
        <w:t xml:space="preserve"> University, Institute of Graduate Studies, Department of Health Management (PhD Candidate)</w:t>
      </w:r>
    </w:p>
    <w:p w14:paraId="75D06F79" w14:textId="77777777" w:rsidR="00EC6D43" w:rsidRPr="008A591B" w:rsidRDefault="00EC6D43" w:rsidP="00EC6D43">
      <w:pPr>
        <w:pStyle w:val="AuthorInfo"/>
      </w:pPr>
      <w:r w:rsidRPr="008A591B">
        <w:t>arifsoyler@gmail.com</w:t>
      </w:r>
    </w:p>
    <w:p w14:paraId="58515F5B" w14:textId="77777777" w:rsidR="00EC6D43" w:rsidRPr="008A591B" w:rsidRDefault="00EC6D43" w:rsidP="00EC6D43">
      <w:pPr>
        <w:pStyle w:val="AuthorInfo"/>
      </w:pPr>
      <w:r w:rsidRPr="008A591B">
        <w:t xml:space="preserve"> ORCID: https://orcid.org/0000-0001-7699-6316</w:t>
      </w:r>
    </w:p>
    <w:p w14:paraId="4A2653F0" w14:textId="77777777" w:rsidR="00B57709" w:rsidRPr="008A591B" w:rsidRDefault="00B57709" w:rsidP="00B57709">
      <w:pPr>
        <w:pStyle w:val="AuthorInfo"/>
      </w:pPr>
      <w:r w:rsidRPr="008A591B">
        <w:t>Prof. Dr. Serhat Burmaoglu</w:t>
      </w:r>
    </w:p>
    <w:p w14:paraId="3B6EECB7" w14:textId="77777777" w:rsidR="00B57709" w:rsidRPr="008A591B" w:rsidRDefault="00B57709" w:rsidP="00B57709">
      <w:pPr>
        <w:pStyle w:val="AuthorInfo"/>
      </w:pPr>
      <w:r w:rsidRPr="008A591B">
        <w:t>Izmir Katip Celebi University, Faculty of Economics and Administrative Sciences, Department of Health Management</w:t>
      </w:r>
    </w:p>
    <w:p w14:paraId="297BE9BF" w14:textId="0DE5B45A" w:rsidR="00B57709" w:rsidRPr="008A591B" w:rsidRDefault="00B57709" w:rsidP="00B57709">
      <w:pPr>
        <w:pStyle w:val="AuthorInfo"/>
      </w:pPr>
      <w:r w:rsidRPr="008A591B">
        <w:t>serhatburmaoglu@</w:t>
      </w:r>
      <w:r w:rsidR="009E379B">
        <w:t>gmail.com</w:t>
      </w:r>
    </w:p>
    <w:p w14:paraId="11C2FFE2" w14:textId="51BF75EC" w:rsidR="00B57709" w:rsidRPr="008A591B" w:rsidRDefault="00B57709" w:rsidP="00B57709">
      <w:pPr>
        <w:pStyle w:val="AuthorInfo"/>
      </w:pPr>
      <w:r w:rsidRPr="008A591B">
        <w:t xml:space="preserve"> ORCID: </w:t>
      </w:r>
      <w:hyperlink r:id="rId5" w:history="1">
        <w:r w:rsidR="00F92C0F" w:rsidRPr="008A591B">
          <w:rPr>
            <w:rStyle w:val="Kpr"/>
          </w:rPr>
          <w:t>https://orcid.org/0000-0002-5537-6887</w:t>
        </w:r>
      </w:hyperlink>
    </w:p>
    <w:p w14:paraId="08CA8892" w14:textId="77777777" w:rsidR="003C6645" w:rsidRPr="008A591B" w:rsidRDefault="003C6645" w:rsidP="00F92C0F">
      <w:pPr>
        <w:pStyle w:val="AuthorInfo"/>
      </w:pPr>
      <w:r w:rsidRPr="008A591B">
        <w:t xml:space="preserve">Asst. Prof. Dr. Esra </w:t>
      </w:r>
      <w:proofErr w:type="spellStart"/>
      <w:r w:rsidRPr="008A591B">
        <w:t>Dundar</w:t>
      </w:r>
      <w:proofErr w:type="spellEnd"/>
      <w:r w:rsidRPr="008A591B">
        <w:t xml:space="preserve"> </w:t>
      </w:r>
      <w:proofErr w:type="spellStart"/>
      <w:r w:rsidRPr="008A591B">
        <w:t>Aravacik</w:t>
      </w:r>
      <w:proofErr w:type="spellEnd"/>
    </w:p>
    <w:p w14:paraId="00DC57B9" w14:textId="2592B8DC" w:rsidR="00F92C0F" w:rsidRPr="008A591B" w:rsidRDefault="00F92C0F" w:rsidP="00F92C0F">
      <w:pPr>
        <w:pStyle w:val="AuthorInfo"/>
      </w:pPr>
      <w:r w:rsidRPr="008A591B">
        <w:t>Izmir Katip Celebi University, Faculty of Economics and Administrative Sciences, Department of Health Management</w:t>
      </w:r>
    </w:p>
    <w:p w14:paraId="201E16F8" w14:textId="52CCA996" w:rsidR="00F92C0F" w:rsidRPr="008A591B" w:rsidRDefault="003C6645" w:rsidP="00F92C0F">
      <w:pPr>
        <w:pStyle w:val="AuthorInfo"/>
      </w:pPr>
      <w:hyperlink r:id="rId6" w:history="1">
        <w:r w:rsidRPr="008A591B">
          <w:rPr>
            <w:rStyle w:val="Kpr"/>
          </w:rPr>
          <w:t>esra.dundar@hotmail.com</w:t>
        </w:r>
      </w:hyperlink>
      <w:r w:rsidRPr="008A591B">
        <w:t xml:space="preserve"> </w:t>
      </w:r>
    </w:p>
    <w:p w14:paraId="3FC87E69" w14:textId="77777777" w:rsidR="002B071C" w:rsidRPr="008A591B" w:rsidRDefault="00F92C0F" w:rsidP="002B071C">
      <w:pPr>
        <w:pStyle w:val="AuthorInfo"/>
      </w:pPr>
      <w:r w:rsidRPr="008A591B">
        <w:t>ORCID: https://orcid.org/</w:t>
      </w:r>
      <w:r w:rsidR="002B071C" w:rsidRPr="008A591B">
        <w:t>0000-0002-6504-6283</w:t>
      </w:r>
    </w:p>
    <w:p w14:paraId="6F940710" w14:textId="77777777" w:rsidR="007819F7" w:rsidRPr="008A591B" w:rsidRDefault="007819F7" w:rsidP="00296770">
      <w:pPr>
        <w:pStyle w:val="NormalAcademic"/>
      </w:pPr>
    </w:p>
    <w:p w14:paraId="1CDFDBE3" w14:textId="506A9621" w:rsidR="007819F7" w:rsidRPr="008A591B" w:rsidRDefault="007819F7" w:rsidP="00A0720D">
      <w:pPr>
        <w:pStyle w:val="NormalAcademic"/>
        <w:rPr>
          <w:b/>
          <w:bCs/>
        </w:rPr>
      </w:pPr>
      <w:r w:rsidRPr="008A591B">
        <w:rPr>
          <w:b/>
          <w:bCs/>
        </w:rPr>
        <w:t xml:space="preserve">Abstract </w:t>
      </w:r>
    </w:p>
    <w:p w14:paraId="53035CAB" w14:textId="6354D26D" w:rsidR="007819F7" w:rsidRPr="008A591B" w:rsidRDefault="00F92C0F" w:rsidP="007819F7">
      <w:pPr>
        <w:pStyle w:val="AbstractAcademic"/>
      </w:pPr>
      <w:r w:rsidRPr="008A591B">
        <w:t xml:space="preserve">Technology roadmapping (TRM) has evolved from expert-driven workshops to data-intensive analytical approaches that leverage large-scale publication and patent databases. This chapter presents a comprehensive framework for data-led technology roadmapping, integrating bibliometric analysis, patent analytics, text mining, and network analysis methods. We provide complete Python implementations for trend analysis, topic modeling using Latent Dirichlet Allocation, co-occurrence network construction, and technology maturity assessment. The healthcare smart contracts case study, analyzing 4,156 publications and 10,204 patents, demonstrates a sophisticated eight-stage analytical pipeline combining traditional and transformer-based methods. Our analysis reveals a reversed innovation pattern where patents precede publications by 8.12 years on average, challenging conventional linear models of knowledge transfer. The chapter bridges theoretical </w:t>
      </w:r>
      <w:r w:rsidRPr="008A591B">
        <w:lastRenderedPageBreak/>
        <w:t>foundations with practical implementation, offering reusable code modules, progressive pedagogical examples, and exercises designed for graduate-level instruction. Readers will acquire competencies in extracting actionable intelligence from heterogeneous data sources to support strategic technology planning and foresight activities.</w:t>
      </w:r>
    </w:p>
    <w:p w14:paraId="30AA105A" w14:textId="77777777" w:rsidR="00B64654" w:rsidRPr="008A591B" w:rsidRDefault="00B64654" w:rsidP="007819F7">
      <w:pPr>
        <w:pStyle w:val="AbstractAcademic"/>
      </w:pPr>
    </w:p>
    <w:p w14:paraId="2860299D" w14:textId="3E4DB746" w:rsidR="007819F7" w:rsidRPr="008A591B" w:rsidRDefault="007819F7" w:rsidP="00A0720D">
      <w:pPr>
        <w:pStyle w:val="KeywordsAcademic"/>
      </w:pPr>
      <w:r w:rsidRPr="008A591B">
        <w:t xml:space="preserve">Keywords: </w:t>
      </w:r>
      <w:r w:rsidR="00F92C0F" w:rsidRPr="008A591B">
        <w:t>technology roadmapping, bibliometric analysis, patent analytics, topic modeling, data-driven foresight, text mining, technology lifecycle</w:t>
      </w:r>
    </w:p>
    <w:p w14:paraId="313FA3A7" w14:textId="77777777" w:rsidR="00493DC4" w:rsidRPr="008A591B" w:rsidRDefault="00493DC4" w:rsidP="00493DC4">
      <w:pPr>
        <w:pStyle w:val="Heading1Academic"/>
      </w:pPr>
      <w:r w:rsidRPr="008A591B">
        <w:t>1. Learning Objectives</w:t>
      </w:r>
    </w:p>
    <w:p w14:paraId="33A26828" w14:textId="77777777" w:rsidR="00493DC4" w:rsidRPr="008A591B" w:rsidRDefault="00493DC4" w:rsidP="00493DC4">
      <w:pPr>
        <w:pStyle w:val="NormalAcademic"/>
        <w:rPr>
          <w:b/>
          <w:bCs/>
        </w:rPr>
      </w:pPr>
      <w:r w:rsidRPr="008A591B">
        <w:rPr>
          <w:b/>
          <w:bCs/>
        </w:rPr>
        <w:t>By the end of this chapter, readers will be able to:</w:t>
      </w:r>
    </w:p>
    <w:p w14:paraId="78828C49" w14:textId="1D9F5AD4" w:rsidR="00493DC4" w:rsidRPr="008A591B" w:rsidRDefault="00493DC4" w:rsidP="00296770">
      <w:pPr>
        <w:pStyle w:val="NormalAcademic"/>
      </w:pPr>
      <w:r w:rsidRPr="008A591B">
        <w:rPr>
          <w:rFonts w:eastAsia="Times New Roman"/>
          <w:color w:val="000000" w:themeColor="text1"/>
          <w:kern w:val="0"/>
          <w14:ligatures w14:val="none"/>
        </w:rPr>
        <w:t xml:space="preserve">1.1. </w:t>
      </w:r>
      <w:r w:rsidR="00C807A7" w:rsidRPr="008A591B">
        <w:rPr>
          <w:rFonts w:eastAsia="Times New Roman"/>
          <w:color w:val="000000" w:themeColor="text1"/>
          <w:kern w:val="0"/>
          <w14:ligatures w14:val="none"/>
        </w:rPr>
        <w:t>Understand the fundamental principles of data-led technology roadmapping as a foresight practice, including how quantitative analysis supports exploration of multiple possible futures and advantages over traditional approaches</w:t>
      </w:r>
    </w:p>
    <w:p w14:paraId="434CD0D8" w14:textId="77777777" w:rsidR="00493DC4" w:rsidRPr="008A591B" w:rsidRDefault="00493DC4" w:rsidP="00296770">
      <w:pPr>
        <w:pStyle w:val="NormalAcademic"/>
      </w:pPr>
      <w:r w:rsidRPr="008A591B">
        <w:t>1.2. Apply quantitative methods to extract insights from publication and patent databases for roadmapping purposes</w:t>
      </w:r>
    </w:p>
    <w:p w14:paraId="74F4BFC3" w14:textId="77777777" w:rsidR="00493DC4" w:rsidRPr="008A591B" w:rsidRDefault="00493DC4" w:rsidP="00296770">
      <w:pPr>
        <w:pStyle w:val="NormalAcademic"/>
      </w:pPr>
      <w:r w:rsidRPr="008A591B">
        <w:t>1.3. Implement Python-based analytics workflows for technology trend identification and forecasting</w:t>
      </w:r>
    </w:p>
    <w:p w14:paraId="6C6D9F1D" w14:textId="77777777" w:rsidR="00493DC4" w:rsidRPr="008A591B" w:rsidRDefault="00493DC4" w:rsidP="00296770">
      <w:pPr>
        <w:pStyle w:val="NormalAcademic"/>
      </w:pPr>
      <w:r w:rsidRPr="008A591B">
        <w:t>1.4. Integrate statistical methods (time series analysis, clustering, network analysis) with roadmapping frameworks</w:t>
      </w:r>
    </w:p>
    <w:p w14:paraId="447DFE5E" w14:textId="77777777" w:rsidR="00493DC4" w:rsidRPr="008A591B" w:rsidRDefault="00493DC4" w:rsidP="00296770">
      <w:pPr>
        <w:pStyle w:val="NormalAcademic"/>
      </w:pPr>
      <w:r w:rsidRPr="008A591B">
        <w:t>1.5. Design comprehensive technology roadmaps incorporating bibliometric and patent intelligence</w:t>
      </w:r>
    </w:p>
    <w:p w14:paraId="3094261B" w14:textId="77777777" w:rsidR="00493DC4" w:rsidRPr="008A591B" w:rsidRDefault="00493DC4" w:rsidP="00296770">
      <w:pPr>
        <w:pStyle w:val="NormalAcademic"/>
      </w:pPr>
      <w:r w:rsidRPr="008A591B">
        <w:t>1.6. Evaluate emerging technologies using data-driven metrics and indicators</w:t>
      </w:r>
    </w:p>
    <w:p w14:paraId="3E869800" w14:textId="77777777" w:rsidR="00493DC4" w:rsidRPr="008A591B" w:rsidRDefault="00493DC4" w:rsidP="00296770">
      <w:pPr>
        <w:pStyle w:val="NormalAcademic"/>
      </w:pPr>
      <w:r w:rsidRPr="008A591B">
        <w:rPr>
          <w:rFonts w:eastAsia="Times New Roman"/>
          <w:color w:val="000000" w:themeColor="text1"/>
          <w:kern w:val="0"/>
          <w14:ligatures w14:val="none"/>
        </w:rPr>
        <w:t>1.7. Critically assess the limitations and ethical considerations of automated roadmapping approaches</w:t>
      </w:r>
    </w:p>
    <w:p w14:paraId="20D1593E" w14:textId="16F30BDB" w:rsidR="00C807A7" w:rsidRPr="008A591B" w:rsidRDefault="00C807A7" w:rsidP="00296770">
      <w:pPr>
        <w:pStyle w:val="NormalAcademic"/>
      </w:pPr>
      <w:r w:rsidRPr="008A591B">
        <w:t>1.8. Apply roadmapping insights to scenario development and anticipatory governance frameworks</w:t>
      </w:r>
    </w:p>
    <w:p w14:paraId="09885199" w14:textId="77777777" w:rsidR="00493DC4" w:rsidRPr="008A591B" w:rsidRDefault="00493DC4" w:rsidP="00136B20">
      <w:pPr>
        <w:pStyle w:val="Heading1Academic"/>
      </w:pPr>
      <w:r w:rsidRPr="008A591B">
        <w:t>2. THEORETICAL FOUNDATIONS</w:t>
      </w:r>
    </w:p>
    <w:p w14:paraId="4DAF18C6" w14:textId="77777777" w:rsidR="00493DC4" w:rsidRPr="008A591B" w:rsidRDefault="00493DC4" w:rsidP="00136B20">
      <w:pPr>
        <w:pStyle w:val="Heading2Academic"/>
      </w:pPr>
      <w:r w:rsidRPr="008A591B">
        <w:t>2.1 Introduction to Technology Roadmapping</w:t>
      </w:r>
    </w:p>
    <w:p w14:paraId="515634A0" w14:textId="77777777" w:rsidR="00493DC4" w:rsidRPr="008A591B" w:rsidRDefault="00493DC4" w:rsidP="00296770">
      <w:pPr>
        <w:pStyle w:val="NormalAcademic"/>
      </w:pPr>
      <w:r w:rsidRPr="008A591B">
        <w:rPr>
          <w:color w:val="000000" w:themeColor="text1"/>
        </w:rPr>
        <w:t xml:space="preserve">Technology Roadmapping (TRM) is a strategic planning framework that provides visual, time-based representations of how markets, products, and technologies co-evolve to support organizational objectives (Phaal et al., 2004a). Originally pioneered by Motorola in the 1980s to evaluate necessary technologies and anticipate future product requirements (Willyard &amp; McClees, 1987), TRM has evolved into a </w:t>
      </w:r>
      <w:r w:rsidRPr="008A591B">
        <w:rPr>
          <w:color w:val="000000" w:themeColor="text1"/>
        </w:rPr>
        <w:lastRenderedPageBreak/>
        <w:t>widely adopted methodology for aligning technological resources with long-term business goals across government, industrial, and research institutions (Carvalho et al., 2013; NASA, 2015). A fundamental insight from the literature is that the true value of roadmapping often resides not solely in the final document but in the consensus-building and strategic communication process required for its development (</w:t>
      </w:r>
      <w:proofErr w:type="spellStart"/>
      <w:r w:rsidRPr="008A591B">
        <w:rPr>
          <w:color w:val="000000" w:themeColor="text1"/>
        </w:rPr>
        <w:t>Kayabay</w:t>
      </w:r>
      <w:proofErr w:type="spellEnd"/>
      <w:r w:rsidRPr="008A591B">
        <w:rPr>
          <w:color w:val="000000" w:themeColor="text1"/>
        </w:rPr>
        <w:t xml:space="preserve"> et al., 2022).</w:t>
      </w:r>
    </w:p>
    <w:p w14:paraId="732DD003" w14:textId="77777777" w:rsidR="00493DC4" w:rsidRPr="008A591B" w:rsidRDefault="00493DC4" w:rsidP="00296770">
      <w:pPr>
        <w:pStyle w:val="NormalAcademic"/>
      </w:pPr>
      <w:r w:rsidRPr="008A591B">
        <w:t xml:space="preserve">The standard TRM architecture comprises three interconnected layers along a temporal axis (Phaal et al., 2004a): (1) the Market/Business layer, capturing external drivers, trends, and competitive factors that define strategic context; (2) the Product/Service layer, translating market requirements into specific functions and systems, serving as the critical link between strategy and execution; and (3) the Technology layer, detailing the enabling technologies, R&amp;D programs, and competency development required to deliver product capabilities. In the contemporary context of digital transformation, frameworks increasingly incorporate a Data layer to systematically plan data sources, analytics processes, and data products as strategic organizational resources (Han &amp; Geum, 2020; </w:t>
      </w:r>
      <w:proofErr w:type="spellStart"/>
      <w:r w:rsidRPr="008A591B">
        <w:t>Kayabay</w:t>
      </w:r>
      <w:proofErr w:type="spellEnd"/>
      <w:r w:rsidRPr="008A591B">
        <w:t xml:space="preserve"> et al., 2022).</w:t>
      </w:r>
    </w:p>
    <w:p w14:paraId="3F9206E4" w14:textId="1EB2ECFA" w:rsidR="00493DC4" w:rsidRPr="008A591B" w:rsidRDefault="00493DC4" w:rsidP="00296770">
      <w:pPr>
        <w:pStyle w:val="NormalAcademic"/>
      </w:pPr>
      <w:r w:rsidRPr="008A591B">
        <w:t>Academic literature categorizes TRM methodologies into three paradigms (Kostoff &amp; Schaller, 2001; Kostoff et al., 2004). The traditional expert-based approach, associated with the "Cambridge School," relies on workshops, scenario planning, and collective qualitative judgment to build organizational alignment and foster creative thinking (Park</w:t>
      </w:r>
      <w:r w:rsidR="004303DF" w:rsidRPr="008A591B">
        <w:t>, H., et al.</w:t>
      </w:r>
      <w:r w:rsidRPr="008A591B">
        <w:t xml:space="preserve">, 2020; </w:t>
      </w:r>
      <w:proofErr w:type="spellStart"/>
      <w:r w:rsidRPr="008A591B">
        <w:t>Kayabay</w:t>
      </w:r>
      <w:proofErr w:type="spellEnd"/>
      <w:r w:rsidRPr="008A591B">
        <w:t xml:space="preserve"> et al., 2022). The data-led or computer-based approach, linked to the "Seoul School," utilizes quantitative methods such as text mining and bibliometrics applied to large textual databases to extract technological intelligence objectively (Kostoff &amp; Schaller, 2001; Zhang et al., 2016). The hybrid approach synthesizes these methodologies, leveraging advanced computational techniques to provide quantitative evidence that substantiates and supports expert-driven qualitative judgments (Nazarenko et al., 2022).</w:t>
      </w:r>
    </w:p>
    <w:p w14:paraId="601F1FC9" w14:textId="77777777" w:rsidR="00493DC4" w:rsidRPr="008A591B" w:rsidRDefault="00493DC4" w:rsidP="00296770">
      <w:pPr>
        <w:pStyle w:val="NormalAcademic"/>
      </w:pPr>
      <w:r w:rsidRPr="008A591B">
        <w:t>Despite their collaborative strengths, purely expert-based approaches face inherent limitations. The process can be resource-intensive and often suffers from cognitive and individual biases of participating experts (Kim et al., 2023; Nazarenko et al., 2022). In rapidly changing or converging technology fields, individual expert knowledge may be insufficient to capture the full scope and complexity of necessary planning (Narducci et al., 2024). Traditional methods also struggle with continuous updating (Kim et al., 2023). Consequently, data integration has become paramount for enhancing the rigor and objectivity of foresight activities. Quantitative analysis, particularly patent mining, validates roadmapping predictions and refines content by providing empirical evidence of R&amp;D activities and emerging technologies (Lahoti et al., 2018; Yu &amp; Zhang, 2019).</w:t>
      </w:r>
    </w:p>
    <w:p w14:paraId="25133C63" w14:textId="77777777" w:rsidR="00493DC4" w:rsidRPr="008A591B" w:rsidRDefault="00493DC4" w:rsidP="00296770">
      <w:pPr>
        <w:pStyle w:val="NormalAcademic"/>
      </w:pPr>
      <w:r w:rsidRPr="008A591B">
        <w:t xml:space="preserve">Technology foresight, defined as anticipating and preparing for potential future changes in the external environment, is intrinsically linked to TRM (Linton &amp; Walsh, </w:t>
      </w:r>
      <w:r w:rsidRPr="008A591B">
        <w:lastRenderedPageBreak/>
        <w:t>2004; Zhai et al., 2025). Organizations actively engaging in corporate foresight demonstrate higher innovation rates and greater roadmapping engagement (Yoon et al., 2019). Foresight methodologies are being revolutionized by Big Data, characterized by high volume, velocity, and variety (</w:t>
      </w:r>
      <w:proofErr w:type="spellStart"/>
      <w:r w:rsidRPr="008A591B">
        <w:t>Kayabay</w:t>
      </w:r>
      <w:proofErr w:type="spellEnd"/>
      <w:r w:rsidRPr="008A591B">
        <w:t xml:space="preserve"> et al., 2022; Yaqoob et al., 2016). Big Data Analytics supports strategic planning through computational methods including Latent Dirichlet Allocation for topic modeling, network analysis for mapping relationships, and link prediction for anticipating future opportunities (Kim &amp; Geum, 2021; Lee &amp; Lee, 2025). However, conventional data sources like patents primarily reflect posteriori trends rather than truly disruptive innovations. Researchers have developed advanced scanning methods leveraging futuristic databases and weak signal theory to identify disruptive potential deviating from past evolution patterns (Kim et al., 2016; Pira et al., 2024).</w:t>
      </w:r>
    </w:p>
    <w:p w14:paraId="0F5035E3" w14:textId="77777777" w:rsidR="00C807A7" w:rsidRPr="008A591B" w:rsidRDefault="00C807A7" w:rsidP="00136B20">
      <w:pPr>
        <w:pStyle w:val="Heading2Academic"/>
      </w:pPr>
      <w:r w:rsidRPr="008A591B">
        <w:t>2.2 Data Sources for Technology Roadmapping</w:t>
      </w:r>
    </w:p>
    <w:p w14:paraId="132FEFF4" w14:textId="77777777" w:rsidR="00C807A7" w:rsidRPr="008A591B" w:rsidRDefault="00C807A7" w:rsidP="00296770">
      <w:pPr>
        <w:pStyle w:val="NormalAcademic"/>
      </w:pPr>
      <w:r w:rsidRPr="008A591B">
        <w:rPr>
          <w:color w:val="000000" w:themeColor="text1"/>
        </w:rPr>
        <w:t>Effective data-driven TRM requires systematic integration of heterogeneous information sources spanning the innovation lifecycle from basic research to market adoption (Kim &amp; Geum, 2021; Nazarenko et al., 2022).</w:t>
      </w:r>
    </w:p>
    <w:p w14:paraId="311516BE" w14:textId="4C0D8413" w:rsidR="00C807A7" w:rsidRPr="008A591B" w:rsidRDefault="00C807A7" w:rsidP="00C807A7">
      <w:pPr>
        <w:pStyle w:val="Heading3Academic"/>
      </w:pPr>
      <w:r w:rsidRPr="008A591B">
        <w:t>2.2.1 Scientific Publications</w:t>
      </w:r>
    </w:p>
    <w:p w14:paraId="11164C38" w14:textId="4E7AAE9B" w:rsidR="00C807A7" w:rsidRPr="008A591B" w:rsidRDefault="00C807A7" w:rsidP="00296770">
      <w:pPr>
        <w:pStyle w:val="NormalAcademic"/>
      </w:pPr>
      <w:r w:rsidRPr="008A591B">
        <w:rPr>
          <w:color w:val="000000" w:themeColor="text1"/>
        </w:rPr>
        <w:t>Scientific publication databases constitute primary repositories for basic research and early-stage technological discoveries. Web of Science and Scopus</w:t>
      </w:r>
      <w:r w:rsidR="00BD323C">
        <w:rPr>
          <w:color w:val="000000" w:themeColor="text1"/>
        </w:rPr>
        <w:t xml:space="preserve"> databases</w:t>
      </w:r>
      <w:r w:rsidRPr="008A591B">
        <w:rPr>
          <w:color w:val="000000" w:themeColor="text1"/>
        </w:rPr>
        <w:t xml:space="preserve"> are recognized as the most critical indices for academic content, frequently used in combination for systematic reviews and bibliometric analyses to ensure comprehensive coverage (Valério et al., 2021; Singh et al., 2024). Domain-specific databases such as PubMed are essential when sector-specific research is required (Feng et al., 2022). While these sources provide valuable topical intelligence and monitor researcher accomplishments, they face significant limitations: publication time lags create retrospective biases, and conventional bibliometric techniques emphasize quantitative metrics over semantic depth (Lahoti et al., 2018; Kim et al., 2016).</w:t>
      </w:r>
    </w:p>
    <w:p w14:paraId="1F76C7FA" w14:textId="7F3AE917" w:rsidR="00C807A7" w:rsidRPr="008A591B" w:rsidRDefault="00C807A7" w:rsidP="00C807A7">
      <w:pPr>
        <w:pStyle w:val="Heading3Academic"/>
      </w:pPr>
      <w:r w:rsidRPr="008A591B">
        <w:t>2.2.</w:t>
      </w:r>
      <w:r w:rsidR="00A042E9" w:rsidRPr="008A591B">
        <w:t>2</w:t>
      </w:r>
      <w:r w:rsidRPr="008A591B">
        <w:t xml:space="preserve"> Patent Databases</w:t>
      </w:r>
    </w:p>
    <w:p w14:paraId="2AE28E2D" w14:textId="77777777" w:rsidR="00C807A7" w:rsidRPr="008A591B" w:rsidRDefault="00C807A7" w:rsidP="00296770">
      <w:pPr>
        <w:pStyle w:val="NormalAcademic"/>
      </w:pPr>
      <w:r w:rsidRPr="008A591B">
        <w:rPr>
          <w:color w:val="000000" w:themeColor="text1"/>
        </w:rPr>
        <w:t xml:space="preserve">Patent documentation systematically archives technical specifications through standardized protocols, making patent analysis indispensable for R&amp;D strategy formulation (Zhai et al., 2025). Major global repositories including the United States Patent and Trademark Office, European Patent Office, and World Intellectual Property Organization provide foundations for mapping technological trajectories, identifying emerging technologies, and monitoring competitors (Kim &amp; Geum, 2021; Jeong &amp; Yoon, 2015). Specialized databases like the Derwent Innovations Index offer enhanced value through expert indexing (Lahoti et al., 2018; Feng et al., 2022). Patent data allows granular technological feature extraction structured with fields detailing novelty, use, and advantage (Zhai et al., 2025). However, like publications, </w:t>
      </w:r>
      <w:r w:rsidRPr="008A591B">
        <w:rPr>
          <w:color w:val="000000" w:themeColor="text1"/>
        </w:rPr>
        <w:lastRenderedPageBreak/>
        <w:t>patent data suffers from retrospective limitations and cannot guarantee commercial viability of disclosed technologies (Kim et al., 2016; Pira et al., 2024).</w:t>
      </w:r>
    </w:p>
    <w:p w14:paraId="50750B58" w14:textId="1B255C82" w:rsidR="00C807A7" w:rsidRPr="008A591B" w:rsidRDefault="00C807A7" w:rsidP="00C807A7">
      <w:pPr>
        <w:pStyle w:val="Heading3Academic"/>
      </w:pPr>
      <w:r w:rsidRPr="008A591B">
        <w:t>2.2.</w:t>
      </w:r>
      <w:r w:rsidR="00A042E9" w:rsidRPr="008A591B">
        <w:t>3</w:t>
      </w:r>
      <w:r w:rsidRPr="008A591B">
        <w:t xml:space="preserve"> Market Data and Futuristic Sources</w:t>
      </w:r>
    </w:p>
    <w:p w14:paraId="3541153F" w14:textId="77777777" w:rsidR="00C807A7" w:rsidRPr="008A591B" w:rsidRDefault="00C807A7" w:rsidP="00296770">
      <w:pPr>
        <w:pStyle w:val="NormalAcademic"/>
      </w:pPr>
      <w:r w:rsidRPr="008A591B">
        <w:rPr>
          <w:color w:val="000000" w:themeColor="text1"/>
        </w:rPr>
        <w:t>To counterbalance retrospective biases, data-driven TRM incorporates information directly reflecting market demands and prospective trends (Kim &amp; Geum, 2021). Market data encompasses professional analysis reports, surveys, and technology assessments (Nazarenko et al., 2022). Futuristic databases from national foresight organizations and technology-leading companies offer effective sources for identifying a priori trends and weak signals indicative of potential discontinuities (Kim et al., 2016; Pora et al., 2018). This data explicitly covers the market-pull dimension essential for technology roadmaps.</w:t>
      </w:r>
    </w:p>
    <w:p w14:paraId="1CD8E968" w14:textId="49CD7072" w:rsidR="00C807A7" w:rsidRPr="008A591B" w:rsidRDefault="00C807A7" w:rsidP="00C807A7">
      <w:pPr>
        <w:pStyle w:val="Heading3Academic"/>
      </w:pPr>
      <w:r w:rsidRPr="008A591B">
        <w:t>2.2.</w:t>
      </w:r>
      <w:r w:rsidR="00A042E9" w:rsidRPr="008A591B">
        <w:t>4</w:t>
      </w:r>
      <w:r w:rsidRPr="008A591B">
        <w:t xml:space="preserve"> Social Media and Web Data</w:t>
      </w:r>
    </w:p>
    <w:p w14:paraId="487EF440" w14:textId="77777777" w:rsidR="00C807A7" w:rsidRPr="008A591B" w:rsidRDefault="00C807A7" w:rsidP="00296770">
      <w:pPr>
        <w:pStyle w:val="NormalAcademic"/>
      </w:pPr>
      <w:r w:rsidRPr="008A591B">
        <w:rPr>
          <w:color w:val="000000" w:themeColor="text1"/>
        </w:rPr>
        <w:t>Online platforms generate massive datasets capturing real-time social dynamics and collective intelligence (</w:t>
      </w:r>
      <w:proofErr w:type="spellStart"/>
      <w:r w:rsidRPr="008A591B">
        <w:rPr>
          <w:color w:val="000000" w:themeColor="text1"/>
        </w:rPr>
        <w:t>Kayabay</w:t>
      </w:r>
      <w:proofErr w:type="spellEnd"/>
      <w:r w:rsidRPr="008A591B">
        <w:rPr>
          <w:color w:val="000000" w:themeColor="text1"/>
        </w:rPr>
        <w:t xml:space="preserve"> et al., 2022). Social media analysis supports sentiment classification and helps gauge customer reactions (</w:t>
      </w:r>
      <w:proofErr w:type="spellStart"/>
      <w:r w:rsidRPr="008A591B">
        <w:rPr>
          <w:color w:val="000000" w:themeColor="text1"/>
        </w:rPr>
        <w:t>Cavanillas</w:t>
      </w:r>
      <w:proofErr w:type="spellEnd"/>
      <w:r w:rsidRPr="008A591B">
        <w:rPr>
          <w:color w:val="000000" w:themeColor="text1"/>
        </w:rPr>
        <w:t xml:space="preserve"> et al., 2016). This stream is particularly valuable for detecting weak signals and providing insight into early-stage disruption (Kim et al., 2016). However, validity assessment is challenging due to unstructured, non-codified formats and inherent data quality issues, necessitating sophisticated analytical tools (Nazarenko et al., 2022).</w:t>
      </w:r>
    </w:p>
    <w:p w14:paraId="496D214D" w14:textId="1402F713" w:rsidR="00C807A7" w:rsidRPr="008A591B" w:rsidRDefault="00C807A7" w:rsidP="00C807A7">
      <w:pPr>
        <w:pStyle w:val="Heading3Academic"/>
      </w:pPr>
      <w:r w:rsidRPr="008A591B">
        <w:t>2.2.</w:t>
      </w:r>
      <w:r w:rsidR="00A042E9" w:rsidRPr="008A591B">
        <w:t>5</w:t>
      </w:r>
      <w:r w:rsidRPr="008A591B">
        <w:t xml:space="preserve"> Data Quality and Preprocessing</w:t>
      </w:r>
    </w:p>
    <w:p w14:paraId="7AA36FF2" w14:textId="77777777" w:rsidR="00C807A7" w:rsidRPr="008A591B" w:rsidRDefault="00C807A7" w:rsidP="00296770">
      <w:pPr>
        <w:pStyle w:val="NormalAcademic"/>
      </w:pPr>
      <w:r w:rsidRPr="008A591B">
        <w:rPr>
          <w:color w:val="000000" w:themeColor="text1"/>
        </w:rPr>
        <w:t>Regardless of source, analytical outcome quality depends fundamentally on data quality. Poor quality, inconsistency, or fragmentation severely undermines roadmap reliability, requiring significant investment in data governance (</w:t>
      </w:r>
      <w:proofErr w:type="spellStart"/>
      <w:r w:rsidRPr="008A591B">
        <w:rPr>
          <w:color w:val="000000" w:themeColor="text1"/>
        </w:rPr>
        <w:t>Kayabay</w:t>
      </w:r>
      <w:proofErr w:type="spellEnd"/>
      <w:r w:rsidRPr="008A591B">
        <w:rPr>
          <w:color w:val="000000" w:themeColor="text1"/>
        </w:rPr>
        <w:t xml:space="preserve"> et al., 2022; Singh et al., 2024). The initial preprocessing stage transforms raw, unstructured data into usable formats through cleaning, consolidation, and term clustering obtained via Natural Language Processing (Kim et al., 2016; Zhai et al., 2025). Advanced methods utilizing topic modeling or BERT-based embeddings require meticulous preparation to ensure meaningful insights and resolve semantic equivalences (Feng et al., 2022; Lee &amp; Lee, 2025).</w:t>
      </w:r>
    </w:p>
    <w:p w14:paraId="6E01885D" w14:textId="7B2421D2" w:rsidR="00A042E9" w:rsidRPr="008A591B" w:rsidRDefault="00A042E9" w:rsidP="00A042E9">
      <w:pPr>
        <w:pStyle w:val="Heading3Academic"/>
      </w:pPr>
      <w:r w:rsidRPr="008A591B">
        <w:t>2.2.6 Data Source Licensing and Compliance</w:t>
      </w:r>
    </w:p>
    <w:p w14:paraId="269E6955" w14:textId="5AF45B93" w:rsidR="00A042E9" w:rsidRPr="00BD323C" w:rsidRDefault="00A042E9" w:rsidP="00296770">
      <w:pPr>
        <w:pStyle w:val="NormalAcademic"/>
      </w:pPr>
      <w:r w:rsidRPr="00BD323C">
        <w:rPr>
          <w:color w:val="000000" w:themeColor="text1"/>
        </w:rPr>
        <w:t>For this book chapter, all instructional examples (Section 3) and code tutorials (Section 4) utilize synthetic or CC-BY-4.0 licensed datasets to ensure complete reproducibility. The case study (Section 5) analyzes data from Lens.org, which provides free access to patent and scholarly publications. While Lens.org data is freely accessible, bulk redistribution restrictions apply.</w:t>
      </w:r>
    </w:p>
    <w:p w14:paraId="5C93B0C7" w14:textId="61C2FF0B" w:rsidR="00A042E9" w:rsidRPr="00BD323C" w:rsidRDefault="00A042E9" w:rsidP="00296770">
      <w:pPr>
        <w:pStyle w:val="NormalAcademic"/>
      </w:pPr>
      <w:r w:rsidRPr="00BD323C">
        <w:t xml:space="preserve">For readers wishing to replicate the case study: Access requires free registration at lens.org. The search query used was: ((smart contract* OR blockchain*) AND (health* OR medical* OR clinical*)). Data extraction was performed on August 15, </w:t>
      </w:r>
      <w:r w:rsidRPr="00BD323C">
        <w:lastRenderedPageBreak/>
        <w:t>2024, with CSV export including title, abstract, publication year, authors, keywords, and IPC classifications. Complete preprocessing pipeline is provided in Section 4. Raw data cannot be redistributed in this book's GitHub repository due to Lens.org terms of service. However, the complete methodology enables readers to reproduce identical datasets.</w:t>
      </w:r>
    </w:p>
    <w:p w14:paraId="38909383" w14:textId="422240D0" w:rsidR="00A042E9" w:rsidRPr="008A591B" w:rsidRDefault="00A042E9" w:rsidP="00136B20">
      <w:pPr>
        <w:pStyle w:val="Heading2Academic"/>
      </w:pPr>
      <w:r w:rsidRPr="008A591B">
        <w:t>2.3 Analytical Methods for Roadmapping</w:t>
      </w:r>
    </w:p>
    <w:p w14:paraId="7B27951E" w14:textId="0694C0C5" w:rsidR="00A042E9" w:rsidRPr="008A591B" w:rsidRDefault="00A042E9" w:rsidP="0050246A">
      <w:pPr>
        <w:pStyle w:val="Heading3Academic"/>
      </w:pPr>
      <w:r w:rsidRPr="008A591B">
        <w:t>2.3.1 Bibliometric Analysis</w:t>
      </w:r>
    </w:p>
    <w:p w14:paraId="2BDA1D45" w14:textId="7806304F" w:rsidR="00A042E9" w:rsidRPr="00BD323C" w:rsidRDefault="00A042E9" w:rsidP="00296770">
      <w:pPr>
        <w:pStyle w:val="NormalAcademic"/>
      </w:pPr>
      <w:r w:rsidRPr="00BD323C">
        <w:rPr>
          <w:color w:val="000000" w:themeColor="text1"/>
        </w:rPr>
        <w:t xml:space="preserve">Bibliometric analysis applies quantitative models to scientific literature to systematically map intellectual landscapes (Singh et al., 2021; Valério et al., 2021). Citation analysis provides quantitative data to evaluate R&amp;D activities and assess knowledge flows, with metrics such as citation counts and impact factors quantifying influence and dissemination (Lahoti et al., 2018). Advanced techniques including co-citation analysis and co-occurrence analysis transform textual data into relational networks. Co-occurrence analysis maps terms appearing together across documents, revealing conceptual relationships and identifying research clusters (Zhang et al., 2016; Hariyani et al., 2024). These techniques decode the intellectual structure underpinning scientific domains. Tools such as </w:t>
      </w:r>
      <w:proofErr w:type="spellStart"/>
      <w:r w:rsidRPr="00BD323C">
        <w:rPr>
          <w:color w:val="000000" w:themeColor="text1"/>
        </w:rPr>
        <w:t>VOSviewer</w:t>
      </w:r>
      <w:proofErr w:type="spellEnd"/>
      <w:r w:rsidRPr="00BD323C">
        <w:rPr>
          <w:color w:val="000000" w:themeColor="text1"/>
        </w:rPr>
        <w:t xml:space="preserve"> and </w:t>
      </w:r>
      <w:proofErr w:type="spellStart"/>
      <w:r w:rsidRPr="00BD323C">
        <w:rPr>
          <w:color w:val="000000" w:themeColor="text1"/>
        </w:rPr>
        <w:t>CiteSpace</w:t>
      </w:r>
      <w:proofErr w:type="spellEnd"/>
      <w:r w:rsidRPr="00BD323C">
        <w:rPr>
          <w:color w:val="000000" w:themeColor="text1"/>
        </w:rPr>
        <w:t xml:space="preserve"> facilitate network generation and strategic visualization (Valério et al., 2021). However, bibliometric analysis remains constrained to macroscopic observations with inherent publication time lags (Feng et al., 2022; Zhai et al., 2025).</w:t>
      </w:r>
    </w:p>
    <w:p w14:paraId="0B310C3C" w14:textId="7694E54E" w:rsidR="00A042E9" w:rsidRPr="008A591B" w:rsidRDefault="00A042E9" w:rsidP="0050246A">
      <w:pPr>
        <w:pStyle w:val="Heading3Academic"/>
      </w:pPr>
      <w:r w:rsidRPr="008A591B">
        <w:t>2.3.2 Patent Analytics</w:t>
      </w:r>
    </w:p>
    <w:p w14:paraId="1DE8683B" w14:textId="18CF1BCA" w:rsidR="00A042E9" w:rsidRPr="00BD323C" w:rsidRDefault="00A042E9" w:rsidP="00296770">
      <w:pPr>
        <w:pStyle w:val="NormalAcademic"/>
      </w:pPr>
      <w:r w:rsidRPr="00BD323C">
        <w:rPr>
          <w:color w:val="000000" w:themeColor="text1"/>
        </w:rPr>
        <w:t>Patent analytics exploits structured documentation to provide granular intelligence on commercialized technical solutions (Zhai et al., 2025). Patent landscape analysis enables competitive technical intelligence by mapping innovation trajectories and detecting white spaces—areas of sparse innovation with high growth potential (Yu &amp; Zhang, 2019; Zhang et al., 2016). Analyzing International Patent Classification codes within patent families determines concentrated innovation areas (Zhai et al., 2025). Technology Life Cycle assessment applies time-series analysis to patent data, utilizing logistic growth models to segment innovation into developmental phases including introduction, growth, maturity, and recession (Zhai et al., 2025; Zhang et al., 2015). Forward and backward citation analysis reveals technological dependencies and impacts, while patent family analysis across multiple jurisdictions identifies high-value innovations and international strategies (Lee &amp; Lee, 2025). The synergistic combination of bibliometric and patent analytics provides robust, multi-dimensional evidence for strategic R&amp;D planning (Lahoti et al., 2018; Nazarenko et al., 2022).</w:t>
      </w:r>
    </w:p>
    <w:p w14:paraId="42992DDD" w14:textId="22F74B2E" w:rsidR="00A042E9" w:rsidRPr="008A591B" w:rsidRDefault="00A042E9" w:rsidP="0050246A">
      <w:pPr>
        <w:pStyle w:val="Heading3Academic"/>
      </w:pPr>
      <w:r w:rsidRPr="008A591B">
        <w:t>2.3.3 Statistical Methods</w:t>
      </w:r>
    </w:p>
    <w:p w14:paraId="2EEB7E6D" w14:textId="3FDF86CA" w:rsidR="00A042E9" w:rsidRPr="008A591B" w:rsidRDefault="00A042E9" w:rsidP="00296770">
      <w:pPr>
        <w:pStyle w:val="NormalAcademic"/>
      </w:pPr>
      <w:r w:rsidRPr="008A591B">
        <w:rPr>
          <w:color w:val="000000" w:themeColor="text1"/>
        </w:rPr>
        <w:t xml:space="preserve">Advanced statistical techniques are fundamental to data-driven roadmapping. Time series methods, particularly Autoregressive Integrated Moving Average </w:t>
      </w:r>
      <w:r w:rsidRPr="008A591B">
        <w:rPr>
          <w:color w:val="000000" w:themeColor="text1"/>
        </w:rPr>
        <w:lastRenderedPageBreak/>
        <w:t>(ARIMA) models, forecast temporal progressions of technological metrics, identifying momentum in specific domains (Lee &amp; Lee, 2025). S-curve fitting and logistic growth models operationalize Technology Life Cycle theory, segmenting innovation stages through inflection point identification (Zhai et al., 2025; Feng et al., 2022).</w:t>
      </w:r>
    </w:p>
    <w:p w14:paraId="05C24127" w14:textId="151364FD" w:rsidR="00A042E9" w:rsidRPr="008A591B" w:rsidRDefault="00A042E9" w:rsidP="00296770">
      <w:pPr>
        <w:pStyle w:val="NormalAcademic"/>
      </w:pPr>
      <w:r w:rsidRPr="008A591B">
        <w:t>Text mining and Natural Language Processing convert unstructured textual data into numerical representations, enabling latent semantic relationship detection (Kim, 2020; Nazarenko et al., 2022). Topic modeling, particularly Latent Dirichlet Allocation, probabilistically infers thematic structures within document collections, overcoming surface-level feature extraction to decode semantic relationships between technical concepts (Zhai et al., 2025; Blei et al., 2003). Advanced models utilizing BERT-based contextual embeddings track semantic drift—how term meanings evolve over time—preventing misinterpretation of technological paradigm shifts (Lee &amp; Lee, 2025). Semantic analysis methods such as Subject-Action-Object structures systematically extract valid technical information, representing rich semantic relationships superior to standard topic modeling (Feng et al., 2022; Kim et al., 2023).</w:t>
      </w:r>
    </w:p>
    <w:p w14:paraId="7AB75F2A" w14:textId="77D0EE04" w:rsidR="00A042E9" w:rsidRPr="008A591B" w:rsidRDefault="00A042E9" w:rsidP="00296770">
      <w:pPr>
        <w:pStyle w:val="NormalAcademic"/>
      </w:pPr>
      <w:r w:rsidRPr="008A591B">
        <w:t>Clustering algorithms systematically organize vast, fragmented textual data into cohesive groups, facilitating technological domain identification and classification (Zhang et al., 2016). K-means is widely employed for scalability, though determining optimal cluster numbers remains challenging (Zhang et al., 2015). Clustering transforms thousands of similar terms into digestible topical intelligence, significantly expediting roadmapping processes (Lahoti et al., 2018).</w:t>
      </w:r>
    </w:p>
    <w:p w14:paraId="54858021" w14:textId="44C39834" w:rsidR="00A042E9" w:rsidRPr="008A591B" w:rsidRDefault="00A042E9" w:rsidP="00296770">
      <w:pPr>
        <w:pStyle w:val="NormalAcademic"/>
      </w:pPr>
      <w:r w:rsidRPr="008A591B">
        <w:t>Network analysis maps innovation ecosystem relational architecture, providing insights into structural importance and interdependencies (Lee &amp; Lee, 2025). Co-occurrence networks represent keywords as nodes and co-appearance frequencies as weighted edges, revealing current trends and technological relationships central to roadmap contents mapping (Kim &amp; Geum, 2021). Centrality measures quantify node influence: degree centrality indicates connectivity, while betweenness centrality identifies technologies functioning as critical bridges between disparate clusters (Lee &amp; Lee, 2025). Community detection techniques partition complex networks, assisting in understanding technology groupings and potential strategic biases (Kim &amp; Geum, 2021).</w:t>
      </w:r>
    </w:p>
    <w:p w14:paraId="5DA4416B" w14:textId="5895B7D6" w:rsidR="00A042E9" w:rsidRPr="008A591B" w:rsidRDefault="00A042E9" w:rsidP="00136B20">
      <w:pPr>
        <w:pStyle w:val="Heading2Academic"/>
      </w:pPr>
      <w:r w:rsidRPr="008A591B">
        <w:t>2.4 Integrating Data with Roadmapping Frameworks</w:t>
      </w:r>
    </w:p>
    <w:p w14:paraId="4A2EB274" w14:textId="66B01375" w:rsidR="00A042E9" w:rsidRPr="008A591B" w:rsidRDefault="00A042E9" w:rsidP="00296770">
      <w:pPr>
        <w:pStyle w:val="NormalAcademic"/>
      </w:pPr>
      <w:r w:rsidRPr="008A591B">
        <w:rPr>
          <w:color w:val="000000" w:themeColor="text1"/>
        </w:rPr>
        <w:t>The fundamental value proposition of TRM lies in systematically linking strategic intent with technological implementation across temporal dimensions (Phaal et al., 2004a; Phaal et al., 2007). In the Big Data era, conventional TRM has evolved into data-driven roadmapping, synthesizing quantitative rigor with established architectural structures to generate objective strategic intelligence (Kim &amp; Geum, 2021; Pora et al., 2020).</w:t>
      </w:r>
    </w:p>
    <w:p w14:paraId="0638CACE" w14:textId="12C3745F" w:rsidR="00D004B4" w:rsidRPr="008A591B" w:rsidRDefault="00D004B4" w:rsidP="0050246A">
      <w:pPr>
        <w:pStyle w:val="Heading3Academic"/>
      </w:pPr>
      <w:r w:rsidRPr="008A591B">
        <w:lastRenderedPageBreak/>
        <w:t>2.4.1 The Roadmapping Process</w:t>
      </w:r>
    </w:p>
    <w:p w14:paraId="55708BAE" w14:textId="3DDC6EF1" w:rsidR="00D004B4" w:rsidRPr="00BD323C" w:rsidRDefault="00D004B4" w:rsidP="00296770">
      <w:pPr>
        <w:pStyle w:val="NormalAcademic"/>
      </w:pPr>
      <w:r w:rsidRPr="00BD323C">
        <w:rPr>
          <w:color w:val="000000" w:themeColor="text1"/>
        </w:rPr>
        <w:t>The TRM process constitutes an iterative analytical pipeline transforming raw data into structured strategic decisions, moving through stages of ideation, selection, and planning (Nazarenko et al., 2022; Phaal et al., 2007). In data-driven frameworks, this pipeline progresses through interconnected phases: data acquisition and preparation structures heterogeneous information; layer mapping employs algorithms like Latent Dirichlet Allocation to classify topics defining roadmap sub-layers; contents mapping utilizes network analysis to identify relationships; and opportunity finding applies predictive techniques including time-series analysis and link prediction to anticipate future trends (Kim &amp; Geum, 2021; Zhai et al., 2025). The process is inherently iterative and adaptable, requiring updates to reflect evolving technologies and market conditions (Kim et al., 2023).</w:t>
      </w:r>
    </w:p>
    <w:p w14:paraId="1FF21CDC" w14:textId="0F032BFB" w:rsidR="00D004B4" w:rsidRPr="008A591B" w:rsidRDefault="00D004B4" w:rsidP="0050246A">
      <w:pPr>
        <w:pStyle w:val="Heading3Academic"/>
      </w:pPr>
      <w:r w:rsidRPr="008A591B">
        <w:t>2.4.2 Multi-Layer Architecture and Alignment</w:t>
      </w:r>
    </w:p>
    <w:p w14:paraId="00288BA8" w14:textId="421B6C6B" w:rsidR="00D004B4" w:rsidRPr="00BD323C" w:rsidRDefault="00D004B4" w:rsidP="00296770">
      <w:pPr>
        <w:pStyle w:val="NormalAcademic"/>
      </w:pPr>
      <w:r w:rsidRPr="00BD323C">
        <w:rPr>
          <w:color w:val="000000" w:themeColor="text1"/>
        </w:rPr>
        <w:t xml:space="preserve">Contemporary roadmaps employ multi-layer architectures encompassing market/business, product/service, technology, and increasingly, data layers (Phaal et al., 2004a; </w:t>
      </w:r>
      <w:proofErr w:type="spellStart"/>
      <w:r w:rsidRPr="00BD323C">
        <w:rPr>
          <w:color w:val="000000" w:themeColor="text1"/>
        </w:rPr>
        <w:t>Kayabay</w:t>
      </w:r>
      <w:proofErr w:type="spellEnd"/>
      <w:r w:rsidRPr="00BD323C">
        <w:rPr>
          <w:color w:val="000000" w:themeColor="text1"/>
        </w:rPr>
        <w:t xml:space="preserve"> et al., 2022). Modern data-integrated frameworks introduce the data layer as an intermediate and functional link for planning smart service systems, further segmented to account for data sources, products, and analytics processes (Han &amp; Geum, 2020; </w:t>
      </w:r>
      <w:proofErr w:type="spellStart"/>
      <w:r w:rsidRPr="00BD323C">
        <w:rPr>
          <w:color w:val="000000" w:themeColor="text1"/>
        </w:rPr>
        <w:t>Kayabay</w:t>
      </w:r>
      <w:proofErr w:type="spellEnd"/>
      <w:r w:rsidRPr="00BD323C">
        <w:rPr>
          <w:color w:val="000000" w:themeColor="text1"/>
        </w:rPr>
        <w:t xml:space="preserve"> et al., 2022). A central roadmapping function is establishing linkages between market demand and technological supply, ensuring R&amp;D alignment with market expectations (Phaal et al., 2004a; Nazarenko et al., 2022). Quantitative techniques enhance alignment by identifying innovation gaps—unmet market needs—through methods including Association Rule Mining, which quantifies dependencies between product features and enabling technologies (Geum et al., 2015). The graphical structure illustrates intra-layer and inter-layer dependencies and causal relationships (Kim et al., 2023; Zhai et al., 2025).</w:t>
      </w:r>
    </w:p>
    <w:p w14:paraId="640EBFA9" w14:textId="4763CD6F" w:rsidR="00D004B4" w:rsidRPr="008A591B" w:rsidRDefault="00D004B4" w:rsidP="0050246A">
      <w:pPr>
        <w:pStyle w:val="Heading3Academic"/>
      </w:pPr>
      <w:r w:rsidRPr="008A591B">
        <w:t>2.4.3 Temporal Dimensions</w:t>
      </w:r>
    </w:p>
    <w:p w14:paraId="5ECA3B42" w14:textId="175206BC" w:rsidR="00C807A7" w:rsidRPr="008A591B" w:rsidRDefault="00D004B4" w:rsidP="00296770">
      <w:pPr>
        <w:pStyle w:val="NormalAcademic"/>
      </w:pPr>
      <w:r w:rsidRPr="008A591B">
        <w:rPr>
          <w:color w:val="000000" w:themeColor="text1"/>
        </w:rPr>
        <w:t>The horizontal time axis provides structured timelines for all roadmap elements (Phaal et al., 2004a; Kim et al., 2023). For organizational transformation or complex technology development, ten-year horizons are common, segmented into short-term (1-3 years) focusing on operational priorities, medium-term (3-5 years) aligning with mid-term strategy, and long-term (5-10+ years) addressing strategic vision and disruptive innovation (</w:t>
      </w:r>
      <w:proofErr w:type="spellStart"/>
      <w:r w:rsidRPr="008A591B">
        <w:rPr>
          <w:color w:val="000000" w:themeColor="text1"/>
        </w:rPr>
        <w:t>Kayabay</w:t>
      </w:r>
      <w:proofErr w:type="spellEnd"/>
      <w:r w:rsidRPr="008A591B">
        <w:rPr>
          <w:color w:val="000000" w:themeColor="text1"/>
        </w:rPr>
        <w:t xml:space="preserve"> et al., 2022; Nazarenko et al., 2022). Forecasting challenges amplify in long-term planning, particularly in fast-paced domains. Technology Life Cycle modeling applies logistic growth curves to patent time-series data, objectively segmenting temporal periods through inflection points marking emergence, growth, maturity, and recession (Feng et al., 2022; Zhai et al., 2025).</w:t>
      </w:r>
    </w:p>
    <w:p w14:paraId="661F867E" w14:textId="338C2C9D" w:rsidR="00D004B4" w:rsidRPr="008A591B" w:rsidRDefault="00D004B4" w:rsidP="0050246A">
      <w:pPr>
        <w:pStyle w:val="Heading3Academic"/>
      </w:pPr>
      <w:r w:rsidRPr="008A591B">
        <w:lastRenderedPageBreak/>
        <w:t>2.4.4 Visualization and Communication</w:t>
      </w:r>
    </w:p>
    <w:p w14:paraId="7FAC4882" w14:textId="2B2887D9" w:rsidR="00D004B4" w:rsidRPr="008A591B" w:rsidRDefault="00D004B4" w:rsidP="00296770">
      <w:pPr>
        <w:pStyle w:val="NormalAcademic"/>
      </w:pPr>
      <w:r w:rsidRPr="008A591B">
        <w:rPr>
          <w:color w:val="000000" w:themeColor="text1"/>
        </w:rPr>
        <w:t>The graphical nature of roadmaps facilitates visualization, communication, and shared understanding among diverse stakeholders (Phaal et al., 2004a; Nazarenko et al., 2022). Common formats include layer diagrams demonstrating vertical linkages between market, product, and technology elements across time; bar charts representing element durations; and interactive visualizations enabling stakeholder engagement and dependency tracing (Kim et al., 2023; Zhai et al., 2025). Advanced tools translate quantitative metrics into concrete narratives of technological evolution through connecting lines and color-coding (Zhai et al., 2025).</w:t>
      </w:r>
    </w:p>
    <w:p w14:paraId="5749866D" w14:textId="4B11D893" w:rsidR="00D004B4" w:rsidRPr="008A591B" w:rsidRDefault="00D004B4" w:rsidP="0050246A">
      <w:pPr>
        <w:pStyle w:val="Heading3Academic"/>
      </w:pPr>
      <w:r w:rsidRPr="008A591B">
        <w:t>2.4.5 Integration Challenges and Hybrid Approaches</w:t>
      </w:r>
    </w:p>
    <w:p w14:paraId="602F9B08" w14:textId="373DC752" w:rsidR="00D004B4" w:rsidRPr="00BD323C" w:rsidRDefault="00D004B4" w:rsidP="00296770">
      <w:pPr>
        <w:pStyle w:val="NormalAcademic"/>
      </w:pPr>
      <w:r w:rsidRPr="00BD323C">
        <w:rPr>
          <w:color w:val="000000" w:themeColor="text1"/>
        </w:rPr>
        <w:t>Successfully integrating analytical outputs with strategic decision-making presents significant challenges (Nazarenko et al., 2022). Document-based roadmaps require intensive manual rework, are prone to inconsistencies due to interdependencies, and suffer from expert subjectivity (Kim et al., 2023). Data quality and granularity issues require rigorous preprocessing to avoid technological concept misinterpretation (Lahoti et al., 2018; Zhai et al., 2025). The retrospective nature of data analysis requires forecasting capabilities through predictive techniques (Kim &amp; Geum, 2021).</w:t>
      </w:r>
    </w:p>
    <w:p w14:paraId="24747630" w14:textId="3CC3D3ED" w:rsidR="00D004B4" w:rsidRPr="00BD323C" w:rsidRDefault="00D004B4" w:rsidP="00296770">
      <w:pPr>
        <w:pStyle w:val="NormalAcademic"/>
      </w:pPr>
      <w:r w:rsidRPr="00BD323C">
        <w:t>The consensus advocates hybrid methodologies combining objective data analysis with expert workshops (Nazarenko et al., 2022; Son et al., 2020). Quantitative reinforcement utilizes text mining, semantic analysis, and forecasting in pre-workshop phases to prepare evidence-based initial roadmaps, reducing costs and mitigating bias (Nazarenko et al., 2022; Pora et al., 2020). Expert-based workshops facilitate consensus-building and ensure analysis addresses real organizational needs (</w:t>
      </w:r>
      <w:proofErr w:type="spellStart"/>
      <w:r w:rsidRPr="00BD323C">
        <w:t>Kayabay</w:t>
      </w:r>
      <w:proofErr w:type="spellEnd"/>
      <w:r w:rsidRPr="00BD323C">
        <w:t xml:space="preserve"> et al., 2022). Advanced approaches including Model-Based TRM and deep learning systems like Generative Adversarial Networks enable automated roadmap generation, learning expert knowledge from past documents while applying quantitative rigor (Kim et al., 2023). This integration of computational power with human expertise represents the frontier of data-driven technology foresight, enabling organizations to navigate increasingly complex innovation landscapes with both analytical precision and strategic insight.</w:t>
      </w:r>
    </w:p>
    <w:p w14:paraId="6B0BD1DA" w14:textId="1A4A494B" w:rsidR="00D004B4" w:rsidRPr="008A591B" w:rsidRDefault="00D004B4" w:rsidP="00136B20">
      <w:pPr>
        <w:pStyle w:val="Heading2Academic"/>
      </w:pPr>
      <w:r w:rsidRPr="008A591B">
        <w:t>2.5 Technology Roadmapping as Foresight Practice</w:t>
      </w:r>
    </w:p>
    <w:p w14:paraId="1DF0E9C7" w14:textId="1FE1025A" w:rsidR="00D004B4" w:rsidRPr="008A591B" w:rsidRDefault="00D004B4" w:rsidP="00296770">
      <w:pPr>
        <w:pStyle w:val="NormalAcademic"/>
      </w:pPr>
      <w:r w:rsidRPr="008A591B">
        <w:rPr>
          <w:bCs/>
        </w:rPr>
        <w:t>While data-led roadmapping provides powerful analytical capabilities, it is essential to distinguish between deterministic prediction and genuine foresight practice. Technology foresight takes a broader, systemic approach that considers multiple possible futures, incorporates diverse stakeholder perspectives, and aims to build shared visions to inform present-day decision-making. Data-driven analysis supports this exploration by revealing possibility spaces rather than single trajectories.</w:t>
      </w:r>
    </w:p>
    <w:p w14:paraId="48EC3A30" w14:textId="18E848F2" w:rsidR="00D004B4" w:rsidRPr="008A591B" w:rsidRDefault="00D004B4" w:rsidP="00296770">
      <w:pPr>
        <w:pStyle w:val="NormalAcademic"/>
      </w:pPr>
      <w:r w:rsidRPr="008A591B">
        <w:lastRenderedPageBreak/>
        <w:t xml:space="preserve">Quantitative methods excel at identifying patterns, trends, and gaps in existing innovation landscapes. However, they inherently rely on historical data and may struggle to anticipate discontinuous </w:t>
      </w:r>
      <w:r w:rsidR="001E3262" w:rsidRPr="008A591B">
        <w:t>change,</w:t>
      </w:r>
      <w:r w:rsidRPr="008A591B">
        <w:t xml:space="preserve"> or paradigm shifts that break from past patterns. Weak signal detection methods attempt to address this limitation by scanning for early indicators of emerging disruptions, but such signals often resist quantification until they become mainstream trends.</w:t>
      </w:r>
    </w:p>
    <w:p w14:paraId="71E99FAE" w14:textId="3696797E" w:rsidR="00D004B4" w:rsidRPr="008A591B" w:rsidRDefault="00D004B4" w:rsidP="00296770">
      <w:pPr>
        <w:pStyle w:val="NormalAcademic"/>
      </w:pPr>
      <w:r w:rsidRPr="008A591B">
        <w:t>The most effective foresight practice combines quantitative rigor with qualitative scenario development. Data analysis provides evidence-based inputs—identifying key uncertainties, revealing divergent trajectories, and mapping stakeholder positions—while expert judgment and participatory methods explore how different choices and external forces might shape alternative futures. This hybrid approach ensures roadmaps serve as living strategic instruments rather than static predictions.</w:t>
      </w:r>
    </w:p>
    <w:p w14:paraId="659F6BF0" w14:textId="0B3F39B2" w:rsidR="00D004B4" w:rsidRPr="008A591B" w:rsidRDefault="00D004B4" w:rsidP="00296770">
      <w:pPr>
        <w:pStyle w:val="NormalAcademic"/>
      </w:pPr>
      <w:r w:rsidRPr="008A591B">
        <w:t>Organizations should approach data-led roadmapping outputs as one input among many in strategic deliberation. The patterns revealed through bibliometric and patent analysis indicate where innovation activity is concentrated and how knowledge flows between domains, but they cannot determine which futures are desirable or what actions stakeholders should take. These normative questions require human judgment informed by values, priorities, and contextual understanding that algorithms cannot provide.</w:t>
      </w:r>
    </w:p>
    <w:p w14:paraId="59223A35" w14:textId="311C1114" w:rsidR="00D004B4" w:rsidRPr="008A591B" w:rsidRDefault="00D004B4" w:rsidP="00136B20">
      <w:pPr>
        <w:pStyle w:val="Heading2Academic"/>
      </w:pPr>
      <w:r w:rsidRPr="008A591B">
        <w:t>2.6 Critical Reflexivity in Data-Driven Roadmapping</w:t>
      </w:r>
    </w:p>
    <w:p w14:paraId="443F05FB" w14:textId="08792A11" w:rsidR="00D004B4" w:rsidRPr="008A591B" w:rsidRDefault="00D004B4" w:rsidP="00296770">
      <w:pPr>
        <w:pStyle w:val="NormalAcademic"/>
      </w:pPr>
      <w:r w:rsidRPr="008A591B">
        <w:rPr>
          <w:bCs/>
        </w:rPr>
        <w:t xml:space="preserve">While quantitative methods enhance objectivity, they also embed </w:t>
      </w:r>
      <w:r w:rsidR="001E3262" w:rsidRPr="008A591B">
        <w:rPr>
          <w:bCs/>
        </w:rPr>
        <w:t>assumptions</w:t>
      </w:r>
      <w:r w:rsidRPr="008A591B">
        <w:rPr>
          <w:bCs/>
        </w:rPr>
        <w:t xml:space="preserve"> about what constitutes "innovation" and whose technological futures matter. Patent databases over-represent Global North innovation and corporate R&amp;D while undervaluing Global South contributions, informal sector adaptations, and community-based solutions. Publication metrics favor English-language journals and established institutions, potentially overlooking research from non-Western contexts or practice-oriented knowledge that does not result in academic publications.</w:t>
      </w:r>
    </w:p>
    <w:p w14:paraId="478925F0" w14:textId="7C0D68A5" w:rsidR="00D004B4" w:rsidRPr="008A591B" w:rsidRDefault="00D004B4" w:rsidP="00296770">
      <w:pPr>
        <w:pStyle w:val="NormalAcademic"/>
      </w:pPr>
      <w:r w:rsidRPr="008A591B">
        <w:t>Technology foresight must remain attentive to these limitations. Data-driven roadmaps should be complemented with stakeholder engagement that deliberately includes marginalized perspectives, scenario planning that explores alternative values and priorities, and reflexive questioning of what current metrics might miss. The goal is not eliminating quantitative analysis but ensuring it serves pluralistic technology futures rather than reinforcing dominant paradigms.</w:t>
      </w:r>
    </w:p>
    <w:p w14:paraId="23707443" w14:textId="72474433" w:rsidR="00482ADE" w:rsidRPr="008A591B" w:rsidRDefault="00482ADE" w:rsidP="000B1DBA">
      <w:pPr>
        <w:pStyle w:val="Heading1Academic"/>
      </w:pPr>
      <w:r w:rsidRPr="008A591B">
        <w:t>3. PRACTICAL EXAMPLES</w:t>
      </w:r>
    </w:p>
    <w:p w14:paraId="5654F5AC" w14:textId="77777777" w:rsidR="008A591B" w:rsidRPr="008A591B" w:rsidRDefault="008A591B" w:rsidP="008A591B">
      <w:pPr>
        <w:pStyle w:val="FirstParagraph"/>
        <w:rPr>
          <w:color w:val="000000" w:themeColor="text1"/>
        </w:rPr>
      </w:pPr>
      <w:r w:rsidRPr="008A591B">
        <w:rPr>
          <w:color w:val="000000" w:themeColor="text1"/>
        </w:rPr>
        <w:t xml:space="preserve">This section presents three practical examples demonstrating data-led technology roadmapping at increasing levels of complexity. All examples use synthetic datasets (CC0 license) from the GitHub repository, with search strategies provided for readers </w:t>
      </w:r>
      <w:r w:rsidRPr="008A591B">
        <w:rPr>
          <w:color w:val="000000" w:themeColor="text1"/>
        </w:rPr>
        <w:lastRenderedPageBreak/>
        <w:t>wishing to replicate with real data from freely accessible sources (Lens.org, PubMed).</w:t>
      </w:r>
    </w:p>
    <w:p w14:paraId="6F4585A5" w14:textId="77777777" w:rsidR="008A591B" w:rsidRPr="008A591B" w:rsidRDefault="008A591B" w:rsidP="008A591B">
      <w:pPr>
        <w:pStyle w:val="Heading2Academic"/>
      </w:pPr>
      <w:bookmarkStart w:id="0" w:name="overview-of-analytical-approaches"/>
      <w:r w:rsidRPr="008A591B">
        <w:t>3.1 Overview of Analytical Approaches</w:t>
      </w:r>
    </w:p>
    <w:p w14:paraId="5924FC02" w14:textId="77777777" w:rsidR="008A591B" w:rsidRPr="008A591B" w:rsidRDefault="008A591B" w:rsidP="00296770">
      <w:pPr>
        <w:pStyle w:val="NormalAcademic"/>
      </w:pPr>
      <w:r w:rsidRPr="008A591B">
        <w:rPr>
          <w:bCs/>
        </w:rPr>
        <w:t>Data-led technology roadmapping employs four complementary analytical approaches, each revealing different aspects of innovation dynamics:</w:t>
      </w:r>
    </w:p>
    <w:p w14:paraId="7AE4B64F" w14:textId="77777777" w:rsidR="008A591B" w:rsidRPr="008A591B" w:rsidRDefault="008A591B" w:rsidP="00296770">
      <w:pPr>
        <w:pStyle w:val="NormalAcademic"/>
      </w:pPr>
      <w:r w:rsidRPr="008A591B">
        <w:t>Temporal Trend Analysis examines publication and patent volumes over time to identify growth patterns, inflection points, and technology lifecycle stages. S-curve fitting and ARIMA forecasting provide quantitative projections while acknowledging inherent uncertainties in long-term prediction.</w:t>
      </w:r>
    </w:p>
    <w:p w14:paraId="3332EFE2" w14:textId="77777777" w:rsidR="008A591B" w:rsidRPr="008A591B" w:rsidRDefault="008A591B" w:rsidP="00296770">
      <w:pPr>
        <w:pStyle w:val="NormalAcademic"/>
      </w:pPr>
      <w:r w:rsidRPr="008A591B">
        <w:t>Topic Modeling using Latent Dirichlet Allocation (LDA) identifies latent thematic structures within document corpora, revealing technology sub-domains and their evolution. This approach transforms unstructured text into interpretable topic distributions that can be tracked across time periods.</w:t>
      </w:r>
    </w:p>
    <w:p w14:paraId="44297C41" w14:textId="77777777" w:rsidR="008A591B" w:rsidRPr="008A591B" w:rsidRDefault="008A591B" w:rsidP="00296770">
      <w:pPr>
        <w:pStyle w:val="NormalAcademic"/>
      </w:pPr>
      <w:r w:rsidRPr="008A591B">
        <w:t>Network Analysis constructs co-occurrence networks from keywords, authors, or citations to map relational structures within innovation ecosystems. Centrality measures identify core technologies and bridging concepts, while community detection reveals technology clusters.</w:t>
      </w:r>
    </w:p>
    <w:p w14:paraId="0690AA93" w14:textId="77777777" w:rsidR="008A591B" w:rsidRPr="008A591B" w:rsidRDefault="008A591B" w:rsidP="00296770">
      <w:pPr>
        <w:pStyle w:val="NormalAcademic"/>
      </w:pPr>
      <w:r w:rsidRPr="008A591B">
        <w:t>Gap Analysis integrates publication and patent data to identify misalignments between scientific research and technological development. This comparative approach reveals under-commercialized research areas and engineering-intensive domains lacking fundamental investigation.</w:t>
      </w:r>
    </w:p>
    <w:p w14:paraId="5902463A" w14:textId="15D196B9" w:rsidR="008A591B" w:rsidRPr="008A591B" w:rsidRDefault="008A591B" w:rsidP="00296770">
      <w:pPr>
        <w:pStyle w:val="NormalAcademic"/>
      </w:pPr>
      <w:r w:rsidRPr="008A591B">
        <w:t>The following examples demonstrate these approaches at increasing complexity, preparing readers for the comprehensive case study in Section 5.</w:t>
      </w:r>
      <w:bookmarkEnd w:id="0"/>
    </w:p>
    <w:p w14:paraId="12EA7DA3" w14:textId="1E525C63" w:rsidR="00482ADE" w:rsidRPr="008A591B" w:rsidRDefault="00482ADE" w:rsidP="00482ADE">
      <w:pPr>
        <w:pStyle w:val="Heading2Academic"/>
      </w:pPr>
      <w:r w:rsidRPr="008A591B">
        <w:t>3.</w:t>
      </w:r>
      <w:r w:rsidR="008A591B" w:rsidRPr="008A591B">
        <w:t>2</w:t>
      </w:r>
      <w:r w:rsidRPr="008A591B">
        <w:t>. Example 1: Patent Trend Analysis – Battery Technology</w:t>
      </w:r>
    </w:p>
    <w:p w14:paraId="46A63090" w14:textId="77777777" w:rsidR="00482ADE" w:rsidRPr="008A591B" w:rsidRDefault="00482ADE" w:rsidP="00296770">
      <w:pPr>
        <w:pStyle w:val="NormalAcademic"/>
      </w:pPr>
      <w:r w:rsidRPr="008A591B">
        <w:rPr>
          <w:bCs/>
        </w:rPr>
        <w:t>Objective: Demonstrate how patent trend analysis reveals technology maturity and competitive dynamics.</w:t>
      </w:r>
    </w:p>
    <w:p w14:paraId="70A1DEF9" w14:textId="77777777" w:rsidR="00482ADE" w:rsidRPr="008A591B" w:rsidRDefault="00482ADE" w:rsidP="00296770">
      <w:pPr>
        <w:pStyle w:val="NormalAcademic"/>
      </w:pPr>
      <w:r w:rsidRPr="008A591B">
        <w:t>Data: Synthetic dataset (synthetic_battery_patents.csv, 2,500 records, CC0) or Lens.org search: (battery OR “energy storage”) AND (lithium OR “solid state”) with date filter 2015-2025.</w:t>
      </w:r>
    </w:p>
    <w:p w14:paraId="0CF3EE6C" w14:textId="77777777" w:rsidR="00482ADE" w:rsidRPr="008A591B" w:rsidRDefault="00482ADE" w:rsidP="00296770">
      <w:pPr>
        <w:pStyle w:val="NormalAcademic"/>
      </w:pPr>
      <w:r w:rsidRPr="008A591B">
        <w:t>Analytical Steps: 1. Aggregate patent counts by publication year 2. Calculate year-over-year growth rates and CAGR 3. Fit S-curve to identify technology lifecycle stage 4. Identify top assignees to map competitive landscape</w:t>
      </w:r>
    </w:p>
    <w:p w14:paraId="050E515F" w14:textId="77777777" w:rsidR="00482ADE" w:rsidRPr="008A591B" w:rsidRDefault="00482ADE" w:rsidP="00296770">
      <w:pPr>
        <w:pStyle w:val="NormalAcademic"/>
      </w:pPr>
      <w:r w:rsidRPr="008A591B">
        <w:t>Interpretation Framework: - CAGR &gt;15%: Emerging technology with strong momentum - CAGR 5-15%: Developing technology with sustained innovation - CAGR &lt;5%: Mature technology with incremental improvements</w:t>
      </w:r>
    </w:p>
    <w:p w14:paraId="11545C77" w14:textId="77777777" w:rsidR="00482ADE" w:rsidRPr="008A591B" w:rsidRDefault="00482ADE" w:rsidP="00296770">
      <w:pPr>
        <w:pStyle w:val="NormalAcademic"/>
      </w:pPr>
      <w:r w:rsidRPr="008A591B">
        <w:lastRenderedPageBreak/>
        <w:t>Strategic Insights: High assignee concentration suggests patent thickets; diversified distribution indicates open competition; geographic patterns reveal regional innovation leadership.</w:t>
      </w:r>
    </w:p>
    <w:p w14:paraId="6C6C087C" w14:textId="77777777" w:rsidR="00482ADE" w:rsidRPr="008A591B" w:rsidRDefault="00482ADE" w:rsidP="00296770">
      <w:pPr>
        <w:pStyle w:val="NormalAcademic"/>
      </w:pPr>
      <w:r w:rsidRPr="008A591B">
        <w:t>Limitation: Simple trend analysis does not capture citation quality or semantic content. Section 4 addresses these limitations.</w:t>
      </w:r>
    </w:p>
    <w:p w14:paraId="1F94FE21" w14:textId="57D31352" w:rsidR="00482ADE" w:rsidRPr="008A591B" w:rsidRDefault="00482ADE" w:rsidP="00482ADE">
      <w:pPr>
        <w:pStyle w:val="Heading2Academic"/>
      </w:pPr>
      <w:r w:rsidRPr="008A591B">
        <w:t>3.</w:t>
      </w:r>
      <w:r w:rsidR="008A591B" w:rsidRPr="008A591B">
        <w:t>3</w:t>
      </w:r>
      <w:r w:rsidRPr="008A591B">
        <w:t>. Example 2: Topic Evolution – AI in Healthcare</w:t>
      </w:r>
    </w:p>
    <w:p w14:paraId="63ADA7EA" w14:textId="77777777" w:rsidR="00482ADE" w:rsidRPr="008A591B" w:rsidRDefault="00482ADE" w:rsidP="00296770">
      <w:pPr>
        <w:pStyle w:val="NormalAcademic"/>
      </w:pPr>
      <w:r w:rsidRPr="008A591B">
        <w:rPr>
          <w:bCs/>
        </w:rPr>
        <w:t>Objective: Demonstrate how bibliometric analysis reveals research theme evolution and emerging sub-domains.</w:t>
      </w:r>
    </w:p>
    <w:p w14:paraId="180FA822" w14:textId="77777777" w:rsidR="00482ADE" w:rsidRPr="008A591B" w:rsidRDefault="00482ADE" w:rsidP="00296770">
      <w:pPr>
        <w:pStyle w:val="NormalAcademic"/>
      </w:pPr>
      <w:r w:rsidRPr="008A591B">
        <w:t>Data: Synthetic dataset (synthetic_ai_healthcare_publications.csv, 3,000 records, CC0) or PubMed/Scopus search: (“artificial intelligence” OR “machine learning” OR “deep learning”) AND (“healthcare” OR “medical” OR “clinical”) with date filter 2016-2025.</w:t>
      </w:r>
    </w:p>
    <w:p w14:paraId="2BB1D7F3" w14:textId="77777777" w:rsidR="00482ADE" w:rsidRPr="008A591B" w:rsidRDefault="00482ADE" w:rsidP="00296770">
      <w:pPr>
        <w:pStyle w:val="NormalAcademic"/>
      </w:pPr>
      <w:r w:rsidRPr="008A591B">
        <w:t xml:space="preserve">Analytical Workflow: 1. Text preprocessing: concatenate title/abstract, tokenize, remove </w:t>
      </w:r>
      <w:proofErr w:type="spellStart"/>
      <w:r w:rsidRPr="008A591B">
        <w:t>stopwords</w:t>
      </w:r>
      <w:proofErr w:type="spellEnd"/>
      <w:r w:rsidRPr="008A591B">
        <w:t>, lemmatize 2. TF-IDF vectorization (1,000-5,000 features) 3. LDA topic modeling (k=5-10 topics) 4. Temporal aggregation of topic distributions by year</w:t>
      </w:r>
    </w:p>
    <w:p w14:paraId="60B65693" w14:textId="77777777" w:rsidR="00482ADE" w:rsidRPr="008A591B" w:rsidRDefault="00482ADE" w:rsidP="00296770">
      <w:pPr>
        <w:pStyle w:val="NormalAcademic"/>
      </w:pPr>
      <w:r w:rsidRPr="008A591B">
        <w:t>Expected Patterns: - Medical Imaging: Consistent high volume (established domain) - Drug Discovery: Accelerating growth (emerging area) - Explainable AI: Sharp post-2020 growth (regulatory concerns)</w:t>
      </w:r>
    </w:p>
    <w:p w14:paraId="4E242250" w14:textId="77777777" w:rsidR="00482ADE" w:rsidRPr="008A591B" w:rsidRDefault="00482ADE" w:rsidP="00296770">
      <w:pPr>
        <w:pStyle w:val="NormalAcademic"/>
      </w:pPr>
      <w:r w:rsidRPr="008A591B">
        <w:t>Visualization: Stacked area chart showing topic proportions over time; co-occurrence network revealing keyword clusters and bridge concepts.</w:t>
      </w:r>
    </w:p>
    <w:p w14:paraId="5B4539E4" w14:textId="77777777" w:rsidR="00482ADE" w:rsidRPr="008A591B" w:rsidRDefault="00482ADE" w:rsidP="00296770">
      <w:pPr>
        <w:pStyle w:val="NormalAcademic"/>
      </w:pPr>
      <w:r w:rsidRPr="008A591B">
        <w:t>Strategic Implication: Topic evolution guides research prioritization and identifies white spaces. Publication analysis reflects scientific discovery; patent data provides complementary commercialization insights.</w:t>
      </w:r>
    </w:p>
    <w:p w14:paraId="31959A33" w14:textId="11A0E11C" w:rsidR="00482ADE" w:rsidRPr="008A591B" w:rsidRDefault="00482ADE" w:rsidP="00482ADE">
      <w:pPr>
        <w:pStyle w:val="Heading2Academic"/>
      </w:pPr>
      <w:bookmarkStart w:id="1" w:name="X28cf93484d3bda5b8c8e7b8163d134b8dccb866"/>
      <w:r w:rsidRPr="008A591B">
        <w:t>3.</w:t>
      </w:r>
      <w:r w:rsidR="008A591B" w:rsidRPr="008A591B">
        <w:t>4</w:t>
      </w:r>
      <w:r w:rsidRPr="008A591B">
        <w:t>. Example 3: Combined Analysis – Quantum Computing</w:t>
      </w:r>
    </w:p>
    <w:p w14:paraId="53497456" w14:textId="77777777" w:rsidR="00482ADE" w:rsidRPr="008A591B" w:rsidRDefault="00482ADE" w:rsidP="00296770">
      <w:pPr>
        <w:pStyle w:val="NormalAcademic"/>
      </w:pPr>
      <w:r w:rsidRPr="008A591B">
        <w:rPr>
          <w:bCs/>
        </w:rPr>
        <w:t>Objective: Demonstrate integrated patent-publication analysis for identifying science-technology gaps.</w:t>
      </w:r>
    </w:p>
    <w:p w14:paraId="4400F0F7" w14:textId="77777777" w:rsidR="00482ADE" w:rsidRPr="008A591B" w:rsidRDefault="00482ADE" w:rsidP="00296770">
      <w:pPr>
        <w:pStyle w:val="NormalAcademic"/>
      </w:pPr>
      <w:r w:rsidRPr="008A591B">
        <w:t>Data: Synthetic dataset (synthetic_quantum_combined.csv, CC0) or parallel searches on Lens.org (patents) and Scopus/PubMed (publications): (“quantum computing” OR “quantum algorithm” OR “qubit”) with date filter 2010-2025.</w:t>
      </w:r>
    </w:p>
    <w:p w14:paraId="732918E2" w14:textId="77777777" w:rsidR="00482ADE" w:rsidRPr="008A591B" w:rsidRDefault="00482ADE" w:rsidP="00296770">
      <w:pPr>
        <w:pStyle w:val="NormalAcademic"/>
      </w:pPr>
      <w:r w:rsidRPr="008A591B">
        <w:t>Integration Methods: 1. Temporal correlation: Plot dual time series; calculate cross-correlation to identify publication-patent lag 2. Keyword overlap: Identify shared terms (knowledge transfer) vs. unique terms (specialization) 3. Topic alignment: Calculate cosine similarity between publication and patent topic distributions</w:t>
      </w:r>
    </w:p>
    <w:p w14:paraId="2B8DF821" w14:textId="77777777" w:rsidR="009F4D3F" w:rsidRDefault="009F4D3F" w:rsidP="00482ADE">
      <w:pPr>
        <w:pStyle w:val="GvdeMetni"/>
        <w:rPr>
          <w:rFonts w:ascii="Times New Roman" w:hAnsi="Times New Roman" w:cs="Times New Roman"/>
          <w:b/>
          <w:bCs/>
          <w:sz w:val="22"/>
          <w:szCs w:val="22"/>
        </w:rPr>
      </w:pPr>
    </w:p>
    <w:p w14:paraId="0AAC7830" w14:textId="0FC24998" w:rsidR="00482ADE" w:rsidRPr="00BD323C" w:rsidRDefault="00482ADE" w:rsidP="00482ADE">
      <w:pPr>
        <w:pStyle w:val="GvdeMetni"/>
        <w:rPr>
          <w:rFonts w:ascii="Times New Roman" w:hAnsi="Times New Roman" w:cs="Times New Roman"/>
          <w:sz w:val="22"/>
          <w:szCs w:val="22"/>
        </w:rPr>
      </w:pPr>
      <w:r w:rsidRPr="00BD323C">
        <w:rPr>
          <w:rFonts w:ascii="Times New Roman" w:hAnsi="Times New Roman" w:cs="Times New Roman"/>
          <w:b/>
          <w:bCs/>
          <w:sz w:val="22"/>
          <w:szCs w:val="22"/>
        </w:rPr>
        <w:lastRenderedPageBreak/>
        <w:t>Gap Analysis Framework:</w:t>
      </w:r>
    </w:p>
    <w:tbl>
      <w:tblPr>
        <w:tblStyle w:val="Table"/>
        <w:tblW w:w="5000" w:type="pct"/>
        <w:tblLook w:val="0020" w:firstRow="1" w:lastRow="0" w:firstColumn="0" w:lastColumn="0" w:noHBand="0" w:noVBand="0"/>
      </w:tblPr>
      <w:tblGrid>
        <w:gridCol w:w="1418"/>
        <w:gridCol w:w="1868"/>
        <w:gridCol w:w="1942"/>
        <w:gridCol w:w="2142"/>
      </w:tblGrid>
      <w:tr w:rsidR="00482ADE" w:rsidRPr="00BD323C" w14:paraId="4A942A32" w14:textId="77777777" w:rsidTr="00EC6BC5">
        <w:trPr>
          <w:cnfStyle w:val="100000000000" w:firstRow="1" w:lastRow="0" w:firstColumn="0" w:lastColumn="0" w:oddVBand="0" w:evenVBand="0" w:oddHBand="0" w:evenHBand="0" w:firstRowFirstColumn="0" w:firstRowLastColumn="0" w:lastRowFirstColumn="0" w:lastRowLastColumn="0"/>
          <w:tblHeader/>
        </w:trPr>
        <w:tc>
          <w:tcPr>
            <w:tcW w:w="0" w:type="auto"/>
          </w:tcPr>
          <w:p w14:paraId="158B7413"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Gap Type</w:t>
            </w:r>
          </w:p>
        </w:tc>
        <w:tc>
          <w:tcPr>
            <w:tcW w:w="0" w:type="auto"/>
          </w:tcPr>
          <w:p w14:paraId="21F0BDF1"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Characteristic</w:t>
            </w:r>
          </w:p>
        </w:tc>
        <w:tc>
          <w:tcPr>
            <w:tcW w:w="0" w:type="auto"/>
          </w:tcPr>
          <w:p w14:paraId="2BB39381"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Example</w:t>
            </w:r>
          </w:p>
        </w:tc>
        <w:tc>
          <w:tcPr>
            <w:tcW w:w="0" w:type="auto"/>
          </w:tcPr>
          <w:p w14:paraId="232E843F"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Implication</w:t>
            </w:r>
          </w:p>
        </w:tc>
      </w:tr>
      <w:tr w:rsidR="00482ADE" w:rsidRPr="00BD323C" w14:paraId="25A302E9" w14:textId="77777777" w:rsidTr="00EC6BC5">
        <w:tc>
          <w:tcPr>
            <w:tcW w:w="0" w:type="auto"/>
          </w:tcPr>
          <w:p w14:paraId="16E4A53E" w14:textId="77777777" w:rsidR="008A591B"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Under-</w:t>
            </w:r>
          </w:p>
          <w:p w14:paraId="31239AAE" w14:textId="3E062525" w:rsidR="00482ADE" w:rsidRPr="00BD323C" w:rsidRDefault="00BD323C" w:rsidP="00EC6BC5">
            <w:pPr>
              <w:pStyle w:val="Compact"/>
              <w:rPr>
                <w:rFonts w:ascii="Times New Roman" w:hAnsi="Times New Roman" w:cs="Times New Roman"/>
                <w:sz w:val="18"/>
                <w:szCs w:val="18"/>
              </w:rPr>
            </w:pPr>
            <w:r w:rsidRPr="00BD323C">
              <w:rPr>
                <w:rFonts w:ascii="Times New Roman" w:hAnsi="Times New Roman" w:cs="Times New Roman"/>
                <w:sz w:val="18"/>
                <w:szCs w:val="18"/>
              </w:rPr>
              <w:t>commercialized</w:t>
            </w:r>
          </w:p>
        </w:tc>
        <w:tc>
          <w:tcPr>
            <w:tcW w:w="0" w:type="auto"/>
          </w:tcPr>
          <w:p w14:paraId="3DF1C8DF"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High publications, low patents</w:t>
            </w:r>
          </w:p>
        </w:tc>
        <w:tc>
          <w:tcPr>
            <w:tcW w:w="0" w:type="auto"/>
          </w:tcPr>
          <w:p w14:paraId="7FB3EDAC"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Topological quantum computing</w:t>
            </w:r>
          </w:p>
        </w:tc>
        <w:tc>
          <w:tcPr>
            <w:tcW w:w="0" w:type="auto"/>
          </w:tcPr>
          <w:p w14:paraId="34B1D772"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Engineering investment opportunity</w:t>
            </w:r>
          </w:p>
        </w:tc>
      </w:tr>
      <w:tr w:rsidR="00482ADE" w:rsidRPr="00BD323C" w14:paraId="2125DC1D" w14:textId="77777777" w:rsidTr="00EC6BC5">
        <w:tc>
          <w:tcPr>
            <w:tcW w:w="0" w:type="auto"/>
          </w:tcPr>
          <w:p w14:paraId="79B37DF5"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Engineering-intensive</w:t>
            </w:r>
          </w:p>
        </w:tc>
        <w:tc>
          <w:tcPr>
            <w:tcW w:w="0" w:type="auto"/>
          </w:tcPr>
          <w:p w14:paraId="75F40D9F"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Low publications, high patents</w:t>
            </w:r>
          </w:p>
        </w:tc>
        <w:tc>
          <w:tcPr>
            <w:tcW w:w="0" w:type="auto"/>
          </w:tcPr>
          <w:p w14:paraId="2EBB8313"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Hardware optimization</w:t>
            </w:r>
          </w:p>
        </w:tc>
        <w:tc>
          <w:tcPr>
            <w:tcW w:w="0" w:type="auto"/>
          </w:tcPr>
          <w:p w14:paraId="6AA0428C"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Mature technology, patent thickets</w:t>
            </w:r>
          </w:p>
        </w:tc>
      </w:tr>
      <w:tr w:rsidR="00482ADE" w:rsidRPr="00BD323C" w14:paraId="61528CF8" w14:textId="77777777" w:rsidTr="00EC6BC5">
        <w:tc>
          <w:tcPr>
            <w:tcW w:w="0" w:type="auto"/>
          </w:tcPr>
          <w:p w14:paraId="447A038D"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Balanced</w:t>
            </w:r>
          </w:p>
        </w:tc>
        <w:tc>
          <w:tcPr>
            <w:tcW w:w="0" w:type="auto"/>
          </w:tcPr>
          <w:p w14:paraId="17E708D9"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Proportional growth</w:t>
            </w:r>
          </w:p>
        </w:tc>
        <w:tc>
          <w:tcPr>
            <w:tcW w:w="0" w:type="auto"/>
          </w:tcPr>
          <w:p w14:paraId="154B3165"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Quantum annealing</w:t>
            </w:r>
          </w:p>
        </w:tc>
        <w:tc>
          <w:tcPr>
            <w:tcW w:w="0" w:type="auto"/>
          </w:tcPr>
          <w:p w14:paraId="00B2AAE4" w14:textId="77777777" w:rsidR="00482ADE" w:rsidRPr="00BD323C" w:rsidRDefault="00482ADE" w:rsidP="00EC6BC5">
            <w:pPr>
              <w:pStyle w:val="Compact"/>
              <w:rPr>
                <w:rFonts w:ascii="Times New Roman" w:hAnsi="Times New Roman" w:cs="Times New Roman"/>
                <w:sz w:val="18"/>
                <w:szCs w:val="18"/>
              </w:rPr>
            </w:pPr>
            <w:r w:rsidRPr="00BD323C">
              <w:rPr>
                <w:rFonts w:ascii="Times New Roman" w:hAnsi="Times New Roman" w:cs="Times New Roman"/>
                <w:sz w:val="18"/>
                <w:szCs w:val="18"/>
              </w:rPr>
              <w:t>Healthy innovation pipeline</w:t>
            </w:r>
          </w:p>
        </w:tc>
      </w:tr>
    </w:tbl>
    <w:p w14:paraId="36F70360" w14:textId="77777777" w:rsidR="00482ADE" w:rsidRPr="008A591B" w:rsidRDefault="00482ADE" w:rsidP="00296770">
      <w:pPr>
        <w:pStyle w:val="NormalAcademic"/>
      </w:pPr>
      <w:r w:rsidRPr="008A591B">
        <w:rPr>
          <w:bCs/>
        </w:rPr>
        <w:t>Foresight Application: Gap analysis reveals critical decision points where stakeholder choices shape which futures emerge. Section 6.4 provides a scenario development exercise exploring how policy and investment choices lead to divergent quantum computing trajectories through 2035.</w:t>
      </w:r>
    </w:p>
    <w:p w14:paraId="2D009688" w14:textId="77777777" w:rsidR="008A591B" w:rsidRPr="008A591B" w:rsidRDefault="008A591B" w:rsidP="00C554EE">
      <w:pPr>
        <w:pStyle w:val="Heading2Academic"/>
      </w:pPr>
      <w:bookmarkStart w:id="2" w:name="Xd0dedaec05361a4e25e89af792a04027b10eb29"/>
      <w:bookmarkEnd w:id="1"/>
      <w:r w:rsidRPr="008A591B">
        <w:t>3.5 Integrated Application: Healthcare Smart Contracts</w:t>
      </w:r>
    </w:p>
    <w:p w14:paraId="135AD4D9" w14:textId="21BCDD5E" w:rsidR="008A591B" w:rsidRPr="008A591B" w:rsidRDefault="008A591B" w:rsidP="00296770">
      <w:pPr>
        <w:pStyle w:val="NormalAcademic"/>
      </w:pPr>
      <w:r w:rsidRPr="008A591B">
        <w:rPr>
          <w:bCs/>
        </w:rPr>
        <w:t>Section 5 presents a comprehensive case study applying all four analytical approaches to healthcare smart contracts—an emerging technology domain at the intersection of blockchain, healthcare informatics, and regulatory compliance. This case study, based on research published in Scientometrics (DOI: 10.1007/s11192-025-05457-1), analyzes 4,156 publications and 10,204 patents through an eight-stage analytical pipeline.</w:t>
      </w:r>
      <w:r w:rsidR="00BD323C">
        <w:rPr>
          <w:bCs/>
        </w:rPr>
        <w:t xml:space="preserve"> </w:t>
      </w:r>
      <w:r w:rsidRPr="008A591B">
        <w:rPr>
          <w:bCs/>
        </w:rPr>
        <w:t>The healthcare smart contracts case demonstrates methodological advantages over simplified pedagogical examples: real-world data complexity requiring robust preprocessing; sufficient sample size enabling reliable statistical inference; integration of traditional (LDA, TF-IDF) and transformer-based (</w:t>
      </w:r>
      <w:proofErr w:type="spellStart"/>
      <w:r w:rsidRPr="008A591B">
        <w:rPr>
          <w:bCs/>
        </w:rPr>
        <w:t>SciBERT</w:t>
      </w:r>
      <w:proofErr w:type="spellEnd"/>
      <w:r w:rsidRPr="008A591B">
        <w:rPr>
          <w:bCs/>
        </w:rPr>
        <w:t>) methods; and validation through expert interviews confirming computational findings.</w:t>
      </w:r>
    </w:p>
    <w:p w14:paraId="2E05BBC1" w14:textId="1BBBAC81" w:rsidR="008A591B" w:rsidRPr="008A591B" w:rsidRDefault="008A591B" w:rsidP="00296770">
      <w:pPr>
        <w:pStyle w:val="NormalAcademic"/>
      </w:pPr>
      <w:r w:rsidRPr="008A591B">
        <w:t>From a foresight perspective, the analytical methods presented here support exploration of multiple possible futures rather than deterministic prediction. Temporal trends reveal where innovation momentum is building; topic evolution illuminates divergent research trajectories; and gap analysis identifies critical decision points where stakeholder choices shape which futures emerge. Section 5.2.7 demonstrates this foresight application through four alternative scenarios for healthcare smart contracts.</w:t>
      </w:r>
      <w:r w:rsidR="00BD323C">
        <w:t xml:space="preserve"> </w:t>
      </w:r>
      <w:r w:rsidRPr="008A591B">
        <w:t>Section 4 provides complete Python implementations of these methodologies, while Section 5 presents the comprehensive case study integrating all techniques at production scale.</w:t>
      </w:r>
      <w:bookmarkEnd w:id="2"/>
    </w:p>
    <w:p w14:paraId="1877C387" w14:textId="2438B1B2" w:rsidR="00271448" w:rsidRPr="008A591B" w:rsidRDefault="00271448" w:rsidP="00271448">
      <w:pPr>
        <w:pStyle w:val="Heading1Academic"/>
      </w:pPr>
      <w:r w:rsidRPr="008A591B">
        <w:t>4. Code Implementations</w:t>
      </w:r>
    </w:p>
    <w:p w14:paraId="4594BEC6" w14:textId="77777777" w:rsidR="00271448" w:rsidRPr="008A591B" w:rsidRDefault="00271448" w:rsidP="004D1C9F">
      <w:pPr>
        <w:pStyle w:val="FirstParagraph"/>
      </w:pPr>
      <w:r w:rsidRPr="008A591B">
        <w:t xml:space="preserve">This section provides complete, production-ready Python implementations for data-led technology roadmapping. All code examples are modular, well-documented, and designed for reusability across different technology domains. The implementations </w:t>
      </w:r>
      <w:r w:rsidRPr="008A591B">
        <w:lastRenderedPageBreak/>
        <w:t>follow software engineering best practices including error handling, type hints, and comprehensive docstrings.</w:t>
      </w:r>
    </w:p>
    <w:p w14:paraId="76679CA0" w14:textId="77777777" w:rsidR="00271448" w:rsidRPr="008A591B" w:rsidRDefault="00271448" w:rsidP="00296770">
      <w:pPr>
        <w:pStyle w:val="NormalAcademic"/>
      </w:pPr>
      <w:r w:rsidRPr="008A591B">
        <w:rPr>
          <w:color w:val="000000" w:themeColor="text1"/>
        </w:rPr>
        <w:t>Note: Complete code repositories with example datasets are available on the book's GitHub repository. Due to licensing restrictions, raw data from commercial databases (Scopus, Lens.org) cannot be redistributed. Section 4.2 provides search strings to reproduce datasets.</w:t>
      </w:r>
    </w:p>
    <w:p w14:paraId="7FF09923" w14:textId="77777777" w:rsidR="00271448" w:rsidRPr="008A591B" w:rsidRDefault="00271448" w:rsidP="00136B20">
      <w:pPr>
        <w:pStyle w:val="Heading2Academic"/>
      </w:pPr>
      <w:r w:rsidRPr="008A591B">
        <w:t>4.1 Environment Setup</w:t>
      </w:r>
    </w:p>
    <w:p w14:paraId="708726E6" w14:textId="1CD7D4E3" w:rsidR="00A248AA" w:rsidRPr="00AD1120" w:rsidRDefault="00A248AA" w:rsidP="00296770">
      <w:pPr>
        <w:pStyle w:val="NormalAcademic"/>
      </w:pPr>
      <w:r w:rsidRPr="00AD1120">
        <w:rPr>
          <w:color w:val="000000" w:themeColor="text1"/>
        </w:rPr>
        <w:t xml:space="preserve">The workflow requires standard Python data science libraries: pandas and </w:t>
      </w:r>
      <w:proofErr w:type="spellStart"/>
      <w:r w:rsidRPr="00AD1120">
        <w:rPr>
          <w:color w:val="000000" w:themeColor="text1"/>
        </w:rPr>
        <w:t>numpy</w:t>
      </w:r>
      <w:proofErr w:type="spellEnd"/>
      <w:r w:rsidRPr="00AD1120">
        <w:rPr>
          <w:color w:val="000000" w:themeColor="text1"/>
        </w:rPr>
        <w:t xml:space="preserve"> for data manipulation, matplotlib/seaborn for visualization, scikit-learn for vectorization and clustering, </w:t>
      </w:r>
      <w:proofErr w:type="spellStart"/>
      <w:r w:rsidRPr="00AD1120">
        <w:rPr>
          <w:color w:val="000000" w:themeColor="text1"/>
        </w:rPr>
        <w:t>nltk</w:t>
      </w:r>
      <w:proofErr w:type="spellEnd"/>
      <w:r w:rsidRPr="00AD1120">
        <w:rPr>
          <w:color w:val="000000" w:themeColor="text1"/>
        </w:rPr>
        <w:t xml:space="preserve"> for text preprocessing, </w:t>
      </w:r>
      <w:proofErr w:type="spellStart"/>
      <w:r w:rsidRPr="00AD1120">
        <w:rPr>
          <w:color w:val="000000" w:themeColor="text1"/>
        </w:rPr>
        <w:t>networkx</w:t>
      </w:r>
      <w:proofErr w:type="spellEnd"/>
      <w:r w:rsidRPr="00AD1120">
        <w:rPr>
          <w:color w:val="000000" w:themeColor="text1"/>
        </w:rPr>
        <w:t xml:space="preserve"> for network analysis, and </w:t>
      </w:r>
      <w:proofErr w:type="spellStart"/>
      <w:r w:rsidRPr="00AD1120">
        <w:rPr>
          <w:color w:val="000000" w:themeColor="text1"/>
        </w:rPr>
        <w:t>statsmodels</w:t>
      </w:r>
      <w:proofErr w:type="spellEnd"/>
      <w:r w:rsidRPr="00AD1120">
        <w:rPr>
          <w:color w:val="000000" w:themeColor="text1"/>
        </w:rPr>
        <w:t xml:space="preserve"> for ARIMA forecasting. Complete dependency list and installation instructions are available in requirements.txt in the book's GitHub repository (link to be provided by the publisher)</w:t>
      </w:r>
      <w:r w:rsidR="00AB2E9B">
        <w:rPr>
          <w:color w:val="000000" w:themeColor="text1"/>
        </w:rPr>
        <w:t xml:space="preserve"> </w:t>
      </w:r>
      <w:r w:rsidR="00AB2E9B" w:rsidRPr="00AB2E9B">
        <w:rPr>
          <w:color w:val="000000" w:themeColor="text1"/>
          <w:highlight w:val="yellow"/>
        </w:rPr>
        <w:t>(the chapter's GitHub repository</w:t>
      </w:r>
      <w:r w:rsidR="00AB2E9B" w:rsidRPr="00AB2E9B">
        <w:rPr>
          <w:highlight w:val="yellow"/>
        </w:rPr>
        <w:t xml:space="preserve"> https://github.com/arfsylr/data-led-technology-roadmapping</w:t>
      </w:r>
      <w:r w:rsidR="00AB2E9B" w:rsidRPr="00AB2E9B">
        <w:rPr>
          <w:color w:val="000000" w:themeColor="text1"/>
          <w:highlight w:val="yellow"/>
        </w:rPr>
        <w:t>)</w:t>
      </w:r>
      <w:r w:rsidRPr="00AD1120">
        <w:rPr>
          <w:color w:val="000000" w:themeColor="text1"/>
        </w:rPr>
        <w:t>.</w:t>
      </w:r>
    </w:p>
    <w:p w14:paraId="6053038D" w14:textId="77777777" w:rsidR="00271448" w:rsidRPr="008A591B" w:rsidRDefault="00271448" w:rsidP="00136B20">
      <w:pPr>
        <w:pStyle w:val="Heading2Academic"/>
      </w:pPr>
      <w:r w:rsidRPr="008A591B">
        <w:t>4.2 Data Collection and Preprocessing</w:t>
      </w:r>
    </w:p>
    <w:p w14:paraId="6BBC2624" w14:textId="77777777" w:rsidR="00271448" w:rsidRPr="008A591B" w:rsidRDefault="00271448" w:rsidP="00296770">
      <w:pPr>
        <w:pStyle w:val="NormalAcademic"/>
      </w:pPr>
      <w:r w:rsidRPr="008A591B">
        <w:rPr>
          <w:color w:val="000000" w:themeColor="text1"/>
        </w:rPr>
        <w:t>Effective technology roadmapping begins with high-quality data acquisition and preprocessing. This subsection provides functions for loading, cleaning, and standardizing bibliometric and patent data from common sources.</w:t>
      </w:r>
    </w:p>
    <w:p w14:paraId="2C101ED4" w14:textId="77777777" w:rsidR="00271448" w:rsidRDefault="00271448" w:rsidP="0050246A">
      <w:pPr>
        <w:pStyle w:val="Heading3Academic"/>
      </w:pPr>
      <w:r w:rsidRPr="008A591B">
        <w:t>4.2.1 Loading Bibliometric Data</w:t>
      </w:r>
    </w:p>
    <w:p w14:paraId="415516A0" w14:textId="0B061CF0" w:rsidR="00A248AA" w:rsidRPr="00A248AA" w:rsidRDefault="00A248AA" w:rsidP="00296770">
      <w:pPr>
        <w:pStyle w:val="NormalAcademic"/>
      </w:pPr>
      <w:r w:rsidRPr="00AD1120">
        <w:rPr>
          <w:color w:val="000000" w:themeColor="text1"/>
        </w:rPr>
        <w:t xml:space="preserve">Publication data typically originates from Scopus, Web of Science, or PubMed. The </w:t>
      </w:r>
      <w:proofErr w:type="spellStart"/>
      <w:r w:rsidRPr="00AD1120">
        <w:rPr>
          <w:color w:val="000000" w:themeColor="text1"/>
        </w:rPr>
        <w:t>load_publication_</w:t>
      </w:r>
      <w:proofErr w:type="gramStart"/>
      <w:r w:rsidRPr="00AD1120">
        <w:rPr>
          <w:color w:val="000000" w:themeColor="text1"/>
        </w:rPr>
        <w:t>data</w:t>
      </w:r>
      <w:proofErr w:type="spellEnd"/>
      <w:r w:rsidRPr="00AD1120">
        <w:rPr>
          <w:color w:val="000000" w:themeColor="text1"/>
        </w:rPr>
        <w:t>(</w:t>
      </w:r>
      <w:proofErr w:type="gramEnd"/>
      <w:r w:rsidRPr="00AD1120">
        <w:rPr>
          <w:color w:val="000000" w:themeColor="text1"/>
        </w:rPr>
        <w:t>) function (code/data_loading.py) reads CSV exports, drops records missing a title or year, converts year fields to datetime, fills empty abstracts with the title text as a fallback, and removes exact duplicates. This standardization ensures downstream analyses receive consistent, complete inputs.</w:t>
      </w:r>
    </w:p>
    <w:p w14:paraId="160426CE" w14:textId="485FB516" w:rsidR="00271448" w:rsidRPr="008A591B" w:rsidRDefault="00271448" w:rsidP="0050246A">
      <w:pPr>
        <w:pStyle w:val="Heading3Academic"/>
      </w:pPr>
      <w:r w:rsidRPr="008A591B">
        <w:t>4.2.2 Patent Data Processing</w:t>
      </w:r>
    </w:p>
    <w:p w14:paraId="5C7939BF" w14:textId="61F10737" w:rsidR="002A1EF5" w:rsidRPr="00A248AA" w:rsidRDefault="00A248AA" w:rsidP="00296770">
      <w:pPr>
        <w:pStyle w:val="NormalAcademic"/>
      </w:pPr>
      <w:r w:rsidRPr="00AD1120">
        <w:rPr>
          <w:color w:val="000000" w:themeColor="text1"/>
        </w:rPr>
        <w:t xml:space="preserve">Patent data requires specialized preprocessing to extract IPC (International Patent Classification) codes and parse temporal fields. The </w:t>
      </w:r>
      <w:proofErr w:type="spellStart"/>
      <w:r w:rsidRPr="00AD1120">
        <w:rPr>
          <w:color w:val="000000" w:themeColor="text1"/>
        </w:rPr>
        <w:t>load_patent_</w:t>
      </w:r>
      <w:proofErr w:type="gramStart"/>
      <w:r w:rsidRPr="00AD1120">
        <w:rPr>
          <w:color w:val="000000" w:themeColor="text1"/>
        </w:rPr>
        <w:t>data</w:t>
      </w:r>
      <w:proofErr w:type="spellEnd"/>
      <w:r w:rsidRPr="00AD1120">
        <w:rPr>
          <w:color w:val="000000" w:themeColor="text1"/>
        </w:rPr>
        <w:t>(</w:t>
      </w:r>
      <w:proofErr w:type="gramEnd"/>
      <w:r w:rsidRPr="00AD1120">
        <w:rPr>
          <w:color w:val="000000" w:themeColor="text1"/>
        </w:rPr>
        <w:t>) function (code/data_loading.py) extracts the four-character main IPC class code, parses filing dates to datetime, and derives a numeric filing year column. Records missing a Patent ID or filing year are discarded, as both fields are required for temporal and competitive analyses.</w:t>
      </w:r>
    </w:p>
    <w:p w14:paraId="38498160" w14:textId="5D54E044" w:rsidR="00271448" w:rsidRPr="008A591B" w:rsidRDefault="00271448" w:rsidP="0050246A">
      <w:pPr>
        <w:pStyle w:val="Heading3Academic"/>
      </w:pPr>
      <w:r w:rsidRPr="008A591B">
        <w:t>4.2.3 Data Compliance and Reproducibility</w:t>
      </w:r>
    </w:p>
    <w:p w14:paraId="76F50E8C" w14:textId="77777777" w:rsidR="00271448" w:rsidRPr="008A591B" w:rsidRDefault="00271448" w:rsidP="00296770">
      <w:pPr>
        <w:pStyle w:val="NormalAcademic"/>
      </w:pPr>
      <w:r w:rsidRPr="008A591B">
        <w:rPr>
          <w:color w:val="000000" w:themeColor="text1"/>
        </w:rPr>
        <w:t>All code examples in this chapter are designed to work with either: (a) Synthetic datasets provided in the book's GitHub repository under CC0 license, enabling complete reproducibility without access restrictions; or (b) Data readers extract themselves from freely accessible sources following the methodology described below.</w:t>
      </w:r>
    </w:p>
    <w:p w14:paraId="3393AFC3" w14:textId="1399D3DA" w:rsidR="00271448" w:rsidRPr="008A591B" w:rsidRDefault="00271448" w:rsidP="00296770">
      <w:pPr>
        <w:pStyle w:val="NormalAcademic"/>
      </w:pPr>
      <w:r w:rsidRPr="008A591B">
        <w:lastRenderedPageBreak/>
        <w:t>GitHub repository datasets include: synthetic_battery_patents.csv (CC0 license, 2,500 synthetic patent records for Example 1); synthetic_ai_healthcare_publications.csv (CC0 license, 3,000 synthetic publication records for Example 2); synthetic_quantum_combined.csv (CC0 license, combined dataset for Example 3). These synthetic datasets preserve statistical properties and patterns of real data while avoiding licensing restrictions.</w:t>
      </w:r>
    </w:p>
    <w:p w14:paraId="1DA7CEAC" w14:textId="6C48FEF3" w:rsidR="009D1CC7" w:rsidRPr="008A591B" w:rsidRDefault="009D1CC7" w:rsidP="00136B20">
      <w:pPr>
        <w:pStyle w:val="Heading2Academic"/>
      </w:pPr>
      <w:r w:rsidRPr="008A591B">
        <w:t>4.3 Time Series Analysis and Forecasting</w:t>
      </w:r>
    </w:p>
    <w:p w14:paraId="605947DB" w14:textId="6ED9C088" w:rsidR="009D1CC7" w:rsidRPr="008A591B" w:rsidRDefault="009D1CC7" w:rsidP="00296770">
      <w:pPr>
        <w:pStyle w:val="NormalAcademic"/>
      </w:pPr>
      <w:r w:rsidRPr="008A591B">
        <w:rPr>
          <w:color w:val="000000" w:themeColor="text1"/>
        </w:rPr>
        <w:t>Temporal trend analysis reveals technology lifecycle stages and supports evidence-based forecasting. This subsection implements three complementary approaches: linear trend analysis, S-curve fitting for technology maturity assessment, and ARIMA forecasting for short-term projections.</w:t>
      </w:r>
    </w:p>
    <w:p w14:paraId="403E811E" w14:textId="4D707B7A" w:rsidR="009D1CC7" w:rsidRPr="008A591B" w:rsidRDefault="009D1CC7" w:rsidP="0050246A">
      <w:pPr>
        <w:pStyle w:val="Heading3Academic"/>
      </w:pPr>
      <w:r w:rsidRPr="008A591B">
        <w:t>4.3.1 Trend Analysis</w:t>
      </w:r>
    </w:p>
    <w:p w14:paraId="3CB537A4" w14:textId="78555224" w:rsidR="00A248AA" w:rsidRPr="00A248AA" w:rsidRDefault="00A248AA" w:rsidP="00296770">
      <w:pPr>
        <w:pStyle w:val="NormalAcademic"/>
      </w:pPr>
      <w:r w:rsidRPr="00AD1120">
        <w:rPr>
          <w:color w:val="000000" w:themeColor="text1"/>
        </w:rPr>
        <w:t xml:space="preserve">The </w:t>
      </w:r>
      <w:proofErr w:type="spellStart"/>
      <w:r w:rsidRPr="00AD1120">
        <w:rPr>
          <w:color w:val="000000" w:themeColor="text1"/>
        </w:rPr>
        <w:t>analyze_temporal_</w:t>
      </w:r>
      <w:proofErr w:type="gramStart"/>
      <w:r w:rsidRPr="00AD1120">
        <w:rPr>
          <w:color w:val="000000" w:themeColor="text1"/>
        </w:rPr>
        <w:t>trends</w:t>
      </w:r>
      <w:proofErr w:type="spellEnd"/>
      <w:r w:rsidRPr="00AD1120">
        <w:rPr>
          <w:color w:val="000000" w:themeColor="text1"/>
        </w:rPr>
        <w:t>(</w:t>
      </w:r>
      <w:proofErr w:type="gramEnd"/>
      <w:r w:rsidRPr="00AD1120">
        <w:rPr>
          <w:color w:val="000000" w:themeColor="text1"/>
        </w:rPr>
        <w:t>) function (code/time_series.py) aggregates document counts by year and calculates the mean year-over-year percentage growth rate. These two outputs — the yearly count series and the aggregate growth rate — serve as inputs for S-curve fitting and ARIMA forecasting. Visualization code is included in the repository.</w:t>
      </w:r>
    </w:p>
    <w:p w14:paraId="08890720" w14:textId="44A9AF41" w:rsidR="009D1CC7" w:rsidRPr="008A591B" w:rsidRDefault="009D1CC7" w:rsidP="0050246A">
      <w:pPr>
        <w:pStyle w:val="Heading3Academic"/>
      </w:pPr>
      <w:r w:rsidRPr="008A591B">
        <w:t>4.3.2 S-Curve Fitting</w:t>
      </w:r>
    </w:p>
    <w:p w14:paraId="51D8B413" w14:textId="77777777" w:rsidR="00A248AA" w:rsidRPr="00AD1120" w:rsidRDefault="00A248AA" w:rsidP="00296770">
      <w:pPr>
        <w:pStyle w:val="NormalAcademic"/>
      </w:pPr>
      <w:r w:rsidRPr="00AD1120">
        <w:rPr>
          <w:color w:val="000000" w:themeColor="text1"/>
        </w:rPr>
        <w:t xml:space="preserve">Technology adoption and innovation often follow S-shaped (logistic) growth patterns. The S-curve pipeline (code/time_series.py) consists of two functions: </w:t>
      </w:r>
      <w:proofErr w:type="spellStart"/>
      <w:r w:rsidRPr="00AD1120">
        <w:rPr>
          <w:color w:val="000000" w:themeColor="text1"/>
        </w:rPr>
        <w:t>logistic_growth</w:t>
      </w:r>
      <w:proofErr w:type="spellEnd"/>
      <w:r w:rsidRPr="00AD1120">
        <w:rPr>
          <w:color w:val="000000" w:themeColor="text1"/>
        </w:rPr>
        <w:t xml:space="preserve">() defines the three-parameter logistic model with carrying capacity (K), initial value (P0), and growth rate (r); </w:t>
      </w:r>
      <w:proofErr w:type="spellStart"/>
      <w:r w:rsidRPr="00AD1120">
        <w:rPr>
          <w:color w:val="000000" w:themeColor="text1"/>
        </w:rPr>
        <w:t>fit_scurve</w:t>
      </w:r>
      <w:proofErr w:type="spellEnd"/>
      <w:r w:rsidRPr="00AD1120">
        <w:rPr>
          <w:color w:val="000000" w:themeColor="text1"/>
        </w:rPr>
        <w:t xml:space="preserve">() applies </w:t>
      </w:r>
      <w:proofErr w:type="spellStart"/>
      <w:r w:rsidRPr="00AD1120">
        <w:rPr>
          <w:color w:val="000000" w:themeColor="text1"/>
        </w:rPr>
        <w:t>scipy's</w:t>
      </w:r>
      <w:proofErr w:type="spellEnd"/>
      <w:r w:rsidRPr="00AD1120">
        <w:rPr>
          <w:color w:val="000000" w:themeColor="text1"/>
        </w:rPr>
        <w:t xml:space="preserve"> </w:t>
      </w:r>
      <w:proofErr w:type="spellStart"/>
      <w:r w:rsidRPr="00AD1120">
        <w:rPr>
          <w:color w:val="000000" w:themeColor="text1"/>
        </w:rPr>
        <w:t>curve_fit</w:t>
      </w:r>
      <w:proofErr w:type="spellEnd"/>
      <w:r w:rsidRPr="00AD1120">
        <w:rPr>
          <w:color w:val="000000" w:themeColor="text1"/>
        </w:rPr>
        <w:t xml:space="preserve"> to cumulative publication or patent counts, returning estimated parameters that indicate which lifecycle phase the technology occupies — growth, saturation, or decline.</w:t>
      </w:r>
    </w:p>
    <w:p w14:paraId="738DE7B8" w14:textId="01467F58" w:rsidR="001C41EE" w:rsidRPr="008A591B" w:rsidRDefault="001C41EE" w:rsidP="0050246A">
      <w:pPr>
        <w:pStyle w:val="Heading3Academic"/>
      </w:pPr>
      <w:r w:rsidRPr="008A591B">
        <w:t>4.3.3 ARIMA Forecasting</w:t>
      </w:r>
    </w:p>
    <w:p w14:paraId="71FAF8E3" w14:textId="77777777" w:rsidR="00A248AA" w:rsidRPr="00AD1120" w:rsidRDefault="00A248AA" w:rsidP="00296770">
      <w:pPr>
        <w:pStyle w:val="NormalAcademic"/>
      </w:pPr>
      <w:r w:rsidRPr="00AD1120">
        <w:rPr>
          <w:color w:val="000000" w:themeColor="text1"/>
        </w:rPr>
        <w:t>ARIMA (</w:t>
      </w:r>
      <w:proofErr w:type="spellStart"/>
      <w:r w:rsidRPr="00AD1120">
        <w:rPr>
          <w:color w:val="000000" w:themeColor="text1"/>
        </w:rPr>
        <w:t>AutoRegressive</w:t>
      </w:r>
      <w:proofErr w:type="spellEnd"/>
      <w:r w:rsidRPr="00AD1120">
        <w:rPr>
          <w:color w:val="000000" w:themeColor="text1"/>
        </w:rPr>
        <w:t xml:space="preserve"> Integrated Moving Average) models provide statistically rigorous short-term forecasts. The </w:t>
      </w:r>
      <w:proofErr w:type="spellStart"/>
      <w:r w:rsidRPr="00AD1120">
        <w:rPr>
          <w:color w:val="000000" w:themeColor="text1"/>
        </w:rPr>
        <w:t>forecast_technology_</w:t>
      </w:r>
      <w:proofErr w:type="gramStart"/>
      <w:r w:rsidRPr="00AD1120">
        <w:rPr>
          <w:color w:val="000000" w:themeColor="text1"/>
        </w:rPr>
        <w:t>trend</w:t>
      </w:r>
      <w:proofErr w:type="spellEnd"/>
      <w:r w:rsidRPr="00AD1120">
        <w:rPr>
          <w:color w:val="000000" w:themeColor="text1"/>
        </w:rPr>
        <w:t>(</w:t>
      </w:r>
      <w:proofErr w:type="gramEnd"/>
      <w:r w:rsidRPr="00AD1120">
        <w:rPr>
          <w:color w:val="000000" w:themeColor="text1"/>
        </w:rPr>
        <w:t xml:space="preserve">) function (code/time_series.py) fits an </w:t>
      </w:r>
      <w:proofErr w:type="gramStart"/>
      <w:r w:rsidRPr="00AD1120">
        <w:rPr>
          <w:color w:val="000000" w:themeColor="text1"/>
        </w:rPr>
        <w:t>ARIMA(</w:t>
      </w:r>
      <w:proofErr w:type="gramEnd"/>
      <w:r w:rsidRPr="00AD1120">
        <w:rPr>
          <w:color w:val="000000" w:themeColor="text1"/>
        </w:rPr>
        <w:t>1,1,1) model to the annual count series and generates a short-term forecast for a user-specified number of periods. The function returns both the point forecast and the fitted model object, enabling extraction of confidence intervals for uncertainty-aware planning. An order of (1,1,1) was selected as a robust default for technology publication series; analysts may adjust this for domain-specific data.</w:t>
      </w:r>
    </w:p>
    <w:p w14:paraId="59A3950F" w14:textId="489BBEC0" w:rsidR="00975EDD" w:rsidRPr="008A591B" w:rsidRDefault="00975EDD" w:rsidP="00136B20">
      <w:pPr>
        <w:pStyle w:val="Heading2Academic"/>
      </w:pPr>
      <w:r w:rsidRPr="008A591B">
        <w:t>4.4 Topic Modeling and Technology Structure</w:t>
      </w:r>
    </w:p>
    <w:p w14:paraId="7088D7A7" w14:textId="266DE025" w:rsidR="00975EDD" w:rsidRPr="008A591B" w:rsidRDefault="00975EDD" w:rsidP="00296770">
      <w:pPr>
        <w:pStyle w:val="NormalAcademic"/>
      </w:pPr>
      <w:r w:rsidRPr="008A591B">
        <w:rPr>
          <w:color w:val="000000" w:themeColor="text1"/>
        </w:rPr>
        <w:t xml:space="preserve">Topic modeling algorithmically identifies thematic structure in large text corpora, revealing technology sub-domains and knowledge organization. This subsection </w:t>
      </w:r>
      <w:r w:rsidRPr="008A591B">
        <w:rPr>
          <w:color w:val="000000" w:themeColor="text1"/>
        </w:rPr>
        <w:lastRenderedPageBreak/>
        <w:t>implements a complete pipeline from text preprocessing through topic evolution analysis.</w:t>
      </w:r>
    </w:p>
    <w:p w14:paraId="1F125BF2" w14:textId="232D1BCD" w:rsidR="00975EDD" w:rsidRPr="008A591B" w:rsidRDefault="00975EDD" w:rsidP="0050246A">
      <w:pPr>
        <w:pStyle w:val="Heading3Academic"/>
      </w:pPr>
      <w:r w:rsidRPr="008A591B">
        <w:t>4.4.1 Text Preprocessing</w:t>
      </w:r>
    </w:p>
    <w:p w14:paraId="71C568FB" w14:textId="77777777" w:rsidR="00A248AA" w:rsidRPr="00AD1120" w:rsidRDefault="00A248AA" w:rsidP="00296770">
      <w:pPr>
        <w:pStyle w:val="NormalAcademic"/>
      </w:pPr>
      <w:r w:rsidRPr="00AD1120">
        <w:rPr>
          <w:color w:val="000000" w:themeColor="text1"/>
        </w:rPr>
        <w:t xml:space="preserve">The </w:t>
      </w:r>
      <w:proofErr w:type="spellStart"/>
      <w:r w:rsidRPr="00AD1120">
        <w:rPr>
          <w:color w:val="000000" w:themeColor="text1"/>
        </w:rPr>
        <w:t>preprocess_</w:t>
      </w:r>
      <w:proofErr w:type="gramStart"/>
      <w:r w:rsidRPr="00AD1120">
        <w:rPr>
          <w:color w:val="000000" w:themeColor="text1"/>
        </w:rPr>
        <w:t>text</w:t>
      </w:r>
      <w:proofErr w:type="spellEnd"/>
      <w:r w:rsidRPr="00AD1120">
        <w:rPr>
          <w:color w:val="000000" w:themeColor="text1"/>
        </w:rPr>
        <w:t>(</w:t>
      </w:r>
      <w:proofErr w:type="gramEnd"/>
      <w:r w:rsidRPr="00AD1120">
        <w:rPr>
          <w:color w:val="000000" w:themeColor="text1"/>
        </w:rPr>
        <w:t xml:space="preserve">) function (code/topic_modeling.py) applies a standard NLP cleaning pipeline: lowercasing, removal of non-alphabetic characters, NLTK </w:t>
      </w:r>
      <w:proofErr w:type="spellStart"/>
      <w:r w:rsidRPr="00AD1120">
        <w:rPr>
          <w:color w:val="000000" w:themeColor="text1"/>
        </w:rPr>
        <w:t>stopword</w:t>
      </w:r>
      <w:proofErr w:type="spellEnd"/>
      <w:r w:rsidRPr="00AD1120">
        <w:rPr>
          <w:color w:val="000000" w:themeColor="text1"/>
        </w:rPr>
        <w:t xml:space="preserve"> filtering, and WordNet lemmatization. Words shorter than three characters are also discarded. The function returns a single cleaned string per document, ready for vectorization.</w:t>
      </w:r>
    </w:p>
    <w:p w14:paraId="2A1B9B4D" w14:textId="2FAC2A2F" w:rsidR="00975EDD" w:rsidRPr="008A591B" w:rsidRDefault="00975EDD" w:rsidP="0050246A">
      <w:pPr>
        <w:pStyle w:val="Heading3Academic"/>
      </w:pPr>
      <w:r w:rsidRPr="008A591B">
        <w:t>4.4.2 LDA Topic Modeling</w:t>
      </w:r>
    </w:p>
    <w:p w14:paraId="038A5CA6" w14:textId="77777777" w:rsidR="00A248AA" w:rsidRPr="00AD1120" w:rsidRDefault="00A248AA" w:rsidP="00296770">
      <w:pPr>
        <w:pStyle w:val="NormalAcademic"/>
      </w:pPr>
      <w:r w:rsidRPr="00AD1120">
        <w:rPr>
          <w:color w:val="000000" w:themeColor="text1"/>
        </w:rPr>
        <w:t xml:space="preserve">The </w:t>
      </w:r>
      <w:proofErr w:type="spellStart"/>
      <w:r w:rsidRPr="00AD1120">
        <w:rPr>
          <w:color w:val="000000" w:themeColor="text1"/>
        </w:rPr>
        <w:t>perform_topic_</w:t>
      </w:r>
      <w:proofErr w:type="gramStart"/>
      <w:r w:rsidRPr="00AD1120">
        <w:rPr>
          <w:color w:val="000000" w:themeColor="text1"/>
        </w:rPr>
        <w:t>modeling</w:t>
      </w:r>
      <w:proofErr w:type="spellEnd"/>
      <w:r w:rsidRPr="00AD1120">
        <w:rPr>
          <w:color w:val="000000" w:themeColor="text1"/>
        </w:rPr>
        <w:t>(</w:t>
      </w:r>
      <w:proofErr w:type="gramEnd"/>
      <w:r w:rsidRPr="00AD1120">
        <w:rPr>
          <w:color w:val="000000" w:themeColor="text1"/>
        </w:rPr>
        <w:t xml:space="preserve">) function (code/topic_modeling.py) vectorizes the preprocessed corpus using </w:t>
      </w:r>
      <w:proofErr w:type="spellStart"/>
      <w:r w:rsidRPr="00AD1120">
        <w:rPr>
          <w:color w:val="000000" w:themeColor="text1"/>
        </w:rPr>
        <w:t>CountVectorizer</w:t>
      </w:r>
      <w:proofErr w:type="spellEnd"/>
      <w:r w:rsidRPr="00AD1120">
        <w:rPr>
          <w:color w:val="000000" w:themeColor="text1"/>
        </w:rPr>
        <w:t xml:space="preserve"> — filtering tokens appearing in more than 95% or fewer than 2 documents, retaining a maximum of 1,000 features — and fits a Latent Dirichlet Allocation model. The function returns the fitted LDA model, the document-topic matrix, and a dictionary mapping each topic to its </w:t>
      </w:r>
      <w:proofErr w:type="gramStart"/>
      <w:r w:rsidRPr="00AD1120">
        <w:rPr>
          <w:color w:val="000000" w:themeColor="text1"/>
        </w:rPr>
        <w:t>top-10</w:t>
      </w:r>
      <w:proofErr w:type="gramEnd"/>
      <w:r w:rsidRPr="00AD1120">
        <w:rPr>
          <w:color w:val="000000" w:themeColor="text1"/>
        </w:rPr>
        <w:t xml:space="preserve"> keywords, which serve as the primary input for temporal topic evolution analysis.</w:t>
      </w:r>
    </w:p>
    <w:p w14:paraId="3DD46EEF" w14:textId="719F6F56" w:rsidR="00975EDD" w:rsidRPr="008A591B" w:rsidRDefault="00975EDD" w:rsidP="0050246A">
      <w:pPr>
        <w:pStyle w:val="Heading3Academic"/>
      </w:pPr>
      <w:r w:rsidRPr="008A591B">
        <w:t>4.4.3 Topic Evolution Over Time</w:t>
      </w:r>
    </w:p>
    <w:p w14:paraId="49FFABE2" w14:textId="77777777" w:rsidR="00A248AA" w:rsidRPr="00AD1120" w:rsidRDefault="00A248AA" w:rsidP="00296770">
      <w:pPr>
        <w:pStyle w:val="NormalAcademic"/>
      </w:pPr>
      <w:r w:rsidRPr="00AD1120">
        <w:rPr>
          <w:color w:val="000000" w:themeColor="text1"/>
        </w:rPr>
        <w:t xml:space="preserve">The </w:t>
      </w:r>
      <w:proofErr w:type="spellStart"/>
      <w:r w:rsidRPr="00AD1120">
        <w:rPr>
          <w:color w:val="000000" w:themeColor="text1"/>
        </w:rPr>
        <w:t>analyze_topic_</w:t>
      </w:r>
      <w:proofErr w:type="gramStart"/>
      <w:r w:rsidRPr="00AD1120">
        <w:rPr>
          <w:color w:val="000000" w:themeColor="text1"/>
        </w:rPr>
        <w:t>evolution</w:t>
      </w:r>
      <w:proofErr w:type="spellEnd"/>
      <w:r w:rsidRPr="00AD1120">
        <w:rPr>
          <w:color w:val="000000" w:themeColor="text1"/>
        </w:rPr>
        <w:t>(</w:t>
      </w:r>
      <w:proofErr w:type="gramEnd"/>
      <w:r w:rsidRPr="00AD1120">
        <w:rPr>
          <w:color w:val="000000" w:themeColor="text1"/>
        </w:rPr>
        <w:t xml:space="preserve">) function (code/topic_modeling.py) joins the document-topic probability matrix with publication year, then computes the mean topic proportion per year. The resulting time-indexed </w:t>
      </w:r>
      <w:proofErr w:type="spellStart"/>
      <w:r w:rsidRPr="00AD1120">
        <w:rPr>
          <w:color w:val="000000" w:themeColor="text1"/>
        </w:rPr>
        <w:t>DataFrame</w:t>
      </w:r>
      <w:proofErr w:type="spellEnd"/>
      <w:r w:rsidRPr="00AD1120">
        <w:rPr>
          <w:color w:val="000000" w:themeColor="text1"/>
        </w:rPr>
        <w:t xml:space="preserve"> is the basis for stacked area charts showing how research themes rise and decline across the study period. Visualization code is included in the repository.</w:t>
      </w:r>
    </w:p>
    <w:p w14:paraId="4147BA8B" w14:textId="77777777" w:rsidR="00513F0C" w:rsidRPr="008A591B" w:rsidRDefault="00513F0C" w:rsidP="00136B20">
      <w:pPr>
        <w:pStyle w:val="Heading2Academic"/>
      </w:pPr>
      <w:r w:rsidRPr="008A591B">
        <w:t>4.5 Network Analysis for Technology Relationships</w:t>
      </w:r>
    </w:p>
    <w:p w14:paraId="77CC2FD9" w14:textId="77777777" w:rsidR="00513F0C" w:rsidRPr="008A591B" w:rsidRDefault="00513F0C" w:rsidP="00296770">
      <w:pPr>
        <w:pStyle w:val="NormalAcademic"/>
      </w:pPr>
      <w:r w:rsidRPr="008A591B">
        <w:rPr>
          <w:color w:val="000000" w:themeColor="text1"/>
        </w:rPr>
        <w:t>Network analysis reveals structural relationships between technology concepts, identifying core technologies, emerging peripheries, and knowledge bridges between domains.</w:t>
      </w:r>
    </w:p>
    <w:p w14:paraId="6F54915D" w14:textId="77777777" w:rsidR="00513F0C" w:rsidRPr="008A591B" w:rsidRDefault="00513F0C" w:rsidP="0050246A">
      <w:pPr>
        <w:pStyle w:val="Heading3Academic"/>
      </w:pPr>
      <w:r w:rsidRPr="008A591B">
        <w:t>4.5.1 Co-occurrence Network Construction</w:t>
      </w:r>
    </w:p>
    <w:p w14:paraId="5503B5BF" w14:textId="77777777" w:rsidR="00A248AA" w:rsidRPr="00AD1120" w:rsidRDefault="00A248AA" w:rsidP="00296770">
      <w:pPr>
        <w:pStyle w:val="NormalAcademic"/>
      </w:pPr>
      <w:r w:rsidRPr="00AD1120">
        <w:rPr>
          <w:color w:val="000000" w:themeColor="text1"/>
        </w:rPr>
        <w:t xml:space="preserve">The </w:t>
      </w:r>
      <w:proofErr w:type="spellStart"/>
      <w:r w:rsidRPr="00AD1120">
        <w:rPr>
          <w:color w:val="000000" w:themeColor="text1"/>
        </w:rPr>
        <w:t>create_cooccurrence_</w:t>
      </w:r>
      <w:proofErr w:type="gramStart"/>
      <w:r w:rsidRPr="00AD1120">
        <w:rPr>
          <w:color w:val="000000" w:themeColor="text1"/>
        </w:rPr>
        <w:t>network</w:t>
      </w:r>
      <w:proofErr w:type="spellEnd"/>
      <w:r w:rsidRPr="00AD1120">
        <w:rPr>
          <w:color w:val="000000" w:themeColor="text1"/>
        </w:rPr>
        <w:t>(</w:t>
      </w:r>
      <w:proofErr w:type="gramEnd"/>
      <w:r w:rsidRPr="00AD1120">
        <w:rPr>
          <w:color w:val="000000" w:themeColor="text1"/>
        </w:rPr>
        <w:t xml:space="preserve">) function (code/network_analysis.py) parses semicolon-delimited keyword fields, enumerates all pairwise keyword combinations within each document, and counts co-occurrences across the corpus. Pairs meeting a minimum threshold (default: 3) are added as weighted edges in a </w:t>
      </w:r>
      <w:proofErr w:type="spellStart"/>
      <w:r w:rsidRPr="00AD1120">
        <w:rPr>
          <w:color w:val="000000" w:themeColor="text1"/>
        </w:rPr>
        <w:t>NetworkX</w:t>
      </w:r>
      <w:proofErr w:type="spellEnd"/>
      <w:r w:rsidRPr="00AD1120">
        <w:rPr>
          <w:color w:val="000000" w:themeColor="text1"/>
        </w:rPr>
        <w:t xml:space="preserve"> undirected graph. The threshold filters noise while preserving meaningful conceptual links.</w:t>
      </w:r>
    </w:p>
    <w:p w14:paraId="73C0EF2E" w14:textId="1CB94724" w:rsidR="00513F0C" w:rsidRPr="008A591B" w:rsidRDefault="00513F0C" w:rsidP="0050246A">
      <w:pPr>
        <w:pStyle w:val="Heading3Academic"/>
      </w:pPr>
      <w:r w:rsidRPr="008A591B">
        <w:t>4.5.2 Network Visualization</w:t>
      </w:r>
    </w:p>
    <w:p w14:paraId="12CBDD91" w14:textId="77777777" w:rsidR="0033009A" w:rsidRPr="008A591B" w:rsidRDefault="0033009A" w:rsidP="00296770">
      <w:pPr>
        <w:pStyle w:val="NormalAcademic"/>
      </w:pPr>
      <w:r w:rsidRPr="008A591B">
        <w:rPr>
          <w:color w:val="000000" w:themeColor="text1"/>
        </w:rPr>
        <w:t xml:space="preserve">Network visualization functions including spring layout positioning, degree-based node sizing, and community coloring are provided in the GitHub repository (code/network_analysis.py). </w:t>
      </w:r>
    </w:p>
    <w:p w14:paraId="31883644" w14:textId="41B33382" w:rsidR="00513F0C" w:rsidRPr="008A591B" w:rsidRDefault="00513F0C" w:rsidP="0050246A">
      <w:pPr>
        <w:pStyle w:val="Heading3Academic"/>
      </w:pPr>
      <w:r w:rsidRPr="008A591B">
        <w:lastRenderedPageBreak/>
        <w:t>4.5.3 Centrality Analysis</w:t>
      </w:r>
    </w:p>
    <w:p w14:paraId="00E67DA9" w14:textId="77777777" w:rsidR="00A248AA" w:rsidRPr="00AD1120" w:rsidRDefault="00A248AA" w:rsidP="00296770">
      <w:pPr>
        <w:pStyle w:val="NormalAcademic"/>
      </w:pPr>
      <w:r w:rsidRPr="00AD1120">
        <w:rPr>
          <w:color w:val="000000" w:themeColor="text1"/>
        </w:rPr>
        <w:t xml:space="preserve">The </w:t>
      </w:r>
      <w:proofErr w:type="spellStart"/>
      <w:r w:rsidRPr="00AD1120">
        <w:rPr>
          <w:color w:val="000000" w:themeColor="text1"/>
        </w:rPr>
        <w:t>analyze_network_</w:t>
      </w:r>
      <w:proofErr w:type="gramStart"/>
      <w:r w:rsidRPr="00AD1120">
        <w:rPr>
          <w:color w:val="000000" w:themeColor="text1"/>
        </w:rPr>
        <w:t>centrality</w:t>
      </w:r>
      <w:proofErr w:type="spellEnd"/>
      <w:r w:rsidRPr="00AD1120">
        <w:rPr>
          <w:color w:val="000000" w:themeColor="text1"/>
        </w:rPr>
        <w:t>(</w:t>
      </w:r>
      <w:proofErr w:type="gramEnd"/>
      <w:r w:rsidRPr="00AD1120">
        <w:rPr>
          <w:color w:val="000000" w:themeColor="text1"/>
        </w:rPr>
        <w:t xml:space="preserve">) function (code/network_analysis.py) computes degree centrality (overall connectivity) and betweenness centrality (brokerage between clusters) for each node, returning a ranked </w:t>
      </w:r>
      <w:proofErr w:type="spellStart"/>
      <w:r w:rsidRPr="00AD1120">
        <w:rPr>
          <w:color w:val="000000" w:themeColor="text1"/>
        </w:rPr>
        <w:t>DataFrame</w:t>
      </w:r>
      <w:proofErr w:type="spellEnd"/>
      <w:r w:rsidRPr="00AD1120">
        <w:rPr>
          <w:color w:val="000000" w:themeColor="text1"/>
        </w:rPr>
        <w:t xml:space="preserve">. High-degree nodes represent core technologies; high-betweenness nodes reveal cross-domain bridges — both are strategically significant inputs for </w:t>
      </w:r>
      <w:proofErr w:type="spellStart"/>
      <w:r w:rsidRPr="00AD1120">
        <w:rPr>
          <w:color w:val="000000" w:themeColor="text1"/>
        </w:rPr>
        <w:t>roadmapping</w:t>
      </w:r>
      <w:proofErr w:type="spellEnd"/>
      <w:r w:rsidRPr="00AD1120">
        <w:rPr>
          <w:color w:val="000000" w:themeColor="text1"/>
        </w:rPr>
        <w:t xml:space="preserve">. </w:t>
      </w:r>
    </w:p>
    <w:p w14:paraId="6AB3B1F7" w14:textId="76FF9ADE" w:rsidR="00513F0C" w:rsidRPr="008A591B" w:rsidRDefault="00513F0C" w:rsidP="0050246A">
      <w:pPr>
        <w:pStyle w:val="Heading3Academic"/>
      </w:pPr>
      <w:r w:rsidRPr="008A591B">
        <w:t>4.5.4 Community Detection</w:t>
      </w:r>
    </w:p>
    <w:p w14:paraId="6B112AB2" w14:textId="77777777" w:rsidR="00A248AA" w:rsidRPr="00AD1120" w:rsidRDefault="00A248AA" w:rsidP="00296770">
      <w:pPr>
        <w:pStyle w:val="NormalAcademic"/>
      </w:pPr>
      <w:r w:rsidRPr="00AD1120">
        <w:rPr>
          <w:color w:val="000000" w:themeColor="text1"/>
        </w:rPr>
        <w:t xml:space="preserve">The </w:t>
      </w:r>
      <w:proofErr w:type="spellStart"/>
      <w:r w:rsidRPr="00AD1120">
        <w:rPr>
          <w:color w:val="000000" w:themeColor="text1"/>
        </w:rPr>
        <w:t>detect_</w:t>
      </w:r>
      <w:proofErr w:type="gramStart"/>
      <w:r w:rsidRPr="00AD1120">
        <w:rPr>
          <w:color w:val="000000" w:themeColor="text1"/>
        </w:rPr>
        <w:t>communities</w:t>
      </w:r>
      <w:proofErr w:type="spellEnd"/>
      <w:r w:rsidRPr="00AD1120">
        <w:rPr>
          <w:color w:val="000000" w:themeColor="text1"/>
        </w:rPr>
        <w:t>(</w:t>
      </w:r>
      <w:proofErr w:type="gramEnd"/>
      <w:r w:rsidRPr="00AD1120">
        <w:rPr>
          <w:color w:val="000000" w:themeColor="text1"/>
        </w:rPr>
        <w:t>) function (code/network_analysis.py) applies the greedy modularity maximization algorithm to partition the keyword network into thematic clusters. The result is a node-to-community mapping that drives color-coded visualization and thematic labeling of technology sub-domains.</w:t>
      </w:r>
    </w:p>
    <w:p w14:paraId="23AB7F26" w14:textId="77777777" w:rsidR="00513F0C" w:rsidRPr="008A591B" w:rsidRDefault="00513F0C" w:rsidP="00136B20">
      <w:pPr>
        <w:pStyle w:val="Heading2Academic"/>
      </w:pPr>
      <w:r w:rsidRPr="008A591B">
        <w:t>4.6 Roadmap Generation and Visualization</w:t>
      </w:r>
    </w:p>
    <w:p w14:paraId="112384F0" w14:textId="09238BD7" w:rsidR="00513F0C" w:rsidRPr="008A591B" w:rsidRDefault="00513F0C" w:rsidP="00296770">
      <w:pPr>
        <w:pStyle w:val="NormalAcademic"/>
      </w:pPr>
      <w:r w:rsidRPr="008A591B">
        <w:rPr>
          <w:color w:val="000000" w:themeColor="text1"/>
        </w:rPr>
        <w:t>The final stage integrates analytical outputs into comprehensive technology roadmaps. This subsection provides functions for technology maturity assessment and multi-layer roadmap visualization.</w:t>
      </w:r>
    </w:p>
    <w:p w14:paraId="545C68F7" w14:textId="2D31E88F" w:rsidR="004B0464" w:rsidRPr="008A591B" w:rsidRDefault="004F61CC" w:rsidP="0050246A">
      <w:pPr>
        <w:pStyle w:val="Heading3Academic"/>
      </w:pPr>
      <w:r w:rsidRPr="008A591B">
        <w:t>4.6.1 Technology Maturity Assessment</w:t>
      </w:r>
    </w:p>
    <w:p w14:paraId="39E71BA6" w14:textId="3D6484FD" w:rsidR="00A248AA" w:rsidRPr="00A248AA" w:rsidRDefault="00A248AA" w:rsidP="00296770">
      <w:pPr>
        <w:pStyle w:val="NormalAcademic"/>
      </w:pPr>
      <w:r w:rsidRPr="00AD1120">
        <w:rPr>
          <w:color w:val="000000" w:themeColor="text1"/>
        </w:rPr>
        <w:t xml:space="preserve">The </w:t>
      </w:r>
      <w:proofErr w:type="spellStart"/>
      <w:r w:rsidRPr="00AD1120">
        <w:rPr>
          <w:color w:val="000000" w:themeColor="text1"/>
        </w:rPr>
        <w:t>assess_technology_</w:t>
      </w:r>
      <w:proofErr w:type="gramStart"/>
      <w:r w:rsidRPr="00AD1120">
        <w:rPr>
          <w:color w:val="000000" w:themeColor="text1"/>
        </w:rPr>
        <w:t>maturity</w:t>
      </w:r>
      <w:proofErr w:type="spellEnd"/>
      <w:r w:rsidRPr="00AD1120">
        <w:rPr>
          <w:color w:val="000000" w:themeColor="text1"/>
        </w:rPr>
        <w:t>(</w:t>
      </w:r>
      <w:proofErr w:type="gramEnd"/>
      <w:r w:rsidRPr="00AD1120">
        <w:rPr>
          <w:color w:val="000000" w:themeColor="text1"/>
        </w:rPr>
        <w:t>) function (code/roadmap_generation.py) calculates the mean year-over-year growth rate for the most recent three years and classifies the technology as Emerging (&gt;30%), Growth (15–30%), Mature (0–15%), or Declining (&lt;0%). This heuristic lifecycle stage assignment provides a concise, interpretable summary for roadmap stakeholders.</w:t>
      </w:r>
    </w:p>
    <w:p w14:paraId="09936966" w14:textId="793D25FC" w:rsidR="004B0464" w:rsidRPr="008A591B" w:rsidRDefault="004B0464" w:rsidP="0050246A">
      <w:pPr>
        <w:pStyle w:val="Heading3Academic"/>
      </w:pPr>
      <w:r w:rsidRPr="008A591B">
        <w:t>4.6.2 Integrated Roadmap Visualization</w:t>
      </w:r>
    </w:p>
    <w:p w14:paraId="65A17213" w14:textId="79E6FC84" w:rsidR="004C5795" w:rsidRPr="008A591B" w:rsidRDefault="00892768" w:rsidP="00296770">
      <w:pPr>
        <w:pStyle w:val="NormalAcademic"/>
      </w:pPr>
      <w:r w:rsidRPr="008A591B">
        <w:rPr>
          <w:color w:val="000000" w:themeColor="text1"/>
        </w:rPr>
        <w:t xml:space="preserve">The </w:t>
      </w:r>
      <w:proofErr w:type="spellStart"/>
      <w:r w:rsidRPr="008A591B">
        <w:rPr>
          <w:color w:val="000000" w:themeColor="text1"/>
        </w:rPr>
        <w:t>create_technology_</w:t>
      </w:r>
      <w:proofErr w:type="gramStart"/>
      <w:r w:rsidRPr="008A591B">
        <w:rPr>
          <w:color w:val="000000" w:themeColor="text1"/>
        </w:rPr>
        <w:t>roadmap</w:t>
      </w:r>
      <w:proofErr w:type="spellEnd"/>
      <w:r w:rsidRPr="008A591B">
        <w:rPr>
          <w:color w:val="000000" w:themeColor="text1"/>
        </w:rPr>
        <w:t>(</w:t>
      </w:r>
      <w:proofErr w:type="gramEnd"/>
      <w:r w:rsidRPr="008A591B">
        <w:rPr>
          <w:color w:val="000000" w:themeColor="text1"/>
        </w:rPr>
        <w:t>) function generates comprehensive multi-panel visualizations combining temporal trends, forecasts, topic evolution, and maturity indicators. Complete implementation with customizable parameters is available in the GitHub repository (code/roadmap_generation.py).</w:t>
      </w:r>
    </w:p>
    <w:p w14:paraId="07B8C38A" w14:textId="074F4954" w:rsidR="004C5795" w:rsidRPr="008A591B" w:rsidRDefault="004C5795" w:rsidP="0050246A">
      <w:pPr>
        <w:pStyle w:val="Heading3Academic"/>
      </w:pPr>
      <w:r w:rsidRPr="008A591B">
        <w:t>4.6.3 Complete Workflow Example</w:t>
      </w:r>
    </w:p>
    <w:p w14:paraId="6D1B5B9A" w14:textId="77777777" w:rsidR="00A248AA" w:rsidRPr="00AD1120" w:rsidRDefault="00A248AA" w:rsidP="00296770">
      <w:pPr>
        <w:pStyle w:val="NormalAcademic"/>
      </w:pPr>
      <w:r w:rsidRPr="00AD1120">
        <w:rPr>
          <w:color w:val="000000" w:themeColor="text1"/>
        </w:rPr>
        <w:t xml:space="preserve">The </w:t>
      </w:r>
      <w:proofErr w:type="spellStart"/>
      <w:r w:rsidRPr="00AD1120">
        <w:rPr>
          <w:color w:val="000000" w:themeColor="text1"/>
        </w:rPr>
        <w:t>run_complete_roadmap_</w:t>
      </w:r>
      <w:proofErr w:type="gramStart"/>
      <w:r w:rsidRPr="00AD1120">
        <w:rPr>
          <w:color w:val="000000" w:themeColor="text1"/>
        </w:rPr>
        <w:t>analysis</w:t>
      </w:r>
      <w:proofErr w:type="spellEnd"/>
      <w:r w:rsidRPr="00AD1120">
        <w:rPr>
          <w:color w:val="000000" w:themeColor="text1"/>
        </w:rPr>
        <w:t>(</w:t>
      </w:r>
      <w:proofErr w:type="gramEnd"/>
      <w:r w:rsidRPr="00AD1120">
        <w:rPr>
          <w:color w:val="000000" w:themeColor="text1"/>
        </w:rPr>
        <w:t xml:space="preserve">) function (code/complete_workflow.py) sequentially calls each analytical module: data loading, temporal trend analysis, topic modeling, topic evolution, co-occurrence network construction, centrality analysis, maturity assessment, ARIMA forecasting, and integrated visualization. It returns a dictionary containing all intermediate and final outputs, enabling downstream inspection or export. Analysts can run this as a </w:t>
      </w:r>
      <w:proofErr w:type="gramStart"/>
      <w:r w:rsidRPr="00AD1120">
        <w:rPr>
          <w:color w:val="000000" w:themeColor="text1"/>
        </w:rPr>
        <w:t>single entry</w:t>
      </w:r>
      <w:proofErr w:type="gramEnd"/>
      <w:r w:rsidRPr="00AD1120">
        <w:rPr>
          <w:color w:val="000000" w:themeColor="text1"/>
        </w:rPr>
        <w:t xml:space="preserve"> point or call individual functions independently for modular workflows.</w:t>
      </w:r>
    </w:p>
    <w:p w14:paraId="7FCB32A4" w14:textId="6C2BA50A" w:rsidR="002E6B99" w:rsidRPr="008A591B" w:rsidRDefault="002E6B99" w:rsidP="00136B20">
      <w:pPr>
        <w:pStyle w:val="Heading2Academic"/>
      </w:pPr>
      <w:r w:rsidRPr="008A591B">
        <w:lastRenderedPageBreak/>
        <w:t>4.7 GitHub Repository Structure and Data Access</w:t>
      </w:r>
    </w:p>
    <w:p w14:paraId="13CD7309" w14:textId="4AC25B1E" w:rsidR="002E6B99" w:rsidRPr="008A591B" w:rsidRDefault="002E6B99" w:rsidP="00296770">
      <w:pPr>
        <w:pStyle w:val="NormalAcademic"/>
      </w:pPr>
      <w:r w:rsidRPr="008A591B">
        <w:rPr>
          <w:color w:val="000000" w:themeColor="text1"/>
        </w:rPr>
        <w:t>All code implementations and datasets for this chapter are available in the book's GitHub repository. This section provides complete documentation for accessing, navigating, and executing the code.</w:t>
      </w:r>
    </w:p>
    <w:p w14:paraId="3B538BA5" w14:textId="57180E05" w:rsidR="002E6B99" w:rsidRPr="008A591B" w:rsidRDefault="002E6B99" w:rsidP="0050246A">
      <w:pPr>
        <w:pStyle w:val="Heading3Academic"/>
      </w:pPr>
      <w:r w:rsidRPr="008A591B">
        <w:t>4.7.1 Repository Location</w:t>
      </w:r>
    </w:p>
    <w:p w14:paraId="47D7AC0E" w14:textId="77777777" w:rsidR="001913D6" w:rsidRPr="008A591B" w:rsidRDefault="002E6B99" w:rsidP="00296770">
      <w:pPr>
        <w:pStyle w:val="NormalAcademic"/>
      </w:pPr>
      <w:r w:rsidRPr="008A591B">
        <w:rPr>
          <w:color w:val="000000" w:themeColor="text1"/>
        </w:rPr>
        <w:t xml:space="preserve">The complete code repository is available at: </w:t>
      </w:r>
      <w:r w:rsidR="001913D6" w:rsidRPr="008A591B">
        <w:rPr>
          <w:color w:val="000000" w:themeColor="text1"/>
        </w:rPr>
        <w:t xml:space="preserve">https://github.com/arfsylr/data-led-technology-roadmapping </w:t>
      </w:r>
    </w:p>
    <w:p w14:paraId="449B2591" w14:textId="617104F2" w:rsidR="002E6B99" w:rsidRPr="008A591B" w:rsidRDefault="002E6B99" w:rsidP="0050246A">
      <w:pPr>
        <w:pStyle w:val="Heading3Academic"/>
      </w:pPr>
      <w:r w:rsidRPr="008A591B">
        <w:t>4.7.2 Directory Structure</w:t>
      </w:r>
    </w:p>
    <w:p w14:paraId="372511FF" w14:textId="77777777" w:rsidR="002E6B99" w:rsidRPr="008A591B" w:rsidRDefault="002E6B99" w:rsidP="00296770">
      <w:pPr>
        <w:pStyle w:val="NormalAcademic"/>
      </w:pPr>
      <w:r w:rsidRPr="008A591B">
        <w:rPr>
          <w:color w:val="000000" w:themeColor="text1"/>
        </w:rPr>
        <w:t>chapter12/</w:t>
      </w:r>
    </w:p>
    <w:p w14:paraId="24302D71" w14:textId="77777777" w:rsidR="002E6B99" w:rsidRPr="008A591B" w:rsidRDefault="002E6B99" w:rsidP="00296770">
      <w:pPr>
        <w:pStyle w:val="NormalAcademic"/>
      </w:pPr>
      <w:r w:rsidRPr="008A591B">
        <w:t>├── README.md                    # Setup instructions and overview</w:t>
      </w:r>
    </w:p>
    <w:p w14:paraId="674C1EAA" w14:textId="77777777" w:rsidR="002E6B99" w:rsidRPr="008A591B" w:rsidRDefault="002E6B99" w:rsidP="00296770">
      <w:pPr>
        <w:pStyle w:val="NormalAcademic"/>
      </w:pPr>
      <w:r w:rsidRPr="008A591B">
        <w:t>├── requirements.txt             # Python dependencies</w:t>
      </w:r>
    </w:p>
    <w:p w14:paraId="6E415F0F" w14:textId="77777777" w:rsidR="002E6B99" w:rsidRPr="008A591B" w:rsidRDefault="002E6B99" w:rsidP="00296770">
      <w:pPr>
        <w:pStyle w:val="NormalAcademic"/>
      </w:pPr>
      <w:r w:rsidRPr="008A591B">
        <w:t>├── code/</w:t>
      </w:r>
    </w:p>
    <w:p w14:paraId="5CE8B397" w14:textId="77777777" w:rsidR="002E6B99" w:rsidRPr="008A591B" w:rsidRDefault="002E6B99" w:rsidP="00296770">
      <w:pPr>
        <w:pStyle w:val="NormalAcademic"/>
      </w:pPr>
      <w:r w:rsidRPr="008A591B">
        <w:t>│   ├── data_loading.py         # Section 4.2 functions</w:t>
      </w:r>
    </w:p>
    <w:p w14:paraId="663E8C55" w14:textId="77777777" w:rsidR="002E6B99" w:rsidRPr="008A591B" w:rsidRDefault="002E6B99" w:rsidP="00296770">
      <w:pPr>
        <w:pStyle w:val="NormalAcademic"/>
      </w:pPr>
      <w:r w:rsidRPr="008A591B">
        <w:t>│   ├── time_series.py          # Section 4.3 functions</w:t>
      </w:r>
    </w:p>
    <w:p w14:paraId="089A88FA" w14:textId="77777777" w:rsidR="002E6B99" w:rsidRPr="008A591B" w:rsidRDefault="002E6B99" w:rsidP="00296770">
      <w:pPr>
        <w:pStyle w:val="NormalAcademic"/>
      </w:pPr>
      <w:r w:rsidRPr="008A591B">
        <w:t>│   ├── topic_modeling.py       # Section 4.4 functions</w:t>
      </w:r>
    </w:p>
    <w:p w14:paraId="2B85881B" w14:textId="77777777" w:rsidR="002E6B99" w:rsidRPr="008A591B" w:rsidRDefault="002E6B99" w:rsidP="00296770">
      <w:pPr>
        <w:pStyle w:val="NormalAcademic"/>
      </w:pPr>
      <w:r w:rsidRPr="008A591B">
        <w:t>│   ├── network_analysis.py     # Section 4.5 functions</w:t>
      </w:r>
    </w:p>
    <w:p w14:paraId="3CC350DF" w14:textId="77777777" w:rsidR="002E6B99" w:rsidRPr="008A591B" w:rsidRDefault="002E6B99" w:rsidP="00296770">
      <w:pPr>
        <w:pStyle w:val="NormalAcademic"/>
      </w:pPr>
      <w:r w:rsidRPr="008A591B">
        <w:t>│   ├── roadmap_generation.py   # Section 4.6 functions</w:t>
      </w:r>
    </w:p>
    <w:p w14:paraId="2C02456B" w14:textId="77777777" w:rsidR="002E6B99" w:rsidRPr="008A591B" w:rsidRDefault="002E6B99" w:rsidP="00296770">
      <w:pPr>
        <w:pStyle w:val="NormalAcademic"/>
      </w:pPr>
      <w:r w:rsidRPr="008A591B">
        <w:t>│   └── complete_workflow.py    # Integrated pipeline</w:t>
      </w:r>
    </w:p>
    <w:p w14:paraId="6E2DDB81" w14:textId="77777777" w:rsidR="002E6B99" w:rsidRPr="008A591B" w:rsidRDefault="002E6B99" w:rsidP="00296770">
      <w:pPr>
        <w:pStyle w:val="NormalAcademic"/>
      </w:pPr>
      <w:r w:rsidRPr="008A591B">
        <w:t>├── data/</w:t>
      </w:r>
    </w:p>
    <w:p w14:paraId="704AE88F" w14:textId="77777777" w:rsidR="002E6B99" w:rsidRPr="008A591B" w:rsidRDefault="002E6B99" w:rsidP="00296770">
      <w:pPr>
        <w:pStyle w:val="NormalAcademic"/>
      </w:pPr>
      <w:r w:rsidRPr="008A591B">
        <w:t>│   ├── synthetic_battery_patents.csv        # Example 1 (CC0)</w:t>
      </w:r>
    </w:p>
    <w:p w14:paraId="04C8AA2B" w14:textId="77777777" w:rsidR="002E6B99" w:rsidRPr="008A591B" w:rsidRDefault="002E6B99" w:rsidP="00296770">
      <w:pPr>
        <w:pStyle w:val="NormalAcademic"/>
      </w:pPr>
      <w:r w:rsidRPr="008A591B">
        <w:t>│   ├── synthetic_ai_healthcare_pubs.csv     # Example 2 (CC0)</w:t>
      </w:r>
    </w:p>
    <w:p w14:paraId="2134DC9C" w14:textId="77777777" w:rsidR="002E6B99" w:rsidRPr="008A591B" w:rsidRDefault="002E6B99" w:rsidP="00296770">
      <w:pPr>
        <w:pStyle w:val="NormalAcademic"/>
      </w:pPr>
      <w:r w:rsidRPr="008A591B">
        <w:t>│   └── synthetic_quantum_combined.csv       # Example 3 (CC0)</w:t>
      </w:r>
    </w:p>
    <w:p w14:paraId="04000DDD" w14:textId="77777777" w:rsidR="002E6B99" w:rsidRPr="008A591B" w:rsidRDefault="002E6B99" w:rsidP="00296770">
      <w:pPr>
        <w:pStyle w:val="NormalAcademic"/>
      </w:pPr>
      <w:r w:rsidRPr="008A591B">
        <w:t>├── outputs/</w:t>
      </w:r>
    </w:p>
    <w:p w14:paraId="11208BD0" w14:textId="77777777" w:rsidR="002E6B99" w:rsidRPr="008A591B" w:rsidRDefault="002E6B99" w:rsidP="00296770">
      <w:pPr>
        <w:pStyle w:val="NormalAcademic"/>
      </w:pPr>
      <w:r w:rsidRPr="008A591B">
        <w:t>│   ├── figures/                # Generated visualizations</w:t>
      </w:r>
    </w:p>
    <w:p w14:paraId="28A06AB4" w14:textId="77777777" w:rsidR="002E6B99" w:rsidRPr="008A591B" w:rsidRDefault="002E6B99" w:rsidP="00296770">
      <w:pPr>
        <w:pStyle w:val="NormalAcademic"/>
      </w:pPr>
      <w:r w:rsidRPr="008A591B">
        <w:t>│   └── results/                # Analysis outputs</w:t>
      </w:r>
    </w:p>
    <w:p w14:paraId="2D2A4173" w14:textId="77777777" w:rsidR="002E6B99" w:rsidRPr="008A591B" w:rsidRDefault="002E6B99" w:rsidP="00296770">
      <w:pPr>
        <w:pStyle w:val="NormalAcademic"/>
      </w:pPr>
      <w:r w:rsidRPr="008A591B">
        <w:t>└── documentation/</w:t>
      </w:r>
    </w:p>
    <w:p w14:paraId="491DAC3F" w14:textId="77777777" w:rsidR="002E6B99" w:rsidRPr="008A591B" w:rsidRDefault="002E6B99" w:rsidP="00296770">
      <w:pPr>
        <w:pStyle w:val="NormalAcademic"/>
      </w:pPr>
      <w:r w:rsidRPr="008A591B">
        <w:t xml:space="preserve">    ├── data_dictionary.md      # Dataset field descriptions</w:t>
      </w:r>
    </w:p>
    <w:p w14:paraId="31007BA5" w14:textId="67F2CE95" w:rsidR="002E6B99" w:rsidRPr="008A591B" w:rsidRDefault="002E6B99" w:rsidP="00296770">
      <w:pPr>
        <w:pStyle w:val="NormalAcademic"/>
      </w:pPr>
      <w:r w:rsidRPr="008A591B">
        <w:t xml:space="preserve">    └── methodology_notes.md    # Extended methodological guidance</w:t>
      </w:r>
    </w:p>
    <w:p w14:paraId="2627A571" w14:textId="0AD496A1" w:rsidR="002E6B99" w:rsidRPr="008A591B" w:rsidRDefault="002E6B99" w:rsidP="0050246A">
      <w:pPr>
        <w:pStyle w:val="Heading3Academic"/>
      </w:pPr>
      <w:r w:rsidRPr="008A591B">
        <w:lastRenderedPageBreak/>
        <w:t>4.7.3 Environment Setup</w:t>
      </w:r>
    </w:p>
    <w:p w14:paraId="092538C2" w14:textId="5CCF1069" w:rsidR="00A248AA" w:rsidRPr="00AD1120" w:rsidRDefault="00A248AA" w:rsidP="00296770">
      <w:pPr>
        <w:pStyle w:val="NormalAcademic"/>
      </w:pPr>
      <w:r w:rsidRPr="00AD1120">
        <w:rPr>
          <w:color w:val="000000" w:themeColor="text1"/>
        </w:rPr>
        <w:t>To set up the analytical environment, clone the repository, create a virtual environment, and install dependencies via pip install -r requirements.txt. NLTK corpora (</w:t>
      </w:r>
      <w:proofErr w:type="spellStart"/>
      <w:r w:rsidRPr="00AD1120">
        <w:rPr>
          <w:color w:val="000000" w:themeColor="text1"/>
        </w:rPr>
        <w:t>stopwords</w:t>
      </w:r>
      <w:proofErr w:type="spellEnd"/>
      <w:r w:rsidRPr="00AD1120">
        <w:rPr>
          <w:color w:val="000000" w:themeColor="text1"/>
        </w:rPr>
        <w:t xml:space="preserve"> and wordnet) must be downloaded separately with </w:t>
      </w:r>
      <w:proofErr w:type="spellStart"/>
      <w:proofErr w:type="gramStart"/>
      <w:r w:rsidRPr="00AD1120">
        <w:rPr>
          <w:color w:val="000000" w:themeColor="text1"/>
        </w:rPr>
        <w:t>nltk.download</w:t>
      </w:r>
      <w:proofErr w:type="spellEnd"/>
      <w:proofErr w:type="gramEnd"/>
      <w:r w:rsidRPr="00AD1120">
        <w:rPr>
          <w:color w:val="000000" w:themeColor="text1"/>
        </w:rPr>
        <w:t>(). Full setup instructions are provided in README.md in the repository root.</w:t>
      </w:r>
    </w:p>
    <w:p w14:paraId="3844EACE" w14:textId="77777777" w:rsidR="002E6B99" w:rsidRPr="008A591B" w:rsidRDefault="002E6B99" w:rsidP="0050246A">
      <w:pPr>
        <w:pStyle w:val="Heading3Academic"/>
      </w:pPr>
      <w:r w:rsidRPr="008A591B">
        <w:t>4.7.4 Execution Instructions</w:t>
      </w:r>
    </w:p>
    <w:p w14:paraId="6F3267D8" w14:textId="769BE5CB" w:rsidR="00737F66" w:rsidRPr="008A591B" w:rsidRDefault="00A248AA" w:rsidP="00296770">
      <w:pPr>
        <w:pStyle w:val="NormalAcademic"/>
      </w:pPr>
      <w:r w:rsidRPr="00AD1120">
        <w:rPr>
          <w:color w:val="000000" w:themeColor="text1"/>
        </w:rPr>
        <w:t xml:space="preserve">The complete workflow can be executed via command line by running complete_workflow.py with arguments specifying input data path, output directory, number of LDA topics, and forecast periods. Alternatively, the </w:t>
      </w:r>
      <w:proofErr w:type="spellStart"/>
      <w:r w:rsidRPr="00AD1120">
        <w:rPr>
          <w:color w:val="000000" w:themeColor="text1"/>
        </w:rPr>
        <w:t>Jupyter</w:t>
      </w:r>
      <w:proofErr w:type="spellEnd"/>
      <w:r w:rsidRPr="00AD1120">
        <w:rPr>
          <w:color w:val="000000" w:themeColor="text1"/>
        </w:rPr>
        <w:t xml:space="preserve"> notebook chapter12_</w:t>
      </w:r>
      <w:proofErr w:type="gramStart"/>
      <w:r w:rsidRPr="00AD1120">
        <w:rPr>
          <w:color w:val="000000" w:themeColor="text1"/>
        </w:rPr>
        <w:t>tutorial.ipynb</w:t>
      </w:r>
      <w:proofErr w:type="gramEnd"/>
      <w:r w:rsidRPr="00AD1120">
        <w:rPr>
          <w:color w:val="000000" w:themeColor="text1"/>
        </w:rPr>
        <w:t xml:space="preserve"> provides an interactive, step-by-step walkthrough with inline visualizations. Both entry points are documented in the repository's README.md.</w:t>
      </w:r>
    </w:p>
    <w:p w14:paraId="13099982" w14:textId="25D34EE6" w:rsidR="00737F66" w:rsidRPr="008A591B" w:rsidRDefault="00737F66" w:rsidP="0050246A">
      <w:pPr>
        <w:pStyle w:val="Heading3Academic"/>
      </w:pPr>
      <w:r w:rsidRPr="008A591B">
        <w:t>4.7.5 Data Access Notes</w:t>
      </w:r>
    </w:p>
    <w:p w14:paraId="63558774" w14:textId="77777777" w:rsidR="00737F66" w:rsidRPr="008A591B" w:rsidRDefault="00737F66" w:rsidP="00296770">
      <w:pPr>
        <w:pStyle w:val="NormalAcademic"/>
      </w:pPr>
      <w:r w:rsidRPr="008A591B">
        <w:rPr>
          <w:color w:val="000000" w:themeColor="text1"/>
        </w:rPr>
        <w:t>Synthetic datasets (CC0 license): All files in the data/ directory are synthetic datasets created for pedagogical purposes. They preserve statistical patterns representative of real technology domains while avoiding licensing restrictions. These datasets can be freely used, modified, and redistributed.</w:t>
      </w:r>
    </w:p>
    <w:p w14:paraId="62DE2E98" w14:textId="25314434" w:rsidR="00737F66" w:rsidRPr="008A591B" w:rsidRDefault="00737F66" w:rsidP="00296770">
      <w:pPr>
        <w:pStyle w:val="NormalAcademic"/>
      </w:pPr>
      <w:r w:rsidRPr="008A591B">
        <w:t>Replicating with real data: Readers with institutional access to Scopus, Web of Science, or Lens.org can reproduce datasets using the search queries provided in Section 3. Export data in CSV format with fields: Title, Abstract, Year, Authors, Keywords. The preprocessing functions in Section 4.2 handle standard export formats from these databases.</w:t>
      </w:r>
    </w:p>
    <w:p w14:paraId="711C7A91" w14:textId="0B2B3E63" w:rsidR="00737F66" w:rsidRPr="008A591B" w:rsidRDefault="00737F66" w:rsidP="00296770">
      <w:pPr>
        <w:pStyle w:val="NormalAcademic"/>
      </w:pPr>
      <w:r w:rsidRPr="008A591B">
        <w:t>Case study data: The healthcare smart contracts dataset analyzed in Section 5 was extracted from Lens.org. Due to terms of service restrictions, raw data cannot be redistributed. The complete search query and extraction methodology are documented in Section 5.2.2, enabling readers to reproduce identical datasets through their own Lens.org accounts (free registration required).</w:t>
      </w:r>
    </w:p>
    <w:p w14:paraId="397AEFEC" w14:textId="74C115CF" w:rsidR="00737F66" w:rsidRPr="008A591B" w:rsidRDefault="00737F66" w:rsidP="00296770">
      <w:pPr>
        <w:pStyle w:val="NormalAcademic"/>
      </w:pPr>
      <w:r w:rsidRPr="008A591B">
        <w:t>Section 4 has provided complete, executable Python implementations for data-led technology roadmapping. These code modules can be adapted to any technology domain by modifying search strings and parameters. Section 5 demonstrates their application in a comprehensive real-world case study analyzing healthcare smart contracts through integrated publication-patent analysis.</w:t>
      </w:r>
    </w:p>
    <w:p w14:paraId="7FE9D003" w14:textId="0B8397D9" w:rsidR="00DA2921" w:rsidRPr="008A591B" w:rsidRDefault="00DA2921" w:rsidP="00DA2921">
      <w:pPr>
        <w:pStyle w:val="Heading1Academic"/>
      </w:pPr>
      <w:r w:rsidRPr="008A591B">
        <w:t>5. Case Studies</w:t>
      </w:r>
    </w:p>
    <w:p w14:paraId="7F5086A8" w14:textId="3A834362" w:rsidR="00737F66" w:rsidRPr="008A591B" w:rsidRDefault="00DA2921" w:rsidP="00136B20">
      <w:pPr>
        <w:pStyle w:val="Heading2Academic"/>
      </w:pPr>
      <w:r w:rsidRPr="008A591B">
        <w:t>5.1 Case Study Overview</w:t>
      </w:r>
    </w:p>
    <w:p w14:paraId="0B4354E6" w14:textId="77777777" w:rsidR="00DA2921" w:rsidRPr="00BD323C" w:rsidRDefault="00DA2921" w:rsidP="00296770">
      <w:pPr>
        <w:pStyle w:val="NormalAcademic"/>
      </w:pPr>
      <w:r w:rsidRPr="00BD323C">
        <w:rPr>
          <w:color w:val="000000" w:themeColor="text1"/>
        </w:rPr>
        <w:t xml:space="preserve">This section presents a comprehensive real-world application of data-led technology roadmapping methodologies through an in-depth case study of healthcare smart </w:t>
      </w:r>
      <w:r w:rsidRPr="00BD323C">
        <w:rPr>
          <w:color w:val="000000" w:themeColor="text1"/>
        </w:rPr>
        <w:lastRenderedPageBreak/>
        <w:t xml:space="preserve">contracts. The analysis integrates publication and patent data to reveal innovation dynamics, knowledge transfer patterns, and strategic implications for emerging technology domains. </w:t>
      </w:r>
    </w:p>
    <w:p w14:paraId="3158D849" w14:textId="765CA37F" w:rsidR="00DA2921" w:rsidRPr="00BD323C" w:rsidRDefault="00DA2921" w:rsidP="00296770">
      <w:pPr>
        <w:pStyle w:val="NormalAcademic"/>
      </w:pPr>
      <w:r w:rsidRPr="00BD323C">
        <w:t>The case study is based on research published in Scientometrics (DOI: 10.1007/s11192-025-05457-1), demonstrating the application of computational text mining, semantic analysis, and temporal modeling to understand the evolution of healthcare blockchain technologies. The analytical framework presented here serves as a template for technology roadmapping across diverse domains.</w:t>
      </w:r>
    </w:p>
    <w:p w14:paraId="57056F15" w14:textId="52283A15" w:rsidR="00DA2921" w:rsidRPr="00BD323C" w:rsidRDefault="00DA2921" w:rsidP="00296770">
      <w:pPr>
        <w:pStyle w:val="NormalAcademic"/>
      </w:pPr>
      <w:r w:rsidRPr="00BD323C">
        <w:t>Research Questions Addressed: How do scientific publications and patent applications differ in their thematic focus within healthcare smart contracts? What temporal patterns exist in knowledge transfer between academic research and technological development? Which technology sub-domains show convergent versus divergent innovation trajectories? What strategic implications emerge for stakeholders in healthcare innovation ecosystems?</w:t>
      </w:r>
    </w:p>
    <w:p w14:paraId="4C71C045" w14:textId="4BBCA157" w:rsidR="00DA2921" w:rsidRPr="008A591B" w:rsidRDefault="00DA2921" w:rsidP="00136B20">
      <w:pPr>
        <w:pStyle w:val="Heading2Academic"/>
      </w:pPr>
      <w:r w:rsidRPr="008A591B">
        <w:t>5.2 Healthcare Smart Contracts: Divergent Priorities, Convergent Goals</w:t>
      </w:r>
    </w:p>
    <w:p w14:paraId="2312045A" w14:textId="369672E8" w:rsidR="00DA2921" w:rsidRPr="008A591B" w:rsidRDefault="00DA2921" w:rsidP="0050246A">
      <w:pPr>
        <w:pStyle w:val="Heading3Academic"/>
      </w:pPr>
      <w:r w:rsidRPr="008A591B">
        <w:t>5.2.1 Background and Context</w:t>
      </w:r>
    </w:p>
    <w:p w14:paraId="0BFF814A" w14:textId="0F69B56F" w:rsidR="00C16B44" w:rsidRPr="00BD323C" w:rsidRDefault="00C16B44" w:rsidP="00296770">
      <w:pPr>
        <w:pStyle w:val="NormalAcademic"/>
      </w:pPr>
      <w:r w:rsidRPr="00BD323C">
        <w:rPr>
          <w:color w:val="000000" w:themeColor="text1"/>
        </w:rPr>
        <w:t>Healthcare systems worldwide face persistent challenges in data interoperability, privacy preservation, supply chain transparency, and administrative efficiency. Smart contracts—self-executing protocols on blockchain networks—offer potential solutions through automated, tamper-resistant, and auditable transaction management. However, the technology remains nascent, with uncertain commercialization pathways and fragmented innovation ecosystems.</w:t>
      </w:r>
    </w:p>
    <w:p w14:paraId="0802A286" w14:textId="5D7B22D7" w:rsidR="00C16B44" w:rsidRPr="00BD323C" w:rsidRDefault="00C16B44" w:rsidP="00296770">
      <w:pPr>
        <w:pStyle w:val="NormalAcademic"/>
      </w:pPr>
      <w:r w:rsidRPr="00BD323C">
        <w:t xml:space="preserve">This case study analyzes the evolution of healthcare smart contract research and development from 2001 to 2025, capturing the emergence phase of this transformative technology. Strategic importance </w:t>
      </w:r>
      <w:proofErr w:type="gramStart"/>
      <w:r w:rsidRPr="00BD323C">
        <w:t>includes:</w:t>
      </w:r>
      <w:proofErr w:type="gramEnd"/>
      <w:r w:rsidRPr="00BD323C">
        <w:t xml:space="preserve"> market potential with global healthcare IT spending exceeding $200 billion annually; regulatory drivers including GDPR and HIPAA increasing demand for privacy-preserving technologies; COVID-19 impact accelerating digital health adoption; and interdisciplinary convergence integrating computer science, healthcare informatics, cryptography, and policy domains.</w:t>
      </w:r>
    </w:p>
    <w:p w14:paraId="71BE8983" w14:textId="6E3705D0" w:rsidR="00C16B44" w:rsidRPr="008A591B" w:rsidRDefault="00C16B44" w:rsidP="0050246A">
      <w:pPr>
        <w:pStyle w:val="Heading3Academic"/>
      </w:pPr>
      <w:r w:rsidRPr="008A591B">
        <w:t>5.2.2 Data Collection and Preparation</w:t>
      </w:r>
    </w:p>
    <w:p w14:paraId="16B8C5B6" w14:textId="62D64CE4" w:rsidR="00C16B44" w:rsidRPr="00BD323C" w:rsidRDefault="00C16B44" w:rsidP="00296770">
      <w:pPr>
        <w:pStyle w:val="NormalAcademic"/>
      </w:pPr>
      <w:r w:rsidRPr="00BD323C">
        <w:rPr>
          <w:color w:val="000000" w:themeColor="text1"/>
        </w:rPr>
        <w:t>Data Access Disclaimer: This case study analyzes data from Lens.org, a freely accessible platform requiring user registration. Raw data cannot be redistributed due to platform terms of service. Complete methodology is provided to enable replication.</w:t>
      </w:r>
    </w:p>
    <w:p w14:paraId="4B9D2BE3" w14:textId="6C7C81C1" w:rsidR="00C16B44" w:rsidRPr="00BD323C" w:rsidRDefault="00C16B44" w:rsidP="00296770">
      <w:pPr>
        <w:pStyle w:val="NormalAcademic"/>
      </w:pPr>
      <w:r w:rsidRPr="00BD323C">
        <w:t xml:space="preserve">Search Strategy: The search query was designed to balance precision and recall: ((smart contract* OR blockchain*) AND (health* OR medical* OR clinical*)). The </w:t>
      </w:r>
      <w:r w:rsidRPr="00BD323C">
        <w:lastRenderedPageBreak/>
        <w:t>search was executed on Lens.org on August 15, 2024, retrieving all documents published or filed through December 31, 2024.</w:t>
      </w:r>
    </w:p>
    <w:p w14:paraId="5E045600" w14:textId="26301834" w:rsidR="00C16B44" w:rsidRPr="008A591B" w:rsidRDefault="00C16B44" w:rsidP="00296770">
      <w:pPr>
        <w:pStyle w:val="NormalAcademic"/>
        <w:rPr>
          <w:b/>
        </w:rPr>
      </w:pPr>
      <w:r w:rsidRPr="00BD323C">
        <w:t>Sample Characteristics: Publications totaled 4,156 documents (2001-2025) with exponential growth post-2016. Patents totaled 10,204 applications (2001-2025) with sustained linear growth accelerating after 2018. Publication-to-Patent Ratio was 1:2.45, indicating strong commercialization orientation. Geographic Distribution showed US (39%),</w:t>
      </w:r>
      <w:r w:rsidRPr="008A591B">
        <w:t xml:space="preserve"> China (28%), Europe (18%), Rest of World (15%).</w:t>
      </w:r>
    </w:p>
    <w:p w14:paraId="7C8F8347" w14:textId="163023D1" w:rsidR="00C31DCA" w:rsidRPr="008A591B" w:rsidRDefault="00C31DCA" w:rsidP="0050246A">
      <w:pPr>
        <w:pStyle w:val="Heading3Academic"/>
        <w:rPr>
          <w:sz w:val="20"/>
          <w:szCs w:val="20"/>
        </w:rPr>
      </w:pPr>
      <w:r w:rsidRPr="008A591B">
        <w:rPr>
          <w:sz w:val="20"/>
          <w:szCs w:val="20"/>
        </w:rPr>
        <w:t>5.2.2.1 Data Replication Instructions</w:t>
      </w:r>
    </w:p>
    <w:p w14:paraId="28AC2B30" w14:textId="77777777" w:rsidR="00C31DCA" w:rsidRPr="008A591B" w:rsidRDefault="00C31DCA" w:rsidP="00C554EE">
      <w:pPr>
        <w:pStyle w:val="NormalAcademic"/>
      </w:pPr>
      <w:r w:rsidRPr="008A591B">
        <w:t>Readers wishing to replicate this case study should follow these steps:</w:t>
      </w:r>
    </w:p>
    <w:p w14:paraId="70019598" w14:textId="77777777" w:rsidR="00C31DCA" w:rsidRPr="008A591B" w:rsidRDefault="00C31DCA" w:rsidP="00C554EE">
      <w:pPr>
        <w:pStyle w:val="NormalAcademic"/>
      </w:pPr>
      <w:r w:rsidRPr="008A591B">
        <w:rPr>
          <w:rStyle w:val="Gl"/>
          <w:rFonts w:eastAsiaTheme="majorEastAsia"/>
          <w:b w:val="0"/>
          <w:bCs w:val="0"/>
        </w:rPr>
        <w:t>Register at Lens.org</w:t>
      </w:r>
      <w:r w:rsidRPr="008A591B">
        <w:t xml:space="preserve"> (free account required)</w:t>
      </w:r>
    </w:p>
    <w:p w14:paraId="07D4DB2A" w14:textId="77777777" w:rsidR="00C31DCA" w:rsidRPr="00A248AA" w:rsidRDefault="00C31DCA" w:rsidP="00C554EE">
      <w:pPr>
        <w:pStyle w:val="NormalAcademic"/>
        <w:rPr>
          <w:sz w:val="20"/>
          <w:szCs w:val="20"/>
        </w:rPr>
      </w:pPr>
      <w:r w:rsidRPr="008A591B">
        <w:rPr>
          <w:rStyle w:val="Gl"/>
          <w:rFonts w:eastAsiaTheme="majorEastAsia"/>
          <w:b w:val="0"/>
          <w:bCs w:val="0"/>
        </w:rPr>
        <w:t>Search Scholarly Works</w:t>
      </w:r>
      <w:r w:rsidRPr="008A591B">
        <w:t xml:space="preserve"> using query: </w:t>
      </w:r>
      <w:r w:rsidRPr="00A248AA">
        <w:rPr>
          <w:rStyle w:val="HTMLKodu"/>
          <w:rFonts w:eastAsiaTheme="majorEastAsia"/>
        </w:rPr>
        <w:t>((smart contract* OR blockchain*) AND (health* OR medical* OR clinical*))</w:t>
      </w:r>
    </w:p>
    <w:p w14:paraId="0BE87FCD" w14:textId="77777777" w:rsidR="00C31DCA" w:rsidRPr="008A591B" w:rsidRDefault="00C31DCA" w:rsidP="00C554EE">
      <w:pPr>
        <w:pStyle w:val="NormalAcademic"/>
      </w:pPr>
      <w:r w:rsidRPr="008A591B">
        <w:rPr>
          <w:rStyle w:val="Gl"/>
          <w:rFonts w:eastAsiaTheme="majorEastAsia"/>
          <w:b w:val="0"/>
          <w:bCs w:val="0"/>
        </w:rPr>
        <w:t>Apply filters:</w:t>
      </w:r>
      <w:r w:rsidRPr="008A591B">
        <w:t xml:space="preserve"> Publication Date: 2001-01-01 to 2024-12-31</w:t>
      </w:r>
    </w:p>
    <w:p w14:paraId="717B8F05" w14:textId="77777777" w:rsidR="00C31DCA" w:rsidRPr="008A591B" w:rsidRDefault="00C31DCA" w:rsidP="00C554EE">
      <w:pPr>
        <w:pStyle w:val="NormalAcademic"/>
      </w:pPr>
      <w:r w:rsidRPr="008A591B">
        <w:rPr>
          <w:rStyle w:val="Gl"/>
          <w:rFonts w:eastAsiaTheme="majorEastAsia"/>
          <w:b w:val="0"/>
          <w:bCs w:val="0"/>
        </w:rPr>
        <w:t>Export as CSV</w:t>
      </w:r>
      <w:r w:rsidRPr="008A591B">
        <w:t xml:space="preserve"> with fields: Lens ID, Title, Abstract, Publication Year, Authors, Keywords, DOI</w:t>
      </w:r>
    </w:p>
    <w:p w14:paraId="2C2AB1D2" w14:textId="77777777" w:rsidR="00C31DCA" w:rsidRPr="008A591B" w:rsidRDefault="00C31DCA" w:rsidP="00C554EE">
      <w:pPr>
        <w:pStyle w:val="NormalAcademic"/>
      </w:pPr>
      <w:r w:rsidRPr="008A591B">
        <w:rPr>
          <w:rStyle w:val="Gl"/>
          <w:rFonts w:eastAsiaTheme="majorEastAsia"/>
          <w:b w:val="0"/>
          <w:bCs w:val="0"/>
        </w:rPr>
        <w:t>Repeat for Patents</w:t>
      </w:r>
      <w:r w:rsidRPr="008A591B">
        <w:t xml:space="preserve"> using the same query with Filing Date filter</w:t>
      </w:r>
    </w:p>
    <w:p w14:paraId="7CF49AA1" w14:textId="77777777" w:rsidR="00C31DCA" w:rsidRPr="008A591B" w:rsidRDefault="00C31DCA" w:rsidP="00C554EE">
      <w:pPr>
        <w:pStyle w:val="NormalAcademic"/>
      </w:pPr>
      <w:r w:rsidRPr="008A591B">
        <w:rPr>
          <w:rStyle w:val="Gl"/>
          <w:rFonts w:eastAsiaTheme="majorEastAsia"/>
          <w:b w:val="0"/>
          <w:bCs w:val="0"/>
        </w:rPr>
        <w:t xml:space="preserve">Save files </w:t>
      </w:r>
      <w:proofErr w:type="gramStart"/>
      <w:r w:rsidRPr="008A591B">
        <w:rPr>
          <w:rStyle w:val="Gl"/>
          <w:rFonts w:eastAsiaTheme="majorEastAsia"/>
          <w:b w:val="0"/>
          <w:bCs w:val="0"/>
        </w:rPr>
        <w:t>to:</w:t>
      </w:r>
      <w:proofErr w:type="gramEnd"/>
      <w:r w:rsidRPr="008A591B">
        <w:t xml:space="preserve"> </w:t>
      </w:r>
      <w:r w:rsidRPr="00A248AA">
        <w:rPr>
          <w:rStyle w:val="HTMLKodu"/>
          <w:rFonts w:eastAsiaTheme="majorEastAsia"/>
        </w:rPr>
        <w:t>data/user_extracted/</w:t>
      </w:r>
      <w:r w:rsidRPr="00A248AA">
        <w:rPr>
          <w:sz w:val="20"/>
          <w:szCs w:val="20"/>
        </w:rPr>
        <w:t xml:space="preserve"> </w:t>
      </w:r>
      <w:r w:rsidRPr="008A591B">
        <w:t>directory in the GitHub repository</w:t>
      </w:r>
    </w:p>
    <w:p w14:paraId="4EDD0E6B" w14:textId="77777777" w:rsidR="00C31DCA" w:rsidRPr="008A591B" w:rsidRDefault="00C31DCA" w:rsidP="00C554EE">
      <w:pPr>
        <w:pStyle w:val="NormalAcademic"/>
      </w:pPr>
      <w:r w:rsidRPr="008A591B">
        <w:t xml:space="preserve">Expected results: ~4,156 publications and ~10,204 patents. The complete eight-stage analytical pipeline (text preprocessing → TF-IDF → LDA → SciBERT embeddings → K-means clustering → temporal analysis → cross-corpus similarity → keyword emergence lag) is documented in the GitHub repository's </w:t>
      </w:r>
      <w:r w:rsidRPr="00A248AA">
        <w:rPr>
          <w:rStyle w:val="HTMLKodu"/>
          <w:rFonts w:eastAsiaTheme="majorEastAsia"/>
        </w:rPr>
        <w:t>DATA_REPLICATION_GUIDE.md</w:t>
      </w:r>
      <w:r w:rsidRPr="00A248AA">
        <w:rPr>
          <w:sz w:val="20"/>
          <w:szCs w:val="20"/>
        </w:rPr>
        <w:t xml:space="preserve"> </w:t>
      </w:r>
      <w:r w:rsidRPr="008A591B">
        <w:t>file.</w:t>
      </w:r>
    </w:p>
    <w:p w14:paraId="519CA484" w14:textId="77777777" w:rsidR="00C31DCA" w:rsidRPr="008A591B" w:rsidRDefault="00C31DCA" w:rsidP="00C554EE">
      <w:pPr>
        <w:pStyle w:val="NormalAcademic"/>
      </w:pPr>
      <w:r w:rsidRPr="008A591B">
        <w:t xml:space="preserve">Complete methodology enables reproduction of all findings including the </w:t>
      </w:r>
      <w:proofErr w:type="gramStart"/>
      <w:r w:rsidRPr="008A591B">
        <w:t>-8.12 year</w:t>
      </w:r>
      <w:proofErr w:type="gramEnd"/>
      <w:r w:rsidRPr="008A591B">
        <w:t xml:space="preserve"> keyword emergence lag and complementary domain specialization patterns.</w:t>
      </w:r>
    </w:p>
    <w:p w14:paraId="40EFB60F" w14:textId="5075C894" w:rsidR="001611D1" w:rsidRPr="008A591B" w:rsidRDefault="00C16B44" w:rsidP="0050246A">
      <w:pPr>
        <w:pStyle w:val="Heading3Academic"/>
      </w:pPr>
      <w:r w:rsidRPr="008A591B">
        <w:t>5.2.3 Analytical Workflow</w:t>
      </w:r>
    </w:p>
    <w:p w14:paraId="3EB5A2D4" w14:textId="77777777" w:rsidR="001611D1" w:rsidRPr="008A591B" w:rsidRDefault="00C16B44" w:rsidP="00296770">
      <w:pPr>
        <w:pStyle w:val="NormalAcademic"/>
      </w:pPr>
      <w:r w:rsidRPr="008A591B">
        <w:rPr>
          <w:color w:val="000000" w:themeColor="text1"/>
        </w:rPr>
        <w:t>The analysis employed an eight-stage computational pipeline integrating multiple natural language processing and machine learning techniques:</w:t>
      </w:r>
    </w:p>
    <w:p w14:paraId="51160648" w14:textId="77777777" w:rsidR="001611D1" w:rsidRPr="008A591B" w:rsidRDefault="00C16B44" w:rsidP="00296770">
      <w:pPr>
        <w:pStyle w:val="NormalAcademic"/>
      </w:pPr>
      <w:r w:rsidRPr="008A591B">
        <w:t xml:space="preserve">Stage 1 (Text Preprocessing): Concatenation of title and abstract fields, lowercasing, punctuation removal, tokenization, </w:t>
      </w:r>
      <w:proofErr w:type="spellStart"/>
      <w:r w:rsidRPr="008A591B">
        <w:t>stopword</w:t>
      </w:r>
      <w:proofErr w:type="spellEnd"/>
      <w:r w:rsidRPr="008A591B">
        <w:t xml:space="preserve"> removal, and lemmatization using NLTK. </w:t>
      </w:r>
    </w:p>
    <w:p w14:paraId="68044F05" w14:textId="4A559A87" w:rsidR="00C16B44" w:rsidRPr="008A591B" w:rsidRDefault="00C16B44" w:rsidP="00296770">
      <w:pPr>
        <w:pStyle w:val="NormalAcademic"/>
      </w:pPr>
      <w:r w:rsidRPr="008A591B">
        <w:t xml:space="preserve">Stage 2 (TF-IDF Vectorization): Term weighting with </w:t>
      </w:r>
      <w:proofErr w:type="spellStart"/>
      <w:r w:rsidRPr="008A591B">
        <w:t>max_df</w:t>
      </w:r>
      <w:proofErr w:type="spellEnd"/>
      <w:r w:rsidRPr="008A591B">
        <w:t xml:space="preserve">=0.85, </w:t>
      </w:r>
      <w:proofErr w:type="spellStart"/>
      <w:r w:rsidRPr="008A591B">
        <w:t>min_df</w:t>
      </w:r>
      <w:proofErr w:type="spellEnd"/>
      <w:r w:rsidRPr="008A591B">
        <w:t xml:space="preserve">=5, </w:t>
      </w:r>
      <w:proofErr w:type="spellStart"/>
      <w:r w:rsidRPr="008A591B">
        <w:t>max_features</w:t>
      </w:r>
      <w:proofErr w:type="spellEnd"/>
      <w:r w:rsidRPr="008A591B">
        <w:t xml:space="preserve">=5000, with separate vectorization for publications and patents. </w:t>
      </w:r>
    </w:p>
    <w:p w14:paraId="7CD0D055" w14:textId="77777777" w:rsidR="001611D1" w:rsidRPr="00BD323C" w:rsidRDefault="001611D1" w:rsidP="00296770">
      <w:pPr>
        <w:pStyle w:val="NormalAcademic"/>
      </w:pPr>
      <w:r w:rsidRPr="00BD323C">
        <w:t xml:space="preserve">Stage 3 (Latent Dirichlet Allocation): Unsupervised topic modeling with optimal k=10 determined via perplexity minimization and coherence score maximization.   </w:t>
      </w:r>
    </w:p>
    <w:p w14:paraId="71D53E64" w14:textId="77777777" w:rsidR="001611D1" w:rsidRPr="00BD323C" w:rsidRDefault="001611D1" w:rsidP="00296770">
      <w:pPr>
        <w:pStyle w:val="NormalAcademic"/>
      </w:pPr>
      <w:r w:rsidRPr="00BD323C">
        <w:lastRenderedPageBreak/>
        <w:t>Stage 4 (</w:t>
      </w:r>
      <w:proofErr w:type="spellStart"/>
      <w:r w:rsidRPr="00BD323C">
        <w:t>SciBERT</w:t>
      </w:r>
      <w:proofErr w:type="spellEnd"/>
      <w:r w:rsidRPr="00BD323C">
        <w:t xml:space="preserve"> Semantic Embeddings): Transformer-based 768-dimensional dense vector representations using </w:t>
      </w:r>
      <w:proofErr w:type="spellStart"/>
      <w:r w:rsidRPr="00BD323C">
        <w:t>allenai</w:t>
      </w:r>
      <w:proofErr w:type="spellEnd"/>
      <w:r w:rsidRPr="00BD323C">
        <w:t>/</w:t>
      </w:r>
      <w:proofErr w:type="spellStart"/>
      <w:r w:rsidRPr="00BD323C">
        <w:t>scibert_scivocab_uncased</w:t>
      </w:r>
      <w:proofErr w:type="spellEnd"/>
      <w:r w:rsidRPr="00BD323C">
        <w:t xml:space="preserve"> model.</w:t>
      </w:r>
    </w:p>
    <w:p w14:paraId="1CC789BA" w14:textId="77777777" w:rsidR="001611D1" w:rsidRPr="00BD323C" w:rsidRDefault="001611D1" w:rsidP="00296770">
      <w:pPr>
        <w:pStyle w:val="NormalAcademic"/>
      </w:pPr>
      <w:r w:rsidRPr="00BD323C">
        <w:t xml:space="preserve">Stage 5 (K-Means Clustering): Clustering on </w:t>
      </w:r>
      <w:proofErr w:type="spellStart"/>
      <w:r w:rsidRPr="00BD323C">
        <w:t>SciBERT</w:t>
      </w:r>
      <w:proofErr w:type="spellEnd"/>
      <w:r w:rsidRPr="00BD323C">
        <w:t xml:space="preserve"> embeddings with optimal k=2, revealing Cluster 1 (20.6% technical infrastructure focus) and Cluster 2 (79.4% application-oriented focus). </w:t>
      </w:r>
    </w:p>
    <w:p w14:paraId="2DFB60BD" w14:textId="77777777" w:rsidR="001611D1" w:rsidRPr="00BD323C" w:rsidRDefault="001611D1" w:rsidP="00296770">
      <w:pPr>
        <w:pStyle w:val="NormalAcademic"/>
      </w:pPr>
      <w:r w:rsidRPr="00BD323C">
        <w:t xml:space="preserve">Stage 6 (Temporal Trend Analysis): Annual document counts with CAGR calculations showing publications at 47.3% and patents at 38.6% growth (2016-2024). </w:t>
      </w:r>
    </w:p>
    <w:p w14:paraId="1FBB0708" w14:textId="77777777" w:rsidR="001611D1" w:rsidRPr="00BD323C" w:rsidRDefault="001611D1" w:rsidP="00296770">
      <w:pPr>
        <w:pStyle w:val="NormalAcademic"/>
      </w:pPr>
      <w:r w:rsidRPr="00BD323C">
        <w:t xml:space="preserve">Stage 7 (Cross-Corpus Semantic Similarity): Cosine similarity between publication and patent embeddings with mean document similarity lag of -1.70 years. </w:t>
      </w:r>
    </w:p>
    <w:p w14:paraId="0EEB48F3" w14:textId="3957AB5B" w:rsidR="001611D1" w:rsidRPr="00BD323C" w:rsidRDefault="001611D1" w:rsidP="00296770">
      <w:pPr>
        <w:pStyle w:val="NormalAcademic"/>
      </w:pPr>
      <w:r w:rsidRPr="00BD323C">
        <w:t>Stage 8 (Keyword Emergence Lag): First appearance tracking with mean keyword emergence lag of -8.12 years (patents introduce terminology substantially earlier).</w:t>
      </w:r>
    </w:p>
    <w:p w14:paraId="3B741904" w14:textId="77777777" w:rsidR="00C16B44" w:rsidRPr="008A591B" w:rsidRDefault="00C16B44" w:rsidP="0050246A">
      <w:pPr>
        <w:pStyle w:val="Heading3Academic"/>
      </w:pPr>
      <w:r w:rsidRPr="008A591B">
        <w:t>5.2.4 Results and Insights</w:t>
      </w:r>
    </w:p>
    <w:p w14:paraId="5A44EEC2" w14:textId="44CB0463" w:rsidR="00C16B44" w:rsidRPr="008A591B" w:rsidRDefault="00C16B44" w:rsidP="00296770">
      <w:pPr>
        <w:pStyle w:val="NormalAcademic"/>
      </w:pPr>
      <w:r w:rsidRPr="008A591B">
        <w:rPr>
          <w:color w:val="000000" w:themeColor="text1"/>
        </w:rPr>
        <w:t>The analysis reveals a fundamental paradox: despite shared goals of improving healthcare delivery through blockchain technologies, scientific publications and patent applications exhibit markedly divergent thematic priorities and temporal dynamics.</w:t>
      </w:r>
    </w:p>
    <w:p w14:paraId="4E367124" w14:textId="3B34988C" w:rsidR="00C16B44" w:rsidRPr="00BD323C" w:rsidRDefault="00C16B44" w:rsidP="00296770">
      <w:pPr>
        <w:pStyle w:val="NormalAcademic"/>
      </w:pPr>
      <w:r w:rsidRPr="00BD323C">
        <w:t>Key Finding 1 - Reversed Knowledge Transfer: Contrary to the traditional linear innovation model (basic research → applied development → commercialization), healthcare smart contracts demonstrate a reversed pattern. Patents precede publications by an average of 8.12 years in keyword emergence, suggesting that technological experimentation occurs independently of, and often prior to, formal scientific validation. Implications include industry-driven innovation where commercial actors are technological pioneers, publication lag where academic research validates industry prototypes, and policy challenges where traditional R&amp;D metrics underestimate technological maturity.</w:t>
      </w:r>
    </w:p>
    <w:p w14:paraId="1C34897C" w14:textId="72CA43D5" w:rsidR="00C16B44" w:rsidRPr="00BD323C" w:rsidRDefault="00C16B44" w:rsidP="00296770">
      <w:pPr>
        <w:pStyle w:val="NormalAcademic"/>
      </w:pPr>
      <w:r w:rsidRPr="00BD323C">
        <w:t>Key Finding 2 - Complementary Domain Specialization: Publications concentrate on application domains (clinical data management, patient consent frameworks, supply chain traceability) while patents emphasize technical infrastructure (consensus protocols, cryptographic schemes, system architectures). Publications showed 79.4% application-oriented content with high prevalence of clinical use case descriptions. Patents showed 67.3% infrastructure-oriented content with heavy focus on transaction efficiency and network scalability. Only 12.4% of documents exhibited balanced technical-application content.</w:t>
      </w:r>
    </w:p>
    <w:p w14:paraId="0D9ADF33" w14:textId="2787C172" w:rsidR="00C16B44" w:rsidRPr="00BD323C" w:rsidRDefault="00C16B44" w:rsidP="00296770">
      <w:pPr>
        <w:pStyle w:val="NormalAcademic"/>
      </w:pPr>
      <w:r w:rsidRPr="00BD323C">
        <w:t xml:space="preserve">Key Finding 3 - Persistent Knowledge Gaps: Critical technology components receive disproportionate attention. Smart contract security dominates publication discourse but appears in only 8.3% of patents. Conversely, interoperability protocols constitute 31.2% of patent claims but 14.7% of publication focus. Strategic priorities </w:t>
      </w:r>
      <w:r w:rsidRPr="00BD323C">
        <w:lastRenderedPageBreak/>
        <w:t>identified include under-researched commercialization barriers, under-patented research advances, and convergence opportunities in hybrid architectures and standardized healthcare ontologies.</w:t>
      </w:r>
    </w:p>
    <w:p w14:paraId="23E3A092" w14:textId="65DD9882" w:rsidR="00C16B44" w:rsidRPr="008A591B" w:rsidRDefault="00C16B44" w:rsidP="0050246A">
      <w:pPr>
        <w:pStyle w:val="Heading3Academic"/>
      </w:pPr>
      <w:r w:rsidRPr="008A591B">
        <w:t>5.2.5 Validation and Limitations</w:t>
      </w:r>
    </w:p>
    <w:p w14:paraId="55E69720" w14:textId="40AF7AD9" w:rsidR="00C16B44" w:rsidRPr="00BD323C" w:rsidRDefault="00C16B44" w:rsidP="00296770">
      <w:pPr>
        <w:pStyle w:val="NormalAcademic"/>
      </w:pPr>
      <w:r w:rsidRPr="00BD323C">
        <w:rPr>
          <w:color w:val="000000" w:themeColor="text1"/>
        </w:rPr>
        <w:t>Findings were triangulated with semi-structured interviews of 12 domain experts (4 academic researchers, 4 industry practitioners, 4 policy makers). Experts confirmed the reversed innovation pattern, noting that regulatory uncertainty discourages academic engagement with commercial prototypes.</w:t>
      </w:r>
    </w:p>
    <w:p w14:paraId="08352942" w14:textId="21ADDBB6" w:rsidR="00C16B44" w:rsidRPr="00BD323C" w:rsidRDefault="00C16B44" w:rsidP="00296770">
      <w:pPr>
        <w:pStyle w:val="NormalAcademic"/>
      </w:pPr>
      <w:r w:rsidRPr="00BD323C">
        <w:t>Methodological Limitations: Search query limitations may miss semantically related documents using alternative terminology. Grey literature and proprietary industry research are not captured in bibliometric databases. Patent filing lag of 18 months may underestimate recent innovation activity. Text-only analysis ignores citation networks, author collaboration patterns, and institutional affiliations.</w:t>
      </w:r>
    </w:p>
    <w:p w14:paraId="79144F93" w14:textId="41E241E7" w:rsidR="00C16B44" w:rsidRPr="008A591B" w:rsidRDefault="00C16B44" w:rsidP="0050246A">
      <w:pPr>
        <w:pStyle w:val="Heading3Academic"/>
      </w:pPr>
      <w:r w:rsidRPr="008A591B">
        <w:t>5.2.6 Lessons Learned</w:t>
      </w:r>
    </w:p>
    <w:p w14:paraId="5CFB8D7D" w14:textId="3768813F" w:rsidR="00C16B44" w:rsidRPr="00BD323C" w:rsidRDefault="00C16B44" w:rsidP="00296770">
      <w:pPr>
        <w:pStyle w:val="NormalAcademic"/>
      </w:pPr>
      <w:r w:rsidRPr="00BD323C">
        <w:rPr>
          <w:color w:val="000000" w:themeColor="text1"/>
        </w:rPr>
        <w:t xml:space="preserve">Best Practices for Data-Led Roadmapping: Multi-source integration is essential as publications and patents provide complementary perspectives. Temporal analysis reveals non-obvious patterns where linear innovation models often fail in fast-moving technology domains. Semantic embeddings outperform keyword methods as </w:t>
      </w:r>
      <w:proofErr w:type="spellStart"/>
      <w:r w:rsidRPr="00BD323C">
        <w:rPr>
          <w:color w:val="000000" w:themeColor="text1"/>
        </w:rPr>
        <w:t>SciBERT</w:t>
      </w:r>
      <w:proofErr w:type="spellEnd"/>
      <w:r w:rsidRPr="00BD323C">
        <w:rPr>
          <w:color w:val="000000" w:themeColor="text1"/>
        </w:rPr>
        <w:t xml:space="preserve"> captures nuanced domain relationships missed by TF-IDF/LDA. Expert validation remains indispensable as computational findings require domain expertise for actionable interpretation.</w:t>
      </w:r>
    </w:p>
    <w:p w14:paraId="6ABC692F" w14:textId="4191CF04" w:rsidR="00C16B44" w:rsidRPr="00BD323C" w:rsidRDefault="00C16B44" w:rsidP="00296770">
      <w:pPr>
        <w:pStyle w:val="NormalAcademic"/>
      </w:pPr>
      <w:r w:rsidRPr="00BD323C">
        <w:t>Common Pitfalls and Mitigation Strategies: Over-reliance on publication counts should be mitigated by weighting by citation impact or semantic centrality. Algorithmic clustering opacity requires validation through silhouette scores and manual inspection. Temporal lag misinterpretation requires controlling for publication delays and distinguishing correlation from causation. Static analysis of dynamic systems requires implementing continuous monitoring and updating roadmaps quarterly or bi-annually.</w:t>
      </w:r>
    </w:p>
    <w:p w14:paraId="78DADBED" w14:textId="77777777" w:rsidR="00E13ED5" w:rsidRPr="008A591B" w:rsidRDefault="00C16B44" w:rsidP="0050246A">
      <w:pPr>
        <w:pStyle w:val="Heading3Academic"/>
      </w:pPr>
      <w:r w:rsidRPr="008A591B">
        <w:t>5.2.7 Foresight Scenarios for Healthcare Smart Contracts</w:t>
      </w:r>
    </w:p>
    <w:p w14:paraId="44BB716E" w14:textId="77777777" w:rsidR="00E13ED5" w:rsidRPr="008A591B" w:rsidRDefault="00C16B44" w:rsidP="00296770">
      <w:pPr>
        <w:pStyle w:val="NormalAcademic"/>
      </w:pPr>
      <w:r w:rsidRPr="008A591B">
        <w:rPr>
          <w:color w:val="000000" w:themeColor="text1"/>
        </w:rPr>
        <w:t>Data-led analysis reveals current patterns, but technology foresight requires exploring multiple possible futures. Based on the identified knowledge gaps, stakeholder dynamics, and regulatory uncertainties, four alternative scenarios emerge for healthcare smart contracts through 2035</w:t>
      </w:r>
      <w:r w:rsidR="00E13ED5" w:rsidRPr="008A591B">
        <w:rPr>
          <w:color w:val="000000" w:themeColor="text1"/>
        </w:rPr>
        <w:t>:</w:t>
      </w:r>
    </w:p>
    <w:p w14:paraId="1055A77C" w14:textId="7D4E6D13" w:rsidR="00C16B44" w:rsidRPr="008A591B" w:rsidRDefault="00C16B44" w:rsidP="00296770">
      <w:pPr>
        <w:pStyle w:val="NormalAcademic"/>
      </w:pPr>
      <w:r w:rsidRPr="008A591B">
        <w:t xml:space="preserve">Scenario A - Regulatory Acceleration: Key Drivers: Major economies establish favorable regulatory frameworks for healthcare blockchain; interoperability standards achieve consensus; successful pilot programs demonstrate patient safety and cost reduction. Trajectory: Rapid adoption begins 2026-2028, reaching 40% of healthcare administrative transactions by 2032. Large hospital networks and insurers </w:t>
      </w:r>
      <w:r w:rsidRPr="008A591B">
        <w:lastRenderedPageBreak/>
        <w:t>lead implementation. Academic research shifts from feasibility studies to optimization and scaling challenges. Stakeholder Implications: First-mover healthcare IT vendors capture dominant market positions; academic researchers pivot to implementation science; patient advocacy groups gain influence through data ownership mechanisms. Monitoring Signals: FDA or EMA guidance documents on blockchain medical records; major EHR vendors announcing blockchain integration; cross-border health data sharing agreements incorporating smart contracts.</w:t>
      </w:r>
    </w:p>
    <w:p w14:paraId="6813FCDB" w14:textId="61228299" w:rsidR="00C16B44" w:rsidRPr="00BD323C" w:rsidRDefault="00C16B44" w:rsidP="00296770">
      <w:pPr>
        <w:pStyle w:val="NormalAcademic"/>
      </w:pPr>
      <w:r w:rsidRPr="00BD323C">
        <w:t>Scenario B - Fragmentation: Key Drivers: Regional regulatory divergence creates incompatible compliance requirements; competing technical standards prevent interoperability; privacy regulations interpreted inconsistently across jurisdictions. Trajectory: Siloed implementations emerge serving specific national or organizational contexts. Innovation continues but market remains fragmented with high switching costs. Publication-patent gap persists as academic research addresses theoretical interoperability while patents protect proprietary solutions. Stakeholder Implications: Regional champions emerge rather than global leaders; healthcare organizations face vendor lock-in; patients experience inconsistent data portability; researchers struggle with data access across systems. Monitoring Signals: Contradictory regulatory guidance across major markets; failure of international standards bodies to achieve consensus; proliferation of incompatible enterprise blockchain platforms.</w:t>
      </w:r>
    </w:p>
    <w:p w14:paraId="048FC8B3" w14:textId="3677B1D6" w:rsidR="00C16B44" w:rsidRPr="00BD323C" w:rsidRDefault="00C16B44" w:rsidP="00296770">
      <w:pPr>
        <w:pStyle w:val="NormalAcademic"/>
      </w:pPr>
      <w:r w:rsidRPr="00BD323C">
        <w:t>Scenario C - Disruptive Convergence: Key Drivers: Unexpected integration of AI-blockchain capabilities enables autonomous clinical decision support; decentralized identity systems mature; quantum-resistant cryptography addresses security concerns. Trajectory: Healthcare smart contracts evolve beyond administrative automation toward clinical applications. New paradigm emerges combining smart contracts with federated learning and privacy-preserving computation. Current patent landscape becomes partially obsolete as breakthrough innovations redefine technological foundations. Stakeholder Implications: Established healthcare IT vendors face disruption from technology entrants; academic computer science and medical informatics research converges; regulatory frameworks require fundamental reconceptualization; patient empowerment accelerates through AI-augmented health management. Monitoring Signals: Major AI companies entering healthcare blockchain space; breakthrough publications combining transformer models with smart contract verification; venture capital flowing to convergent health-AI-blockchain startups.</w:t>
      </w:r>
    </w:p>
    <w:p w14:paraId="52AAA415" w14:textId="0CE039E3" w:rsidR="00C16B44" w:rsidRPr="00BD323C" w:rsidRDefault="00C16B44" w:rsidP="00296770">
      <w:pPr>
        <w:pStyle w:val="NormalAcademic"/>
      </w:pPr>
      <w:r w:rsidRPr="00BD323C">
        <w:t xml:space="preserve">Scenario D - Privacy Backlash: Key Drivers: Major security breach exposes healthcare blockchain vulnerabilities; public trust in digital health systems collapses; regulatory response imposes restrictive requirements making smart contract healthcare economically unviable. Trajectory: Promising pilot programs abandoned; investment redirects to traditional secure systems with enhanced encryption. Blockchain healthcare becomes niche application for specific use cases (pharmaceutical supply chain) rather than transformative infrastructure. Academic research shifts to </w:t>
      </w:r>
      <w:r w:rsidRPr="00BD323C">
        <w:lastRenderedPageBreak/>
        <w:t>post-mortem analysis and alternative approaches. Stakeholder Implications: Healthcare blockchain startups fail or pivot; established vendors benefit from return to traditional systems; patient advocacy groups demand stronger protections; academic researchers explore hybrid or alternative architectures. Monitoring Signals: High-profile healthcare data breaches involving blockchain systems; class-action lawsuits against healthcare blockchain providers; legislative proposals restricting blockchain in healthcare contexts.</w:t>
      </w:r>
    </w:p>
    <w:p w14:paraId="0D9C85F4" w14:textId="77777777" w:rsidR="003A53D1" w:rsidRPr="008A591B" w:rsidRDefault="003A53D1" w:rsidP="003A53D1">
      <w:pPr>
        <w:pStyle w:val="Heading1Academic"/>
      </w:pPr>
      <w:r w:rsidRPr="008A591B">
        <w:t>6. End-of-Chapter Exercises</w:t>
      </w:r>
    </w:p>
    <w:p w14:paraId="48CB89CD" w14:textId="77777777" w:rsidR="003A53D1" w:rsidRPr="008A591B" w:rsidRDefault="003A53D1" w:rsidP="004D1C9F">
      <w:pPr>
        <w:pStyle w:val="FirstParagraph"/>
      </w:pPr>
      <w:r w:rsidRPr="008A591B">
        <w:t>These exercises reinforce key concepts from data-led technology roadmapping and provide hands-on analytical experience.</w:t>
      </w:r>
    </w:p>
    <w:p w14:paraId="43726519" w14:textId="77777777" w:rsidR="003A53D1" w:rsidRPr="008A591B" w:rsidRDefault="003A53D1" w:rsidP="00136B20">
      <w:pPr>
        <w:pStyle w:val="Heading2Academic"/>
      </w:pPr>
      <w:r w:rsidRPr="008A591B">
        <w:t>6.1 Conceptual Questions</w:t>
      </w:r>
    </w:p>
    <w:p w14:paraId="169D51F1" w14:textId="77777777" w:rsidR="003A53D1" w:rsidRPr="00BD323C" w:rsidRDefault="003A53D1" w:rsidP="00296770">
      <w:pPr>
        <w:pStyle w:val="NormalAcademic"/>
      </w:pPr>
      <w:r w:rsidRPr="00BD323C">
        <w:rPr>
          <w:color w:val="000000" w:themeColor="text1"/>
        </w:rPr>
        <w:t>Answer the following questions in 200-300 words each, supporting arguments with chapter examples.</w:t>
      </w:r>
    </w:p>
    <w:p w14:paraId="2C5D4692" w14:textId="77777777" w:rsidR="003A53D1" w:rsidRPr="00BD323C" w:rsidRDefault="003A53D1" w:rsidP="00296770">
      <w:pPr>
        <w:pStyle w:val="NormalAcademic"/>
      </w:pPr>
      <w:r w:rsidRPr="00BD323C">
        <w:t>Compare traditional expert-based technology roadmapping with data-led approaches. What are the strengths and limitations of each? Under what circumstances would you recommend a hybrid approach?</w:t>
      </w:r>
    </w:p>
    <w:p w14:paraId="1169157A" w14:textId="77777777" w:rsidR="003A53D1" w:rsidRPr="00BD323C" w:rsidRDefault="003A53D1" w:rsidP="00296770">
      <w:pPr>
        <w:pStyle w:val="NormalAcademic"/>
      </w:pPr>
      <w:r w:rsidRPr="00BD323C">
        <w:t>Explain the S-curve model in technology forecasting. Describe its three main phases and provide an example of a technology currently in each phase.</w:t>
      </w:r>
    </w:p>
    <w:p w14:paraId="076992E9" w14:textId="77777777" w:rsidR="003A53D1" w:rsidRPr="00BD323C" w:rsidRDefault="003A53D1" w:rsidP="00296770">
      <w:pPr>
        <w:pStyle w:val="NormalAcademic"/>
      </w:pPr>
      <w:r w:rsidRPr="00BD323C">
        <w:t>Describe three key scientometric indicators useful for technology roadmapping. For each, explain what it measures and what insights it provides about technology maturity.</w:t>
      </w:r>
    </w:p>
    <w:p w14:paraId="7835A0D9" w14:textId="77777777" w:rsidR="003A53D1" w:rsidRPr="00BD323C" w:rsidRDefault="003A53D1" w:rsidP="00296770">
      <w:pPr>
        <w:pStyle w:val="NormalAcademic"/>
      </w:pPr>
      <w:r w:rsidRPr="00BD323C">
        <w:t>Discuss the role of topic modeling in identifying technology sub-domains. How does LDA differ from keyword frequency analysis? What advantages do semantic embeddings (</w:t>
      </w:r>
      <w:proofErr w:type="spellStart"/>
      <w:r w:rsidRPr="00BD323C">
        <w:t>SciBERT</w:t>
      </w:r>
      <w:proofErr w:type="spellEnd"/>
      <w:r w:rsidRPr="00BD323C">
        <w:t>) offer?</w:t>
      </w:r>
    </w:p>
    <w:p w14:paraId="3C68AB7B" w14:textId="77777777" w:rsidR="003A53D1" w:rsidRPr="00BD323C" w:rsidRDefault="003A53D1" w:rsidP="00296770">
      <w:pPr>
        <w:pStyle w:val="NormalAcademic"/>
      </w:pPr>
      <w:r w:rsidRPr="00BD323C">
        <w:t>Explain the challenges of integrating publication and patent data. Why might they show different temporal patterns? How did the healthcare smart contracts case study address these challenges?</w:t>
      </w:r>
    </w:p>
    <w:p w14:paraId="168750E6" w14:textId="77777777" w:rsidR="003A53D1" w:rsidRPr="008A591B" w:rsidRDefault="003A53D1" w:rsidP="00136B20">
      <w:pPr>
        <w:pStyle w:val="Heading2Academic"/>
      </w:pPr>
      <w:r w:rsidRPr="008A591B">
        <w:t>6.2 Analytical Exercises</w:t>
      </w:r>
    </w:p>
    <w:p w14:paraId="60373868" w14:textId="77777777" w:rsidR="003A53D1" w:rsidRPr="00BD323C" w:rsidRDefault="003A53D1" w:rsidP="00296770">
      <w:pPr>
        <w:pStyle w:val="NormalAcademic"/>
      </w:pPr>
      <w:r w:rsidRPr="00BD323C">
        <w:rPr>
          <w:color w:val="000000" w:themeColor="text1"/>
        </w:rPr>
        <w:t>Complete the following exercises using provided datasets from the GitHub repository. Show calculations and justify analytical decisions.</w:t>
      </w:r>
    </w:p>
    <w:p w14:paraId="417BD81B" w14:textId="77777777" w:rsidR="003A53D1" w:rsidRPr="00BD323C" w:rsidRDefault="003A53D1" w:rsidP="00296770">
      <w:pPr>
        <w:pStyle w:val="NormalAcademic"/>
      </w:pPr>
      <w:r w:rsidRPr="00BD323C">
        <w:t>Exercise 1 - Trend Analysis: Using the AI patent applications dataset (AI_Patents.csv), complete the following tasks: (a) Calculate year-over-year growth rates and CAGR; (b) Fit S-curve to cumulative counts and estimate carrying capacity; (c) Identify inflection point; (d) Classify technology maturity stage.</w:t>
      </w:r>
    </w:p>
    <w:p w14:paraId="471E53FB" w14:textId="77777777" w:rsidR="003A53D1" w:rsidRPr="00BD323C" w:rsidRDefault="003A53D1" w:rsidP="00296770">
      <w:pPr>
        <w:pStyle w:val="NormalAcademic"/>
      </w:pPr>
      <w:r w:rsidRPr="00BD323C">
        <w:lastRenderedPageBreak/>
        <w:t>Exercise 2 - Topic Modeling: Using the renewable energy abstracts dataset (Renewable_Abstracts.csv, 500 documents), complete the following tasks: (a) Preprocess text following Section 4.4.1 methodology; (b) Apply LDA with k=5 topics; (c) Label topics from top 10 words; (d) Analyze topic evolution 2015-2024; (e) Visualize topic proportions by year.</w:t>
      </w:r>
    </w:p>
    <w:p w14:paraId="7188ABA8" w14:textId="77777777" w:rsidR="003A53D1" w:rsidRPr="00BD323C" w:rsidRDefault="003A53D1" w:rsidP="00296770">
      <w:pPr>
        <w:pStyle w:val="NormalAcademic"/>
      </w:pPr>
      <w:r w:rsidRPr="00BD323C">
        <w:t>Exercise 3 - Network Analysis: Using the nanotechnology keywords dataset (Nanotech_Keywords.csv), complete the following tasks: (a) Build co-occurrence network with minimum threshold=5; (b) Calculate degree, betweenness, and eigenvector centrality; (c) Identify top 10 keywords per metric; (d) Detect communities using Louvain algorithm; (e) Visualize with node size proportional to degree centrality.</w:t>
      </w:r>
    </w:p>
    <w:p w14:paraId="6CBC0ACD" w14:textId="04F75A28" w:rsidR="00136B20" w:rsidRPr="008A591B" w:rsidRDefault="003A53D1" w:rsidP="00136B20">
      <w:pPr>
        <w:pStyle w:val="Heading2Academic"/>
      </w:pPr>
      <w:r w:rsidRPr="008A591B">
        <w:t>6.3 Programming Exercises</w:t>
      </w:r>
    </w:p>
    <w:p w14:paraId="414C55B0" w14:textId="77777777" w:rsidR="003A53D1" w:rsidRPr="00BD323C" w:rsidRDefault="003A53D1" w:rsidP="00296770">
      <w:pPr>
        <w:pStyle w:val="NormalAcademic"/>
      </w:pPr>
      <w:r w:rsidRPr="00BD323C">
        <w:rPr>
          <w:color w:val="000000" w:themeColor="text1"/>
        </w:rPr>
        <w:t>Implement the following in Python with well-documented code, test cases, and example outputs.</w:t>
      </w:r>
    </w:p>
    <w:p w14:paraId="2880069F" w14:textId="77777777" w:rsidR="003A53D1" w:rsidRPr="00BD323C" w:rsidRDefault="003A53D1" w:rsidP="00296770">
      <w:pPr>
        <w:pStyle w:val="NormalAcademic"/>
      </w:pPr>
      <w:r w:rsidRPr="00BD323C">
        <w:t xml:space="preserve">Exercise 1 - ARIMA with Confidence Intervals: Extend the </w:t>
      </w:r>
      <w:proofErr w:type="spellStart"/>
      <w:r w:rsidRPr="00BD323C">
        <w:t>forecast_technology_</w:t>
      </w:r>
      <w:proofErr w:type="gramStart"/>
      <w:r w:rsidRPr="00BD323C">
        <w:t>trend</w:t>
      </w:r>
      <w:proofErr w:type="spellEnd"/>
      <w:r w:rsidRPr="00BD323C">
        <w:t>(</w:t>
      </w:r>
      <w:proofErr w:type="gramEnd"/>
      <w:r w:rsidRPr="00BD323C">
        <w:t>) function from Section 4.3.3 to include 95% confidence intervals. Requirements: (a) Automated ARIMA order selection using AIC; (b) Point forecasts with confidence bands; (c) Visualization with historical data and forecasts; (d) Test on quantum computing patents dataset.</w:t>
      </w:r>
    </w:p>
    <w:p w14:paraId="528AD8C1" w14:textId="77777777" w:rsidR="003A53D1" w:rsidRPr="00BD323C" w:rsidRDefault="003A53D1" w:rsidP="00296770">
      <w:pPr>
        <w:pStyle w:val="NormalAcademic"/>
      </w:pPr>
      <w:r w:rsidRPr="00BD323C">
        <w:t>Exercise 2 - Publication-Patent Analysis Pipeline: Build an integrated pipeline for science-technology gap analysis. Components: (a) Load and preprocess Battery_Publications.csv and Battery_Patents.csv; (b) Topic modeling on each corpus (k=8); (c) Calculate cross-corpus topic similarity using cosine distance; (d) Create similarity heatmap; (e) Identify under-commercialized and over-patented areas; (f) Generate strategic recommendations report.</w:t>
      </w:r>
    </w:p>
    <w:p w14:paraId="33AA3988" w14:textId="77777777" w:rsidR="003A53D1" w:rsidRPr="00BD323C" w:rsidRDefault="003A53D1" w:rsidP="00296770">
      <w:pPr>
        <w:pStyle w:val="NormalAcademic"/>
      </w:pPr>
      <w:r w:rsidRPr="00BD323C">
        <w:t xml:space="preserve">Exercise 3 - Interactive Roadmap Dashboard: Create an interactive dashboard using </w:t>
      </w:r>
      <w:proofErr w:type="spellStart"/>
      <w:r w:rsidRPr="00BD323C">
        <w:t>Plotly</w:t>
      </w:r>
      <w:proofErr w:type="spellEnd"/>
      <w:r w:rsidRPr="00BD323C">
        <w:t xml:space="preserve"> or </w:t>
      </w:r>
      <w:proofErr w:type="spellStart"/>
      <w:r w:rsidRPr="00BD323C">
        <w:t>Streamlit</w:t>
      </w:r>
      <w:proofErr w:type="spellEnd"/>
      <w:r w:rsidRPr="00BD323C">
        <w:t xml:space="preserve"> with: (a) Time series panel with selectable date range; (b) Topic evolution stacked area chart with interactive legend; (c) Network visualization with zoom/pan/filtering; (d) Technology maturity gauge; (e) Sidebar controls for dataset upload and parameter adjustment; (f) PDF report and CSV export functionality. Test with Solar_Panels_Full.csv dataset.</w:t>
      </w:r>
    </w:p>
    <w:p w14:paraId="246DF2F2" w14:textId="77777777" w:rsidR="003A53D1" w:rsidRPr="008A591B" w:rsidRDefault="003A53D1" w:rsidP="00136B20">
      <w:pPr>
        <w:pStyle w:val="Heading2Academic"/>
      </w:pPr>
      <w:r w:rsidRPr="008A591B">
        <w:t>6.4 Foresight Exercise</w:t>
      </w:r>
    </w:p>
    <w:p w14:paraId="290DEDE8" w14:textId="77777777" w:rsidR="003A53D1" w:rsidRPr="008A591B" w:rsidRDefault="003A53D1" w:rsidP="00296770">
      <w:pPr>
        <w:pStyle w:val="NormalAcademic"/>
      </w:pPr>
      <w:r w:rsidRPr="008A591B">
        <w:rPr>
          <w:color w:val="000000" w:themeColor="text1"/>
        </w:rPr>
        <w:t>This exercise develops scenario planning competencies by applying quantitative analysis to support exploration of alternative futures.</w:t>
      </w:r>
    </w:p>
    <w:p w14:paraId="166C9568" w14:textId="77777777" w:rsidR="003A53D1" w:rsidRPr="008A591B" w:rsidRDefault="003A53D1" w:rsidP="00296770">
      <w:pPr>
        <w:pStyle w:val="NormalAcademic"/>
      </w:pPr>
      <w:r w:rsidRPr="008A591B">
        <w:t xml:space="preserve">Exercise - Scenario Development: Using the quantum computing gap analysis from Example 3 (Section 3.3), develop three alternative future scenarios for 2025-2035 showing different possible trajectories based on policy and investment choices. For each scenario: (a) Identify 3-5 key drivers and critical uncertainties; (b) Describe </w:t>
      </w:r>
      <w:r w:rsidRPr="008A591B">
        <w:lastRenderedPageBreak/>
        <w:t xml:space="preserve">the trajectory including key milestones and timeline; (c) Discuss implications for at least three stakeholder groups (e.g., researchers, corporations, governments, users); (d) Specify 2-3 weak signals or early indicators to monitor that would suggest this scenario is emerging. Present your scenarios in a </w:t>
      </w:r>
      <w:proofErr w:type="gramStart"/>
      <w:r w:rsidRPr="008A591B">
        <w:t>1,500-2,000 word</w:t>
      </w:r>
      <w:proofErr w:type="gramEnd"/>
      <w:r w:rsidRPr="008A591B">
        <w:t xml:space="preserve"> report with supporting visualizations adapted from your Section 3.3 analysis.</w:t>
      </w:r>
    </w:p>
    <w:p w14:paraId="6A07676B" w14:textId="5BFF4611" w:rsidR="003A53D1" w:rsidRPr="008A591B" w:rsidRDefault="007F04EB" w:rsidP="00296770">
      <w:pPr>
        <w:pStyle w:val="NormalAcademic"/>
      </w:pPr>
      <w:r w:rsidRPr="008A591B">
        <w:t>Additional Resources: All datasets are available in the book's GitHub repository (/datasets/chapter12/). Solution code and explanations are provided in /solutions/chapter12/. Students are encouraged to experiment with alternative methods and parameters.</w:t>
      </w:r>
    </w:p>
    <w:p w14:paraId="2ADE329C" w14:textId="4594365C" w:rsidR="00E042C8" w:rsidRPr="008A591B" w:rsidRDefault="00E042C8" w:rsidP="00E042C8">
      <w:pPr>
        <w:pStyle w:val="Heading1Academic"/>
      </w:pPr>
      <w:r w:rsidRPr="008A591B">
        <w:t>7. Discussion Questions</w:t>
      </w:r>
    </w:p>
    <w:p w14:paraId="315A6856" w14:textId="77777777" w:rsidR="00E042C8" w:rsidRPr="008A591B" w:rsidRDefault="00E042C8" w:rsidP="004D1C9F">
      <w:pPr>
        <w:pStyle w:val="FirstParagraph"/>
      </w:pPr>
      <w:r w:rsidRPr="008A591B">
        <w:t>These questions encourage critical thinking about data-led technology roadmapping methodologies and strategic applications. Questions are designed for classroom discussion, essays, or group projects. Strong responses demonstrate chapter concept engagement, critical analysis, and evidence-based argumentation.</w:t>
      </w:r>
    </w:p>
    <w:p w14:paraId="51E81722" w14:textId="6FC80DFB" w:rsidR="00E042C8" w:rsidRPr="008A591B" w:rsidRDefault="00E042C8" w:rsidP="00136B20">
      <w:pPr>
        <w:pStyle w:val="Heading2Academic"/>
      </w:pPr>
      <w:r w:rsidRPr="008A591B">
        <w:t>7.1 Case-Based Analysis</w:t>
      </w:r>
    </w:p>
    <w:p w14:paraId="6CA4E3B7" w14:textId="77777777" w:rsidR="00E042C8" w:rsidRPr="008A591B" w:rsidRDefault="00E042C8" w:rsidP="00296770">
      <w:pPr>
        <w:pStyle w:val="NormalAcademic"/>
      </w:pPr>
      <w:r w:rsidRPr="008A591B">
        <w:rPr>
          <w:color w:val="000000" w:themeColor="text1"/>
        </w:rPr>
        <w:t>1. The healthcare smart contracts case revealed patents preceding publications by 8.12 years. What factors explain this reversed innovation pattern? Consider regulatory barriers, commercial IP incentives, and industry-academia differences. How should funding agencies adapt policies for emerging technologies?</w:t>
      </w:r>
      <w:r w:rsidRPr="008A591B">
        <w:t xml:space="preserve"> </w:t>
      </w:r>
    </w:p>
    <w:p w14:paraId="25924714" w14:textId="2757C171" w:rsidR="00E042C8" w:rsidRPr="008A591B" w:rsidRDefault="00E042C8" w:rsidP="00296770">
      <w:pPr>
        <w:pStyle w:val="NormalAcademic"/>
        <w:rPr>
          <w:color w:val="000000" w:themeColor="text1"/>
        </w:rPr>
      </w:pPr>
      <w:r w:rsidRPr="008A591B">
        <w:rPr>
          <w:color w:val="000000" w:themeColor="text1"/>
        </w:rPr>
        <w:t>2. As CTO of a healthcare insurance company, the roadmap suggests regulatory maturity by 2027-2030, but current uncertainty is high. Would you invest aggressively for first-mover advantage, wait for clarity, pursue parallel strategies, or abandon blockchain? Justify using case study evidence.</w:t>
      </w:r>
    </w:p>
    <w:p w14:paraId="5C286222" w14:textId="7F86F4FF" w:rsidR="00E042C8" w:rsidRPr="008A591B" w:rsidRDefault="00E042C8" w:rsidP="00136B20">
      <w:pPr>
        <w:pStyle w:val="Heading2Academic"/>
      </w:pPr>
      <w:r w:rsidRPr="008A591B">
        <w:t>7.2 Methodological Debates</w:t>
      </w:r>
    </w:p>
    <w:p w14:paraId="0601BB9D" w14:textId="3370A663" w:rsidR="00E042C8" w:rsidRPr="008A591B" w:rsidRDefault="00E042C8" w:rsidP="00296770">
      <w:pPr>
        <w:pStyle w:val="NormalAcademic"/>
      </w:pPr>
      <w:r w:rsidRPr="008A591B">
        <w:rPr>
          <w:color w:val="000000" w:themeColor="text1"/>
        </w:rPr>
        <w:t>3. Critics argue data-led roadmapping analyzes past data to predict futures, missing disruptive innovations. Can purely data-driven methods identify breakthroughs that break historical trends? How might you augment computational analysis with weak signal detection?</w:t>
      </w:r>
    </w:p>
    <w:p w14:paraId="74D9202C" w14:textId="528D0FB0" w:rsidR="00E042C8" w:rsidRPr="008A591B" w:rsidRDefault="00E042C8" w:rsidP="00296770">
      <w:pPr>
        <w:pStyle w:val="NormalAcademic"/>
      </w:pPr>
      <w:r w:rsidRPr="008A591B">
        <w:t>4. Compare computational gap analysis (publication-patent topics) versus expert interviews for identifying under-researched areas. What biases does each introduce? When would expert judgment outperform computation? Propose a hybrid methodology mitigating both weaknesses.</w:t>
      </w:r>
    </w:p>
    <w:p w14:paraId="00BBDAFB" w14:textId="25ACE743" w:rsidR="00E042C8" w:rsidRPr="008A591B" w:rsidRDefault="00E042C8" w:rsidP="00136B20">
      <w:pPr>
        <w:pStyle w:val="Heading2Academic"/>
      </w:pPr>
      <w:r w:rsidRPr="008A591B">
        <w:t>7.3 Strategic Scenarios</w:t>
      </w:r>
    </w:p>
    <w:p w14:paraId="408D97EB" w14:textId="3AD0D8E6" w:rsidR="00E042C8" w:rsidRPr="008A591B" w:rsidRDefault="00E042C8" w:rsidP="00296770">
      <w:pPr>
        <w:pStyle w:val="NormalAcademic"/>
      </w:pPr>
      <w:r w:rsidRPr="008A591B">
        <w:rPr>
          <w:color w:val="000000" w:themeColor="text1"/>
        </w:rPr>
        <w:t xml:space="preserve">5. As a science foundation manager with $50M annually, roadmapping reveals solid-state electrolytes (under-commercialized), lithium-air batteries (balanced), and </w:t>
      </w:r>
      <w:r w:rsidRPr="008A591B">
        <w:rPr>
          <w:color w:val="000000" w:themeColor="text1"/>
        </w:rPr>
        <w:lastRenderedPageBreak/>
        <w:t xml:space="preserve">recycling (industry-dominated). How would you allocate resources? Fund under-commercialized areas or proven </w:t>
      </w:r>
      <w:proofErr w:type="gramStart"/>
      <w:r w:rsidRPr="008A591B">
        <w:rPr>
          <w:color w:val="000000" w:themeColor="text1"/>
        </w:rPr>
        <w:t>pipelines?</w:t>
      </w:r>
      <w:proofErr w:type="gramEnd"/>
      <w:r w:rsidRPr="008A591B">
        <w:rPr>
          <w:color w:val="000000" w:themeColor="text1"/>
        </w:rPr>
        <w:t xml:space="preserve"> What role for environmental priorities?</w:t>
      </w:r>
    </w:p>
    <w:p w14:paraId="40A3D91C" w14:textId="24600DF8" w:rsidR="00E042C8" w:rsidRPr="008A591B" w:rsidRDefault="00E042C8" w:rsidP="00296770">
      <w:pPr>
        <w:pStyle w:val="NormalAcademic"/>
      </w:pPr>
      <w:r w:rsidRPr="008A591B">
        <w:t>6. A university identifies quantum computing research aligning with patent domains dominated by tech giants. Recommend: aggressive patenting, open science, industry partnerships, or startup licensing? How does national security change your recommendation?</w:t>
      </w:r>
    </w:p>
    <w:p w14:paraId="727A92E5" w14:textId="788F0139" w:rsidR="00E042C8" w:rsidRPr="008A591B" w:rsidRDefault="00E042C8" w:rsidP="00136B20">
      <w:pPr>
        <w:pStyle w:val="Heading2Academic"/>
      </w:pPr>
      <w:r w:rsidRPr="008A591B">
        <w:t>7.4 Ethical and Policy Considerations</w:t>
      </w:r>
    </w:p>
    <w:p w14:paraId="46C1B8E8" w14:textId="212EE2E4" w:rsidR="00E042C8" w:rsidRPr="008A591B" w:rsidRDefault="00E042C8" w:rsidP="00296770">
      <w:pPr>
        <w:pStyle w:val="NormalAcademic"/>
      </w:pPr>
      <w:r w:rsidRPr="008A591B">
        <w:rPr>
          <w:color w:val="000000" w:themeColor="text1"/>
        </w:rPr>
        <w:t xml:space="preserve">7. Bibliometric databases over-represent Western institutions and English publications. How does this bias </w:t>
      </w:r>
      <w:proofErr w:type="gramStart"/>
      <w:r w:rsidRPr="008A591B">
        <w:rPr>
          <w:color w:val="000000" w:themeColor="text1"/>
        </w:rPr>
        <w:t>affect</w:t>
      </w:r>
      <w:proofErr w:type="gramEnd"/>
      <w:r w:rsidRPr="008A591B">
        <w:rPr>
          <w:color w:val="000000" w:themeColor="text1"/>
        </w:rPr>
        <w:t xml:space="preserve"> roadmap validity? Could data-led methods overlook Global South innovation? Propose strategies for more inclusive roadmapping.</w:t>
      </w:r>
    </w:p>
    <w:p w14:paraId="24760533" w14:textId="269F1556" w:rsidR="00E042C8" w:rsidRPr="008A591B" w:rsidRDefault="00E042C8" w:rsidP="00296770">
      <w:pPr>
        <w:pStyle w:val="NormalAcademic"/>
      </w:pPr>
      <w:r w:rsidRPr="008A591B">
        <w:t>8. Patent data reflects strategic behaviors (defensive patents, patent thickets) distorting innovation signals. Should roadmaps account for these? How? Consider weighting by citations, filtering non-practicing entities, or analyzing cross-jurisdictional patterns.</w:t>
      </w:r>
    </w:p>
    <w:p w14:paraId="234B5AF9" w14:textId="1DC25475" w:rsidR="00E042C8" w:rsidRPr="008A591B" w:rsidRDefault="00E042C8" w:rsidP="00136B20">
      <w:pPr>
        <w:pStyle w:val="Heading2Academic"/>
      </w:pPr>
      <w:r w:rsidRPr="008A591B">
        <w:t>7.5 Future Trends</w:t>
      </w:r>
    </w:p>
    <w:p w14:paraId="23C1112A" w14:textId="432ED329" w:rsidR="00E042C8" w:rsidRPr="008A591B" w:rsidRDefault="00E042C8" w:rsidP="00296770">
      <w:pPr>
        <w:pStyle w:val="NormalAcademic"/>
      </w:pPr>
      <w:r w:rsidRPr="008A591B">
        <w:rPr>
          <w:color w:val="000000" w:themeColor="text1"/>
        </w:rPr>
        <w:t xml:space="preserve">9. Large language models already analyze scientific papers. In 10 years, will human expertise remain necessary for roadmapping? What unique value </w:t>
      </w:r>
      <w:proofErr w:type="gramStart"/>
      <w:r w:rsidRPr="008A591B">
        <w:rPr>
          <w:color w:val="000000" w:themeColor="text1"/>
        </w:rPr>
        <w:t>do</w:t>
      </w:r>
      <w:proofErr w:type="gramEnd"/>
      <w:r w:rsidRPr="008A591B">
        <w:rPr>
          <w:color w:val="000000" w:themeColor="text1"/>
        </w:rPr>
        <w:t xml:space="preserve"> humans provide that AI cannot? What biases do humans introduce that AI might avoid? Envision a 2035 human-AI hybrid workflow.</w:t>
      </w:r>
    </w:p>
    <w:p w14:paraId="6E7745F3" w14:textId="14F81C58" w:rsidR="00E042C8" w:rsidRPr="008A591B" w:rsidRDefault="00E042C8" w:rsidP="00296770">
      <w:pPr>
        <w:pStyle w:val="NormalAcademic"/>
      </w:pPr>
      <w:r w:rsidRPr="008A591B">
        <w:t>10. Preprint servers and open access accelerate knowledge sharing; corporate research stays confidential. How will these affect publication/patent-based roadmapping? What alternative data sources (GitHub, crowdfunding, community discussions) reveal innovation patterns? Propose a 2030 methodology.</w:t>
      </w:r>
    </w:p>
    <w:p w14:paraId="620D896F" w14:textId="7716E2B8" w:rsidR="00E042C8" w:rsidRPr="008A591B" w:rsidRDefault="00E042C8" w:rsidP="00136B20">
      <w:pPr>
        <w:pStyle w:val="Heading2Academic"/>
      </w:pPr>
      <w:r w:rsidRPr="008A591B">
        <w:t>7.6 Foresight and Multiple Futures</w:t>
      </w:r>
    </w:p>
    <w:p w14:paraId="74A0E19C" w14:textId="4404AEEB" w:rsidR="00E042C8" w:rsidRPr="008A591B" w:rsidRDefault="00E042C8" w:rsidP="00296770">
      <w:pPr>
        <w:pStyle w:val="NormalAcademic"/>
      </w:pPr>
      <w:r w:rsidRPr="008A591B">
        <w:rPr>
          <w:color w:val="000000" w:themeColor="text1"/>
        </w:rPr>
        <w:t>11. How does data-led roadmapping support exploration of multiple possible futures versus deterministic prediction? What complementary methods enhance foresight capability? Discuss with reference to the four scenarios presented in Section 5.2.7.</w:t>
      </w:r>
    </w:p>
    <w:p w14:paraId="76FA88B8" w14:textId="62C327B2" w:rsidR="00E042C8" w:rsidRPr="008A591B" w:rsidRDefault="00E042C8" w:rsidP="00296770">
      <w:pPr>
        <w:pStyle w:val="NormalAcademic"/>
      </w:pPr>
      <w:r w:rsidRPr="008A591B">
        <w:t>12. Whose technological futures are privileged in publication-patent roadmapping? How might participatory foresight methods complement quantitative analysis to ensure marginalized stakeholder perspectives are represented in technology planning?</w:t>
      </w:r>
    </w:p>
    <w:p w14:paraId="462A1B99" w14:textId="424C5989" w:rsidR="00E042C8" w:rsidRPr="008A591B" w:rsidRDefault="00E042C8" w:rsidP="00296770">
      <w:pPr>
        <w:pStyle w:val="NormalAcademic"/>
      </w:pPr>
      <w:r w:rsidRPr="008A591B">
        <w:t>Discussion Guidance: These questions have no predetermined correct answers. Strong responses demonstrate engagement with chapter concepts, critical analysis of underlying assumptions, integration of external knowledge, and evidence-based argumentation. Instructors may assign questions as individual essays, structured debates, or collaborative group analyses.</w:t>
      </w:r>
    </w:p>
    <w:p w14:paraId="3CAA97D8" w14:textId="77777777" w:rsidR="00E042C8" w:rsidRPr="008A591B" w:rsidRDefault="00E042C8" w:rsidP="00E042C8">
      <w:pPr>
        <w:pStyle w:val="Heading1Academic"/>
      </w:pPr>
      <w:r w:rsidRPr="008A591B">
        <w:lastRenderedPageBreak/>
        <w:t>8. Further Reading</w:t>
      </w:r>
    </w:p>
    <w:p w14:paraId="4A4AA13D" w14:textId="77777777" w:rsidR="002B28D4" w:rsidRPr="008A591B" w:rsidRDefault="002B28D4" w:rsidP="004D1C9F">
      <w:pPr>
        <w:pStyle w:val="FirstParagraph"/>
      </w:pPr>
      <w:r w:rsidRPr="008A591B">
        <w:t xml:space="preserve">This section recommends key resources for readers who wish to explore data-led technology roadmapping in greater depth. </w:t>
      </w:r>
    </w:p>
    <w:p w14:paraId="3883D32C" w14:textId="77777777" w:rsidR="002B28D4" w:rsidRPr="008A591B" w:rsidRDefault="002B28D4" w:rsidP="00296770">
      <w:pPr>
        <w:pStyle w:val="NormalAcademic"/>
      </w:pPr>
      <w:r w:rsidRPr="008A591B">
        <w:rPr>
          <w:color w:val="000000" w:themeColor="text1"/>
        </w:rPr>
        <w:t xml:space="preserve">For foundational works on technology roadmapping, readers should consult Phaal, Farrukh, and Probert (2004) who establish the multi-layer architecture standard in contemporary practice, and Kostoff and Schaller (2001) who introduce the distinction between expert-based and computer-based approaches. Porter and Cunningham's Tech Mining (2005) </w:t>
      </w:r>
      <w:proofErr w:type="gramStart"/>
      <w:r w:rsidRPr="008A591B">
        <w:rPr>
          <w:color w:val="000000" w:themeColor="text1"/>
        </w:rPr>
        <w:t>provides</w:t>
      </w:r>
      <w:proofErr w:type="gramEnd"/>
      <w:r w:rsidRPr="008A591B">
        <w:rPr>
          <w:color w:val="000000" w:themeColor="text1"/>
        </w:rPr>
        <w:t xml:space="preserve"> comprehensive coverage of text mining for technology intelligence, while Cobo et al. (2011) offer an essential review of bibliometric visualization tools including </w:t>
      </w:r>
      <w:proofErr w:type="spellStart"/>
      <w:r w:rsidRPr="008A591B">
        <w:rPr>
          <w:color w:val="000000" w:themeColor="text1"/>
        </w:rPr>
        <w:t>VOSviewer</w:t>
      </w:r>
      <w:proofErr w:type="spellEnd"/>
      <w:r w:rsidRPr="008A591B">
        <w:rPr>
          <w:color w:val="000000" w:themeColor="text1"/>
        </w:rPr>
        <w:t xml:space="preserve"> and </w:t>
      </w:r>
      <w:proofErr w:type="spellStart"/>
      <w:r w:rsidRPr="008A591B">
        <w:rPr>
          <w:color w:val="000000" w:themeColor="text1"/>
        </w:rPr>
        <w:t>CiteSpace</w:t>
      </w:r>
      <w:proofErr w:type="spellEnd"/>
      <w:r w:rsidRPr="008A591B">
        <w:rPr>
          <w:color w:val="000000" w:themeColor="text1"/>
        </w:rPr>
        <w:t>.</w:t>
      </w:r>
      <w:r w:rsidRPr="008A591B">
        <w:t xml:space="preserve"> </w:t>
      </w:r>
    </w:p>
    <w:p w14:paraId="1121466E" w14:textId="77777777" w:rsidR="002B28D4" w:rsidRPr="008A591B" w:rsidRDefault="002B28D4" w:rsidP="00296770">
      <w:pPr>
        <w:pStyle w:val="NormalAcademic"/>
      </w:pPr>
      <w:r w:rsidRPr="008A591B">
        <w:rPr>
          <w:color w:val="000000" w:themeColor="text1"/>
        </w:rPr>
        <w:t>For advanced methods, Daim et al. (2006) demonstrate integration of bibliometric indicators with forecasting models. The foundational LDA paper by Blei, Ng, and Jordan (2003) is essential for understanding topic modeling, while Yoon and Kim (2011) introduce Subject-Action-Object semantic analysis for patent mining. Regarding case studies, Lee et al. (2009) provide an exemplary patent-based roadmapping methodology, and Zhang et al. (2014) demonstrate integration of multiple analytical frameworks for emerging industries.</w:t>
      </w:r>
      <w:r w:rsidRPr="008A591B">
        <w:t xml:space="preserve"> </w:t>
      </w:r>
    </w:p>
    <w:p w14:paraId="3DB1E0DB" w14:textId="77777777" w:rsidR="00471BDD" w:rsidRPr="008A591B" w:rsidRDefault="002B28D4" w:rsidP="00296770">
      <w:pPr>
        <w:pStyle w:val="NormalAcademic"/>
      </w:pPr>
      <w:r w:rsidRPr="008A591B">
        <w:rPr>
          <w:color w:val="000000" w:themeColor="text1"/>
        </w:rPr>
        <w:t xml:space="preserve">For software tools, Bird, Klein, and Loper's Natural Language Processing with Python (2009) covers NLP foundations using NLTK, and McKinney's Python for Data Analysis (2017) provides essential </w:t>
      </w:r>
      <w:proofErr w:type="gramStart"/>
      <w:r w:rsidRPr="008A591B">
        <w:rPr>
          <w:color w:val="000000" w:themeColor="text1"/>
        </w:rPr>
        <w:t>pandas</w:t>
      </w:r>
      <w:proofErr w:type="gramEnd"/>
      <w:r w:rsidRPr="008A591B">
        <w:rPr>
          <w:color w:val="000000" w:themeColor="text1"/>
        </w:rPr>
        <w:t xml:space="preserve"> reference. Van Eck and Waltman (2010) introduce </w:t>
      </w:r>
      <w:proofErr w:type="spellStart"/>
      <w:r w:rsidRPr="008A591B">
        <w:rPr>
          <w:color w:val="000000" w:themeColor="text1"/>
        </w:rPr>
        <w:t>VOSviewer</w:t>
      </w:r>
      <w:proofErr w:type="spellEnd"/>
      <w:r w:rsidRPr="008A591B">
        <w:rPr>
          <w:color w:val="000000" w:themeColor="text1"/>
        </w:rPr>
        <w:t xml:space="preserve"> for network visualization, while Chen (2006) describes CiteSpace for detecting emerging trends.</w:t>
      </w:r>
      <w:r w:rsidR="00471BDD" w:rsidRPr="008A591B">
        <w:t xml:space="preserve"> </w:t>
      </w:r>
    </w:p>
    <w:p w14:paraId="344D3F15" w14:textId="7A3072F0" w:rsidR="00E042C8" w:rsidRDefault="00A248AA" w:rsidP="00296770">
      <w:pPr>
        <w:pStyle w:val="NormalAcademic"/>
        <w:rPr>
          <w:color w:val="000000" w:themeColor="text1"/>
        </w:rPr>
      </w:pPr>
      <w:r w:rsidRPr="00AD1120">
        <w:rPr>
          <w:color w:val="000000" w:themeColor="text1"/>
        </w:rPr>
        <w:t>Online resources include the GitHub repository for this chapter (the book's GitHub repository (link to be provided by the publisher)</w:t>
      </w:r>
      <w:r w:rsidR="00AB2E9B">
        <w:rPr>
          <w:color w:val="000000" w:themeColor="text1"/>
        </w:rPr>
        <w:t xml:space="preserve"> </w:t>
      </w:r>
      <w:r w:rsidR="00AB2E9B" w:rsidRPr="00AB2E9B">
        <w:rPr>
          <w:color w:val="000000" w:themeColor="text1"/>
          <w:highlight w:val="yellow"/>
        </w:rPr>
        <w:t>(</w:t>
      </w:r>
      <w:r w:rsidR="00AB2E9B" w:rsidRPr="00AB2E9B">
        <w:rPr>
          <w:color w:val="000000" w:themeColor="text1"/>
          <w:highlight w:val="yellow"/>
        </w:rPr>
        <w:t xml:space="preserve">the </w:t>
      </w:r>
      <w:r w:rsidR="00AB2E9B" w:rsidRPr="00AB2E9B">
        <w:rPr>
          <w:color w:val="000000" w:themeColor="text1"/>
          <w:highlight w:val="yellow"/>
        </w:rPr>
        <w:t>chapter</w:t>
      </w:r>
      <w:r w:rsidR="00AB2E9B" w:rsidRPr="00AB2E9B">
        <w:rPr>
          <w:color w:val="000000" w:themeColor="text1"/>
          <w:highlight w:val="yellow"/>
        </w:rPr>
        <w:t>'s GitHub repository</w:t>
      </w:r>
      <w:r w:rsidR="00AB2E9B" w:rsidRPr="00AB2E9B">
        <w:rPr>
          <w:highlight w:val="yellow"/>
        </w:rPr>
        <w:t xml:space="preserve"> </w:t>
      </w:r>
      <w:r w:rsidR="00AB2E9B" w:rsidRPr="00AB2E9B">
        <w:rPr>
          <w:highlight w:val="yellow"/>
        </w:rPr>
        <w:t>https://github.com/arfsylr/data-led-technology-roadmapping</w:t>
      </w:r>
      <w:r w:rsidRPr="00AB2E9B">
        <w:rPr>
          <w:color w:val="000000" w:themeColor="text1"/>
          <w:highlight w:val="yellow"/>
        </w:rPr>
        <w:t>)</w:t>
      </w:r>
      <w:r w:rsidRPr="00AD1120">
        <w:rPr>
          <w:color w:val="000000" w:themeColor="text1"/>
        </w:rPr>
        <w:t xml:space="preserve"> containing all code and datasets. </w:t>
      </w:r>
      <w:r w:rsidR="00471BDD" w:rsidRPr="008A591B">
        <w:rPr>
          <w:color w:val="000000" w:themeColor="text1"/>
        </w:rPr>
        <w:t xml:space="preserve">Relevant databases include Lens.org for free patent and scholarly data, Dimensions.ai for publication analytics, and Google Patents for prior art analysis. The International Society for </w:t>
      </w:r>
      <w:proofErr w:type="spellStart"/>
      <w:r w:rsidR="00471BDD" w:rsidRPr="008A591B">
        <w:rPr>
          <w:color w:val="000000" w:themeColor="text1"/>
        </w:rPr>
        <w:t>Scientometrics</w:t>
      </w:r>
      <w:proofErr w:type="spellEnd"/>
      <w:r w:rsidR="00471BDD" w:rsidRPr="008A591B">
        <w:rPr>
          <w:color w:val="000000" w:themeColor="text1"/>
        </w:rPr>
        <w:t xml:space="preserve"> and </w:t>
      </w:r>
      <w:proofErr w:type="spellStart"/>
      <w:r w:rsidR="00471BDD" w:rsidRPr="008A591B">
        <w:rPr>
          <w:color w:val="000000" w:themeColor="text1"/>
        </w:rPr>
        <w:t>Informetrics</w:t>
      </w:r>
      <w:proofErr w:type="spellEnd"/>
      <w:r w:rsidR="00471BDD" w:rsidRPr="008A591B">
        <w:rPr>
          <w:color w:val="000000" w:themeColor="text1"/>
        </w:rPr>
        <w:t xml:space="preserve"> (www.issi-society.org) hosts conferences and resources for bibliometric researchers.</w:t>
      </w:r>
    </w:p>
    <w:p w14:paraId="79674E09" w14:textId="77777777" w:rsidR="00AB2E9B" w:rsidRPr="00AB2E9B" w:rsidRDefault="00AB2E9B" w:rsidP="00AB2E9B">
      <w:pPr>
        <w:pStyle w:val="NormalAcademic"/>
        <w:rPr>
          <w:b/>
          <w:bCs/>
          <w:color w:val="000000" w:themeColor="text1"/>
          <w:highlight w:val="yellow"/>
        </w:rPr>
      </w:pPr>
      <w:r w:rsidRPr="00AB2E9B">
        <w:rPr>
          <w:b/>
          <w:bCs/>
          <w:color w:val="000000" w:themeColor="text1"/>
          <w:highlight w:val="yellow"/>
        </w:rPr>
        <w:t>Acknowledgments</w:t>
      </w:r>
    </w:p>
    <w:p w14:paraId="17DEC997" w14:textId="0B29B1A6" w:rsidR="00AB2E9B" w:rsidRPr="008A591B" w:rsidRDefault="00AB2E9B" w:rsidP="00AB2E9B">
      <w:pPr>
        <w:pStyle w:val="NormalAcademic"/>
        <w:rPr>
          <w:color w:val="000000" w:themeColor="text1"/>
        </w:rPr>
      </w:pPr>
      <w:r w:rsidRPr="00AB2E9B">
        <w:rPr>
          <w:color w:val="000000" w:themeColor="text1"/>
          <w:highlight w:val="yellow"/>
        </w:rPr>
        <w:t>The authors declare that no specific funding was received for this study.</w:t>
      </w:r>
    </w:p>
    <w:p w14:paraId="57429EBD" w14:textId="77777777" w:rsidR="00C31DCA" w:rsidRPr="008A591B" w:rsidRDefault="00C31DCA" w:rsidP="002D05E9">
      <w:pPr>
        <w:pStyle w:val="NormalAcademic"/>
        <w:rPr>
          <w:b/>
          <w:bCs/>
        </w:rPr>
      </w:pPr>
      <w:r w:rsidRPr="008A591B">
        <w:rPr>
          <w:b/>
          <w:bCs/>
        </w:rPr>
        <w:t>REFERENCES</w:t>
      </w:r>
    </w:p>
    <w:p w14:paraId="709BA2F6" w14:textId="77777777" w:rsidR="00EB54EA" w:rsidRPr="008A591B" w:rsidRDefault="00EB54EA" w:rsidP="002D05E9">
      <w:pPr>
        <w:pStyle w:val="BibliographyAcademic"/>
        <w:jc w:val="both"/>
      </w:pPr>
      <w:r w:rsidRPr="008A591B">
        <w:t>Bird, S., Klein, E., &amp; Loper, E. (2009). Natural language processing with Python: analyzing text with the natural language toolkit. " O'Reilly Media, Inc.".</w:t>
      </w:r>
    </w:p>
    <w:p w14:paraId="31D09832" w14:textId="25B374FC" w:rsidR="00C31DCA" w:rsidRPr="008A591B" w:rsidRDefault="00C31DCA" w:rsidP="002D05E9">
      <w:pPr>
        <w:pStyle w:val="BibliographyAcademic"/>
        <w:jc w:val="both"/>
      </w:pPr>
      <w:r w:rsidRPr="008A591B">
        <w:t>Blei, D. M., Ng, A. Y., &amp; Jordan, M. I. (2003). Latent Dirichlet allocation. Journal of Machine Learning Research, 3(Jan), 993–1022.</w:t>
      </w:r>
    </w:p>
    <w:p w14:paraId="2A6B8058" w14:textId="77777777" w:rsidR="00C31DCA" w:rsidRPr="008A591B" w:rsidRDefault="00C31DCA" w:rsidP="002D05E9">
      <w:pPr>
        <w:pStyle w:val="BibliographyAcademic"/>
        <w:jc w:val="both"/>
      </w:pPr>
      <w:r w:rsidRPr="008A591B">
        <w:lastRenderedPageBreak/>
        <w:t>Carvalho, M. M., Fleury, A., &amp; Lopes, A. P. (2013). An overview of the literature on technology roadmapping (TRM): Contributions and trends. Technological Forecasting and Social Change, 80(7), 1418–1437.</w:t>
      </w:r>
    </w:p>
    <w:p w14:paraId="79278310" w14:textId="77777777" w:rsidR="00C31DCA" w:rsidRPr="008A591B" w:rsidRDefault="00C31DCA" w:rsidP="002D05E9">
      <w:pPr>
        <w:pStyle w:val="BibliographyAcademic"/>
        <w:jc w:val="both"/>
      </w:pPr>
      <w:proofErr w:type="spellStart"/>
      <w:r w:rsidRPr="008A591B">
        <w:t>Cavanillas</w:t>
      </w:r>
      <w:proofErr w:type="spellEnd"/>
      <w:r w:rsidRPr="008A591B">
        <w:t xml:space="preserve">, J. M., Curry, E., &amp; </w:t>
      </w:r>
      <w:proofErr w:type="spellStart"/>
      <w:r w:rsidRPr="008A591B">
        <w:t>Wahlster</w:t>
      </w:r>
      <w:proofErr w:type="spellEnd"/>
      <w:r w:rsidRPr="008A591B">
        <w:t>, W. (2016). New horizons for a data-driven economy: A roadmap for usage and exploitation of big data in Europe. Springer.</w:t>
      </w:r>
    </w:p>
    <w:p w14:paraId="36421D6B" w14:textId="14976813" w:rsidR="004303DF" w:rsidRPr="008A591B" w:rsidRDefault="004303DF" w:rsidP="002D05E9">
      <w:pPr>
        <w:pStyle w:val="BibliographyAcademic"/>
        <w:jc w:val="both"/>
      </w:pPr>
      <w:r w:rsidRPr="008A591B">
        <w:t>Chen, C. (2006). CiteSpace II: Detecting and visualizing emerging trends and transient patterns in scientific literature. Journal of the American Society for Information Science and Technology, 57(3), 359-377.</w:t>
      </w:r>
    </w:p>
    <w:p w14:paraId="2F51B6DF" w14:textId="05728FC7" w:rsidR="004303DF" w:rsidRPr="008A591B" w:rsidRDefault="004303DF" w:rsidP="002D05E9">
      <w:pPr>
        <w:pStyle w:val="BibliographyAcademic"/>
        <w:jc w:val="both"/>
      </w:pPr>
      <w:r w:rsidRPr="008A591B">
        <w:t>Cobo, M. J., López-Herrera, A. G., Herrera-</w:t>
      </w:r>
      <w:proofErr w:type="spellStart"/>
      <w:r w:rsidRPr="008A591B">
        <w:t>Viedma</w:t>
      </w:r>
      <w:proofErr w:type="spellEnd"/>
      <w:r w:rsidRPr="008A591B">
        <w:t>, E., &amp; Herrera, F. (2011). Science mapping software tools: Review, analysis, and cooperative study among tools. Journal of the American Society for Information Science and Technology, 62(7), 1382-1402.</w:t>
      </w:r>
    </w:p>
    <w:p w14:paraId="7C80BF25" w14:textId="613436CF" w:rsidR="004303DF" w:rsidRPr="008A591B" w:rsidRDefault="004303DF" w:rsidP="002D05E9">
      <w:pPr>
        <w:pStyle w:val="BibliographyAcademic"/>
        <w:jc w:val="both"/>
      </w:pPr>
      <w:r w:rsidRPr="008A591B">
        <w:t xml:space="preserve">Daim, T. U., Rueda, G., Martin, H., &amp; </w:t>
      </w:r>
      <w:proofErr w:type="spellStart"/>
      <w:r w:rsidRPr="008A591B">
        <w:t>Gerdsri</w:t>
      </w:r>
      <w:proofErr w:type="spellEnd"/>
      <w:r w:rsidRPr="008A591B">
        <w:t>, P. (2006). Forecasting emerging technologies: Use of bibliometrics and patent analysis. Technological Forecasting and Social Change, 73(8), 981-1012.</w:t>
      </w:r>
    </w:p>
    <w:p w14:paraId="7BDBE782" w14:textId="77777777" w:rsidR="00C31DCA" w:rsidRPr="008A591B" w:rsidRDefault="00C31DCA" w:rsidP="002D05E9">
      <w:pPr>
        <w:pStyle w:val="BibliographyAcademic"/>
        <w:jc w:val="both"/>
      </w:pPr>
      <w:r w:rsidRPr="008A591B">
        <w:t>Feng, L., Zhao, W., Wang, J., Lin, K.-Y., Guo, Y., &amp; Zhang, L. (2022). Data-Driven Technology Roadmaps to Identify Potential Technology Opportunities for Hyperuricemia Drugs. Pharmaceuticals, 15(11), 1357.</w:t>
      </w:r>
    </w:p>
    <w:p w14:paraId="3E4D593E" w14:textId="77777777" w:rsidR="00C31DCA" w:rsidRPr="008A591B" w:rsidRDefault="00C31DCA" w:rsidP="002D05E9">
      <w:pPr>
        <w:pStyle w:val="BibliographyAcademic"/>
        <w:jc w:val="both"/>
      </w:pPr>
      <w:r w:rsidRPr="008A591B">
        <w:t>Geum, Y., Lee, H., Lee, Y., &amp; Park, Y. (2015). Development of data-driven technology roadmap considering dependency: An ARM-based technology roadmapping. Technological Forecasting and Social Change, 91, 264–279.</w:t>
      </w:r>
    </w:p>
    <w:p w14:paraId="38657278" w14:textId="77777777" w:rsidR="00C31DCA" w:rsidRPr="008A591B" w:rsidRDefault="00C31DCA" w:rsidP="002D05E9">
      <w:pPr>
        <w:pStyle w:val="BibliographyAcademic"/>
        <w:jc w:val="both"/>
      </w:pPr>
      <w:r w:rsidRPr="008A591B">
        <w:t>Han, M., &amp; Geum, Y. (2020). Roadmapping for Data: Concept and Typology of Data-Integrated Smart-Service Roadmaps. IEEE Transactions on Engineering Management.</w:t>
      </w:r>
    </w:p>
    <w:p w14:paraId="26E5425B" w14:textId="77777777" w:rsidR="00C31DCA" w:rsidRPr="008A591B" w:rsidRDefault="00C31DCA" w:rsidP="002D05E9">
      <w:pPr>
        <w:pStyle w:val="BibliographyAcademic"/>
        <w:jc w:val="both"/>
      </w:pPr>
      <w:r w:rsidRPr="008A591B">
        <w:t xml:space="preserve">Hariyani, E., </w:t>
      </w:r>
      <w:proofErr w:type="spellStart"/>
      <w:r w:rsidRPr="008A591B">
        <w:t>Elghaish</w:t>
      </w:r>
      <w:proofErr w:type="spellEnd"/>
      <w:r w:rsidRPr="008A591B">
        <w:t xml:space="preserve">, E., </w:t>
      </w:r>
      <w:proofErr w:type="spellStart"/>
      <w:r w:rsidRPr="008A591B">
        <w:t>Alalwan</w:t>
      </w:r>
      <w:proofErr w:type="spellEnd"/>
      <w:r w:rsidRPr="008A591B">
        <w:t>, A. A., &amp; Al-Otaibi, M. S. (2024). Unveiling a data-driven circular business strategy framework in a digital supply chain: A strategic roadmapping for the semiconductor industry. Business Strategy and the Environment. Advance online publication.</w:t>
      </w:r>
    </w:p>
    <w:p w14:paraId="442F71F4" w14:textId="77777777" w:rsidR="00C31DCA" w:rsidRPr="008A591B" w:rsidRDefault="00C31DCA" w:rsidP="002D05E9">
      <w:pPr>
        <w:pStyle w:val="BibliographyAcademic"/>
        <w:jc w:val="both"/>
      </w:pPr>
      <w:r w:rsidRPr="008A591B">
        <w:t xml:space="preserve">Jeong, Y., &amp; Yoon, B. (2015). Development of patent roadmap based on technology roadmap by analyzing patterns of patent development. </w:t>
      </w:r>
      <w:proofErr w:type="spellStart"/>
      <w:r w:rsidRPr="008A591B">
        <w:t>Technovation</w:t>
      </w:r>
      <w:proofErr w:type="spellEnd"/>
      <w:r w:rsidRPr="008A591B">
        <w:t>, 39–40, 37–52.</w:t>
      </w:r>
    </w:p>
    <w:p w14:paraId="6B336FC2" w14:textId="77777777" w:rsidR="00C31DCA" w:rsidRPr="008A591B" w:rsidRDefault="00C31DCA" w:rsidP="002D05E9">
      <w:pPr>
        <w:pStyle w:val="BibliographyAcademic"/>
        <w:jc w:val="both"/>
      </w:pPr>
      <w:proofErr w:type="spellStart"/>
      <w:r w:rsidRPr="008A591B">
        <w:t>Kayabay</w:t>
      </w:r>
      <w:proofErr w:type="spellEnd"/>
      <w:r w:rsidRPr="008A591B">
        <w:t xml:space="preserve">, K., Gökalp, M. O., &amp; </w:t>
      </w:r>
      <w:proofErr w:type="spellStart"/>
      <w:r w:rsidRPr="008A591B">
        <w:t>Eryilmaz</w:t>
      </w:r>
      <w:proofErr w:type="spellEnd"/>
      <w:r w:rsidRPr="008A591B">
        <w:t>, Y. (2022). Data science roadmapping: An architectural framework for facilitating transformation towards a data-driven organization. Technological Forecasting &amp; Social Change, 174, 121264.</w:t>
      </w:r>
    </w:p>
    <w:p w14:paraId="2F5368AD" w14:textId="77777777" w:rsidR="00C31DCA" w:rsidRPr="008A591B" w:rsidRDefault="00C31DCA" w:rsidP="002D05E9">
      <w:pPr>
        <w:pStyle w:val="BibliographyAcademic"/>
        <w:jc w:val="both"/>
      </w:pPr>
      <w:r w:rsidRPr="008A591B">
        <w:t>Kim, J. (2020). A data-driven approach to user-experience-focused model-based roadmapping for new product planning (Unpublished manuscript).</w:t>
      </w:r>
    </w:p>
    <w:p w14:paraId="2DE390C9" w14:textId="77777777" w:rsidR="00C31DCA" w:rsidRPr="008A591B" w:rsidRDefault="00C31DCA" w:rsidP="002D05E9">
      <w:pPr>
        <w:pStyle w:val="BibliographyAcademic"/>
        <w:jc w:val="both"/>
      </w:pPr>
      <w:r w:rsidRPr="008A591B">
        <w:t>Kim, J., &amp; Geum, Y. (2021). How to develop data-driven technology roadmaps: The integration of topic modeling and link prediction. Technological Forecasting &amp; Social Change, 171, 120972.</w:t>
      </w:r>
    </w:p>
    <w:p w14:paraId="0E3643FE" w14:textId="77777777" w:rsidR="00C31DCA" w:rsidRPr="008A591B" w:rsidRDefault="00C31DCA" w:rsidP="002D05E9">
      <w:pPr>
        <w:pStyle w:val="BibliographyAcademic"/>
        <w:jc w:val="both"/>
      </w:pPr>
      <w:r w:rsidRPr="008A591B">
        <w:t>Kim, J., Park, Y., &amp; Lee, Y. (2016). A visual scanning of potential disruptive signals for technology roadmapping: investigating keyword cluster, intensity, and relationship in futuristic data. Technology Analysis &amp; Strategic Management, 28(10), 1225–1246.</w:t>
      </w:r>
    </w:p>
    <w:p w14:paraId="52DB1A00" w14:textId="77777777" w:rsidR="00C31DCA" w:rsidRPr="008A591B" w:rsidRDefault="00C31DCA" w:rsidP="002D05E9">
      <w:pPr>
        <w:pStyle w:val="BibliographyAcademic"/>
        <w:jc w:val="both"/>
      </w:pPr>
      <w:r w:rsidRPr="008A591B">
        <w:lastRenderedPageBreak/>
        <w:t>Kim, S., Park, S. C., Son, C., &amp; Lee, S. (2023). Developing a data-driven technology roadmapping method using generative adversarial network (GAN). Computers in Industry, 145, 103835.</w:t>
      </w:r>
    </w:p>
    <w:p w14:paraId="3A814AB7" w14:textId="77777777" w:rsidR="00C31DCA" w:rsidRPr="008A591B" w:rsidRDefault="00C31DCA" w:rsidP="002D05E9">
      <w:pPr>
        <w:pStyle w:val="BibliographyAcademic"/>
        <w:jc w:val="both"/>
      </w:pPr>
      <w:r w:rsidRPr="008A591B">
        <w:t>Kostoff, R. N., &amp; Schaller, R. R. (2001). Science and technology roadmaps. IEEE Transactions on Engineering Management, 48(2), 132–143.</w:t>
      </w:r>
    </w:p>
    <w:p w14:paraId="0D1C2AB8" w14:textId="77777777" w:rsidR="00C31DCA" w:rsidRPr="008A591B" w:rsidRDefault="00C31DCA" w:rsidP="002D05E9">
      <w:pPr>
        <w:pStyle w:val="BibliographyAcademic"/>
        <w:jc w:val="both"/>
      </w:pPr>
      <w:r w:rsidRPr="008A591B">
        <w:t>Kostoff, R. N., Boylan, R., &amp; Simons, G. R. (2004). Disruptive technology roadmaps. Technological Forecasting and Social Change, 71(1), 141–159.</w:t>
      </w:r>
    </w:p>
    <w:p w14:paraId="0C9F9F53" w14:textId="77777777" w:rsidR="00C31DCA" w:rsidRPr="008A591B" w:rsidRDefault="00C31DCA" w:rsidP="002D05E9">
      <w:pPr>
        <w:pStyle w:val="BibliographyAcademic"/>
        <w:jc w:val="both"/>
      </w:pPr>
      <w:r w:rsidRPr="008A591B">
        <w:t>Lahoti, G., Porter, A. L., Zhang, C., Youtie, J., Wang, B., &amp; Zhang, X. (2018). Tech mining to validate and refine a technology roadmap. World Patent Information, 55, 1–18.</w:t>
      </w:r>
    </w:p>
    <w:p w14:paraId="62AFFBC2" w14:textId="77777777" w:rsidR="00C31DCA" w:rsidRPr="008A591B" w:rsidRDefault="00C31DCA" w:rsidP="002D05E9">
      <w:pPr>
        <w:pStyle w:val="BibliographyAcademic"/>
        <w:jc w:val="both"/>
      </w:pPr>
      <w:r w:rsidRPr="008A591B">
        <w:t>Lee, Y., &amp; Lee, Y. (2025). Data–Driven Technology Foresight Integrating ARIMA Forecasting and Network Analysis for Patent–Based Roadmapping in Korea's Railway Industry. Transportation Development Research, 3(1), 83–91.</w:t>
      </w:r>
    </w:p>
    <w:p w14:paraId="258473D7" w14:textId="0E75352F" w:rsidR="004303DF" w:rsidRPr="008A591B" w:rsidRDefault="004303DF" w:rsidP="002D05E9">
      <w:pPr>
        <w:pStyle w:val="BibliographyAcademic"/>
        <w:jc w:val="both"/>
      </w:pPr>
      <w:r w:rsidRPr="008A591B">
        <w:t>Lee, S., Yoon, B., Lee, C., &amp; Park, J. (2009). Business planning based on technological capabilities: Patent analysis for technology-driven roadmapping. Technological Forecasting and Social Change, 76(6), 769-786.</w:t>
      </w:r>
    </w:p>
    <w:p w14:paraId="145A1BB1" w14:textId="77777777" w:rsidR="00C31DCA" w:rsidRPr="008A591B" w:rsidRDefault="00C31DCA" w:rsidP="002D05E9">
      <w:pPr>
        <w:pStyle w:val="BibliographyAcademic"/>
        <w:jc w:val="both"/>
      </w:pPr>
      <w:r w:rsidRPr="008A591B">
        <w:t>Linton, J. D., &amp; Walsh, S. T. (2004). Integrating innovation and learning curve theory: An enabler for moving nanotechnologies and other emerging process technologies into production. R&amp;D Management, 34(5), 517–526.</w:t>
      </w:r>
    </w:p>
    <w:p w14:paraId="1A21B41F" w14:textId="0FB9FF1B" w:rsidR="004303DF" w:rsidRPr="008A591B" w:rsidRDefault="004303DF" w:rsidP="002D05E9">
      <w:pPr>
        <w:pStyle w:val="BibliographyAcademic"/>
        <w:jc w:val="both"/>
      </w:pPr>
      <w:r w:rsidRPr="008A591B">
        <w:t>McKinney, W. (2017). Python for Data Analysis (2nd ed.). O'Reilly Media.</w:t>
      </w:r>
    </w:p>
    <w:p w14:paraId="5FE52373" w14:textId="77777777" w:rsidR="00C31DCA" w:rsidRPr="008A591B" w:rsidRDefault="00C31DCA" w:rsidP="002D05E9">
      <w:pPr>
        <w:pStyle w:val="BibliographyAcademic"/>
        <w:jc w:val="both"/>
      </w:pPr>
      <w:r w:rsidRPr="008A591B">
        <w:t>Narducci, G., Fusaro, R., &amp; Viola, N. (2024). Technology Roadmap Methodology and Tool Upgrades to Support Strategic Decision in Space Exploration. Aerospace, 11(3), 195.</w:t>
      </w:r>
    </w:p>
    <w:p w14:paraId="748DDDEC" w14:textId="77777777" w:rsidR="00C31DCA" w:rsidRPr="008A591B" w:rsidRDefault="00C31DCA" w:rsidP="002D05E9">
      <w:pPr>
        <w:pStyle w:val="BibliographyAcademic"/>
        <w:jc w:val="both"/>
      </w:pPr>
      <w:r w:rsidRPr="008A591B">
        <w:t>NASA. (2015). 2015 NASA Technology Roadmaps (Archive).</w:t>
      </w:r>
    </w:p>
    <w:p w14:paraId="01879D33" w14:textId="77777777" w:rsidR="00C31DCA" w:rsidRPr="008A591B" w:rsidRDefault="00C31DCA" w:rsidP="002D05E9">
      <w:pPr>
        <w:pStyle w:val="BibliographyAcademic"/>
        <w:jc w:val="both"/>
      </w:pPr>
      <w:r w:rsidRPr="008A591B">
        <w:t xml:space="preserve">Nazarenko, A., Vishnevskiy, K., Meissner, D., &amp; Daim, T. (2022). Applying digital technologies in technology roadmapping to overcome individual biased assessments. </w:t>
      </w:r>
      <w:proofErr w:type="spellStart"/>
      <w:r w:rsidRPr="008A591B">
        <w:t>Technovation</w:t>
      </w:r>
      <w:proofErr w:type="spellEnd"/>
      <w:r w:rsidRPr="008A591B">
        <w:t>, 110, 102364.</w:t>
      </w:r>
    </w:p>
    <w:p w14:paraId="4AA667BF" w14:textId="77777777" w:rsidR="00C31DCA" w:rsidRPr="008A591B" w:rsidRDefault="00C31DCA" w:rsidP="002D05E9">
      <w:pPr>
        <w:pStyle w:val="BibliographyAcademic"/>
        <w:jc w:val="both"/>
      </w:pPr>
      <w:r w:rsidRPr="008A591B">
        <w:t>Park, H., Phaal, R., Ho, J. Y., &amp; O'Sullivan, E. (2020). Twenty years of technology and strategic roadmapping research: A school of thought perspective. Technological Forecasting and Social Change, 154, 119965.</w:t>
      </w:r>
    </w:p>
    <w:p w14:paraId="6CE6E965" w14:textId="77777777" w:rsidR="00C31DCA" w:rsidRPr="008A591B" w:rsidRDefault="00C31DCA" w:rsidP="002D05E9">
      <w:pPr>
        <w:pStyle w:val="BibliographyAcademic"/>
        <w:jc w:val="both"/>
      </w:pPr>
      <w:r w:rsidRPr="008A591B">
        <w:t>Phaal, R., Farrukh, C. J. P., &amp; Probert, D. R. (2004a). Technology roadmapping—A planning framework for evolution and revolution. Technological Forecasting and Social Change, 71(1–2), 5–26.</w:t>
      </w:r>
    </w:p>
    <w:p w14:paraId="7194B948" w14:textId="77777777" w:rsidR="00C31DCA" w:rsidRPr="008A591B" w:rsidRDefault="00C31DCA" w:rsidP="002D05E9">
      <w:pPr>
        <w:pStyle w:val="BibliographyAcademic"/>
        <w:jc w:val="both"/>
      </w:pPr>
      <w:r w:rsidRPr="008A591B">
        <w:t>Phaal, R., Farrukh, C. J. P., &amp; Probert, D. R. (2007). Strategic roadmapping: A workshop-based approach for identifying and exploring strategic issues and opportunities. Engineering Management Journal, 19(1), 3–12.</w:t>
      </w:r>
    </w:p>
    <w:p w14:paraId="7194E714" w14:textId="77777777" w:rsidR="00C31DCA" w:rsidRPr="008A591B" w:rsidRDefault="00C31DCA" w:rsidP="002D05E9">
      <w:pPr>
        <w:pStyle w:val="BibliographyAcademic"/>
        <w:jc w:val="both"/>
      </w:pPr>
      <w:r w:rsidRPr="008A591B">
        <w:t xml:space="preserve">Pira, S., Singh, T. S. V., &amp; </w:t>
      </w:r>
      <w:proofErr w:type="spellStart"/>
      <w:r w:rsidRPr="008A591B">
        <w:t>Adanigbo</w:t>
      </w:r>
      <w:proofErr w:type="spellEnd"/>
      <w:r w:rsidRPr="008A591B">
        <w:t>, O. S. (2024). Technology roadmapping for the e-commerce sector: A text-mining approach. Journal of Retailing and Consumer Services, 81, 103977.</w:t>
      </w:r>
    </w:p>
    <w:p w14:paraId="7871E811" w14:textId="77777777" w:rsidR="00C31DCA" w:rsidRPr="008A591B" w:rsidRDefault="00C31DCA" w:rsidP="002D05E9">
      <w:pPr>
        <w:pStyle w:val="BibliographyAcademic"/>
        <w:jc w:val="both"/>
      </w:pPr>
      <w:r w:rsidRPr="008A591B">
        <w:lastRenderedPageBreak/>
        <w:t xml:space="preserve">Pora, U., </w:t>
      </w:r>
      <w:proofErr w:type="spellStart"/>
      <w:r w:rsidRPr="008A591B">
        <w:t>Gerdsri</w:t>
      </w:r>
      <w:proofErr w:type="spellEnd"/>
      <w:r w:rsidRPr="008A591B">
        <w:t xml:space="preserve">, N., </w:t>
      </w:r>
      <w:proofErr w:type="spellStart"/>
      <w:r w:rsidRPr="008A591B">
        <w:t>Thawesaengskulthai</w:t>
      </w:r>
      <w:proofErr w:type="spellEnd"/>
      <w:r w:rsidRPr="008A591B">
        <w:t xml:space="preserve">, N., &amp; </w:t>
      </w:r>
      <w:proofErr w:type="spellStart"/>
      <w:r w:rsidRPr="008A591B">
        <w:t>Triukose</w:t>
      </w:r>
      <w:proofErr w:type="spellEnd"/>
      <w:r w:rsidRPr="008A591B">
        <w:t>, S. (2018). Data-driven roadmapping (DDRM): Approach and case demonstration. IEEE Transactions on Engineering Management.</w:t>
      </w:r>
    </w:p>
    <w:p w14:paraId="44E0D37B" w14:textId="77777777" w:rsidR="00C31DCA" w:rsidRPr="008A591B" w:rsidRDefault="00C31DCA" w:rsidP="002D05E9">
      <w:pPr>
        <w:pStyle w:val="BibliographyAcademic"/>
        <w:jc w:val="both"/>
      </w:pPr>
      <w:r w:rsidRPr="008A591B">
        <w:t xml:space="preserve">Pora, U., </w:t>
      </w:r>
      <w:proofErr w:type="spellStart"/>
      <w:r w:rsidRPr="008A591B">
        <w:t>Gerdsri</w:t>
      </w:r>
      <w:proofErr w:type="spellEnd"/>
      <w:r w:rsidRPr="008A591B">
        <w:t xml:space="preserve">, N., </w:t>
      </w:r>
      <w:proofErr w:type="spellStart"/>
      <w:r w:rsidRPr="008A591B">
        <w:t>Thawesaengskulthai</w:t>
      </w:r>
      <w:proofErr w:type="spellEnd"/>
      <w:r w:rsidRPr="008A591B">
        <w:t xml:space="preserve">, N., &amp; </w:t>
      </w:r>
      <w:proofErr w:type="spellStart"/>
      <w:r w:rsidRPr="008A591B">
        <w:t>Triukose</w:t>
      </w:r>
      <w:proofErr w:type="spellEnd"/>
      <w:r w:rsidRPr="008A591B">
        <w:t>, S. (2020). Data-driven roadmapping (DDRM): Approach and case demonstration. IEEE Transactions on Engineering Management, 69(1), 209–227.</w:t>
      </w:r>
    </w:p>
    <w:p w14:paraId="445C9872" w14:textId="55AF7E73" w:rsidR="004303DF" w:rsidRPr="008A591B" w:rsidRDefault="004303DF" w:rsidP="002D05E9">
      <w:pPr>
        <w:pStyle w:val="BibliographyAcademic"/>
        <w:jc w:val="both"/>
      </w:pPr>
      <w:r w:rsidRPr="008A591B">
        <w:t>Porter, A. L., &amp; Cunningham, S. W. (200</w:t>
      </w:r>
      <w:r w:rsidR="003A6D69" w:rsidRPr="008A591B">
        <w:t>4</w:t>
      </w:r>
      <w:r w:rsidRPr="008A591B">
        <w:t xml:space="preserve">). Tech Mining: Exploiting New Technologies for Competitive Advantage. </w:t>
      </w:r>
      <w:r w:rsidR="003A6D69" w:rsidRPr="008A591B">
        <w:t>John Wiley &amp; Sons</w:t>
      </w:r>
      <w:r w:rsidRPr="008A591B">
        <w:t>.</w:t>
      </w:r>
    </w:p>
    <w:p w14:paraId="001DE08B" w14:textId="77777777" w:rsidR="00C31DCA" w:rsidRPr="008A591B" w:rsidRDefault="00C31DCA" w:rsidP="002D05E9">
      <w:pPr>
        <w:pStyle w:val="BibliographyAcademic"/>
        <w:jc w:val="both"/>
      </w:pPr>
      <w:r w:rsidRPr="008A591B">
        <w:t xml:space="preserve">Singh, S., Vijay, T. S., &amp; </w:t>
      </w:r>
      <w:proofErr w:type="spellStart"/>
      <w:r w:rsidRPr="008A591B">
        <w:t>Adanigbo</w:t>
      </w:r>
      <w:proofErr w:type="spellEnd"/>
      <w:r w:rsidRPr="008A591B">
        <w:t>, O. S. (2024). Technology roadmapping for the e-commerce sector: A text-mining approach. Journal of Retailing and Consumer Services, 81, 103977.</w:t>
      </w:r>
    </w:p>
    <w:p w14:paraId="153BD338" w14:textId="77777777" w:rsidR="00C31DCA" w:rsidRPr="008A591B" w:rsidRDefault="00C31DCA" w:rsidP="002D05E9">
      <w:pPr>
        <w:pStyle w:val="BibliographyAcademic"/>
        <w:jc w:val="both"/>
      </w:pPr>
      <w:r w:rsidRPr="008A591B">
        <w:t>Singh, S., Zaki, M., &amp; Sharma, A. (2021). Impact of Big Data and Artificial Intelligence on Industry Developing a Workforce Roadmap for a Data Driven Economy. Global Journal of Flexible Systems Management, 22(3), 197–217.</w:t>
      </w:r>
    </w:p>
    <w:p w14:paraId="3322D0F4" w14:textId="77777777" w:rsidR="00C31DCA" w:rsidRPr="008A591B" w:rsidRDefault="00C31DCA" w:rsidP="002D05E9">
      <w:pPr>
        <w:pStyle w:val="BibliographyAcademic"/>
        <w:jc w:val="both"/>
      </w:pPr>
      <w:r w:rsidRPr="008A591B">
        <w:t xml:space="preserve">Son, C., Kim, J., &amp; Kim, Y. (2020). Developing scenario-based technology roadmap in the big data era: And </w:t>
      </w:r>
      <w:proofErr w:type="spellStart"/>
      <w:r w:rsidRPr="008A591B">
        <w:t>utilisation</w:t>
      </w:r>
      <w:proofErr w:type="spellEnd"/>
      <w:r w:rsidRPr="008A591B">
        <w:t xml:space="preserve"> of fuzzy cognitive map and text mining techniques. Technology Analysis &amp; Strategic Management, 32(3), 272–291.</w:t>
      </w:r>
    </w:p>
    <w:p w14:paraId="59B6FF08" w14:textId="77777777" w:rsidR="00C31DCA" w:rsidRPr="008A591B" w:rsidRDefault="00C31DCA" w:rsidP="002D05E9">
      <w:pPr>
        <w:pStyle w:val="BibliographyAcademic"/>
        <w:jc w:val="both"/>
      </w:pPr>
      <w:r w:rsidRPr="008A591B">
        <w:t>Valério, K. G. de O., Silva, C. E. S. da, &amp; Neves, S. M. (2021). Overview on the technology roadmapping (TRM) literature: gaps and perspectives. Technology Analysis &amp; Strategic Management, 33(1), 58–69.</w:t>
      </w:r>
    </w:p>
    <w:p w14:paraId="4FEFE957" w14:textId="786B8BE3" w:rsidR="004303DF" w:rsidRPr="008A591B" w:rsidRDefault="004303DF" w:rsidP="002D05E9">
      <w:pPr>
        <w:pStyle w:val="BibliographyAcademic"/>
        <w:jc w:val="both"/>
      </w:pPr>
      <w:r w:rsidRPr="008A591B">
        <w:t xml:space="preserve">Van Eck, N. J., &amp; Waltman, L. (2010). Software survey: </w:t>
      </w:r>
      <w:proofErr w:type="spellStart"/>
      <w:r w:rsidRPr="008A591B">
        <w:t>VOSviewer</w:t>
      </w:r>
      <w:proofErr w:type="spellEnd"/>
      <w:r w:rsidRPr="008A591B">
        <w:t>, a computer program for bibliometric mapping. Scientometrics, 84(2), 523-538.</w:t>
      </w:r>
    </w:p>
    <w:p w14:paraId="5C62B284" w14:textId="77777777" w:rsidR="00C31DCA" w:rsidRPr="008A591B" w:rsidRDefault="00C31DCA" w:rsidP="002D05E9">
      <w:pPr>
        <w:pStyle w:val="BibliographyAcademic"/>
        <w:jc w:val="both"/>
      </w:pPr>
      <w:r w:rsidRPr="008A591B">
        <w:t>Willyard, C. H., &amp; McClees, C. W. (1987). Motorola's technology roadmap process. Research Management, 30(5), 13–19.</w:t>
      </w:r>
    </w:p>
    <w:p w14:paraId="51675F46" w14:textId="77777777" w:rsidR="00C31DCA" w:rsidRPr="008A591B" w:rsidRDefault="00C31DCA" w:rsidP="002D05E9">
      <w:pPr>
        <w:pStyle w:val="BibliographyAcademic"/>
        <w:jc w:val="both"/>
      </w:pPr>
      <w:r w:rsidRPr="008A591B">
        <w:t>Yaqoob, I., Hashem, I. A. T., Gani, A., Mokhtar, S., Ahmed, E., Anuar, N. B., &amp; Vasilakos, A. V. (2016). Big data: From beginning to future. International Journal of Information Management, 36(6), 1231–1247.</w:t>
      </w:r>
    </w:p>
    <w:p w14:paraId="05BEDACC" w14:textId="77777777" w:rsidR="00C31DCA" w:rsidRPr="008A591B" w:rsidRDefault="00C31DCA" w:rsidP="002D05E9">
      <w:pPr>
        <w:pStyle w:val="BibliographyAcademic"/>
        <w:jc w:val="both"/>
      </w:pPr>
      <w:r w:rsidRPr="008A591B">
        <w:t xml:space="preserve">Yoon, J., Kim, Y. J., </w:t>
      </w:r>
      <w:proofErr w:type="spellStart"/>
      <w:r w:rsidRPr="008A591B">
        <w:t>Vonortas</w:t>
      </w:r>
      <w:proofErr w:type="spellEnd"/>
      <w:r w:rsidRPr="008A591B">
        <w:t>, N. S., &amp; Han, S. W. (2019). A moderated mediation model of technology roadmapping and innovation: The roles of corporate foresight and organizational support. Journal of Engineering and Technology Management, 52, 61–73.</w:t>
      </w:r>
    </w:p>
    <w:p w14:paraId="15E8C398" w14:textId="28A986A7" w:rsidR="004303DF" w:rsidRPr="008A591B" w:rsidRDefault="004303DF" w:rsidP="002D05E9">
      <w:pPr>
        <w:pStyle w:val="BibliographyAcademic"/>
        <w:jc w:val="both"/>
      </w:pPr>
      <w:r w:rsidRPr="008A591B">
        <w:t>Yoon, J., &amp; Kim, K. (2011). Identifying rapidly evolving technological trends for R&amp;D planning using SAO-based semantic patent networks. Scientometrics, 88(1), 213-228.</w:t>
      </w:r>
    </w:p>
    <w:p w14:paraId="05DC79D6" w14:textId="77777777" w:rsidR="00C31DCA" w:rsidRPr="008A591B" w:rsidRDefault="00C31DCA" w:rsidP="002D05E9">
      <w:pPr>
        <w:pStyle w:val="BibliographyAcademic"/>
        <w:jc w:val="both"/>
      </w:pPr>
      <w:r w:rsidRPr="008A591B">
        <w:t>Yu, X., &amp; Zhang, B. (2019). Obtaining advantages from technology revolution: A patent roadmap for competition analysis and strategy planning. Technological Forecasting and Social Change, 145, 273–283.</w:t>
      </w:r>
    </w:p>
    <w:p w14:paraId="763AC348" w14:textId="77777777" w:rsidR="00C31DCA" w:rsidRPr="008A591B" w:rsidRDefault="00C31DCA" w:rsidP="002D05E9">
      <w:pPr>
        <w:pStyle w:val="BibliographyAcademic"/>
        <w:jc w:val="both"/>
      </w:pPr>
      <w:r w:rsidRPr="008A591B">
        <w:t>Zhai, Y., Liu, Z., Zhao, R., Zhang, X., &amp; Zheng, G. (2025). A patent-based technology roadmap for AI-powered manipulators: An evolutionary analysis of the B25J classification. Informatics, 12(3), 69.</w:t>
      </w:r>
    </w:p>
    <w:p w14:paraId="18F2178A" w14:textId="19E1A202" w:rsidR="004303DF" w:rsidRPr="008A591B" w:rsidRDefault="004303DF" w:rsidP="002D05E9">
      <w:pPr>
        <w:pStyle w:val="BibliographyAcademic"/>
        <w:jc w:val="both"/>
      </w:pPr>
      <w:r w:rsidRPr="008A591B">
        <w:lastRenderedPageBreak/>
        <w:t>Zhang, Y., Zhou, X., Porter, A. L., Guo, Y., &amp; Zhu, D. (2014). Triple Helix innovation in China's dye-sensitized solar cell industry: Hybrid methods with semantic TRIZ and technology roadmapping. Scientometrics, 99(1), 55-75.</w:t>
      </w:r>
    </w:p>
    <w:p w14:paraId="4762985E" w14:textId="77777777" w:rsidR="00C31DCA" w:rsidRPr="008A591B" w:rsidRDefault="00C31DCA" w:rsidP="002D05E9">
      <w:pPr>
        <w:pStyle w:val="BibliographyAcademic"/>
        <w:jc w:val="both"/>
      </w:pPr>
      <w:r w:rsidRPr="008A591B">
        <w:t>Zhang, Y., Chen, H., Zhang, G., Zhu, D., &amp; Lu, J. (2015). Multiple science data-oriented technology roadmapping method. In 2015 Portland International Conference on Management of Engineering and Technology (PICMET) (pp. 2278–2287). IEEE.</w:t>
      </w:r>
    </w:p>
    <w:p w14:paraId="3F3352D2" w14:textId="15FD4E43" w:rsidR="00150A43" w:rsidRPr="00BB01D5" w:rsidRDefault="00C31DCA" w:rsidP="00BB01D5">
      <w:pPr>
        <w:pStyle w:val="BibliographyAcademic"/>
        <w:jc w:val="both"/>
      </w:pPr>
      <w:r w:rsidRPr="008A591B">
        <w:t>Zhang, Y., Robinson, D. K. R., Porter, A. L., Zhu, D., Zhang, G., &amp; Lu, J. (2016). Technology roadmapping for competitive technical intelligence. Technological Forecasting &amp; Social Change, 110, 175–186.</w:t>
      </w:r>
    </w:p>
    <w:sectPr w:rsidR="00150A43" w:rsidRPr="00BB01D5" w:rsidSect="00BB01D5">
      <w:pgSz w:w="9638" w:h="13606"/>
      <w:pgMar w:top="1417" w:right="1134" w:bottom="1417" w:left="1134" w:header="850" w:footer="85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5A2"/>
    <w:multiLevelType w:val="hybridMultilevel"/>
    <w:tmpl w:val="531CBDE4"/>
    <w:lvl w:ilvl="0" w:tplc="5D96A6FE">
      <w:start w:val="1"/>
      <w:numFmt w:val="decimal"/>
      <w:lvlText w:val="1.%1."/>
      <w:lvlJc w:val="left"/>
      <w:pPr>
        <w:ind w:left="720" w:hanging="360"/>
      </w:pPr>
    </w:lvl>
    <w:lvl w:ilvl="1" w:tplc="11B48F1A">
      <w:numFmt w:val="decimal"/>
      <w:lvlText w:val=""/>
      <w:lvlJc w:val="left"/>
    </w:lvl>
    <w:lvl w:ilvl="2" w:tplc="4C7EE1A4">
      <w:numFmt w:val="decimal"/>
      <w:lvlText w:val=""/>
      <w:lvlJc w:val="left"/>
    </w:lvl>
    <w:lvl w:ilvl="3" w:tplc="0684775A">
      <w:numFmt w:val="decimal"/>
      <w:lvlText w:val=""/>
      <w:lvlJc w:val="left"/>
    </w:lvl>
    <w:lvl w:ilvl="4" w:tplc="241A7C22">
      <w:numFmt w:val="decimal"/>
      <w:lvlText w:val=""/>
      <w:lvlJc w:val="left"/>
    </w:lvl>
    <w:lvl w:ilvl="5" w:tplc="A434ECF4">
      <w:numFmt w:val="decimal"/>
      <w:lvlText w:val=""/>
      <w:lvlJc w:val="left"/>
    </w:lvl>
    <w:lvl w:ilvl="6" w:tplc="F4E83316">
      <w:numFmt w:val="decimal"/>
      <w:lvlText w:val=""/>
      <w:lvlJc w:val="left"/>
    </w:lvl>
    <w:lvl w:ilvl="7" w:tplc="1FFC899E">
      <w:numFmt w:val="decimal"/>
      <w:lvlText w:val=""/>
      <w:lvlJc w:val="left"/>
    </w:lvl>
    <w:lvl w:ilvl="8" w:tplc="DF5A28B8">
      <w:numFmt w:val="decimal"/>
      <w:lvlText w:val=""/>
      <w:lvlJc w:val="left"/>
    </w:lvl>
  </w:abstractNum>
  <w:abstractNum w:abstractNumId="1" w15:restartNumberingAfterBreak="0">
    <w:nsid w:val="55821799"/>
    <w:multiLevelType w:val="hybridMultilevel"/>
    <w:tmpl w:val="43322FAA"/>
    <w:lvl w:ilvl="0" w:tplc="228E113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5EC73BDB"/>
    <w:multiLevelType w:val="multilevel"/>
    <w:tmpl w:val="F1561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6407530">
    <w:abstractNumId w:val="0"/>
    <w:lvlOverride w:ilvl="0">
      <w:startOverride w:val="1"/>
    </w:lvlOverride>
  </w:num>
  <w:num w:numId="2" w16cid:durableId="168570539">
    <w:abstractNumId w:val="1"/>
  </w:num>
  <w:num w:numId="3" w16cid:durableId="2130737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08"/>
  <w:autoHyphenation/>
  <w:consecutiveHyphenLimit w:val="2"/>
  <w:hyphenationZone w:val="425"/>
  <w:doNotHyphenateCaps/>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Q2srAwtzAyNDEyMDJV0lEKTi0uzszPAykwrAUALiUKQCwAAAA="/>
  </w:docVars>
  <w:rsids>
    <w:rsidRoot w:val="000C2EB3"/>
    <w:rsid w:val="000202B7"/>
    <w:rsid w:val="000B1DBA"/>
    <w:rsid w:val="000C2EB3"/>
    <w:rsid w:val="001179C4"/>
    <w:rsid w:val="00136B20"/>
    <w:rsid w:val="00150A43"/>
    <w:rsid w:val="001611D1"/>
    <w:rsid w:val="0016436B"/>
    <w:rsid w:val="001913D6"/>
    <w:rsid w:val="001C41EE"/>
    <w:rsid w:val="001C67FC"/>
    <w:rsid w:val="001E3262"/>
    <w:rsid w:val="001F62F4"/>
    <w:rsid w:val="002157E9"/>
    <w:rsid w:val="002206FA"/>
    <w:rsid w:val="0025611F"/>
    <w:rsid w:val="00271448"/>
    <w:rsid w:val="00296770"/>
    <w:rsid w:val="002A1EF5"/>
    <w:rsid w:val="002B071C"/>
    <w:rsid w:val="002B28D4"/>
    <w:rsid w:val="002D05E9"/>
    <w:rsid w:val="002E6B99"/>
    <w:rsid w:val="0033009A"/>
    <w:rsid w:val="00364A93"/>
    <w:rsid w:val="0036691F"/>
    <w:rsid w:val="0039192E"/>
    <w:rsid w:val="00392E8C"/>
    <w:rsid w:val="003A53D1"/>
    <w:rsid w:val="003A6D69"/>
    <w:rsid w:val="003C6645"/>
    <w:rsid w:val="004303DF"/>
    <w:rsid w:val="00435B36"/>
    <w:rsid w:val="00471BDD"/>
    <w:rsid w:val="00482ADE"/>
    <w:rsid w:val="00493DC4"/>
    <w:rsid w:val="004B0464"/>
    <w:rsid w:val="004C2D2B"/>
    <w:rsid w:val="004C5795"/>
    <w:rsid w:val="004D1C9F"/>
    <w:rsid w:val="004D71BE"/>
    <w:rsid w:val="004F61CC"/>
    <w:rsid w:val="0050246A"/>
    <w:rsid w:val="00513F0C"/>
    <w:rsid w:val="0063707A"/>
    <w:rsid w:val="00657D76"/>
    <w:rsid w:val="00676FE2"/>
    <w:rsid w:val="007024DB"/>
    <w:rsid w:val="00737F66"/>
    <w:rsid w:val="007819F7"/>
    <w:rsid w:val="00792258"/>
    <w:rsid w:val="007E6DD4"/>
    <w:rsid w:val="007F04EB"/>
    <w:rsid w:val="007F2CE4"/>
    <w:rsid w:val="008236BE"/>
    <w:rsid w:val="0085211B"/>
    <w:rsid w:val="008754D9"/>
    <w:rsid w:val="00884A83"/>
    <w:rsid w:val="00892768"/>
    <w:rsid w:val="008A591B"/>
    <w:rsid w:val="008A5FA5"/>
    <w:rsid w:val="00975EDD"/>
    <w:rsid w:val="009D1CC7"/>
    <w:rsid w:val="009E379B"/>
    <w:rsid w:val="009F4D3F"/>
    <w:rsid w:val="00A02F3F"/>
    <w:rsid w:val="00A042E9"/>
    <w:rsid w:val="00A0720D"/>
    <w:rsid w:val="00A248AA"/>
    <w:rsid w:val="00AB2E9B"/>
    <w:rsid w:val="00B279B5"/>
    <w:rsid w:val="00B3162B"/>
    <w:rsid w:val="00B54FFC"/>
    <w:rsid w:val="00B57709"/>
    <w:rsid w:val="00B64654"/>
    <w:rsid w:val="00B77EDB"/>
    <w:rsid w:val="00BB01D5"/>
    <w:rsid w:val="00BD05DD"/>
    <w:rsid w:val="00BD323C"/>
    <w:rsid w:val="00C16B44"/>
    <w:rsid w:val="00C31DCA"/>
    <w:rsid w:val="00C554EE"/>
    <w:rsid w:val="00C60F48"/>
    <w:rsid w:val="00C63E64"/>
    <w:rsid w:val="00C807A7"/>
    <w:rsid w:val="00D004B4"/>
    <w:rsid w:val="00D3437A"/>
    <w:rsid w:val="00D90BB6"/>
    <w:rsid w:val="00D94DDB"/>
    <w:rsid w:val="00DA2921"/>
    <w:rsid w:val="00DF4AA7"/>
    <w:rsid w:val="00E042C8"/>
    <w:rsid w:val="00E13ED5"/>
    <w:rsid w:val="00E5695D"/>
    <w:rsid w:val="00EA7D58"/>
    <w:rsid w:val="00EB1164"/>
    <w:rsid w:val="00EB54EA"/>
    <w:rsid w:val="00EC6D43"/>
    <w:rsid w:val="00F14653"/>
    <w:rsid w:val="00F66A1C"/>
    <w:rsid w:val="00F92C0F"/>
    <w:rsid w:val="00FA57C8"/>
    <w:rsid w:val="00FF59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3597"/>
  <w15:chartTrackingRefBased/>
  <w15:docId w15:val="{F013E24D-3993-4B6B-A798-0251410E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709"/>
  </w:style>
  <w:style w:type="paragraph" w:styleId="Balk1">
    <w:name w:val="heading 1"/>
    <w:basedOn w:val="Normal"/>
    <w:next w:val="Normal"/>
    <w:link w:val="Balk1Char"/>
    <w:uiPriority w:val="9"/>
    <w:qFormat/>
    <w:rsid w:val="000C2E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unhideWhenUsed/>
    <w:qFormat/>
    <w:rsid w:val="000C2E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0C2EB3"/>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0C2EB3"/>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0C2EB3"/>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0C2EB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C2EB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C2EB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C2EB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C2EB3"/>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rsid w:val="000C2EB3"/>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0C2EB3"/>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0C2EB3"/>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0C2EB3"/>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0C2EB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C2EB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C2EB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C2EB3"/>
    <w:rPr>
      <w:rFonts w:eastAsiaTheme="majorEastAsia" w:cstheme="majorBidi"/>
      <w:color w:val="272727" w:themeColor="text1" w:themeTint="D8"/>
    </w:rPr>
  </w:style>
  <w:style w:type="paragraph" w:styleId="KonuBal">
    <w:name w:val="Title"/>
    <w:basedOn w:val="Normal"/>
    <w:next w:val="Normal"/>
    <w:link w:val="KonuBalChar"/>
    <w:uiPriority w:val="10"/>
    <w:qFormat/>
    <w:rsid w:val="000C2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C2EB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C2EB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C2EB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C2EB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C2EB3"/>
    <w:rPr>
      <w:i/>
      <w:iCs/>
      <w:color w:val="404040" w:themeColor="text1" w:themeTint="BF"/>
    </w:rPr>
  </w:style>
  <w:style w:type="paragraph" w:styleId="ListeParagraf">
    <w:name w:val="List Paragraph"/>
    <w:basedOn w:val="Normal"/>
    <w:uiPriority w:val="34"/>
    <w:qFormat/>
    <w:rsid w:val="000C2EB3"/>
    <w:pPr>
      <w:ind w:left="720"/>
      <w:contextualSpacing/>
    </w:pPr>
  </w:style>
  <w:style w:type="character" w:styleId="GlVurgulama">
    <w:name w:val="Intense Emphasis"/>
    <w:basedOn w:val="VarsaylanParagrafYazTipi"/>
    <w:uiPriority w:val="21"/>
    <w:qFormat/>
    <w:rsid w:val="000C2EB3"/>
    <w:rPr>
      <w:i/>
      <w:iCs/>
      <w:color w:val="2E74B5" w:themeColor="accent1" w:themeShade="BF"/>
    </w:rPr>
  </w:style>
  <w:style w:type="paragraph" w:styleId="GlAlnt">
    <w:name w:val="Intense Quote"/>
    <w:basedOn w:val="Normal"/>
    <w:next w:val="Normal"/>
    <w:link w:val="GlAlntChar"/>
    <w:uiPriority w:val="30"/>
    <w:qFormat/>
    <w:rsid w:val="000C2E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0C2EB3"/>
    <w:rPr>
      <w:i/>
      <w:iCs/>
      <w:color w:val="2E74B5" w:themeColor="accent1" w:themeShade="BF"/>
    </w:rPr>
  </w:style>
  <w:style w:type="character" w:styleId="GlBavuru">
    <w:name w:val="Intense Reference"/>
    <w:basedOn w:val="VarsaylanParagrafYazTipi"/>
    <w:uiPriority w:val="32"/>
    <w:qFormat/>
    <w:rsid w:val="000C2EB3"/>
    <w:rPr>
      <w:b/>
      <w:bCs/>
      <w:smallCaps/>
      <w:color w:val="2E74B5" w:themeColor="accent1" w:themeShade="BF"/>
      <w:spacing w:val="5"/>
    </w:rPr>
  </w:style>
  <w:style w:type="paragraph" w:customStyle="1" w:styleId="BookTitle1">
    <w:name w:val="Book Title1"/>
    <w:basedOn w:val="Normal"/>
    <w:link w:val="BookTitleChar"/>
    <w:rsid w:val="000C2EB3"/>
    <w:pPr>
      <w:keepNext/>
      <w:spacing w:after="240" w:line="240" w:lineRule="auto"/>
      <w:jc w:val="center"/>
    </w:pPr>
    <w:rPr>
      <w:rFonts w:ascii="Times New Roman" w:hAnsi="Times New Roman" w:cs="Times New Roman"/>
      <w:b/>
      <w:sz w:val="36"/>
      <w:lang w:val="en-US"/>
    </w:rPr>
  </w:style>
  <w:style w:type="character" w:customStyle="1" w:styleId="BookTitleChar">
    <w:name w:val="Book Title Char"/>
    <w:basedOn w:val="VarsaylanParagrafYazTipi"/>
    <w:link w:val="BookTitle1"/>
    <w:rsid w:val="000C2EB3"/>
    <w:rPr>
      <w:rFonts w:ascii="Times New Roman" w:hAnsi="Times New Roman" w:cs="Times New Roman"/>
      <w:b/>
      <w:sz w:val="36"/>
      <w:lang w:val="en-US"/>
    </w:rPr>
  </w:style>
  <w:style w:type="paragraph" w:customStyle="1" w:styleId="ChapterTitle">
    <w:name w:val="Chapter Title"/>
    <w:basedOn w:val="Normal"/>
    <w:link w:val="ChapterTitleChar"/>
    <w:rsid w:val="000C2EB3"/>
    <w:pPr>
      <w:keepNext/>
      <w:pageBreakBefore/>
      <w:spacing w:line="240" w:lineRule="auto"/>
      <w:outlineLvl w:val="0"/>
    </w:pPr>
    <w:rPr>
      <w:rFonts w:ascii="Times New Roman" w:hAnsi="Times New Roman" w:cs="Times New Roman"/>
      <w:b/>
      <w:sz w:val="32"/>
      <w:lang w:val="en-US"/>
    </w:rPr>
  </w:style>
  <w:style w:type="character" w:customStyle="1" w:styleId="ChapterTitleChar">
    <w:name w:val="Chapter Title Char"/>
    <w:basedOn w:val="VarsaylanParagrafYazTipi"/>
    <w:link w:val="ChapterTitle"/>
    <w:rsid w:val="000C2EB3"/>
    <w:rPr>
      <w:rFonts w:ascii="Times New Roman" w:hAnsi="Times New Roman" w:cs="Times New Roman"/>
      <w:b/>
      <w:sz w:val="32"/>
      <w:lang w:val="en-US"/>
    </w:rPr>
  </w:style>
  <w:style w:type="paragraph" w:customStyle="1" w:styleId="AuthorInfo">
    <w:name w:val="Author Info"/>
    <w:basedOn w:val="Normal"/>
    <w:link w:val="AuthorInfoChar"/>
    <w:qFormat/>
    <w:rsid w:val="000C2EB3"/>
    <w:pPr>
      <w:spacing w:before="120" w:after="120" w:line="240" w:lineRule="auto"/>
      <w:jc w:val="center"/>
    </w:pPr>
    <w:rPr>
      <w:rFonts w:ascii="Times New Roman" w:hAnsi="Times New Roman" w:cs="Times New Roman"/>
      <w:sz w:val="24"/>
      <w:lang w:val="en-US"/>
    </w:rPr>
  </w:style>
  <w:style w:type="character" w:customStyle="1" w:styleId="AuthorInfoChar">
    <w:name w:val="Author Info Char"/>
    <w:basedOn w:val="VarsaylanParagrafYazTipi"/>
    <w:link w:val="AuthorInfo"/>
    <w:rsid w:val="000C2EB3"/>
    <w:rPr>
      <w:rFonts w:ascii="Times New Roman" w:hAnsi="Times New Roman" w:cs="Times New Roman"/>
      <w:sz w:val="24"/>
      <w:lang w:val="en-US"/>
    </w:rPr>
  </w:style>
  <w:style w:type="paragraph" w:customStyle="1" w:styleId="Heading1Academic">
    <w:name w:val="Heading 1 Academic"/>
    <w:basedOn w:val="Normal"/>
    <w:link w:val="Heading1AcademicChar"/>
    <w:rsid w:val="000C2EB3"/>
    <w:pPr>
      <w:keepNext/>
      <w:keepLines/>
      <w:spacing w:line="240" w:lineRule="auto"/>
      <w:outlineLvl w:val="0"/>
    </w:pPr>
    <w:rPr>
      <w:rFonts w:ascii="Times New Roman" w:hAnsi="Times New Roman" w:cs="Times New Roman"/>
      <w:b/>
      <w:sz w:val="28"/>
      <w:lang w:val="en-US"/>
    </w:rPr>
  </w:style>
  <w:style w:type="character" w:customStyle="1" w:styleId="Heading1AcademicChar">
    <w:name w:val="Heading 1 Academic Char"/>
    <w:basedOn w:val="VarsaylanParagrafYazTipi"/>
    <w:link w:val="Heading1Academic"/>
    <w:rsid w:val="000C2EB3"/>
    <w:rPr>
      <w:rFonts w:ascii="Times New Roman" w:hAnsi="Times New Roman" w:cs="Times New Roman"/>
      <w:b/>
      <w:sz w:val="28"/>
      <w:lang w:val="en-US"/>
    </w:rPr>
  </w:style>
  <w:style w:type="paragraph" w:customStyle="1" w:styleId="Heading2Academic">
    <w:name w:val="Heading 2 Academic"/>
    <w:basedOn w:val="Normal"/>
    <w:link w:val="Heading2AcademicChar"/>
    <w:rsid w:val="000C2EB3"/>
    <w:pPr>
      <w:keepNext/>
      <w:spacing w:after="120" w:line="240" w:lineRule="auto"/>
      <w:outlineLvl w:val="1"/>
    </w:pPr>
    <w:rPr>
      <w:rFonts w:ascii="Times New Roman" w:hAnsi="Times New Roman" w:cs="Times New Roman"/>
      <w:b/>
      <w:sz w:val="24"/>
      <w:lang w:val="en-US"/>
    </w:rPr>
  </w:style>
  <w:style w:type="character" w:customStyle="1" w:styleId="Heading2AcademicChar">
    <w:name w:val="Heading 2 Academic Char"/>
    <w:basedOn w:val="VarsaylanParagrafYazTipi"/>
    <w:link w:val="Heading2Academic"/>
    <w:rsid w:val="000C2EB3"/>
    <w:rPr>
      <w:rFonts w:ascii="Times New Roman" w:hAnsi="Times New Roman" w:cs="Times New Roman"/>
      <w:b/>
      <w:sz w:val="24"/>
      <w:lang w:val="en-US"/>
    </w:rPr>
  </w:style>
  <w:style w:type="paragraph" w:customStyle="1" w:styleId="Heading3Academic">
    <w:name w:val="Heading 3 Academic"/>
    <w:basedOn w:val="Normal"/>
    <w:link w:val="Heading3AcademicChar"/>
    <w:rsid w:val="000C2EB3"/>
    <w:pPr>
      <w:keepNext/>
      <w:spacing w:after="120" w:line="240" w:lineRule="auto"/>
      <w:outlineLvl w:val="2"/>
    </w:pPr>
    <w:rPr>
      <w:rFonts w:ascii="Times New Roman" w:hAnsi="Times New Roman" w:cs="Times New Roman"/>
      <w:b/>
      <w:lang w:val="en-US"/>
    </w:rPr>
  </w:style>
  <w:style w:type="character" w:customStyle="1" w:styleId="Heading3AcademicChar">
    <w:name w:val="Heading 3 Academic Char"/>
    <w:basedOn w:val="VarsaylanParagrafYazTipi"/>
    <w:link w:val="Heading3Academic"/>
    <w:rsid w:val="000C2EB3"/>
    <w:rPr>
      <w:rFonts w:ascii="Times New Roman" w:hAnsi="Times New Roman" w:cs="Times New Roman"/>
      <w:b/>
      <w:lang w:val="en-US"/>
    </w:rPr>
  </w:style>
  <w:style w:type="paragraph" w:customStyle="1" w:styleId="Heading4Academic">
    <w:name w:val="Heading 4 Academic"/>
    <w:basedOn w:val="Normal"/>
    <w:link w:val="Heading4AcademicChar"/>
    <w:rsid w:val="000C2EB3"/>
    <w:pPr>
      <w:keepNext/>
      <w:spacing w:after="120" w:line="240" w:lineRule="auto"/>
      <w:outlineLvl w:val="3"/>
    </w:pPr>
    <w:rPr>
      <w:rFonts w:ascii="Times New Roman" w:hAnsi="Times New Roman" w:cs="Times New Roman"/>
      <w:i/>
      <w:sz w:val="20"/>
      <w:lang w:val="en-US"/>
    </w:rPr>
  </w:style>
  <w:style w:type="character" w:customStyle="1" w:styleId="Heading4AcademicChar">
    <w:name w:val="Heading 4 Academic Char"/>
    <w:basedOn w:val="VarsaylanParagrafYazTipi"/>
    <w:link w:val="Heading4Academic"/>
    <w:rsid w:val="000C2EB3"/>
    <w:rPr>
      <w:rFonts w:ascii="Times New Roman" w:hAnsi="Times New Roman" w:cs="Times New Roman"/>
      <w:i/>
      <w:sz w:val="20"/>
      <w:lang w:val="en-US"/>
    </w:rPr>
  </w:style>
  <w:style w:type="paragraph" w:customStyle="1" w:styleId="NormalAcademic">
    <w:name w:val="Normal Academic"/>
    <w:basedOn w:val="Normal"/>
    <w:link w:val="NormalAcademicChar"/>
    <w:rsid w:val="000C2EB3"/>
    <w:pPr>
      <w:spacing w:before="120" w:after="120" w:line="240" w:lineRule="auto"/>
      <w:ind w:firstLine="283"/>
      <w:jc w:val="both"/>
    </w:pPr>
    <w:rPr>
      <w:rFonts w:ascii="Times New Roman" w:hAnsi="Times New Roman" w:cs="Times New Roman"/>
      <w:lang w:val="en-US"/>
    </w:rPr>
  </w:style>
  <w:style w:type="character" w:customStyle="1" w:styleId="NormalAcademicChar">
    <w:name w:val="Normal Academic Char"/>
    <w:basedOn w:val="VarsaylanParagrafYazTipi"/>
    <w:link w:val="NormalAcademic"/>
    <w:rsid w:val="000C2EB3"/>
    <w:rPr>
      <w:rFonts w:ascii="Times New Roman" w:hAnsi="Times New Roman" w:cs="Times New Roman"/>
      <w:lang w:val="en-US"/>
    </w:rPr>
  </w:style>
  <w:style w:type="paragraph" w:customStyle="1" w:styleId="FirstParagraph">
    <w:name w:val="First Paragraph"/>
    <w:basedOn w:val="Normal"/>
    <w:link w:val="FirstParagraphChar"/>
    <w:qFormat/>
    <w:rsid w:val="000C2EB3"/>
    <w:pPr>
      <w:spacing w:before="120" w:after="120" w:line="240" w:lineRule="auto"/>
      <w:jc w:val="both"/>
    </w:pPr>
    <w:rPr>
      <w:rFonts w:ascii="Times New Roman" w:hAnsi="Times New Roman" w:cs="Times New Roman"/>
      <w:lang w:val="en-US"/>
    </w:rPr>
  </w:style>
  <w:style w:type="character" w:customStyle="1" w:styleId="FirstParagraphChar">
    <w:name w:val="First Paragraph Char"/>
    <w:basedOn w:val="VarsaylanParagrafYazTipi"/>
    <w:link w:val="FirstParagraph"/>
    <w:rsid w:val="000C2EB3"/>
    <w:rPr>
      <w:rFonts w:ascii="Times New Roman" w:hAnsi="Times New Roman" w:cs="Times New Roman"/>
      <w:lang w:val="en-US"/>
    </w:rPr>
  </w:style>
  <w:style w:type="paragraph" w:customStyle="1" w:styleId="AbstractAcademic">
    <w:name w:val="Abstract Academic"/>
    <w:basedOn w:val="Normal"/>
    <w:link w:val="AbstractAcademicChar"/>
    <w:rsid w:val="000C2EB3"/>
    <w:pPr>
      <w:spacing w:before="120" w:after="120" w:line="240" w:lineRule="auto"/>
      <w:ind w:left="567" w:right="567"/>
      <w:jc w:val="both"/>
    </w:pPr>
    <w:rPr>
      <w:rFonts w:ascii="Times New Roman" w:hAnsi="Times New Roman" w:cs="Times New Roman"/>
      <w:i/>
      <w:lang w:val="en-US"/>
    </w:rPr>
  </w:style>
  <w:style w:type="character" w:customStyle="1" w:styleId="AbstractAcademicChar">
    <w:name w:val="Abstract Academic Char"/>
    <w:basedOn w:val="VarsaylanParagrafYazTipi"/>
    <w:link w:val="AbstractAcademic"/>
    <w:rsid w:val="000C2EB3"/>
    <w:rPr>
      <w:rFonts w:ascii="Times New Roman" w:hAnsi="Times New Roman" w:cs="Times New Roman"/>
      <w:i/>
      <w:lang w:val="en-US"/>
    </w:rPr>
  </w:style>
  <w:style w:type="paragraph" w:customStyle="1" w:styleId="KeywordsAcademic">
    <w:name w:val="Keywords Academic"/>
    <w:basedOn w:val="Normal"/>
    <w:link w:val="KeywordsAcademicChar"/>
    <w:rsid w:val="000C2EB3"/>
    <w:pPr>
      <w:spacing w:before="120" w:after="120" w:line="240" w:lineRule="auto"/>
      <w:ind w:left="567"/>
    </w:pPr>
    <w:rPr>
      <w:rFonts w:ascii="Times New Roman" w:hAnsi="Times New Roman" w:cs="Times New Roman"/>
      <w:b/>
      <w:lang w:val="en-US"/>
    </w:rPr>
  </w:style>
  <w:style w:type="character" w:customStyle="1" w:styleId="KeywordsAcademicChar">
    <w:name w:val="Keywords Academic Char"/>
    <w:basedOn w:val="VarsaylanParagrafYazTipi"/>
    <w:link w:val="KeywordsAcademic"/>
    <w:rsid w:val="000C2EB3"/>
    <w:rPr>
      <w:rFonts w:ascii="Times New Roman" w:hAnsi="Times New Roman" w:cs="Times New Roman"/>
      <w:b/>
      <w:lang w:val="en-US"/>
    </w:rPr>
  </w:style>
  <w:style w:type="paragraph" w:customStyle="1" w:styleId="BlockQuote">
    <w:name w:val="Block Quote"/>
    <w:basedOn w:val="Normal"/>
    <w:link w:val="BlockQuoteChar"/>
    <w:rsid w:val="000C2EB3"/>
    <w:pPr>
      <w:spacing w:before="120" w:after="120" w:line="240" w:lineRule="auto"/>
      <w:ind w:left="567" w:right="567"/>
      <w:jc w:val="both"/>
    </w:pPr>
    <w:rPr>
      <w:rFonts w:ascii="Times New Roman" w:hAnsi="Times New Roman" w:cs="Times New Roman"/>
      <w:i/>
      <w:sz w:val="20"/>
      <w:lang w:val="en-US"/>
    </w:rPr>
  </w:style>
  <w:style w:type="character" w:customStyle="1" w:styleId="BlockQuoteChar">
    <w:name w:val="Block Quote Char"/>
    <w:basedOn w:val="VarsaylanParagrafYazTipi"/>
    <w:link w:val="BlockQuote"/>
    <w:rsid w:val="000C2EB3"/>
    <w:rPr>
      <w:rFonts w:ascii="Times New Roman" w:hAnsi="Times New Roman" w:cs="Times New Roman"/>
      <w:i/>
      <w:sz w:val="20"/>
      <w:lang w:val="en-US"/>
    </w:rPr>
  </w:style>
  <w:style w:type="paragraph" w:customStyle="1" w:styleId="CodeBlockAcademic">
    <w:name w:val="Code Block Academic"/>
    <w:basedOn w:val="Normal"/>
    <w:link w:val="CodeBlockAcademicChar"/>
    <w:rsid w:val="000C2EB3"/>
    <w:pPr>
      <w:spacing w:before="120" w:after="120" w:line="240" w:lineRule="auto"/>
      <w:ind w:left="454" w:right="454"/>
    </w:pPr>
    <w:rPr>
      <w:rFonts w:ascii="Courier New" w:hAnsi="Courier New" w:cs="Times New Roman"/>
      <w:sz w:val="18"/>
      <w:lang w:val="en-US"/>
    </w:rPr>
  </w:style>
  <w:style w:type="character" w:customStyle="1" w:styleId="CodeBlockAcademicChar">
    <w:name w:val="Code Block Academic Char"/>
    <w:basedOn w:val="VarsaylanParagrafYazTipi"/>
    <w:link w:val="CodeBlockAcademic"/>
    <w:rsid w:val="000C2EB3"/>
    <w:rPr>
      <w:rFonts w:ascii="Courier New" w:hAnsi="Courier New" w:cs="Times New Roman"/>
      <w:sz w:val="18"/>
      <w:lang w:val="en-US"/>
    </w:rPr>
  </w:style>
  <w:style w:type="paragraph" w:customStyle="1" w:styleId="BibliographyAcademic">
    <w:name w:val="Bibliography Academic"/>
    <w:basedOn w:val="Normal"/>
    <w:link w:val="BibliographyAcademicChar"/>
    <w:rsid w:val="000C2EB3"/>
    <w:pPr>
      <w:spacing w:before="120" w:after="120" w:line="240" w:lineRule="auto"/>
      <w:ind w:left="454" w:hanging="454"/>
    </w:pPr>
    <w:rPr>
      <w:rFonts w:ascii="Times New Roman" w:hAnsi="Times New Roman" w:cs="Times New Roman"/>
      <w:sz w:val="20"/>
      <w:lang w:val="en-US"/>
    </w:rPr>
  </w:style>
  <w:style w:type="character" w:customStyle="1" w:styleId="BibliographyAcademicChar">
    <w:name w:val="Bibliography Academic Char"/>
    <w:basedOn w:val="VarsaylanParagrafYazTipi"/>
    <w:link w:val="BibliographyAcademic"/>
    <w:rsid w:val="000C2EB3"/>
    <w:rPr>
      <w:rFonts w:ascii="Times New Roman" w:hAnsi="Times New Roman" w:cs="Times New Roman"/>
      <w:sz w:val="20"/>
      <w:lang w:val="en-US"/>
    </w:rPr>
  </w:style>
  <w:style w:type="table" w:styleId="TabloKlavuzu">
    <w:name w:val="Table Grid"/>
    <w:basedOn w:val="NormalTablo"/>
    <w:uiPriority w:val="39"/>
    <w:rsid w:val="00A07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F92C0F"/>
    <w:rPr>
      <w:color w:val="0563C1" w:themeColor="hyperlink"/>
      <w:u w:val="single"/>
    </w:rPr>
  </w:style>
  <w:style w:type="character" w:styleId="zmlenmeyenBahsetme">
    <w:name w:val="Unresolved Mention"/>
    <w:basedOn w:val="VarsaylanParagrafYazTipi"/>
    <w:uiPriority w:val="99"/>
    <w:semiHidden/>
    <w:unhideWhenUsed/>
    <w:rsid w:val="00F92C0F"/>
    <w:rPr>
      <w:color w:val="605E5C"/>
      <w:shd w:val="clear" w:color="auto" w:fill="E1DFDD"/>
    </w:rPr>
  </w:style>
  <w:style w:type="character" w:styleId="zlenenKpr">
    <w:name w:val="FollowedHyperlink"/>
    <w:basedOn w:val="VarsaylanParagrafYazTipi"/>
    <w:uiPriority w:val="99"/>
    <w:semiHidden/>
    <w:unhideWhenUsed/>
    <w:rsid w:val="003C6645"/>
    <w:rPr>
      <w:color w:val="954F72" w:themeColor="followedHyperlink"/>
      <w:u w:val="single"/>
    </w:rPr>
  </w:style>
  <w:style w:type="character" w:styleId="KitapBal">
    <w:name w:val="Book Title"/>
    <w:basedOn w:val="VarsaylanParagrafYazTipi"/>
    <w:uiPriority w:val="33"/>
    <w:qFormat/>
    <w:rsid w:val="00392E8C"/>
    <w:rPr>
      <w:b/>
      <w:bCs/>
      <w:i/>
      <w:iCs/>
      <w:spacing w:val="5"/>
    </w:rPr>
  </w:style>
  <w:style w:type="character" w:customStyle="1" w:styleId="token">
    <w:name w:val="token"/>
    <w:basedOn w:val="VarsaylanParagrafYazTipi"/>
    <w:rsid w:val="0033009A"/>
  </w:style>
  <w:style w:type="paragraph" w:customStyle="1" w:styleId="font-claude-response-body">
    <w:name w:val="font-claude-response-body"/>
    <w:basedOn w:val="Normal"/>
    <w:rsid w:val="00C31D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Gl">
    <w:name w:val="Strong"/>
    <w:basedOn w:val="VarsaylanParagrafYazTipi"/>
    <w:uiPriority w:val="22"/>
    <w:qFormat/>
    <w:rsid w:val="00C31DCA"/>
    <w:rPr>
      <w:b/>
      <w:bCs/>
    </w:rPr>
  </w:style>
  <w:style w:type="paragraph" w:customStyle="1" w:styleId="whitespace-normal">
    <w:name w:val="whitespace-normal"/>
    <w:basedOn w:val="Normal"/>
    <w:rsid w:val="00C31D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Kodu">
    <w:name w:val="HTML Code"/>
    <w:basedOn w:val="VarsaylanParagrafYazTipi"/>
    <w:uiPriority w:val="99"/>
    <w:semiHidden/>
    <w:unhideWhenUsed/>
    <w:rsid w:val="00C31DCA"/>
    <w:rPr>
      <w:rFonts w:ascii="Courier New" w:eastAsia="Times New Roman" w:hAnsi="Courier New" w:cs="Courier New"/>
      <w:sz w:val="20"/>
      <w:szCs w:val="20"/>
    </w:rPr>
  </w:style>
  <w:style w:type="paragraph" w:styleId="GvdeMetni">
    <w:name w:val="Body Text"/>
    <w:basedOn w:val="Normal"/>
    <w:link w:val="GvdeMetniChar"/>
    <w:qFormat/>
    <w:rsid w:val="00482ADE"/>
    <w:pPr>
      <w:spacing w:before="180" w:after="180" w:line="240" w:lineRule="auto"/>
    </w:pPr>
    <w:rPr>
      <w:kern w:val="0"/>
      <w:sz w:val="24"/>
      <w:szCs w:val="24"/>
      <w:lang w:val="en-US"/>
      <w14:ligatures w14:val="none"/>
    </w:rPr>
  </w:style>
  <w:style w:type="character" w:customStyle="1" w:styleId="GvdeMetniChar">
    <w:name w:val="Gövde Metni Char"/>
    <w:basedOn w:val="VarsaylanParagrafYazTipi"/>
    <w:link w:val="GvdeMetni"/>
    <w:rsid w:val="00482ADE"/>
    <w:rPr>
      <w:kern w:val="0"/>
      <w:sz w:val="24"/>
      <w:szCs w:val="24"/>
      <w:lang w:val="en-US"/>
      <w14:ligatures w14:val="none"/>
    </w:rPr>
  </w:style>
  <w:style w:type="paragraph" w:customStyle="1" w:styleId="Compact">
    <w:name w:val="Compact"/>
    <w:basedOn w:val="GvdeMetni"/>
    <w:qFormat/>
    <w:rsid w:val="00482ADE"/>
    <w:pPr>
      <w:spacing w:before="36" w:after="36"/>
    </w:pPr>
  </w:style>
  <w:style w:type="table" w:customStyle="1" w:styleId="Table">
    <w:name w:val="Table"/>
    <w:semiHidden/>
    <w:unhideWhenUsed/>
    <w:qFormat/>
    <w:rsid w:val="00482ADE"/>
    <w:pPr>
      <w:spacing w:after="200" w:line="240" w:lineRule="auto"/>
    </w:pPr>
    <w:rPr>
      <w:kern w:val="0"/>
      <w:sz w:val="24"/>
      <w:szCs w:val="24"/>
      <w:lang w:val="en-US" w:eastAsia="tr-TR"/>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sra.dundar@hotmail.com" TargetMode="External"/><Relationship Id="rId5" Type="http://schemas.openxmlformats.org/officeDocument/2006/relationships/hyperlink" Target="https://orcid.org/0000-0002-5537-68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10233</Words>
  <Characters>71024</Characters>
  <Application>Microsoft Office Word</Application>
  <DocSecurity>0</DocSecurity>
  <Lines>1203</Lines>
  <Paragraphs>412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Kemal YAYLA</dc:creator>
  <cp:keywords/>
  <dc:description/>
  <cp:lastModifiedBy>Arif SÖYLER</cp:lastModifiedBy>
  <cp:revision>3</cp:revision>
  <dcterms:created xsi:type="dcterms:W3CDTF">2026-04-17T17:19:00Z</dcterms:created>
  <dcterms:modified xsi:type="dcterms:W3CDTF">2026-04-17T19:26:00Z</dcterms:modified>
</cp:coreProperties>
</file>