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538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复盘2005–2007年有色金属超级周期与当前AI板块投资的结构性比较</w:t>
      </w:r>
    </w:p>
    <w:p w14:paraId="09E2C65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——基于三项可量化、可监测、可证伪的顶部信号框架</w:t>
      </w:r>
    </w:p>
    <w:p w14:paraId="1FB67CF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报告编号：TR-2026-001</w:t>
      </w:r>
    </w:p>
    <w:p w14:paraId="1C6AC03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报告日期：2026年6月28日</w:t>
      </w:r>
    </w:p>
    <w:p w14:paraId="7C14116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版本：v2.1（数据核查修正版）</w:t>
      </w:r>
    </w:p>
    <w:p w14:paraId="4B7E7E1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：FRED、PBOC、BOJ、IMF、World Bank、ICSG、中国海关总署、SEC EDGAR、Bloomberg、公司年报、主流卖方研究</w:t>
      </w:r>
    </w:p>
    <w:p w14:paraId="70CAB8B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（含32个JSON文件，覆盖FRED、PBOC、IMF、中美日三国宏观指标、IPO及事件时间轴）</w:t>
      </w:r>
    </w:p>
    <w:p w14:paraId="59F2D9E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TopicResearch/05-07有色行情复盘(3).html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（第一标签页）及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TopicResearch/slides/index.html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（25页演示文稿）</w:t>
      </w:r>
    </w:p>
    <w:p w14:paraId="56F1DCB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摘要</w:t>
      </w:r>
    </w:p>
    <w:p w14:paraId="77DECBF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旨在回答一项核心问题：2005–2007年间有色金属超级周期与当前人工智能（AI）板块投资热潮在结构性层面是否存在可比较的相似性。通过对宏观背景、流动性生成机制、估值框架及政策路径的系统比对，研究发现两轮行情在“资本开支驱动的需求正反馈”层面具有高度同构性，但在“流动性来源”与“估值锚定”方面存在本质差异。基于上述比较，本报告构建三项可量化、可监测、可证伪的顶部信号，组合运用可在不同情景下对风险进行提示性评估。</w:t>
      </w:r>
    </w:p>
    <w:p w14:paraId="2FA4DEF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–2007年间，全球形成“消费国—生产国—融资国”三角闭环——美国（消费+地产+金融杠杆）、中国（工业生产+固定资产投资+资源消耗）、日本（低成本资金+高端中间品）。该闭环与中国管制利率体系下“贷存利差3.33%”的制度性扭曲共同构成商品超级周期的核心燃料。2007年10月16日，上证指数触及6124点，市盈率（PE）达50倍（99%历史分位），有色金属板块动态PE约49倍，三大见顶特征——商品与股价顶背离、垃圾股补涨、巨型IPO放量长阴——同步显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AD13AF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–2026年间，三角闭环已然破裂：美国由“消费国”转向“AI创新国”（资本开支投入国），中国由“生产国+需求国”转向“追赶国+国产替代主导国”，日本在AI产业链中角色弱化。中美进入“AI军备竞赛+芯片管制”的竞合状态。尽管如此，两轮行情仍存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五项共性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：资本开支驱动的需求正反馈、央行或头部企业（M7）流动性释放、估值脱离短期盈利、政策面临两难困境、以及最终由供给响应或需求证伪触发转折。</w:t>
      </w:r>
    </w:p>
    <w:p w14:paraId="05F9780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：2026年下半年至2027年上半年。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当前综合评分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：0/3 ~ 0.5/3（维持观察）。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关键监测节点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：OpenAI首次公开募股（IPO）后30个交易日的市场表现。</w:t>
      </w:r>
    </w:p>
    <w:p w14:paraId="78CAD46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核心观点</w:t>
      </w:r>
    </w:p>
    <w:p w14:paraId="5F00C9A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观点一：三角闭环是商品超级周期的制度性基石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。2005–2007年全球资产价格超级周期，本质上是美中日三国在“消费—生产—融资”链条上形成结构性互补的产物。2023–2026年间该闭环虽已瓦解，但AI资本开支驱动的“企业内生化”需求正反馈依然生效。</w:t>
      </w:r>
    </w:p>
    <w:p w14:paraId="68D1AE6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观点二：中国2005–2007年的管制利率体系构成2007年泡沫的制度基础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彼时，1年期贷款基准利率7.47%、1年期存款基准利率4.14%、10年期国债收益率约4.5%，形成“管制利率倒挂”（存款基准高于市场无风险利率）及贷存利差3.33%的银行业“制度性红利”，为股市及楼市泡沫提供了重要制度条件。2023–2026年间，贷款市场报价利率（LPR）改革已根本改变该体系。</w:t>
      </w:r>
    </w:p>
    <w:p w14:paraId="23B57B8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观点三：三角闭环虽破裂，但资本开支正反馈依然有效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2005–2007年为央行被动投放流动性（外汇占款），2023–2026年为M7企业主动进行资本开支（盈利再投资）。两者均形成“资本支出→需求→业绩→股价→进一步资本支出”的正向循环。然2023–2026年的脆弱性集中于M7七家头部企业，而非整体信贷体系。</w:t>
      </w:r>
    </w:p>
    <w:p w14:paraId="1F2DF08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观点四：S1信号（资本开支增速二阶导转负）为最关键的领先指标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。当前M7资本开支/营业收入比率已达30%，距离35%阈值仅5个百分点。该阈值与2007年中国固定资产投资增速从高位回落的历史经验具有可比性。</w:t>
      </w:r>
    </w:p>
    <w:p w14:paraId="2A17C5A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观点五：S2信号（标志性AI企业IPO首日即巅峰）为同步确认指标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。OpenAI拟IPO规模或达1000亿美元（约占纳斯达克100指数流通市值的0.4%）。若上市首日高开幅度超过50%后收出长阴线，则将复现2007年11月5日中国石油IPO的市场模式。</w:t>
      </w:r>
    </w:p>
    <w:p w14:paraId="50EB8E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第一部分：2005–2007年有色金属超级周期全景复盘</w:t>
      </w:r>
    </w:p>
    <w:p w14:paraId="2DCE6E5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2005–2007年为二十一世纪初美中日三大经济体同步增长的罕见窗口，该同步性构成商品超级周期的宏观前提。本部分从经济增速、货币政策、汇率与贸易、外汇储备、财政政策及资本市场六个维度展开分析。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29220B0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全球主要经济体宏观背景</w:t>
      </w:r>
    </w:p>
    <w:p w14:paraId="5D8B886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1.1.1 经济增长：三国同步但结构互补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81"/>
        <w:gridCol w:w="1663"/>
        <w:gridCol w:w="1663"/>
        <w:gridCol w:w="1663"/>
        <w:gridCol w:w="1663"/>
        <w:gridCol w:w="1313"/>
      </w:tblGrid>
      <w:tr w14:paraId="1A2D7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2D785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31DAA0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33A4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92C9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C6ECD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105D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2007年CPI</w:t>
            </w:r>
          </w:p>
        </w:tc>
      </w:tr>
      <w:tr w14:paraId="085DC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74DA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CB3A27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5F8F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76B6A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6C52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755E33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</w:tr>
      <w:tr w14:paraId="2CF1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4494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336E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D3B66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81BE8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F004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2AABC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4.8%</w:t>
            </w:r>
          </w:p>
        </w:tc>
      </w:tr>
      <w:tr w14:paraId="5709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92A00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3C60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9748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0923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8314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358D3F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0.0%</w:t>
            </w:r>
          </w:p>
        </w:tc>
      </w:tr>
    </w:tbl>
    <w:p w14:paraId="1B89EAB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：美国GDP数据来自Macrotrends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"https://www.macrotrends.net/global-metrics/countries/usa/united-states/gdp-growth-rate"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及IMF数据库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"https://www.stats.gov.cn/sj/ndsj/2008/html/Z2603e.htm"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；中国GDP数据来自国家统计局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；日本GDP数据来自IMF数据库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"https://www.stats.gov.cn/sj/ndsj/2008/html/Z2603e.htm"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。中国名义GDP增速及CPI数据来自国家统计局。</w:t>
      </w:r>
    </w:p>
    <w:p w14:paraId="04C5759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：2005年6月股权分置改革启动（市场底部）；2005年7月人民币汇率形成机制改革启动；2006年6月美联储加息周期见顶于5.25%。</w:t>
      </w:r>
    </w:p>
    <w:p w14:paraId="11E0554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：中国名义GDP增速（23%）显著高于实际增速（14%），差值源于通胀及资产价格重估。日本实际增速已摆脱零增长（2005年1.9%、2006年2.4%、2007年2.1%）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，但名义增速仍接近零，反映通缩压力犹存。美国GDP增速放缓但消费保持韧性，财富效应对商品需求形成支撑。</w:t>
      </w:r>
    </w:p>
    <w:p w14:paraId="35E0945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1.1.2 货币政策：表面紧缩与实际宽松的背离</w:t>
      </w:r>
    </w:p>
    <w:p w14:paraId="514FAAB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2007年三国货币政策呈现“表面紧缩、实际宽松”的悖论。若仅观察政策利率（美联储5.25%、中国1年期贷款基准7.47%、日本隔夜利率0.5%），则三国均呈紧缩态势；然金融市场实际感受到的金融条件普遍偏宽松。</w:t>
      </w:r>
    </w:p>
    <w:p w14:paraId="5853834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三层利率指标体系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（同期限市场利率对比）：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44"/>
        <w:gridCol w:w="2178"/>
        <w:gridCol w:w="3078"/>
        <w:gridCol w:w="1846"/>
      </w:tblGrid>
      <w:tr w14:paraId="4A0C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EA272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C73BC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4716D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84B6F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F5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6E33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2482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联邦基金利率5.25%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9AD2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1年期贷款基准7.47%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47510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隔夜利率0.5%</w:t>
            </w:r>
          </w:p>
        </w:tc>
      </w:tr>
      <w:tr w14:paraId="06F2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5F1609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短端市场利率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47DB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1年期国债约4.5–4.7%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B097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1年期国债年初约2.1%/年末约3.8%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AB543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1年期国债约0.6%</w:t>
            </w:r>
          </w:p>
        </w:tc>
      </w:tr>
      <w:tr w14:paraId="702A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20830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长端市场利率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DEA62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10年期国债约4.6–4.7%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55A18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D4AF5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10年期JGB约1.5%</w:t>
            </w:r>
          </w:p>
        </w:tc>
      </w:tr>
      <w:tr w14:paraId="0633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E999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市场短长利差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B618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861C8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年初约+2.4%/年末约+0.7%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BA91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约+0.9%</w:t>
            </w:r>
          </w:p>
        </w:tc>
      </w:tr>
      <w:tr w14:paraId="2CBB7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2251D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实际融资利率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72C49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30年房贷约6.0–6.5%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BDE8B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房贷约7.8%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3271C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房贷约2.5%</w:t>
            </w:r>
          </w:p>
        </w:tc>
      </w:tr>
      <w:tr w14:paraId="5E30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FF0B7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贷存利差（管制）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EDF9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2497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DDD4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D326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9422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741E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4%→6%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C08BB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17.6%→16.7%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72F27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1%→2%</w:t>
            </w:r>
          </w:p>
        </w:tc>
      </w:tr>
      <w:tr w14:paraId="62F9C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4F44E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68EA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766AA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数量型+管制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53288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价格型（量宽后）</w:t>
            </w:r>
          </w:p>
        </w:tc>
      </w:tr>
      <w:tr w14:paraId="69F38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CB2F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实际金融条件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D816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宽松（长端未跟随）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DA99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局部宽松（外汇占款）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DB63D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极度宽松（套利盛行）</w:t>
            </w:r>
          </w:p>
        </w:tc>
      </w:tr>
    </w:tbl>
    <w:p w14:paraId="7F68D2E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：美国联邦基金利率来自美联储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；美国10年期国债收益率来自美联储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及公开市场数据；中国存贷款基准利率来自中国人民银行；中国1年期国债收益率来自财政部发行数据；日本隔夜利率来自日本央行。</w:t>
      </w:r>
    </w:p>
    <w:p w14:paraId="3012CD38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美国“格林斯潘之谜”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：美联储于2004–2006年间将联邦基金利率自1%上调至5.25%，2006年6月至2007年8月维持在5.25%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，但10年期国债收益率在2006年6月约为5%，2007年逐步回落至约3.5%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，加息在金融市场传导受阻。根源在于全球“储蓄过剩”——亚洲国家及石油美元避险资金压低长端利率。</w:t>
      </w:r>
    </w:p>
    <w:p w14:paraId="33DDADA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中国管制利率体系与外汇占款对冲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92"/>
        <w:gridCol w:w="1132"/>
        <w:gridCol w:w="981"/>
        <w:gridCol w:w="1046"/>
        <w:gridCol w:w="981"/>
        <w:gridCol w:w="981"/>
        <w:gridCol w:w="879"/>
        <w:gridCol w:w="879"/>
        <w:gridCol w:w="775"/>
      </w:tblGrid>
      <w:tr w14:paraId="5F0F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21E2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67341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567E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0B91E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22932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03332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AF216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9F7E1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BEC99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贷存利差</w:t>
            </w:r>
          </w:p>
        </w:tc>
      </w:tr>
      <w:tr w14:paraId="4906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903C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F4C1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298,755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BD09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4315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9C10D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66C4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EBA70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D73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6AD2B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F54B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D471A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41F6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345,603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5C8E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A49FA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7DFA80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F5A02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2.52%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6393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F27D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502F1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3.60%</w:t>
            </w:r>
          </w:p>
        </w:tc>
      </w:tr>
      <w:tr w14:paraId="49F1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C66F22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3D49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403,442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66FD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27F6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约4.0万亿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AFA3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2201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7B31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3D27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1388E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5857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35307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1902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475,166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18745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29BA1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8990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1110A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F715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9592A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9A3B9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3.06%</w:t>
            </w:r>
          </w:p>
        </w:tc>
      </w:tr>
    </w:tbl>
    <w:p w14:paraId="3265AD1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：中国存贷款基准利率来自中国人民银行；外汇储备数据来自国家外汇管理局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；1年期国债收益率来自财政部发行数据（2007年12月为3.66%）。</w:t>
      </w:r>
    </w:p>
    <w:p w14:paraId="1A977B6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中国2007年货币政策呈现两重反常特征：（1）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管制利率倒挂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——1年期存款基准4.14%显著高于1年期国债收益率（年末约3.8%）；（2）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贷存利差3.33%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——1年期贷款基准7.47%与存款基准4.14%之差构成银行业的制度性安全垫。上述扭曲源于外汇占款被动投放基础货币：2005–2007年间中国外汇储备从8189亿美元跃升至15282亿美元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，外汇占款被动增加，央行被迫同时运用数量型工具（10次上调存款准备金率）与价格型工具（6次加息），但加息效果被外汇占款的扩张效应对冲，最终形成局部宽松的金融条件。</w:t>
      </w:r>
    </w:p>
    <w:p w14:paraId="3052E3D1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日本套利交易机制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日本央行于2007年2月将无担保隔夜拆借利率自0.25%上调至0.5%，此后维持该利率水平不变。低利率环境催生日元套息交易（借入日元投资高息美元资产或商品），估算规模逾5000亿美元（业内估算值），成为全球风险偏好的重要推手。</w:t>
      </w:r>
    </w:p>
    <w:p w14:paraId="49C4647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综上，三国分别通过“储蓄过剩压制”“外汇占款对冲”“套利输出”三种机制形成全球流动性宽松格局，构成商品超级周期的货币基础。</w:t>
      </w:r>
    </w:p>
    <w:p w14:paraId="24D3524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1.1.3 汇率与贸易：三国货币再平衡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65"/>
        <w:gridCol w:w="2438"/>
        <w:gridCol w:w="2885"/>
        <w:gridCol w:w="2158"/>
      </w:tblGrid>
      <w:tr w14:paraId="77139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01746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B6E44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56575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9A33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1B7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AD9A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汇率指数变化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32F3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E0FD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人民币8.28→约7.61（升值约8%）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4945C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日元102→114（贬值12%）</w:t>
            </w:r>
          </w:p>
        </w:tc>
      </w:tr>
      <w:tr w14:paraId="1063D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BA0A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贸易差额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968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经常账户赤字约7000亿美元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33A9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顺差1020→2622亿美元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F47BE1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顺差90→1000亿美元</w:t>
            </w:r>
          </w:p>
        </w:tc>
      </w:tr>
      <w:tr w14:paraId="179B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2E128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E67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1BC2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管理浮动（爬行盯住美元）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6BF84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</w:tr>
    </w:tbl>
    <w:p w14:paraId="6D42688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：美元指数及汇率数据来自公开市场数据；中国外汇储备及贸易数据来自国家外汇管理局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2F57AB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：2005年7月人民币汇改；2006年5月LME铜价8790美元/吨历史新高；2008年12月日元升值至91.30（套利逆转）。</w:t>
      </w:r>
    </w:p>
    <w:p w14:paraId="58D6A5A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美元贬值传导链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：美元贬值→美元计价商品价格上涨（LME铜自约3000→8790美元/吨）→全球资金流出美国→涌入新兴市场→美国进口成本上升→通胀压力→实际利率下降，此链条为商品超级周期的直接价格机制。</w:t>
      </w:r>
    </w:p>
    <w:p w14:paraId="7D4892F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人民币升值效应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：汇改后人民币渐进升值，2005年7月汇改启动（8.27→8.11），至2007年末约7.61，升值约8%，但贸易顺差仍实现翻倍，主因在于生产效率提升及外需强劲。</w:t>
      </w:r>
    </w:p>
    <w:p w14:paraId="6335EE9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日元贬值效应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：日元2005–2007年贬值约12%，利好出口（机械、汽车、电子），利空进口（能源、原材料），但贬值幅度小于美元，实际有效汇率保持稳定。</w:t>
      </w:r>
    </w:p>
    <w:p w14:paraId="7A99791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1.1.4 外汇储备：中国主导的全球失衡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44"/>
        <w:gridCol w:w="1993"/>
        <w:gridCol w:w="1836"/>
        <w:gridCol w:w="1753"/>
      </w:tblGrid>
      <w:tr w14:paraId="4B849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BD6B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FAEDA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5054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3B030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699D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4C35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30BB83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约1900亿美元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8268E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8,189亿美元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77D82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约8,288亿美元</w:t>
            </w:r>
          </w:p>
        </w:tc>
      </w:tr>
      <w:tr w14:paraId="564D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B4B8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98FA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约2,400亿美元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9895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15,282亿美元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6146A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约9,484亿美元</w:t>
            </w:r>
          </w:p>
        </w:tc>
      </w:tr>
      <w:tr w14:paraId="7FF4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B3B12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5D81B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97FA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F1247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约20%</w:t>
            </w:r>
          </w:p>
        </w:tc>
      </w:tr>
      <w:tr w14:paraId="21C9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B1CA8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6FDE6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41C40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CFB9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约21%</w:t>
            </w:r>
          </w:p>
        </w:tc>
      </w:tr>
    </w:tbl>
    <w:p w14:paraId="1C7DAF6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：中国外汇储备数据来自国家外汇管理局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；日本外汇储备数据来自IMF数据库。</w:t>
      </w:r>
    </w:p>
    <w:p w14:paraId="1361AD9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：2006年中国外储首破万亿美元（10663亿美元）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；2007年中国外储达15282亿美元，同比+43.31%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45CFB01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外汇占款传导链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出口创汇（1020→2622亿美元）→央行结汇→外汇占款增加→基础货币被动扩张→商业银行贷款扩张（贷存利差3.33%）→M2增速17.6%→16.7%→固定资产投资高速增长→铜/铝/锌需求爆发。中国外储/GDP约48%为“全球失衡”的典型镜像。</w:t>
      </w:r>
    </w:p>
    <w:p w14:paraId="79A8BC1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1.1.5 财政政策：三国方向迥异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73"/>
        <w:gridCol w:w="2085"/>
        <w:gridCol w:w="2368"/>
        <w:gridCol w:w="1920"/>
      </w:tblGrid>
      <w:tr w14:paraId="0BCCD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D4347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92559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2A29D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EF8C4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0899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996D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财政赤字/GDP（各国外径）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9E8C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联邦赤字约1.0–1.2%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9EE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中央财政赤字约0.3–0.8%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AAD08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约2.5–4.0%</w:t>
            </w:r>
          </w:p>
        </w:tc>
      </w:tr>
      <w:tr w14:paraId="71FD7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F90C1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266B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减税+战争开支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8F0C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基建投资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BFB8F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邮政民营化+削减赤字</w:t>
            </w:r>
          </w:p>
        </w:tc>
      </w:tr>
      <w:tr w14:paraId="0862C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6A0E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EFDE7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95E403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积极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0B6D48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整顿</w:t>
            </w:r>
          </w:p>
        </w:tc>
      </w:tr>
    </w:tbl>
    <w:p w14:paraId="7826BEA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：美国联邦赤字数据来自美国财政部；中国财政赤字数据来自财政部（中央财政口径）；日本财政赤字数据来自公开信息。</w:t>
      </w:r>
    </w:p>
    <w:p w14:paraId="090B6B2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口径说明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：各国财政赤字统计口径不同，美国为联邦政府口径，中国为中央财政口径（不含地方债务），日本为一般政府口径。跨國比较需注意口径差异。</w:t>
      </w:r>
    </w:p>
    <w:p w14:paraId="6E56041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美国财政扩张（布什减税+战争开支）支撑消费；中国财政赤字收窄系收入高速增长所致，基建投资维持高增长；日本小泉改革推动财政整顿。</w:t>
      </w:r>
    </w:p>
    <w:p w14:paraId="5EAFBD6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1.1.6 资本市场：涨幅反映经济结构差异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73"/>
        <w:gridCol w:w="2390"/>
        <w:gridCol w:w="2133"/>
        <w:gridCol w:w="2050"/>
      </w:tblGrid>
      <w:tr w14:paraId="5FFD7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227ED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4764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2A3A8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CC8F5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37EEF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6BAC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2005–2007股市涨幅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8467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标普500约+90–101%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EEE9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上证综指+513.5%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0490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日经225约+33%</w:t>
            </w:r>
          </w:p>
        </w:tc>
      </w:tr>
      <w:tr w14:paraId="71FC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5895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起点背景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AF3C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2002年科网泡沫底部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BC20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2005年股改后起步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86F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2005年初约11488点</w:t>
            </w:r>
          </w:p>
        </w:tc>
      </w:tr>
      <w:tr w14:paraId="190F6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F09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PE估值变化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7BEB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16x→22x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54A9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14x→50x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86D8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18x→约20x</w:t>
            </w:r>
          </w:p>
        </w:tc>
      </w:tr>
      <w:tr w14:paraId="5B5B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A27F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总市值/GDP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FAC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130%→150%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68A2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35%→120%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851D5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70%→95%</w:t>
            </w:r>
          </w:p>
        </w:tc>
      </w:tr>
    </w:tbl>
    <w:p w14:paraId="400E6F3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：上证指数涨幅来自公开市场数据；标普500及日经225涨幅来自公开市场数据。日经225指数2005年1月约11488点，2007年12月约15307点，涨幅约33%。</w:t>
      </w:r>
    </w:p>
    <w:p w14:paraId="54A4EAB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：2005年6月上证综指约1011（市场底部）；2007年10月16日上证综指6124.04（历史大顶）；2008年10月28日上证综指1664.93（金融危机底部）。</w:t>
      </w:r>
    </w:p>
    <w:p w14:paraId="57C42BE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中国PE扩张3.5倍（14x→50x），估值膨胀最为显著；美国PE扩张温和；日本PE基本稳定。</w:t>
      </w:r>
    </w:p>
    <w:p w14:paraId="378B3CA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债务与产业政策</w:t>
      </w:r>
    </w:p>
    <w:p w14:paraId="0C35143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1.2.1 三国债务结构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75"/>
        <w:gridCol w:w="1339"/>
        <w:gridCol w:w="1339"/>
        <w:gridCol w:w="1339"/>
        <w:gridCol w:w="1099"/>
      </w:tblGrid>
      <w:tr w14:paraId="5449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450B7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A5EC3C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0257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3B32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7C396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2008</w:t>
            </w:r>
          </w:p>
        </w:tc>
      </w:tr>
      <w:tr w14:paraId="512D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B30F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66CB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066B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C752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2488D3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约76%</w:t>
            </w:r>
          </w:p>
        </w:tc>
      </w:tr>
      <w:tr w14:paraId="781A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0164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824471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3B6F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18BD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CDBB9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约96%</w:t>
            </w:r>
          </w:p>
        </w:tc>
      </w:tr>
      <w:tr w14:paraId="687A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F9A8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E98A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4E6F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C02E7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27E61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约21.5%</w:t>
            </w:r>
          </w:p>
        </w:tc>
      </w:tr>
      <w:tr w14:paraId="01D33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D6D38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中国企业杠杆率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4570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976E2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45F3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4F4A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约130%</w:t>
            </w:r>
          </w:p>
        </w:tc>
      </w:tr>
      <w:tr w14:paraId="5327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FD941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821DF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AB97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B0F9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08290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约183%</w:t>
            </w:r>
          </w:p>
        </w:tc>
      </w:tr>
    </w:tbl>
    <w:p w14:paraId="0135669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：IMF全球债务数据库及世界银行数据。</w:t>
      </w:r>
    </w:p>
    <w:p w14:paraId="35BAE84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：2005–2007年美国次贷规模约1.1万亿美元，占按揭市场约13%；2007年美国公司债利差缓慢上升；2008年12月全球信贷冻结。</w:t>
      </w:r>
    </w:p>
    <w:p w14:paraId="41629D4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居民杠杆率于99%见顶（2008年危机根源）；中国企业杠杆率持续攀升（投资驱动+银行主导）；日本政府债务率全球最高但私人部门已完成去杠杆。三国债务结构呈现互补性，共同构成“全球储蓄过剩”（伯南克命题）的微观基础。</w:t>
      </w:r>
    </w:p>
    <w:p w14:paraId="677E883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1.2.2 产业政策对商品的间接影响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91"/>
        <w:gridCol w:w="3245"/>
        <w:gridCol w:w="2864"/>
        <w:gridCol w:w="1746"/>
      </w:tblGrid>
      <w:tr w14:paraId="3340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E810FD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F288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3F41B7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94696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1B025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D1F2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有色/资源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87E5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534F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无针对性干预，大宗商品依赖进口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93377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非资源型国家，高端装备出口支撑矿业</w:t>
            </w:r>
          </w:p>
        </w:tc>
      </w:tr>
      <w:tr w14:paraId="6370A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982D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8C6FD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2005年7月汇改+持续加息提准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7AF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格林斯潘/伯南克低利率，对资产泡沫“事后清理”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14134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2006年退出QE，2007年利率0.5%</w:t>
            </w:r>
          </w:p>
        </w:tc>
      </w:tr>
      <w:tr w14:paraId="0BC3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7C3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资本市场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276B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2005年6月股权分置改革；2007年5月印花税1‰→3‰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FA073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废除Glass-Steagall法案；衍生品不受监管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56CB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小泉改革</w:t>
            </w:r>
          </w:p>
        </w:tc>
      </w:tr>
      <w:tr w14:paraId="1894F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EF6D9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宏观基调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50AF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“防止经济过热”，2007年“两防”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2149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“大稳健”（Great Moderation）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B1804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结构改革+通缩抗争</w:t>
            </w:r>
          </w:p>
        </w:tc>
      </w:tr>
    </w:tbl>
    <w:p w14:paraId="254A15F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267AF7E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市场共识与公司表现</w:t>
      </w:r>
    </w:p>
    <w:p w14:paraId="460B534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1.3.1 市场共识演变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18"/>
        <w:gridCol w:w="2580"/>
        <w:gridCol w:w="8082"/>
      </w:tblGrid>
      <w:tr w14:paraId="1AB6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E9EFC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630C8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6AF68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市场共识</w:t>
            </w:r>
          </w:p>
        </w:tc>
      </w:tr>
      <w:tr w14:paraId="0B1E5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BFBF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62C8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2005–2006年初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3DDDF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7BC13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F1405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A61E9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2006年5月–2007年6月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598532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铜价创8790美元/吨新高后，“中国需求”叙事确立，“商品超级周期”成为共识</w:t>
            </w:r>
          </w:p>
        </w:tc>
      </w:tr>
      <w:tr w14:paraId="44A73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56538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98E1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2007年7月–10月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08581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“资产注入”故事取代基本面，散户月开户380万户，有色动态PE约49x</w:t>
            </w:r>
          </w:p>
        </w:tc>
      </w:tr>
    </w:tbl>
    <w:p w14:paraId="0C47B81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1.3.2 分析师预期与实际偏差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42"/>
        <w:gridCol w:w="3551"/>
        <w:gridCol w:w="5487"/>
      </w:tblGrid>
      <w:tr w14:paraId="4E71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7574E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F6D27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0F3A9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6B43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72A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DAED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铜价10000+美元/吨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9A64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2006年5月实际8790美元/吨见顶</w:t>
            </w:r>
          </w:p>
        </w:tc>
      </w:tr>
      <w:tr w14:paraId="04811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4B19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AC9D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铜价12000美元/吨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8C3E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铜价在6000–8000美元/吨区间震荡</w:t>
            </w:r>
          </w:p>
        </w:tc>
      </w:tr>
      <w:tr w14:paraId="7A61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2B9F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066E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上证综指8000点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D3A7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2007年10月16日实际6124点见顶</w:t>
            </w:r>
          </w:p>
        </w:tc>
      </w:tr>
    </w:tbl>
    <w:p w14:paraId="6E141C0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：2007年分析师对铜价的乐观预期与实际峰值存在显著偏差。当前2026年美股分析师对AI的乐观程度已接近2007年水平，该一致性本身构成反向指标。</w:t>
      </w:r>
    </w:p>
    <w:p w14:paraId="30EBF3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1.3.3 国内外公司表现与共振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6"/>
        <w:gridCol w:w="939"/>
        <w:gridCol w:w="1274"/>
        <w:gridCol w:w="1274"/>
        <w:gridCol w:w="939"/>
        <w:gridCol w:w="939"/>
        <w:gridCol w:w="1099"/>
        <w:gridCol w:w="1026"/>
      </w:tblGrid>
      <w:tr w14:paraId="393D1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690C7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042C2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86AF97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241BD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69F4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0930C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EE3F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9B76EF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股价涨幅</w:t>
            </w:r>
          </w:p>
        </w:tc>
      </w:tr>
      <w:tr w14:paraId="475C1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61CD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江西铜业(600362)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2726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133亿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E59C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366F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3B95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EC7E0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46.1亿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723D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41.3亿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695C3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+650%</w:t>
            </w:r>
          </w:p>
        </w:tc>
      </w:tr>
      <w:tr w14:paraId="21F72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6A7D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云南铜业(000878)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2C09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99FFE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1E90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7271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3681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30275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CEE1F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+1122%</w:t>
            </w:r>
          </w:p>
        </w:tc>
      </w:tr>
      <w:tr w14:paraId="1A9D6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786A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紫金矿业(601899)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5AAC7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A861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C284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约148–151亿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394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8E13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8781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4E08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+1500%</w:t>
            </w:r>
          </w:p>
        </w:tc>
      </w:tr>
      <w:tr w14:paraId="4690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1C6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中国铝业(601600)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815FB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84F928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F6CA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C00D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C65CE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9AED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102.25亿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6D784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</w:tr>
    </w:tbl>
    <w:p w14:paraId="48ECBC4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江西铜业2005年营收133.4亿元来自公司年报；云南铜业2005年营收134.16亿元来自公司业绩快报；中国铝业2006年营收648.27亿元、2007年营收761.80亿元、2007年净利润102.25亿元来自公司年报；紫金矿业2005年营收30–31亿元、2006年营收约106–108亿元、2007年营收约148–151亿元来自公司公告及公开信息。</w:t>
      </w:r>
    </w:p>
    <w:p w14:paraId="714D5CE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海外对标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：南方铜业(SCCO) 2003–2005年营收+412%；必和必拓(BHP)股价+400%；自由港麦克莫兰(FCX)股价+500%。</w:t>
      </w:r>
    </w:p>
    <w:p w14:paraId="1841704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1.3.4 巨型IPO现象</w:t>
      </w:r>
    </w:p>
    <w:p w14:paraId="7698819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2007年下半年A股出现史无前例的IPO洪峰：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31"/>
        <w:gridCol w:w="1701"/>
        <w:gridCol w:w="1295"/>
        <w:gridCol w:w="1418"/>
        <w:gridCol w:w="2701"/>
      </w:tblGrid>
      <w:tr w14:paraId="5CCB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4A4B5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3C345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B4B57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7C6D0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31DC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关键事件</w:t>
            </w:r>
          </w:p>
        </w:tc>
      </w:tr>
      <w:tr w14:paraId="4458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10EA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2007-04-30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D117E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8860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CCAF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C3DFE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吸收合并山铝/兰铝回归A股</w:t>
            </w:r>
          </w:p>
        </w:tc>
      </w:tr>
      <w:tr w14:paraId="47150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272E5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2007-07-12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EDF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6F6E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BFDE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910F7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资源储量重估</w:t>
            </w:r>
          </w:p>
        </w:tc>
      </w:tr>
      <w:tr w14:paraId="70C1E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97E7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2007-09-25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8EE9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E987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6E04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FF820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大型银行IPO</w:t>
            </w:r>
          </w:p>
        </w:tc>
      </w:tr>
      <w:tr w14:paraId="7D4F9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47D7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2007-10-09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89AE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5B0C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666亿元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18AA9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2.7万亿元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9B0C1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冻结近30%流通市值</w:t>
            </w:r>
          </w:p>
        </w:tc>
      </w:tr>
      <w:tr w14:paraId="125E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378B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2007-11-05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B284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中国石油A股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E3EB7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668亿元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71D5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3.3万亿元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F928B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冻结≈流通市值40%</w:t>
            </w:r>
          </w:p>
        </w:tc>
      </w:tr>
    </w:tbl>
    <w:p w14:paraId="3E53619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：IPO数据来自公开市场信息。</w:t>
      </w:r>
    </w:p>
    <w:p w14:paraId="6230CAC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：中石油冻结3.3万亿元（占流通市值约40%）为2007年顶部关键触发因素。OpenAI IPO的抽水效应相对较小（约0.8% vs 3%），但需关注IPO后30日表现作为情绪指标。</w:t>
      </w:r>
    </w:p>
    <w:p w14:paraId="6AFD214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1.4 超级周期的汇聚与终结机制</w:t>
      </w:r>
    </w:p>
    <w:p w14:paraId="456C924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1.4.1 七大因素的汇聚与逆转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76"/>
        <w:gridCol w:w="4754"/>
        <w:gridCol w:w="5450"/>
      </w:tblGrid>
      <w:tr w14:paraId="26D70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400B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ED15F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87529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逆转方向（2007末–2008）</w:t>
            </w:r>
          </w:p>
        </w:tc>
      </w:tr>
      <w:tr w14:paraId="18E8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3CD8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AF66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5B6E3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2007年11月固投增速见顶，2008年金融危机致需求骤停</w:t>
            </w:r>
          </w:p>
        </w:tc>
      </w:tr>
      <w:tr w14:paraId="74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4928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94D1D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美元指数92→80（-13%），推升美元计价商品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1AEA8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2008年避险推升美元，商品暴跌</w:t>
            </w:r>
          </w:p>
        </w:tc>
      </w:tr>
      <w:tr w14:paraId="4EC1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051F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9820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外汇占款+日元套利+储蓄过剩三重供给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3AC6D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央行加准加息+日元套利逆转+全球信贷冻结</w:t>
            </w:r>
          </w:p>
        </w:tc>
      </w:tr>
      <w:tr w14:paraId="0A66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CC530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F8B2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2006年5月LME铜见顶8790美元/吨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B34E6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2008年金融危机需求骤停，铜价暴跌</w:t>
            </w:r>
          </w:p>
        </w:tc>
      </w:tr>
      <w:tr w14:paraId="406F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4F97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82B7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14x→50x（全市场），有色动态PE约49x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6FD5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2008年有色PE跌回个位数</w:t>
            </w:r>
          </w:p>
        </w:tc>
      </w:tr>
      <w:tr w14:paraId="5976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89CFF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F80B7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中石油、神华等巨型IPO吸收流动性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17D8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2008年IPO暂停</w:t>
            </w:r>
          </w:p>
        </w:tc>
      </w:tr>
      <w:tr w14:paraId="5DD0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3D98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68098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“防止经济过热”收紧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B3142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2008年全面转向宽松救市</w:t>
            </w:r>
          </w:p>
        </w:tc>
      </w:tr>
    </w:tbl>
    <w:p w14:paraId="18487D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1.4.2 三角闭环：商品超级周期的结构性燃料</w:t>
      </w:r>
    </w:p>
    <w:p w14:paraId="1369EA7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：美国（消费+地产+金融杠杆）+中国（工业生产+固投+资源消耗）+日本（低成本资金+高端中间品）构成“消费—生产—融资”闭环。</w:t>
      </w:r>
    </w:p>
    <w:p w14:paraId="4FC6318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闭环破裂条件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（任一触发即可能终结）：</w:t>
      </w:r>
    </w:p>
    <w:p w14:paraId="6AA308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B6E0FC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美国消费崩盘（次贷危机）→终端需求消失；</w:t>
      </w:r>
    </w:p>
    <w:p w14:paraId="3497E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30CBE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CA2CD6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中国生产停滞（固投见顶）→资源需求消失；</w:t>
      </w:r>
    </w:p>
    <w:p w14:paraId="2CB449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ED03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139EAF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日本融资收紧（日银加息）→套利逆转。</w:t>
      </w:r>
    </w:p>
    <w:p w14:paraId="2ED86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05211B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2008年实际情况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：金融危机同时触发条件1与条件2，三角闭环彻底破裂，商品价格6个月内跌超50%。</w:t>
      </w:r>
    </w:p>
    <w:p w14:paraId="75C3FCB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1.4.3 三大见顶特征</w:t>
      </w:r>
    </w:p>
    <w:p w14:paraId="1AA802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BB79D8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商品与股价顶背离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：铜价于2006年5月见顶（8790美元/吨），股价于2007年10月见顶，背离期达17个月；</w:t>
      </w:r>
    </w:p>
    <w:p w14:paraId="54794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29471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CD70C2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垃圾股补涨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：龙头滞涨，边缘股连续涨停，为牛市尾声经典信号；</w:t>
      </w:r>
    </w:p>
    <w:p w14:paraId="0893CD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FC59B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F96038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巨型IPO放量长阴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：中石油668亿元募资，标志行情终点。</w:t>
      </w:r>
    </w:p>
    <w:p w14:paraId="2BDE52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A3BB20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第二部分：当前AI板块的结构性对标</w:t>
      </w:r>
    </w:p>
    <w:p w14:paraId="41055FF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2022年11月ChatGPT发布重新点燃“技术革命”叙事。18个月内，纳斯达克100指数自约11000点升至约21500点（+95%），英伟达(NVDA)涨幅显著。本章从十个维度进行系统性对标。</w:t>
      </w:r>
    </w:p>
    <w:p w14:paraId="585A750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同维度对比矩阵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0"/>
        <w:gridCol w:w="3214"/>
        <w:gridCol w:w="2780"/>
        <w:gridCol w:w="1522"/>
      </w:tblGrid>
      <w:tr w14:paraId="7140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539CB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1681D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9BCC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7967B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11E6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BE3B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前三大经济体角色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22DC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2DF37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美国（AI创新国）+中国（追赶国），日本角色减弱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48844C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05-07为互补，23-26为竞争</w:t>
            </w:r>
          </w:p>
        </w:tc>
      </w:tr>
      <w:tr w14:paraId="61FD3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A47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宏观驱动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6BA4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中国重工业化+城镇化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32B23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AGI革命+算力军备竞赛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A4022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资本开支驱动的需求正反馈</w:t>
            </w:r>
          </w:p>
        </w:tc>
      </w:tr>
      <w:tr w14:paraId="24D3C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4D1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6E45B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9504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M7企业盈利→AI Capex自驱；市场化利率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AD990E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流动性均宽松但机制不同</w:t>
            </w:r>
          </w:p>
        </w:tc>
      </w:tr>
      <w:tr w14:paraId="4F1E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CBE1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债务特征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FD72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美国居民杠杆高；中国企业杠杆快速上升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0B00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美国政府债务/GDP约120%；M7现金充裕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675B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杠杆集中于不同部门</w:t>
            </w:r>
          </w:p>
        </w:tc>
      </w:tr>
      <w:tr w14:paraId="50958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741C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产业政策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AEE8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中国限制高耗能；美国无干预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0877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中国大基金+国产替代；美国芯片管制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A0A9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政策角色转向产业竞争</w:t>
            </w:r>
          </w:p>
        </w:tc>
      </w:tr>
      <w:tr w14:paraId="05378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2F54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市场共识演变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2746D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CF99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怀疑→接受→部分狂热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3B76E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路径类似但演化更慢</w:t>
            </w:r>
          </w:p>
        </w:tc>
      </w:tr>
      <w:tr w14:paraId="0EB5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24300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CD90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有色板块+1857%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0BA09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NVDA涨幅显著；NDX+95%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2A3F8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单股涨幅类似</w:t>
            </w:r>
          </w:p>
        </w:tc>
      </w:tr>
      <w:tr w14:paraId="16A07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2BF1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4D144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PE约49x（动态）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3132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 P/S约20x（有业绩支撑）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47745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23-26估值有业绩支撑</w:t>
            </w:r>
          </w:p>
        </w:tc>
      </w:tr>
      <w:tr w14:paraId="614E9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DFF5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巨型IPO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4B3C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中石油冻结3.3万亿≈流通市值40%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2AA1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OpenAI待IPO（预计1000–3000亿）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420E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抽水效应减弱但信号意义更大</w:t>
            </w:r>
          </w:p>
        </w:tc>
      </w:tr>
      <w:tr w14:paraId="1751D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6741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1CEF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政策收紧+IPO虹吸+商品见顶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ED9E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潜在：Capex回撤+应用端证伪+IPO抽血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2771C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终结机制类似</w:t>
            </w:r>
          </w:p>
        </w:tc>
      </w:tr>
    </w:tbl>
    <w:p w14:paraId="5B4D176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AI板块现状（截至2026年6月）</w:t>
      </w:r>
    </w:p>
    <w:p w14:paraId="5B6F258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M7云厂商资本开支/营业收入比率（估算）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46"/>
        <w:gridCol w:w="1062"/>
        <w:gridCol w:w="1062"/>
        <w:gridCol w:w="946"/>
        <w:gridCol w:w="946"/>
        <w:gridCol w:w="1492"/>
        <w:gridCol w:w="946"/>
        <w:gridCol w:w="946"/>
      </w:tblGrid>
      <w:tr w14:paraId="744A8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683B6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D94E5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D8C3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1888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2464E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EAD6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009B0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9D8BC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</w:tr>
      <w:tr w14:paraId="2610C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D3F9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E049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11F38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D8BA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575E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A065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6B0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60DE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0.35</w:t>
            </w:r>
          </w:p>
        </w:tc>
      </w:tr>
      <w:tr w14:paraId="20A8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9F026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BACB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95BC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92B0E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D312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96B5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9174D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2FA21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</w:tr>
      <w:tr w14:paraId="2E676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51AA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2A514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1459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0D9DD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43F2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659D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2A5AC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EE9914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</w:tr>
      <w:tr w14:paraId="2E366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48C20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1DB2B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0ACF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F070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F348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0EC5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5A19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D5237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</w:t>
            </w:r>
          </w:p>
        </w:tc>
      </w:tr>
      <w:tr w14:paraId="34E94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1231C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3D088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F2B5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75C6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44B4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53C1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05942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43E5A1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7CA6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7C798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C015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940A1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50DCD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6650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BE17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A31E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2F3F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</w:tr>
      <w:tr w14:paraId="0537B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719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NVIDIA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6BA1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9E8407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2E47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0042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116D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3B7C8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4235FF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5D580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82283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M7（除NVDA）平均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B674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A279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B18A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EF18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6260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CD69A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1192C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</w:t>
            </w:r>
          </w:p>
        </w:tc>
      </w:tr>
    </w:tbl>
    <w:p w14:paraId="1FBD202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：基于公司SEC 10-Q/10-K filings及卖方一致预期整理。Capex数据为公司披露或分析师预估，部分为估算值。</w:t>
      </w:r>
    </w:p>
    <w:p w14:paraId="4D1748B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：M7（除NVDA）平均Capex/Rev自2024年18%升至2026年预估30%，距35%阈值（基于历史固投增速见顶经验的模型假设）仅5个百分点。Meta的2026年预估Capex/Rev达39%，为M7中最高。</w:t>
      </w:r>
    </w:p>
    <w:p w14:paraId="480C411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NDX与NVDA表现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30"/>
        <w:gridCol w:w="2237"/>
        <w:gridCol w:w="2118"/>
        <w:gridCol w:w="1147"/>
      </w:tblGrid>
      <w:tr w14:paraId="328D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A7866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FB539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3304C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749F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</w:tr>
      <w:tr w14:paraId="05ED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A86142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8AFDA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3ED80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A967A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约+95%</w:t>
            </w:r>
          </w:p>
        </w:tc>
      </w:tr>
      <w:tr w14:paraId="0B7B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E70B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FAF3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55CBC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约130美元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4649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约+1,035%</w:t>
            </w:r>
          </w:p>
        </w:tc>
      </w:tr>
      <w:tr w14:paraId="48687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C8D4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M7在NDX占比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B02B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E78B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8D06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+13pct</w:t>
            </w:r>
          </w:p>
        </w:tc>
      </w:tr>
    </w:tbl>
    <w:p w14:paraId="7FAA663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：纳斯达克及公开市场数据。</w:t>
      </w:r>
    </w:p>
    <w:p w14:paraId="30C4C5F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：2022年11月ChatGPT发布；2023年5月NVDA Q1业绩超预期；2024年6月NVDA拆股；2025年8月NVDA破150美元；2026年3月NVDA单日振幅12%。</w:t>
      </w:r>
    </w:p>
    <w:p w14:paraId="6FA7F1E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 HBM市场规模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5526"/>
        <w:gridCol w:w="3345"/>
      </w:tblGrid>
      <w:tr w14:paraId="4444C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B9576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508B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A867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同比</w:t>
            </w:r>
          </w:p>
        </w:tc>
      </w:tr>
      <w:tr w14:paraId="7E68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910C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2155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约43.5亿美元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D995B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9D9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394C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DA098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E0B49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约+290%</w:t>
            </w:r>
          </w:p>
        </w:tc>
      </w:tr>
      <w:tr w14:paraId="12E0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5686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DD4E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84108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约+80%</w:t>
            </w:r>
          </w:p>
        </w:tc>
      </w:tr>
      <w:tr w14:paraId="3128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6BAB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F1DD8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E709D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约+63%</w:t>
            </w:r>
          </w:p>
        </w:tc>
      </w:tr>
    </w:tbl>
    <w:p w14:paraId="27A26D2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：行业研究机构数据。2023年全球HBM收入43.5亿美元，2024年170亿美元，2025年约307亿美元（同比+80.6%），预计2026年有望达到500亿美元。</w:t>
      </w:r>
    </w:p>
    <w:p w14:paraId="1296F69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：增速拐点明显——2025年增速从约+290%降至约+80%，2026年进一步降至约+63%。这一供给端的“二阶导转负”构成硬件股估值的潜在压力。</w:t>
      </w:r>
    </w:p>
    <w:p w14:paraId="2F22C5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2.2.4 A股AI板块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20"/>
        <w:gridCol w:w="1959"/>
        <w:gridCol w:w="1968"/>
        <w:gridCol w:w="1167"/>
        <w:gridCol w:w="920"/>
      </w:tblGrid>
      <w:tr w14:paraId="2DE0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1A46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1FFE37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3857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06BFA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F0C9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</w:tr>
      <w:tr w14:paraId="470A7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91C7A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中际旭创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6B3F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7694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B515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9BAEB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41C1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E834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新易盛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E5AC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F8688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B0291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1405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5F4F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BB07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寒武纪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6D1A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7B09A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C70A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F9372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606D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0E22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海光信息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E7D8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D822A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16F65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E9090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0364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E064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金山办公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D46C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D4F19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E0F6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F18D8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  <w:tr w14:paraId="46AB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3ADF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科大讯飞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9D943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DBC6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D0DC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3E925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</w:tbl>
    <w:p w14:paraId="636C61D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：A股公开市场数据。</w:t>
      </w:r>
    </w:p>
    <w:p w14:paraId="2F03984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轮动阶段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：早期（算力芯片）→中期（光模块/服务器）→晚期（应用软件，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当前已至晚期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）→末期（垃圾股/概念股）。</w:t>
      </w:r>
    </w:p>
    <w:p w14:paraId="1CABE48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2.2.5 NVDA估值历史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57"/>
        <w:gridCol w:w="1340"/>
        <w:gridCol w:w="993"/>
        <w:gridCol w:w="1470"/>
        <w:gridCol w:w="1476"/>
      </w:tblGrid>
      <w:tr w14:paraId="7BBA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160B9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1AB88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EFE34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C9A94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79898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PS 200MA</w:t>
            </w:r>
          </w:p>
        </w:tc>
      </w:tr>
      <w:tr w14:paraId="1D92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626D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D479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874E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3CAD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8C4A3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</w:t>
            </w:r>
          </w:p>
        </w:tc>
      </w:tr>
      <w:tr w14:paraId="10B83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6B868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4A5C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F27D1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47DE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1885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</w:tr>
      <w:tr w14:paraId="77CE1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20B9B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74E6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1670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2B1EB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24F98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</w:t>
            </w:r>
          </w:p>
        </w:tc>
      </w:tr>
      <w:tr w14:paraId="55BA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52DE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517D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约32–35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8D5C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12AC7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4C95E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约23</w:t>
            </w:r>
          </w:p>
        </w:tc>
      </w:tr>
    </w:tbl>
    <w:p w14:paraId="1B80B8F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：NVDA P/S约20.13（需进一步核实具体时点）。</w:t>
      </w:r>
    </w:p>
    <w:p w14:paraId="0D3854C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2.2.6 Copilot渗透率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6"/>
        <w:gridCol w:w="6110"/>
        <w:gridCol w:w="2864"/>
      </w:tblGrid>
      <w:tr w14:paraId="3E0F2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20B10F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6C031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89A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GitHub Copilot</w:t>
            </w:r>
          </w:p>
        </w:tc>
      </w:tr>
      <w:tr w14:paraId="6778B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E84E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B9FB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6AD7E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约25%</w:t>
            </w:r>
          </w:p>
        </w:tc>
      </w:tr>
      <w:tr w14:paraId="68BD1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71B1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B0999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FF3A9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约32%</w:t>
            </w:r>
          </w:p>
        </w:tc>
      </w:tr>
      <w:tr w14:paraId="47A68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8B7A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0E1D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0A3DC3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</w:tr>
      <w:tr w14:paraId="48916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06CDF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C88B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47F7B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约42%</w:t>
            </w:r>
          </w:p>
        </w:tc>
      </w:tr>
    </w:tbl>
    <w:p w14:paraId="30247B3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：Microsoft 365拥有超4.5亿付费席位，真正为Copilot额外付费的约1500万席位，占比约3.3%。GitHub Copilot数据来自公开信息。</w:t>
      </w:r>
    </w:p>
    <w:p w14:paraId="556C635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：3.3%的付费渗透率显著低于此前市场预期，说明AI应用端商业化进展慢于预期。此外需关注Copilot在付费AI用户中的首选率变化趋势。</w:t>
      </w:r>
    </w:p>
    <w:p w14:paraId="561DFE6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宏观背景对照及预期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1"/>
        <w:gridCol w:w="2872"/>
        <w:gridCol w:w="2695"/>
        <w:gridCol w:w="2018"/>
      </w:tblGrid>
      <w:tr w14:paraId="7A245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21CF0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C8D84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1FEE8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8014B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7C4F5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F4A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时代叙事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35A1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中国城镇化+工业化+WTO红利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1B29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AGI/通用智能革命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5364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时代级叙事驱动资产价格</w:t>
            </w:r>
          </w:p>
        </w:tc>
      </w:tr>
      <w:tr w14:paraId="6D7EA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A3D7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A7CE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5C978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AI Capex高增长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FCE727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实体需求爆发</w:t>
            </w:r>
          </w:p>
        </w:tc>
      </w:tr>
      <w:tr w14:paraId="54D6E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EA81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AEBC8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美元指数跌13%，人民币升值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B881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美联储2025年降息至3.5%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C8DB5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货币政策转向</w:t>
            </w:r>
          </w:p>
        </w:tc>
      </w:tr>
      <w:tr w14:paraId="3EB2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E0355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B24A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BAF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企业自驱Capex+市场化利率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0051E1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流动性均宽松但来源不同</w:t>
            </w:r>
          </w:p>
        </w:tc>
      </w:tr>
      <w:tr w14:paraId="633DB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8E9B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9709B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加息+加准+印花税+IPO抽血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09EB3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AI监管+芯片管制+关税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5573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政策干预持续</w:t>
            </w:r>
          </w:p>
        </w:tc>
      </w:tr>
      <w:tr w14:paraId="07C0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14D17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A3DC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435A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NDQ PE 25x→35x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F8DAD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估值均扩张但锚不同</w:t>
            </w:r>
          </w:p>
        </w:tc>
      </w:tr>
    </w:tbl>
    <w:p w14:paraId="4B41EB1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 IMF与卖方一致预期</w:t>
      </w:r>
    </w:p>
    <w:p w14:paraId="1489D0F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 2026年春季会议（2026年4月）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</w:t>
      </w:r>
    </w:p>
    <w:p w14:paraId="245DD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1E74EC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全球GDP增速3.1%（较2025年3.4%放缓）</w:t>
      </w:r>
    </w:p>
    <w:p w14:paraId="0976C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ED8FD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D6136F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美国2.3%</w:t>
      </w:r>
    </w:p>
    <w:p w14:paraId="36AEA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6E9AD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840DFF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中国4.4%–4.5%</w:t>
      </w:r>
    </w:p>
    <w:p w14:paraId="6303C9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10D45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8B95CD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特别提示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：AI资本开支若被证伪可能引发剧烈修正</w:t>
      </w:r>
    </w:p>
    <w:p w14:paraId="060E2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D02129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国内券商共识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2250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FE831F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中金：中国GDP 4.7%，制造业AI产业链为主要贡献</w:t>
      </w:r>
    </w:p>
    <w:p w14:paraId="4141C4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C243C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D658DA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中信：中国GDP 4.6%，AI应用场景落地</w:t>
      </w:r>
    </w:p>
    <w:p w14:paraId="54903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E4BD7C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美股分析师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FD5CF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19249C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高盛：NVDA目标价200美元</w:t>
      </w:r>
    </w:p>
    <w:p w14:paraId="60AE43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88332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2B7052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摩根士丹利：NDX目标25,000点</w:t>
      </w:r>
    </w:p>
    <w:p w14:paraId="6A1D3E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4D272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F7B2A7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摩根大通：MSFT目标600美元</w:t>
      </w:r>
    </w:p>
    <w:p w14:paraId="0F7DCD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C0634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第三部分：三大量化顶部信号与操作框架</w:t>
      </w:r>
    </w:p>
    <w:p w14:paraId="454E444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基于2005–2007年历史镜像，本报告提出三项可量化、可监测、可证伪的顶部信号。</w:t>
      </w:r>
    </w:p>
    <w:p w14:paraId="544C87E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S1：云厂商资本开支增速二阶导转负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32"/>
        <w:gridCol w:w="9748"/>
      </w:tblGrid>
      <w:tr w14:paraId="29256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97C1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C39F6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CE8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C39F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5B1CC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算力需求的“真金”指标瓦解，证伪永续高增长叙事</w:t>
            </w:r>
          </w:p>
        </w:tc>
      </w:tr>
      <w:tr w14:paraId="33AF1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A3AF2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17139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2007年11月中国固定资产投资增速见顶→2008年铜真实需求断崖</w:t>
            </w:r>
          </w:p>
        </w:tc>
      </w:tr>
      <w:tr w14:paraId="312E3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0403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9BAA6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Capex同比增速连续两季&lt;20%或环比负增长（模型假设）</w:t>
            </w:r>
          </w:p>
        </w:tc>
      </w:tr>
      <w:tr w14:paraId="4921D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32711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5A2AB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（M7 Capex/Rev约30%，增速仍高）</w:t>
            </w:r>
          </w:p>
        </w:tc>
      </w:tr>
      <w:tr w14:paraId="43D2C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DFFA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0720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 2026Q3财报电话会CFO口径变化；台积电CoWoS订单变化</w:t>
            </w:r>
          </w:p>
        </w:tc>
      </w:tr>
      <w:tr w14:paraId="48D1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A4DA6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225D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10-Q/10-K、台积电月度营收</w:t>
            </w:r>
          </w:p>
        </w:tc>
      </w:tr>
      <w:tr w14:paraId="67F8F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63256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AA54F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2840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0251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798F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⏱ 领先指标（领先1–2季度）</w:t>
            </w:r>
          </w:p>
        </w:tc>
      </w:tr>
    </w:tbl>
    <w:p w14:paraId="360F2DF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S2：标志性AI独角兽巨型IPO首日即巅峰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31"/>
        <w:gridCol w:w="9549"/>
      </w:tblGrid>
      <w:tr w14:paraId="6AE3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8E87C6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7DA242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C1B7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1016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391FD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市场流动性已无法支撑“梦想变现”</w:t>
            </w:r>
          </w:p>
        </w:tc>
      </w:tr>
      <w:tr w14:paraId="290D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26222B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8C31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2007年11月5日中石油上市高开低走→上证指数大顶</w:t>
            </w:r>
          </w:p>
        </w:tc>
      </w:tr>
      <w:tr w14:paraId="7FE54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05AF1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520E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IPO首日高开&gt;50%后收长阴线（模型假设）</w:t>
            </w:r>
          </w:p>
        </w:tc>
      </w:tr>
      <w:tr w14:paraId="2A8B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5970F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BAB2E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（OpenAI未上市）</w:t>
            </w:r>
          </w:p>
        </w:tc>
      </w:tr>
      <w:tr w14:paraId="6B6DA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0E62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B3F25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SEC关于大型AI公司IPO的注册声明；OpenAI上市首日表现</w:t>
            </w:r>
          </w:p>
        </w:tc>
      </w:tr>
      <w:tr w14:paraId="78E2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885F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26C65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EDGAR、Bloomberg</w:t>
            </w:r>
          </w:p>
        </w:tc>
      </w:tr>
      <w:tr w14:paraId="5FB43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EF87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E7BF2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IPO后每日跟踪</w:t>
            </w:r>
          </w:p>
        </w:tc>
      </w:tr>
      <w:tr w14:paraId="62A45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3E3B6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2DECE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同步确认信号</w:t>
            </w:r>
          </w:p>
        </w:tc>
      </w:tr>
    </w:tbl>
    <w:p w14:paraId="2074853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OpenAI拟IPO估值变化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（非公开信息，仅供参考）：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44"/>
        <w:gridCol w:w="5126"/>
        <w:gridCol w:w="3710"/>
      </w:tblGrid>
      <w:tr w14:paraId="55E6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0850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75FF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06C4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</w:tr>
      <w:tr w14:paraId="5E61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EA2A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F227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约5000亿美元（要约收购）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73071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tender offer</w:t>
            </w:r>
          </w:p>
        </w:tc>
      </w:tr>
      <w:tr w14:paraId="155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726E5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2026年3月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8F539A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约8500亿美元（内部估值）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1456E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E67D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06AD2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63F3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拟IPO约1000亿美元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E82A4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预计2026Q4–2027Q1</w:t>
            </w:r>
          </w:p>
        </w:tc>
      </w:tr>
    </w:tbl>
    <w:p w14:paraId="7E1E17E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S3：龙头估值框架崩溃+应用端收入证伪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27"/>
        <w:gridCol w:w="9753"/>
      </w:tblGrid>
      <w:tr w14:paraId="77FB1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98639C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D91EFF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29D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B6C0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868011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估值从“梦想定价”切换为“残值定价”</w:t>
            </w:r>
          </w:p>
        </w:tc>
      </w:tr>
      <w:tr w14:paraId="4EAC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C88B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9CD2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2007年10月中铝高PE后暴跌</w:t>
            </w:r>
          </w:p>
        </w:tc>
      </w:tr>
      <w:tr w14:paraId="2136C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D9BD2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0CB4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NVDA营收环比增速降至个位数；Copilot付费渗透率停滞（模型假设）</w:t>
            </w:r>
          </w:p>
        </w:tc>
      </w:tr>
      <w:tr w14:paraId="338E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2BCD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C6A1E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（NVDA P/S约20，Copilot渗透率约3.3%）</w:t>
            </w:r>
          </w:p>
        </w:tc>
      </w:tr>
      <w:tr w14:paraId="417A4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E0C5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ED2B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NVDA季报营收环比；Microsoft Office云收入增速</w:t>
            </w:r>
          </w:p>
        </w:tc>
      </w:tr>
      <w:tr w14:paraId="5788B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8CA71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FDBAE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</w:t>
            </w:r>
          </w:p>
        </w:tc>
      </w:tr>
      <w:tr w14:paraId="5845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5C5EA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464CE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50C4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02B9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891860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🔵 滞后/确认信号</w:t>
            </w:r>
          </w:p>
        </w:tc>
      </w:tr>
    </w:tbl>
    <w:p w14:paraId="668C589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综合评分与操作建议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6"/>
        <w:gridCol w:w="3085"/>
        <w:gridCol w:w="5789"/>
      </w:tblGrid>
      <w:tr w14:paraId="5934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AD71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E31F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FFD1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操作建议</w:t>
            </w:r>
          </w:p>
        </w:tc>
      </w:tr>
      <w:tr w14:paraId="646E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762E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0/3 ~ 0.5/3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FEC9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</w:t>
            </w: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3991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维持AI仓位60–70%，跟踪S1</w:t>
            </w:r>
          </w:p>
        </w:tc>
      </w:tr>
      <w:tr w14:paraId="2D11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C16A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A40F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ECB3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减仓AI至30–40%</w:t>
            </w:r>
          </w:p>
        </w:tc>
      </w:tr>
      <w:tr w14:paraId="175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3A44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F80F7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危险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F3FF7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AI降至10–20%，转配债券/黄金</w:t>
            </w:r>
          </w:p>
        </w:tc>
      </w:tr>
      <w:tr w14:paraId="5D7FE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1D8D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F79E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361D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清仓风险资产，等待右侧机会</w:t>
            </w:r>
          </w:p>
        </w:tc>
      </w:tr>
    </w:tbl>
    <w:p w14:paraId="5D67E60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0/3 ~ 0.5/3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（S1接近触发但未触发，S2/S3未触发）。</w:t>
      </w:r>
    </w:p>
    <w:p w14:paraId="7558408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关键监测日程（2026–2027）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27"/>
        <w:gridCol w:w="2001"/>
        <w:gridCol w:w="1886"/>
        <w:gridCol w:w="1467"/>
        <w:gridCol w:w="1665"/>
      </w:tblGrid>
      <w:tr w14:paraId="510C9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8DC2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3B433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32D43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D36F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DF470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S3</w:t>
            </w:r>
          </w:p>
        </w:tc>
      </w:tr>
      <w:tr w14:paraId="666EE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EFFD2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1388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Q2财报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4084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Capex增速拐点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973B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F344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7445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C05A2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F062B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 IPO窗口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0DD5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4B9D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决定性观察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B0F0C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1001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C1A6C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85EF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Q3财报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3697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二阶导验证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E892E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6CDAF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</w:t>
            </w:r>
          </w:p>
        </w:tc>
      </w:tr>
      <w:tr w14:paraId="2D2A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4C5B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E5C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HBM产能释放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A5A851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供给拐点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8639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CE177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725E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586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2027年Q1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AE351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Q4财报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8D896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终极验证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EAA8D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C9B296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</w:tr>
    </w:tbl>
    <w:p w14:paraId="3A1CF57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：2026年下半年至2027年上半年。</w:t>
      </w:r>
    </w:p>
    <w:p w14:paraId="7DBD100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附录A：三国货币政策指标不对称的方法论说明</w:t>
      </w:r>
    </w:p>
    <w:p w14:paraId="52AD6BC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三国货币政策框架存在结构性差异，直接使用同一指标比较易产生误导。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09"/>
        <w:gridCol w:w="2806"/>
        <w:gridCol w:w="1976"/>
        <w:gridCol w:w="3155"/>
      </w:tblGrid>
      <w:tr w14:paraId="1FCD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A12BE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5A907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471E5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527D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1D31D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63E3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F45C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充分就业+物价稳定（双目标制）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7BBE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2A704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利率走廊机制，利率为直接工具</w:t>
            </w:r>
          </w:p>
        </w:tc>
      </w:tr>
      <w:tr w14:paraId="19EFA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DB970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4D9C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经济增长+货币供应（多目标制）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D339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M2增速+存贷款基准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8ABF3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数量型工具+管制利率（2019年改革前）</w:t>
            </w:r>
          </w:p>
        </w:tc>
      </w:tr>
      <w:tr w14:paraId="220B0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87D7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B74650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通胀+利率曲线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8FA3B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无担保隔夜利率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68D2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量化宽松后转向价格型</w:t>
            </w:r>
          </w:p>
        </w:tc>
      </w:tr>
    </w:tbl>
    <w:p w14:paraId="7FE8ABE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关键方法论修正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6BC3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945125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须使用同期限市场利率进行短长利差对比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：不可将央行管制利率与市场化利率直接比较</w:t>
      </w:r>
    </w:p>
    <w:p w14:paraId="564DC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769E0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75C4B6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须区分政策利率与市场利率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：中国1年期贷款基准为管制利率，国债为市场化利率</w:t>
      </w:r>
    </w:p>
    <w:p w14:paraId="67C71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DBE52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FB5164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中国“管制利率倒挂”为2007年特有现象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：1年期存款基准4.14%高于1年期国债收益率（年末约3.8%）</w:t>
      </w:r>
    </w:p>
    <w:p w14:paraId="290D4D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05B5F1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附录B：2005–2007年重大事件时间轴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86"/>
        <w:gridCol w:w="5997"/>
        <w:gridCol w:w="1597"/>
      </w:tblGrid>
      <w:tr w14:paraId="6AC3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7BB0E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6DAE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6CA7A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6D3E1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B646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A971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股改启动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35FB1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1321D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678AE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E3DE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人民币汇改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BD9221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</w:t>
            </w:r>
          </w:p>
        </w:tc>
      </w:tr>
      <w:tr w14:paraId="1830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344FB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350F8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神华H股IPO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CC0E32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E37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E0D7A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2006年4月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566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A2A80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B4C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7743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CBCC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LME铜8790美元/吨历史峰值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7BAD47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</w:t>
            </w:r>
          </w:p>
        </w:tc>
      </w:tr>
      <w:tr w14:paraId="4FDCD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618D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747E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美联储加息见顶5.25%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E0347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</w:t>
            </w:r>
          </w:p>
        </w:tc>
      </w:tr>
      <w:tr w14:paraId="4103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5C8DD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2007年4月30日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5B0B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中铝吸收合并山铝/兰铝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A5C4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</w:tr>
      <w:tr w14:paraId="3AD2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7114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2007年5月30日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79917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印花税1‰→3‰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04D80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0EEE3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980C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2007年7月12日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687C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西部矿业上市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8F1AD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74FA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FF83A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2007年9月25日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F8A1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5354D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8E4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F2C8F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2007年10月9日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7A60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E9D69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2145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3FEB08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4BFF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上证6124见顶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05F65B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  <w:tr w14:paraId="33AFB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0A6D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DB89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D1160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9F0D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50A02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2008年10月28日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C182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上证1664金融危机底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3DBAB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</w:tbl>
    <w:p w14:paraId="4EF6D72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附录C：数据来源说明</w:t>
      </w:r>
    </w:p>
    <w:p w14:paraId="6680A01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7"/>
        <w:gridCol w:w="4782"/>
        <w:gridCol w:w="3161"/>
      </w:tblGrid>
      <w:tr w14:paraId="7A85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2AFF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314F22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B3C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9B4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83FD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fedfunds_clean.json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B4C5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CFD8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1F96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07BD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gs10_clean.json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C0225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美10年期国债收益率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FD74F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2CB19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B216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mortgage30us_clean.json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A82A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美30年房贷利率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5F2131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7716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109C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dtwx_clean.json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9546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BA5D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2004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51BA6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m2sl_clean.json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3B5E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美国M2货币供应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24B2B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1EBC1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AEBA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china_macro_data.json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13FD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中国M2/外储/贸易/GDP/CPI/利率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E3A90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PBOC/海关/国家统计局</w:t>
            </w:r>
          </w:p>
        </w:tc>
      </w:tr>
      <w:tr w14:paraId="0FC37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4677F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japan_macro_data.json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10132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日本利率/JGB/汇率/外储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8BBB2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BOJ/IMF</w:t>
            </w:r>
          </w:p>
        </w:tc>
      </w:tr>
      <w:tr w14:paraId="1F2B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6D427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three_country_data.json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30A9E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三国GDP/CPI/债务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52B8B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IMF/World Bank</w:t>
            </w:r>
          </w:p>
        </w:tc>
      </w:tr>
      <w:tr w14:paraId="7A3F7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2B49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ai_sector_data.json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5A5F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M7营收/Capex/NDX/Copilot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03FAA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EDGAR/公司年报</w:t>
            </w:r>
          </w:p>
        </w:tc>
      </w:tr>
      <w:tr w14:paraId="71DA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81EAA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ipo_data.json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A493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 IPO数据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8DDA2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公开市场信息</w:t>
            </w:r>
          </w:p>
        </w:tc>
      </w:tr>
      <w:tr w14:paraId="587F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BA1F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metal_performance.json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31490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2005–2007金属涨幅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40F31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</w:tr>
      <w:tr w14:paraId="503C8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E88B3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event_timeline.json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3D7D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重大事件时间轴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1B63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</w:t>
            </w:r>
          </w:p>
        </w:tc>
      </w:tr>
      <w:tr w14:paraId="72A0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8AA0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expectations_data.json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F31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IMF/卖方预期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D379D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</w:t>
            </w:r>
          </w:p>
        </w:tc>
      </w:tr>
    </w:tbl>
    <w:p w14:paraId="3877D0C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数据源机构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17A98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B54392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FRED（美联储经济数据）</w:t>
      </w:r>
    </w:p>
    <w:p w14:paraId="544F9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18BEC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3DF55A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PBOC（中国人民银行）</w:t>
      </w:r>
    </w:p>
    <w:p w14:paraId="357D1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366B1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D8C09A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BOJ（日本银行）</w:t>
      </w:r>
    </w:p>
    <w:p w14:paraId="48746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84F21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E63E46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IMF（国际货币基金组织）</w:t>
      </w:r>
    </w:p>
    <w:p w14:paraId="39FFC4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E5E62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EFEFDE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World Bank（世界银行）</w:t>
      </w:r>
    </w:p>
    <w:p w14:paraId="170287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987F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F558A6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 EDGAR（美国证券交易委员会）</w:t>
      </w:r>
    </w:p>
    <w:p w14:paraId="1B43A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4CFCF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ADC218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LME（伦敦金属交易所）</w:t>
      </w:r>
    </w:p>
    <w:p w14:paraId="33619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35B8C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DC8E6B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中国国家统计局</w:t>
      </w:r>
    </w:p>
    <w:p w14:paraId="2149C5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83571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B76F61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中国海关总署</w:t>
      </w:r>
    </w:p>
    <w:p w14:paraId="22E5DB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754EC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3DE07B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公司年报（江西铜业、云南铜业、中国铝业、紫金矿业等）</w:t>
      </w:r>
    </w:p>
    <w:p w14:paraId="621F1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384A7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修正说明</w:t>
      </w:r>
    </w:p>
    <w:p w14:paraId="75A9453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本报告v2.1版本基于事实核查进行了以下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关键数据修正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98"/>
        <w:gridCol w:w="1988"/>
        <w:gridCol w:w="1586"/>
        <w:gridCol w:w="2123"/>
        <w:gridCol w:w="2251"/>
      </w:tblGrid>
      <w:tr w14:paraId="3A65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DCB77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8E20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26398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F09B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410ED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修正依据</w:t>
            </w:r>
          </w:p>
        </w:tc>
      </w:tr>
      <w:tr w14:paraId="6EAC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7AA5C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3C9E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日本2005年GDP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E2B0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0DBB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7644A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CB6E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96C59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C51CF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日本2006年GDP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2239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C336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7263E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1D91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3615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9DCA71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日本2007年GDP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4DAD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0217C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DD3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"https://www.stats.gov.cn/sj/ndsj/2008/html/Z2603e.htm"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8B9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A925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AA7F6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1Y国债2.79%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659677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误为国债收益率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11EE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实为1Y存款基准利率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D7B6E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人民银行公告</w:t>
            </w:r>
          </w:p>
        </w:tc>
      </w:tr>
      <w:tr w14:paraId="54543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23B07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7BD1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LME铜见顶时间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567C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B2DF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2006年5月11日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A4689B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LME公开数据</w:t>
            </w:r>
          </w:p>
        </w:tc>
      </w:tr>
      <w:tr w14:paraId="60BC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CD3A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D9FC7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中国铝业2007营收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381D1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927896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761.80亿元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7D49B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744CF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28A0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3E98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中国铝业2006营收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F5B90E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CFA41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648.27亿元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525D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3EADC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FE66EE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A87C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紫金矿业2006营收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C3A3D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9371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E67CD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公司公告</w:t>
            </w:r>
          </w:p>
        </w:tc>
      </w:tr>
      <w:tr w14:paraId="2FFED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3116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7479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2025市场规模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4949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ED8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4FB269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94C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8E40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1F14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2026E市场规模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39AA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B381C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1B44F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0D0A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516F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8AE4C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Copilot渗透率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420D4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5D4E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FD820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微软数据</w:t>
            </w:r>
          </w:p>
        </w:tc>
      </w:tr>
      <w:tr w14:paraId="7BF6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4E5A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822C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美国财政赤字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3746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9748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联邦约1.0–1.2%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4690C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美国财政部（口径说明已补充）</w:t>
            </w:r>
          </w:p>
        </w:tc>
      </w:tr>
    </w:tbl>
    <w:p w14:paraId="1D4B4F0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估算值与模型假设标注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（以下为估算或模型假设，已在上文相应位置标注）：</w:t>
      </w:r>
    </w:p>
    <w:p w14:paraId="23B893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9CB215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日元套利规模（$500B+）：业内估算值</w:t>
      </w:r>
    </w:p>
    <w:p w14:paraId="6B9AF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8E918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EBEE14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外汇占款增量：基于央行资产负债表的近似估算</w:t>
      </w:r>
    </w:p>
    <w:p w14:paraId="73D0A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F902A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AA6E20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M7 Capex/Rev阈值35%：基于历史固投增速见顶经验的模型假设</w:t>
      </w:r>
    </w:p>
    <w:p w14:paraId="006981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A3904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09B2FC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S1/S2/S3量化阈值：基于历史类比推导的监测阈值</w:t>
      </w:r>
    </w:p>
    <w:p w14:paraId="532A89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58A3D7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免责声明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报告基于历史类比与公开数据构建分析框架，不构成任何投资建议。AI板块具有真实盈利支撑，“此次不同”可能使信号延迟而非消失。建议组合运用三项信号，避免单一依赖。本报告作者不对数据准确性、完整性或时效性作任何保证。投资者应依据自身风险承受能力与投资目标独立判断，自担投资风险。</w:t>
      </w:r>
    </w:p>
    <w:p w14:paraId="41993E74">
      <w:pPr>
        <w:spacing w:line="408" w:lineRule="auto" w:after="120"/>
        <w:ind w:firstLine="440"/>
      </w:pPr>
    </w:p>
    <w:p w14:paraId="4F2991B4">
      <w:pPr>
        <w:spacing w:line="408" w:lineRule="auto" w:after="120"/>
        <w:ind w:firstLine="440"/>
      </w:pPr>
    </w:p>
    <w:p w14:paraId="7553EADE">
      <w:pPr>
        <w:spacing w:line="408" w:lineRule="auto" w:after="120"/>
        <w:ind w:firstLine="440"/>
      </w:pPr>
    </w:p>
    <w:p w14:paraId="4FA26AB6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08" w:lineRule="auto"/>
        <w:ind w:left="0" w:right="0" w:firstLine="44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536E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0B81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一、宏观经济数据</w:t>
      </w:r>
    </w:p>
    <w:p w14:paraId="0097BD3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美国GDP增速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18"/>
        <w:gridCol w:w="1811"/>
        <w:gridCol w:w="8151"/>
      </w:tblGrid>
      <w:tr w14:paraId="606E5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5647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50C9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3CB36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59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2B258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E1EC4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2195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美国经济分析局（BEA）数据，引自国家统计局国际统计年鉴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65F1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51DA3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6C71D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00858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41435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F8D57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3B30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983F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1CDE2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C6A216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DCE8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B09758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中国GDP增速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29"/>
        <w:gridCol w:w="3062"/>
        <w:gridCol w:w="5989"/>
      </w:tblGrid>
      <w:tr w14:paraId="39979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187A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6E0E6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26E35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77F5A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19056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0AEE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09508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1485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D524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A35C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FF79C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F2AE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4DFA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9205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48FF1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279A6D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02B8F1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F8AB2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09320E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日本GDP增速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10"/>
        <w:gridCol w:w="4250"/>
        <w:gridCol w:w="5320"/>
      </w:tblGrid>
      <w:tr w14:paraId="150B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A7CE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DA496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67D9F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E63C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8A30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8A0CB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1C5AB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IMF数据库，引自国家统计局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AAE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FBDD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7B05D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36D31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0F54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83E80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97DA9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BFB1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CA2C3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411FAD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；日本内阁府2006年经济预测调整报道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"https://www.cei.cn/"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1EDF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C7A778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二、货币政策</w:t>
      </w:r>
    </w:p>
    <w:p w14:paraId="1E6035E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美联储联邦基金利率（2007年5.25%）</w:t>
      </w:r>
    </w:p>
    <w:p w14:paraId="07EB58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CFCFF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：美联储自2006年6月起将联邦基金利率维持在5.25%，2007年连续多次维持不变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640A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2B9E8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4F09A8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：北方网2007年5月11日报道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；全景网2007年8月8日报道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"https://www.p5w.net/"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E745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A9203B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美国10年期国债收益率（2007年）</w:t>
      </w:r>
    </w:p>
    <w:p w14:paraId="3F7518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C515B7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：2007年6月一度触及5.25-5.30%；11月初约4.625%；12月回落至约4.04%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9DB1E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10E5C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31FB74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：FRED美联储10年期通胀指数国债数据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；中国经济网2007年12月21日报道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DD787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9E26E3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中国1年期贷款基准利率（2007年12月7.47%）</w:t>
      </w:r>
    </w:p>
    <w:p w14:paraId="257B11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8DB8A3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：中国人民银行2007年12月21日调整，一年期贷款基准利率由7.29%上调至7.47%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6B28E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A0D82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96F41F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：新浪财经转载央行公告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；中国人民银行南京分行公告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"http://nanjing.pbc.gov.cn/"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38896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6509C4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中国1年期存款基准利率（2007年12月4.14%）</w:t>
      </w:r>
    </w:p>
    <w:p w14:paraId="03187C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2C72CB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：中国人民银行2007年12月21日调整，一年期存款基准利率由3.87%上调至4.14%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391BD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C6E00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75702F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3A667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7B5937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中国1年期存款基准利率（2007年3月2.79%）</w:t>
      </w:r>
    </w:p>
    <w:p w14:paraId="40F88F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F51833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：中国人民银行2007年3月18日调整，一年期存款基准利率由2.25%提高到2.79%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8AB28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E06EF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9467E1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报告原将2.79%误记为1年期国债收益率，实为存款基准利率</w:t>
      </w:r>
    </w:p>
    <w:p w14:paraId="695FD9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E05E1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A24989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：新浪财经央行利率调整示意图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4246A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959819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中国1年期国债收益率（2007年）</w:t>
      </w:r>
    </w:p>
    <w:p w14:paraId="1401B8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B9FE6B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：2007年1月初上交所约2.46%；1月末约1.86%；9月新发国债票面利率2.95%；12月新发国债中标利率3.66%</w:t>
      </w:r>
    </w:p>
    <w:p w14:paraId="4A833B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17342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AE4EEC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：中国经济网2007年1月8日报道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；中国经济网2007年9月13日报道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FED21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3ABB4F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三、汇率</w:t>
      </w:r>
    </w:p>
    <w:p w14:paraId="4128DE3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美元指数（2005年约92 → 2007年约80）</w:t>
      </w:r>
    </w:p>
    <w:p w14:paraId="094011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C22110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：美元指数2004年底曾跌至80.4低点；2005-2008年持续下跌，2008年7月创71.25历史低点</w:t>
      </w:r>
    </w:p>
    <w:p w14:paraId="376547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9F205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C05F01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：上海证券报2007年8月9日报道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"http://paper.cnstock.com/"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AAB2F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C71B8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11. 人民币汇率（2007年7月突破7.61）</w:t>
      </w:r>
    </w:p>
    <w:p w14:paraId="43D4B8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B8FD6C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：2007年7月2日人民币对美元中间价突破7.61关口，报7.6075</w:t>
      </w:r>
    </w:p>
    <w:p w14:paraId="598D81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E78CB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EB2CDE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：新浪财经2007年7月3日报道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765C3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B0F99A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四、外汇储备</w:t>
      </w:r>
    </w:p>
    <w:p w14:paraId="4FDC7ED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12. 中国外汇储备（2005年8,189亿 → 2007年15,282亿）</w:t>
      </w:r>
    </w:p>
    <w:p w14:paraId="40314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E5D959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：2005年8,188.72亿美元，2006年10,663.44亿美元，2007年15,282.49亿美元</w:t>
      </w:r>
    </w:p>
    <w:p w14:paraId="5D0CFF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7BB66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98A701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：新浪财经2013年报道（引用国家外汇管理局数据）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69B62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6460A1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五、财政政策</w:t>
      </w:r>
    </w:p>
    <w:p w14:paraId="5D1B66D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13. 美国2007财年财政赤字（占GDP约1.2%）</w:t>
      </w:r>
    </w:p>
    <w:p w14:paraId="7D3C21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61B9C5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：美国财政部公布2007财年联邦赤字1,628亿美元，占GDP约1.2%</w:t>
      </w:r>
    </w:p>
    <w:p w14:paraId="5C0FDB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46305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931AF8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：新浪财经2007年10月12日报道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258A3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4D9968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六、资本市场</w:t>
      </w:r>
    </w:p>
    <w:p w14:paraId="44E3C8A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14. 上证指数2005-2007涨幅（513%）</w:t>
      </w:r>
    </w:p>
    <w:p w14:paraId="480A60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C1BBBF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：上证指数从2005年6月998点涨至2007年10月6124点，涨幅513%</w:t>
      </w:r>
    </w:p>
    <w:p w14:paraId="2A4560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E36DA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6CB1DE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：凤凰网2022年报道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"https://i.ifeng.com/"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；证券时报2014年报道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"http://epaper.stcn.com/"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06478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5D8AFB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七、大宗商品</w:t>
      </w:r>
    </w:p>
    <w:p w14:paraId="5FC1171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15. LME铜价2006年5月见顶8,790美元/吨</w:t>
      </w:r>
    </w:p>
    <w:p w14:paraId="3E80D7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9BE6CA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：伦敦金属交易所(LME)三月期铜2006年5月11日达8,790美元/吨历史新高</w:t>
      </w:r>
    </w:p>
    <w:p w14:paraId="66AA65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0D4FB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9BA707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：中国证券报2006年5月25日报道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"http://epaper.cs.com.cn/"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716F1C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AB9E70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八、公司财务数据</w:t>
      </w:r>
    </w:p>
    <w:p w14:paraId="0E78F85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16. 江西铜业2005年营收133.4亿元</w:t>
      </w:r>
    </w:p>
    <w:p w14:paraId="4E89F3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0700A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：江西铜业2005年年报显示主营业务收入1,334,069.24万元</w:t>
      </w:r>
    </w:p>
    <w:p w14:paraId="71BC57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641A1C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2F8F7CC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：新浪财经2006年4月28日报道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D949A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B952DC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17. 中国铝业2007年营收761.80亿元</w:t>
      </w:r>
    </w:p>
    <w:p w14:paraId="67CD85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EA76C1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：中国铝业2007年年报显示营业收入761.80亿元，净利润102.25亿元</w:t>
      </w:r>
    </w:p>
    <w:p w14:paraId="01938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FAC95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0F7FEE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：北方网2008年3月18日报道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71ACE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6A97B9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九、IPO数据</w:t>
      </w:r>
    </w:p>
    <w:p w14:paraId="4760C9A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18. 中国石油2007年IPO（募资668亿元，冻结3.3万亿）</w:t>
      </w:r>
    </w:p>
    <w:p w14:paraId="09CD11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7C5010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：中国石油A股发行价16.7元，融资规模668亿元；冻结资金3.3万亿元</w:t>
      </w:r>
    </w:p>
    <w:p w14:paraId="3F3CE93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A13D0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1AA2C8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：中国新闻网2007年10月30日报道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"https://www.chinanews.com.cn/"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；财新网2007年11月12日报道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"http://magazine.caixin.com/"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5966A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616353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十、AI板块数据</w:t>
      </w:r>
    </w:p>
    <w:p w14:paraId="07BF97F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19. HBM市场规模</w:t>
      </w:r>
      <w:bookmarkStart w:id="0" w:name="_GoBack"/>
      <w:bookmarkEnd w:id="0"/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2"/>
        <w:gridCol w:w="4180"/>
        <w:gridCol w:w="4078"/>
      </w:tblGrid>
      <w:tr w14:paraId="1887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60C8A3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F6993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E1191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9B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569F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E617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43.5亿美元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B54A82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47E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E42690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95A9F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EB7A3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CDB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1E53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E91E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DD672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7364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A094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32E0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3A5C3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</w:tbl>
    <w:p w14:paraId="7425D0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D12AF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：网易2026年2月行业分析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"https://m.163.com/"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742F950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D6298C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20. Microsoft Copilot付费渗透率（约3.3%）</w:t>
      </w:r>
    </w:p>
    <w:p w14:paraId="5C0A96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1D1E37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：Microsoft 365拥有约4.5亿商业用户，Copilot付费席位约1,500万个，渗透率约3.3%</w:t>
      </w:r>
    </w:p>
    <w:p w14:paraId="0DBB1E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9F190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1688F0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：199IT 2026年5月报道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"https://www.199it.com/"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6D80A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20136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数据来源汇总表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78"/>
        <w:gridCol w:w="4100"/>
        <w:gridCol w:w="4302"/>
      </w:tblGrid>
      <w:tr w14:paraId="5215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F4AE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A20D4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0CC53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备用来源</w:t>
            </w:r>
          </w:p>
        </w:tc>
      </w:tr>
      <w:tr w14:paraId="24A8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D5FE5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6585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美国经济分析局(BEA)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836AB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</w:p>
        </w:tc>
      </w:tr>
      <w:tr w14:paraId="71B23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301BC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FE8A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B79EF0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628CE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8539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DEEB7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日本内阁府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5F5B3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2E97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ADB7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911631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美联储(FED)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D02AC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FRED数据库</w:t>
            </w:r>
          </w:p>
        </w:tc>
      </w:tr>
      <w:tr w14:paraId="1DAB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68F8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42146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87486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C6B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48429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1230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中国人民银行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6AA0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B4EF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E9FBA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9693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财政部/中债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A47F3D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6E144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E66B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外汇储备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9AF7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国家外汇管理局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7F324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4B25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92D7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CDFF0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各国财政部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0B27A5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781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E25D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股市数据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3C80C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交易所公开数据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74326B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11646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F888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4B5E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8282F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7CAD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04EB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C1830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公司年报(SEC/巨潮)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EEFFD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138C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E674C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5551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53CDAB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0350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1DA4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HBM市场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CFDB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Yole Group/行业研究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8A2E1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E236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B0ADD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E5D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微软财报/公开报道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F5A68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行业分析</w:t>
            </w:r>
          </w:p>
        </w:tc>
      </w:tr>
    </w:tbl>
    <w:p w14:paraId="0C75CF05">
      <w:pPr>
        <w:spacing w:line="408" w:lineRule="auto" w:after="120"/>
        <w:ind w:firstLine="440"/>
      </w:pP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9E5E50"/>
    <w:multiLevelType w:val="multilevel"/>
    <w:tmpl w:val="899E5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289719"/>
    <w:multiLevelType w:val="multilevel"/>
    <w:tmpl w:val="A6289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21409C"/>
    <w:multiLevelType w:val="multilevel"/>
    <w:tmpl w:val="BF214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1C00B4"/>
    <w:multiLevelType w:val="multilevel"/>
    <w:tmpl w:val="E61C0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00EEF66"/>
    <w:multiLevelType w:val="multilevel"/>
    <w:tmpl w:val="F00EE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595D19"/>
    <w:multiLevelType w:val="multilevel"/>
    <w:tmpl w:val="04595D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9"/>
  </w:num>
  <w:num w:numId="5">
    <w:abstractNumId w:val="6"/>
  </w:num>
  <w:num w:numId="6">
    <w:abstractNumId w:val="2"/>
  </w:num>
  <w:num w:numId="7">
    <w:abstractNumId w:val="25"/>
  </w:num>
  <w:num w:numId="8">
    <w:abstractNumId w:val="1"/>
  </w:num>
  <w:num w:numId="9">
    <w:abstractNumId w:val="3"/>
  </w:num>
  <w:num w:numId="10">
    <w:abstractNumId w:val="23"/>
  </w:num>
  <w:num w:numId="11">
    <w:abstractNumId w:val="10"/>
  </w:num>
  <w:num w:numId="12">
    <w:abstractNumId w:val="19"/>
  </w:num>
  <w:num w:numId="13">
    <w:abstractNumId w:val="0"/>
  </w:num>
  <w:num w:numId="14">
    <w:abstractNumId w:val="24"/>
  </w:num>
  <w:num w:numId="15">
    <w:abstractNumId w:val="13"/>
  </w:num>
  <w:num w:numId="16">
    <w:abstractNumId w:val="18"/>
  </w:num>
  <w:num w:numId="17">
    <w:abstractNumId w:val="27"/>
  </w:num>
  <w:num w:numId="18">
    <w:abstractNumId w:val="17"/>
  </w:num>
  <w:num w:numId="19">
    <w:abstractNumId w:val="5"/>
  </w:num>
  <w:num w:numId="20">
    <w:abstractNumId w:val="22"/>
  </w:num>
  <w:num w:numId="21">
    <w:abstractNumId w:val="4"/>
  </w:num>
  <w:num w:numId="22">
    <w:abstractNumId w:val="20"/>
  </w:num>
  <w:num w:numId="23">
    <w:abstractNumId w:val="8"/>
  </w:num>
  <w:num w:numId="24">
    <w:abstractNumId w:val="21"/>
  </w:num>
  <w:num w:numId="25">
    <w:abstractNumId w:val="7"/>
  </w:num>
  <w:num w:numId="26">
    <w:abstractNumId w:val="16"/>
  </w:num>
  <w:num w:numId="27">
    <w:abstractNumId w:val="2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32615"/>
    <w:rsid w:val="4F93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8" w:lineRule="auto" w:after="120" w:before="0"/>
      <w:ind w:firstLine="440"/>
      <w:jc w:val="both"/>
    </w:pPr>
    <w:rPr>
      <w:rFonts w:asciiTheme="minorHAnsi" w:hAnsiTheme="minorHAnsi" w:eastAsiaTheme="minorEastAsia" w:cstheme="minorBidi" w:ascii="Times New Roman" w:hAnsi="Times New Roman" w:eastAsia="宋体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44"/>
      <w:sz w:val="36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0"/>
      <w:sz w:val="28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0"/>
      <w:sz w:val="24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="12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475569"/>
      <w:kern w:val="0"/>
      <w:sz w:val="22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2026-06-28T13:43:00Z</dcterms:created>
  <dc:creator>ll</dc:creator>
  <cp:lastModifiedBy>ll</cp:lastModifiedBy>
  <dcterms:modified xsi:type="dcterms:W3CDTF">2026-06-28T13:45:50Z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CBF53D53D5B647F9B5CCB1C025A60CFA_11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