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E538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复盘2005–2007年有色金属超级周期与当前AI板块投资的结构性比较</w:t>
      </w:r>
    </w:p>
    <w:p w14:paraId="09E2C65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——基于三项可量化、可监测、可证伪的顶部信号框架</w:t>
      </w:r>
    </w:p>
    <w:p w14:paraId="1FB67CF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报告编号：TR-2026-001</w:t>
      </w:r>
    </w:p>
    <w:p w14:paraId="1C6AC03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报告日期：2026年6月28日</w:t>
      </w:r>
    </w:p>
    <w:p w14:paraId="7C14116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版本：v2.1（数据核查修正版）</w:t>
      </w:r>
    </w:p>
    <w:p w14:paraId="4B7E7E1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：FRED、PBOC、BOJ、IMF、World Bank、ICSG、中国海关总署、SEC EDGAR、Bloomberg、公司年报、主流卖方研究</w:t>
      </w:r>
    </w:p>
    <w:p w14:paraId="70CAB8B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核心数据文件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TopicResearch/data/raw/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（含32个JSON文件，覆盖FRED、PBOC、IMF、中美日三国宏观指标、IPO及事件时间轴）</w:t>
      </w:r>
    </w:p>
    <w:p w14:paraId="59F2D9E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核心参考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TopicResearch/05-07有色行情复盘(3).html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（第一标签页）及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TopicResearch/slides/index.html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（25页演示文稿）</w:t>
      </w:r>
    </w:p>
    <w:p w14:paraId="56F1DCB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摘要</w:t>
      </w:r>
    </w:p>
    <w:p w14:paraId="77DECBF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报告旨在回答一项核心问题：2005–2007年间有色金属超级周期与当前人工智能（AI）板块投资热潮在结构性层面是否存在可比较的相似性。通过对宏观背景、流动性生成机制、估值框架及政策路径的系统比对，研究发现两轮行情在“资本开支驱动的需求正反馈”层面具有高度同构性，但在“流动性来源”与“估值锚定”方面存在本质差异。基于上述比较，本报告构建三项可量化、可监测、可证伪的顶部信号，组合运用可在不同情景下对风险进行提示性评估。</w:t>
      </w:r>
    </w:p>
    <w:p w14:paraId="2FA4DEF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核心发现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–2007年间，全球形成“消费国—生产国—融资国”三角闭环——美国（消费+地产+金融杠杆）、中国（工业生产+固定资产投资+资源消耗）、日本（低成本资金+高端中间品）。该闭环与中国管制利率体系下“贷存利差3.33%”的制度性扭曲共同构成商品超级周期的核心燃料。2007年10月16日，上证指数触及6124点，市盈率（PE）达50倍（99%历史分位），有色金属板块动态PE约49倍，三大见顶特征——商品与股价顶背离、垃圾股补涨、巨型IPO放量长阴——同步显现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5AD13AF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2023–2026年间，三角闭环已然破裂：美国由“消费国”转向“AI创新国”（资本开支投入国），中国由“生产国+需求国”转向“追赶国+国产替代主导国”，日本在AI产业链中角色弱化。中美进入“AI军备竞赛+芯片管制”的竞合状态。尽管如此，两轮行情仍存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五项共性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：资本开支驱动的需求正反馈、央行或头部企业（M7）流动性释放、估值脱离短期盈利、政策面临两难困境、以及最终由供给响应或需求证伪触发转折。</w:t>
      </w:r>
    </w:p>
    <w:p w14:paraId="05F9780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顶部窗口预判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：2026年下半年至2027年上半年。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当前综合评分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：0/3 ~ 0.5/3（维持观察）。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关键监测节点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：OpenAI首次公开募股（IPO）后30个交易日的市场表现。</w:t>
      </w:r>
    </w:p>
    <w:p w14:paraId="78CAD46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核心观点</w:t>
      </w:r>
    </w:p>
    <w:p w14:paraId="5F00C9A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观点一：三角闭环是商品超级周期的制度性基石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。2005–2007年全球资产价格超级周期，本质上是美中日三国在“消费—生产—融资”链条上形成结构性互补的产物。2023–2026年间该闭环虽已瓦解，但AI资本开支驱动的“企业内生化”需求正反馈依然生效。</w:t>
      </w:r>
    </w:p>
    <w:p w14:paraId="68D1AE6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观点二：中国2005–2007年的管制利率体系构成2007年泡沫的制度基础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彼时，1年期贷款基准利率7.47%、1年期存款基准利率4.14%、10年期国债收益率约4.5%，形成“管制利率倒挂”（存款基准高于市场无风险利率）及贷存利差3.33%的银行业“制度性红利”，为股市及楼市泡沫提供了重要制度条件。2023–2026年间，贷款市场报价利率（LPR）改革已根本改变该体系。</w:t>
      </w:r>
    </w:p>
    <w:p w14:paraId="23B57B8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观点三：三角闭环虽破裂，但资本开支正反馈依然有效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2005–2007年为央行被动投放流动性（外汇占款），2023–2026年为M7企业主动进行资本开支（盈利再投资）。两者均形成“资本支出→需求→业绩→股价→进一步资本支出”的正向循环。然2023–2026年的脆弱性集中于M7七家头部企业，而非整体信贷体系。</w:t>
      </w:r>
    </w:p>
    <w:p w14:paraId="1F2DF08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观点四：S1信号（资本开支增速二阶导转负）为最关键的领先指标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。当前M7资本开支/营业收入比率已达30%，距离35%阈值仅5个百分点。该阈值与2007年中国固定资产投资增速从高位回落的历史经验具有可比性。</w:t>
      </w:r>
    </w:p>
    <w:p w14:paraId="2A17C5A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观点五：S2信号（标志性AI企业IPO首日即巅峰）为同步确认指标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。OpenAI拟IPO规模或达1000亿美元（约占纳斯达克100指数流通市值的0.4%）。若上市首日高开幅度超过50%后收出长阴线，则将复现2007年11月5日中国石油IPO的市场模式。</w:t>
      </w:r>
    </w:p>
    <w:p w14:paraId="50EB8ED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第一部分：2005–2007年有色金属超级周期全景复盘</w:t>
      </w:r>
    </w:p>
    <w:p w14:paraId="2DCE6E5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2005–2007年为二十一世纪初美中日三大经济体同步增长的罕见窗口，该同步性构成商品超级周期的宏观前提。本部分从经济增速、货币政策、汇率与贸易、外汇储备、财政政策及资本市场六个维度展开分析。</w:t>
      </w:r>
    </w:p>
    <w:p w14:paraId="29220B0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全球主要经济体宏观背景</w:t>
      </w:r>
    </w:p>
    <w:p w14:paraId="5D8B886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1.1.1 经济增长：三国同步但结构互补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1"/>
        <w:gridCol w:w="1663"/>
        <w:gridCol w:w="1663"/>
        <w:gridCol w:w="1663"/>
        <w:gridCol w:w="1663"/>
        <w:gridCol w:w="1313"/>
      </w:tblGrid>
      <w:tr w14:paraId="1A2D7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D785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DAA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2005年实际GDP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3A4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2006年实际GDP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2C9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2007年实际GDP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ECD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2007年名义GDP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05D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2007年CPI</w:t>
            </w:r>
          </w:p>
        </w:tc>
      </w:tr>
      <w:tr w14:paraId="085DC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74DA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3A2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F8F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6B6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C52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5E3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2.8%</w:t>
            </w:r>
          </w:p>
        </w:tc>
      </w:tr>
      <w:tr w14:paraId="2CF14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494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36E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11.3%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3B6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12.7%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BE8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14.2%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004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23.0%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ABC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4.8%</w:t>
            </w:r>
          </w:p>
        </w:tc>
      </w:tr>
      <w:tr w14:paraId="57098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2A0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C60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748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923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2.1%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314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58D3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0.0%</w:t>
            </w:r>
          </w:p>
        </w:tc>
      </w:tr>
    </w:tbl>
    <w:p w14:paraId="1B89EA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：美国GDP数据来自Macrotrends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"https://www.macrotrends.net/global-metrics/countries/usa/united-states/gdp-growth-rate"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及IMF数据库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"https://www.stats.gov.cn/sj/ndsj/2008/html/Z2603e.htm"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；中国GDP数据来自国家统计局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；日本GDP数据来自IMF数据库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"https://www.stats.gov.cn/sj/ndsj/2008/html/Z2603e.htm"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。中国名义GDP增速及CPI数据来自国家统计局。</w:t>
      </w:r>
    </w:p>
    <w:p w14:paraId="04C575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：2005年6月股权分置改革启动（市场底部）；2005年7月人民币汇率形成机制改革启动；2006年6月美联储加息周期见顶于5.25%。</w:t>
      </w:r>
    </w:p>
    <w:p w14:paraId="11E0554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：中国名义GDP增速（23%）显著高于实际增速（14%），差值源于通胀及资产价格重估。日本实际增速已摆脱零增长（2005年1.9%、2006年2.4%、2007年2.1%）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，但名义增速仍接近零，反映通缩压力犹存。美国GDP增速放缓但消费保持韧性，财富效应对商品需求形成支撑。</w:t>
      </w:r>
    </w:p>
    <w:p w14:paraId="35E0945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1.1.2 货币政策：表面紧缩与实际宽松的背离</w:t>
      </w:r>
    </w:p>
    <w:p w14:paraId="514FAAB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2007年三国货币政策呈现“表面紧缩、实际宽松”的悖论。若仅观察政策利率（美联储5.25%、中国1年期贷款基准7.47%、日本隔夜利率0.5%），则三国均呈紧缩态势；然金融市场实际感受到的金融条件普遍偏宽松。</w:t>
      </w:r>
    </w:p>
    <w:p w14:paraId="5853834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三层利率指标体系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（同期限市场利率对比）：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4"/>
        <w:gridCol w:w="2178"/>
        <w:gridCol w:w="3078"/>
        <w:gridCol w:w="1846"/>
      </w:tblGrid>
      <w:tr w14:paraId="4A0C8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272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73BC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16D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B6F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58F5A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E33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482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联邦基金利率5.25%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AD2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1年期贷款基准7.47%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510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隔夜利率0.5%</w:t>
            </w:r>
          </w:p>
        </w:tc>
      </w:tr>
      <w:tr w14:paraId="06F26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160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短端市场利率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7DB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1年期国债约4.5–4.7%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097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1年期国债年初约2.1%/年末约3.8%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543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1年期国债约0.6%</w:t>
            </w:r>
          </w:p>
        </w:tc>
      </w:tr>
      <w:tr w14:paraId="702A0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0830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长端市场利率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A62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10年期国债约4.6–4.7%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5A1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10年期国债约4.5%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4AF5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10年期JGB约1.5%</w:t>
            </w:r>
          </w:p>
        </w:tc>
      </w:tr>
      <w:tr w14:paraId="06331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E999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市场短长利差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618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约+0.1%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1C8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年初约+2.4%/年末约+0.7%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BA91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约+0.9%</w:t>
            </w:r>
          </w:p>
        </w:tc>
      </w:tr>
      <w:tr w14:paraId="2CBB7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251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实际融资利率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C49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30年房贷约6.0–6.5%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E8B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房贷约7.8%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71C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房贷约2.5%</w:t>
            </w:r>
          </w:p>
        </w:tc>
      </w:tr>
      <w:tr w14:paraId="5E301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0B7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贷存利差（管制）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DF9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497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3.33%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D49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6D326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422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M2增速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41E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4%→6%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08B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17.6%→18.5%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F27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1%→2%</w:t>
            </w:r>
          </w:p>
        </w:tc>
      </w:tr>
      <w:tr w14:paraId="62F9C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44E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8EA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价格型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6AA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数量型+管制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288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价格型（量宽后）</w:t>
            </w:r>
          </w:p>
        </w:tc>
      </w:tr>
      <w:tr w14:paraId="69F38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B2F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实际金融条件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816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宽松（长端未跟随）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A99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局部宽松（外汇占款）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B63D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极度宽松（套利盛行）</w:t>
            </w:r>
          </w:p>
        </w:tc>
      </w:tr>
    </w:tbl>
    <w:p w14:paraId="7F68D2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：美国联邦基金利率来自美联储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"https://www.federalreserve.gov/pubS/bulletin/2009/articles/bankprofit/dlink/fig03.htm"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；美国10年期国债收益率来自美联储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"https://www.federalreserve.gov/pubS/bulletin/2009/articles/bankprofit/dlink/fig03.htm"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及公开市场数据；中国存贷款基准利率来自中国人民银行；中国1年期国债收益率来自财政部发行数据；日本隔夜利率来自日本央行。</w:t>
      </w:r>
    </w:p>
    <w:p w14:paraId="3012CD3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美国“格林斯潘之谜”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：美联储于2004–2006年间将联邦基金利率自1%上调至5.25%，2006年6月至2007年8月维持在5.25%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"https://www.federalreserve.gov/pubS/bulletin/2009/articles/bankprofit/dlink/fig03.htm"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，但10年期国债收益率在2006年6月约为5%，2007年逐步回落至约3.5%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"https://www.federalreserve.gov/pubS/bulletin/2009/articles/bankprofit/dlink/fig03.htm"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，加息在金融市场传导受阻。根源在于全球“储蓄过剩”——亚洲国家及石油美元避险资金压低长端利率。</w:t>
      </w:r>
    </w:p>
    <w:p w14:paraId="33DDADA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中国管制利率体系与外汇占款对冲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1132"/>
        <w:gridCol w:w="981"/>
        <w:gridCol w:w="1046"/>
        <w:gridCol w:w="981"/>
        <w:gridCol w:w="981"/>
        <w:gridCol w:w="879"/>
        <w:gridCol w:w="879"/>
        <w:gridCol w:w="775"/>
      </w:tblGrid>
      <w:tr w14:paraId="5F0F6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21E2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341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M2余额（亿元）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67E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M2同比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91E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外汇占款增量（约）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293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1年期贷款基准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332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1年期存款基准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216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1年期国债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7E1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10年期国债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C99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贷存利差</w:t>
            </w:r>
          </w:p>
        </w:tc>
      </w:tr>
      <w:tr w14:paraId="49068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03C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2005.12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4C1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298,755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D09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17.6%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315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约1.5万亿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C10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6C4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2.25%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A70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约2.3%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D73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AD2B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3.33%</w:t>
            </w:r>
          </w:p>
        </w:tc>
      </w:tr>
      <w:tr w14:paraId="0F54B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71A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2006.12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1F6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345,603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C8E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16.9%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9FA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约2.5万亿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FA8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6.12%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A02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2.52%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393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27D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约3.1%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2F1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3.60%</w:t>
            </w:r>
          </w:p>
        </w:tc>
      </w:tr>
      <w:tr w14:paraId="49F16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66F2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2007.12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D49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403,442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6FD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7F6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约4.0万亿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FA3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7.47%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012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4.14%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B31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270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88E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3.33%</w:t>
            </w:r>
          </w:p>
        </w:tc>
      </w:tr>
      <w:tr w14:paraId="05857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530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2008.12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902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475,166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745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17.8%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BA1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约3.0万亿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990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5.31%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10A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2.25%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715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92A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约3.6%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A3B9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3.06%</w:t>
            </w:r>
          </w:p>
        </w:tc>
      </w:tr>
    </w:tbl>
    <w:p w14:paraId="3265AD1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：中国存贷款基准利率来自中国人民银行；外汇储备数据来自国家外汇管理局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；1年期国债收益率来自财政部发行数据（2007年12月为3.66%）。</w:t>
      </w:r>
    </w:p>
    <w:p w14:paraId="1A977B6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中国2007年货币政策呈现两重反常特征：（1）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管制利率倒挂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——1年期存款基准4.14%显著高于1年期国债收益率（年末约3.8%）；（2）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贷存利差3.33%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——1年期贷款基准7.47%与存款基准4.14%之差构成银行业的制度性安全垫。上述扭曲源于外汇占款被动投放基础货币：2005–2007年间中国外汇储备从8189亿美元跃升至15282亿美元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，外汇占款被动增加，央行被迫同时运用数量型工具（10次上调存款准备金率）与价格型工具（6次加息），但加息效果被外汇占款的扩张效应对冲，最终形成局部宽松的金融条件。</w:t>
      </w:r>
    </w:p>
    <w:p w14:paraId="3052E3D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日本套利交易机制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日本央行于2007年2月将无担保隔夜拆借利率自0.25%上调至0.5%，此后维持该利率水平不变。低利率环境催生日元套息交易（借入日元投资高息美元资产或商品），估算规模逾5000亿美元（业内估算值），成为全球风险偏好的重要推手。</w:t>
      </w:r>
    </w:p>
    <w:p w14:paraId="49C4647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综上，三国分别通过“储蓄过剩压制”“外汇占款对冲”“套利输出”三种机制形成全球流动性宽松格局，构成商品超级周期的货币基础。</w:t>
      </w:r>
    </w:p>
    <w:p w14:paraId="24D3524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1.1.3 汇率与贸易：三国货币再平衡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5"/>
        <w:gridCol w:w="2438"/>
        <w:gridCol w:w="2885"/>
        <w:gridCol w:w="2158"/>
      </w:tblGrid>
      <w:tr w14:paraId="77139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746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6E4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575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A33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581B7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D9A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汇率指数变化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2F3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美元指数92→80（-13%）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FD2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人民币8.28→约7.61（升值约8%）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945C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日元102→114（贬值12%）</w:t>
            </w:r>
          </w:p>
        </w:tc>
      </w:tr>
      <w:tr w14:paraId="1063D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BA0A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贸易差额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968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经常账户赤字约7000亿美元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3A9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顺差1020→2622亿美元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47BE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顺差90→1000亿美元</w:t>
            </w:r>
          </w:p>
        </w:tc>
      </w:tr>
      <w:tr w14:paraId="179BD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128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汇率机制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673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浮动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BC2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管理浮动（爬行盯住美元）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F84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浮动</w:t>
            </w:r>
          </w:p>
        </w:tc>
      </w:tr>
    </w:tbl>
    <w:p w14:paraId="6D4268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：美元指数及汇率数据来自公开市场数据；中国外汇储备及贸易数据来自国家外汇管理局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2F57A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：2005年7月人民币汇改；2006年5月LME铜价8790美元/吨历史新高；2008年12月日元升值至91.30（套利逆转）。</w:t>
      </w:r>
    </w:p>
    <w:p w14:paraId="58D6A5A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美元贬值传导链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：美元贬值→美元计价商品价格上涨（LME铜自约3000→8790美元/吨）→全球资金流出美国→涌入新兴市场→美国进口成本上升→通胀压力→实际利率下降，此链条为商品超级周期的直接价格机制。</w:t>
      </w:r>
    </w:p>
    <w:p w14:paraId="7D4892F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人民币升值效应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：汇改后人民币渐进升值，2005年7月汇改启动（8.27→8.11），至2007年末约7.61，升值约8%，但贸易顺差仍实现翻倍，主因在于生产效率提升及外需强劲。</w:t>
      </w:r>
    </w:p>
    <w:p w14:paraId="6335EE9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日元贬值效应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：日元2005–2007年贬值约12%，利好出口（机械、汽车、电子），利空进口（能源、原材料），但贬值幅度小于美元，实际有效汇率保持稳定。</w:t>
      </w:r>
    </w:p>
    <w:p w14:paraId="7A99791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1.1.4 外汇储备：中国主导的全球失衡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4"/>
        <w:gridCol w:w="1993"/>
        <w:gridCol w:w="1836"/>
        <w:gridCol w:w="1753"/>
      </w:tblGrid>
      <w:tr w14:paraId="4B849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D6B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EDA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054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030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699D2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C35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2005年外储规模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BB8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约1900亿美元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68E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8,189亿美元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D82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约8,288亿美元</w:t>
            </w:r>
          </w:p>
        </w:tc>
      </w:tr>
      <w:tr w14:paraId="564D9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B4B8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2007年外储规模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8FA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约2,400亿美元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895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15,282亿美元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146A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约9,484亿美元</w:t>
            </w:r>
          </w:p>
        </w:tc>
      </w:tr>
      <w:tr w14:paraId="7FF46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3B1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2005年外储/GDP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D81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约1.4%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7FA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247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约20%</w:t>
            </w:r>
          </w:p>
        </w:tc>
      </w:tr>
      <w:tr w14:paraId="21C90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B1CA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2007年外储/GDP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DE6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约1.7%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C40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FB9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约21%</w:t>
            </w:r>
          </w:p>
        </w:tc>
      </w:tr>
    </w:tbl>
    <w:p w14:paraId="1C7DAF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：中国外汇储备数据来自国家外汇管理局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；日本外汇储备数据来自IMF数据库。</w:t>
      </w:r>
    </w:p>
    <w:p w14:paraId="1361AD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：2006年中国外储首破万亿美元（10663亿美元）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；2007年中国外储达15282亿美元，同比+43.31%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"http://finance.sina.com.cn/china/jrxw/20130412/132615130371.shtml"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45CFB0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外汇占款传导链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出口创汇（1020→2622亿美元）→央行结汇→外汇占款增加→基础货币被动扩张→商业银行贷款扩张（贷存利差3.33%）→M2增速17.6%→18.5%→固定资产投资高速增长→铜/铝/锌需求爆发。中国外储/GDP约48%为“全球失衡”的典型镜像。</w:t>
      </w:r>
    </w:p>
    <w:p w14:paraId="79A8BC1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1.1.5 财政政策：三国方向迥异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3"/>
        <w:gridCol w:w="2085"/>
        <w:gridCol w:w="2368"/>
        <w:gridCol w:w="1920"/>
      </w:tblGrid>
      <w:tr w14:paraId="0BCCD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347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559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29D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8C4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08990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96D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财政赤字/GDP（各国外径）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E8C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联邦赤字约1.0–1.2%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EE2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中央财政赤字约0.3–0.8%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D08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约2.5–4.0%</w:t>
            </w:r>
          </w:p>
        </w:tc>
      </w:tr>
      <w:tr w14:paraId="71FD7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90C1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主要工具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66B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减税+战争开支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F0C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基建投资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B8F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邮政民营化+削减赤字</w:t>
            </w:r>
          </w:p>
        </w:tc>
      </w:tr>
      <w:tr w14:paraId="0862C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A0E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财政方向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DE7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扩张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E40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积极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B6D4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整顿</w:t>
            </w:r>
          </w:p>
        </w:tc>
      </w:tr>
    </w:tbl>
    <w:p w14:paraId="7826BE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：美国联邦赤字数据来自美国财政部；中国财政赤字数据来自财政部（中央财政口径）；日本财政赤字数据来自公开信息。</w:t>
      </w:r>
    </w:p>
    <w:p w14:paraId="090B6B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口径说明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：各国财政赤字统计口径不同，美国为联邦政府口径，中国为中央财政口径（不含地方债务），日本为一般政府口径。跨國比较需注意口径差异。</w:t>
      </w:r>
    </w:p>
    <w:p w14:paraId="6E56041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美国财政扩张（布什减税+战争开支）支撑消费；中国财政赤字收窄系收入高速增长所致，基建投资维持高增长；日本小泉改革推动财政整顿。</w:t>
      </w:r>
    </w:p>
    <w:p w14:paraId="5EAFBD6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1.1.6 资本市场：涨幅反映经济结构差异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3"/>
        <w:gridCol w:w="2390"/>
        <w:gridCol w:w="2133"/>
        <w:gridCol w:w="2050"/>
      </w:tblGrid>
      <w:tr w14:paraId="5FFD7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7ED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764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3A8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8F5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37EEF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6BAC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2005–2007股市涨幅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467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标普500约+90–101%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EE9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上证综指+513.5%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490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日经225约+33%</w:t>
            </w:r>
          </w:p>
        </w:tc>
      </w:tr>
      <w:tr w14:paraId="71FC1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895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起点背景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F3C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2002年科网泡沫底部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C20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2005年股改后起步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86FC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2005年初约11488点</w:t>
            </w:r>
          </w:p>
        </w:tc>
      </w:tr>
      <w:tr w14:paraId="190F6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09F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PE估值变化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BEB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16x→22x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4A9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14x→50x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D89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18x→约20x</w:t>
            </w:r>
          </w:p>
        </w:tc>
      </w:tr>
      <w:tr w14:paraId="5B5BC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27F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总市值/GDP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AC9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130%→150%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8A2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35%→120%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1D5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70%→95%</w:t>
            </w:r>
          </w:p>
        </w:tc>
      </w:tr>
    </w:tbl>
    <w:p w14:paraId="400E6F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：上证指数涨幅来自公开市场数据；标普500及日经225涨幅来自公开市场数据。日经225指数2005年1月约11488点，2007年12月约15307点，涨幅约33%。</w:t>
      </w:r>
    </w:p>
    <w:p w14:paraId="54A4EA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：2005年6月上证综指约1011（市场底部）；2007年10月16日上证综指6124.04（历史大顶）；2008年10月28日上证综指1664.93（金融危机底部）。</w:t>
      </w:r>
    </w:p>
    <w:p w14:paraId="57C42BE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中国PE扩张3.5倍（14x→50x），估值膨胀最为显著；美国PE扩张温和；日本PE基本稳定。</w:t>
      </w:r>
    </w:p>
    <w:p w14:paraId="378B3CA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债务与产业政策</w:t>
      </w:r>
    </w:p>
    <w:p w14:paraId="0C35143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1.2.1 三国债务结构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1339"/>
        <w:gridCol w:w="1339"/>
        <w:gridCol w:w="1339"/>
        <w:gridCol w:w="1099"/>
      </w:tblGrid>
      <w:tr w14:paraId="5449C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0B7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EC3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257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B32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396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</w:t>
            </w:r>
          </w:p>
        </w:tc>
      </w:tr>
      <w:tr w14:paraId="512D5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30F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美国政府债务/GDP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6CB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约64%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66B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约64%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752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约64.5%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488D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约76%</w:t>
            </w:r>
          </w:p>
        </w:tc>
      </w:tr>
      <w:tr w14:paraId="781A2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0164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美国居民杠杆率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447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6F9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8BD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约99%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BB9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约96%</w:t>
            </w:r>
          </w:p>
        </w:tc>
      </w:tr>
      <w:tr w14:paraId="687AA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9A8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中国政府债务/GDP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98A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约26.5%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E6F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2E7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约24%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7E61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约21.5%</w:t>
            </w:r>
          </w:p>
        </w:tc>
      </w:tr>
      <w:tr w14:paraId="01D33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6D38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中国企业杠杆率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570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约105%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6E2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约115%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5F3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约125%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4A0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约130%</w:t>
            </w:r>
          </w:p>
        </w:tc>
      </w:tr>
      <w:tr w14:paraId="5327E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941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日本政府债务/GDP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1DF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B97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约172%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0F9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约173%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290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约183%</w:t>
            </w:r>
          </w:p>
        </w:tc>
      </w:tr>
    </w:tbl>
    <w:p w14:paraId="013566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：IMF全球债务数据库及世界银行数据。</w:t>
      </w:r>
    </w:p>
    <w:p w14:paraId="35BAE84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：2005–2007年美国次贷规模约1.1万亿美元，占按揭市场约13%；2007年美国公司债利差缓慢上升；2008年12月全球信贷冻结。</w:t>
      </w:r>
    </w:p>
    <w:p w14:paraId="41629D4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居民杠杆率于99%见顶（2008年危机根源）；中国企业杠杆率持续攀升（投资驱动+银行主导）；日本政府债务率全球最高但私人部门已完成去杠杆。三国债务结构呈现互补性，共同构成“全球储蓄过剩”（伯南克命题）的微观基础。</w:t>
      </w:r>
    </w:p>
    <w:p w14:paraId="677E883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1.2.2 产业政策对商品的间接影响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1"/>
        <w:gridCol w:w="3245"/>
        <w:gridCol w:w="2864"/>
        <w:gridCol w:w="1746"/>
      </w:tblGrid>
      <w:tr w14:paraId="33406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10F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政策方向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88A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41B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696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1B025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1F2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有色/资源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7E5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2005年11月叫停铜冶炼无序投资；2006年精炼铜出口关税5%→10%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34F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无针对性干预，大宗商品依赖进口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3377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非资源型国家，高端装备出口支撑矿业</w:t>
            </w:r>
          </w:p>
        </w:tc>
      </w:tr>
      <w:tr w14:paraId="6370A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82D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货币/汇率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6FD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2005年7月汇改+持续加息提准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AFF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格林斯潘/伯南克低利率，对资产泡沫“事后清理”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134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2006年退出QE，2007年利率0.5%</w:t>
            </w:r>
          </w:p>
        </w:tc>
      </w:tr>
      <w:tr w14:paraId="0BC30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C3F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资本市场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76B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2005年6月股权分置改革；2007年5月印花税1‰→3‰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A07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废除Glass-Steagall法案；衍生品不受监管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56CB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小泉改革</w:t>
            </w:r>
          </w:p>
        </w:tc>
      </w:tr>
      <w:tr w14:paraId="1894F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6D9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宏观基调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0AF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“防止经济过热”，2007年“两防”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149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“大稳健”（Great Moderation）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804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结构改革+通缩抗争</w:t>
            </w:r>
          </w:p>
        </w:tc>
      </w:tr>
    </w:tbl>
    <w:p w14:paraId="254A15F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产业政策对商品的间接推升作用：中国限制供给抬高价格中枢；美国放任泡沫推高全球风险偏好；日本低利率催生套利交易，提升商品金融需求。</w:t>
      </w:r>
    </w:p>
    <w:p w14:paraId="267AF7E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1.3 市场共识与公司表现</w:t>
      </w:r>
    </w:p>
    <w:p w14:paraId="460B534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1.3.1 市场共识演变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8"/>
        <w:gridCol w:w="2580"/>
        <w:gridCol w:w="8082"/>
      </w:tblGrid>
      <w:tr w14:paraId="1AB68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9EF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0C8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F68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市场共识</w:t>
            </w:r>
          </w:p>
        </w:tc>
      </w:tr>
      <w:tr w14:paraId="0B1E5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FBF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怀疑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2C8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2005–2006年初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DDF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“商品涨价不可持续”——铜价自约3000涨至4000+美元/吨时，多数分析师认为是投机泡沫；有色股PE仅14x</w:t>
            </w:r>
          </w:p>
        </w:tc>
      </w:tr>
      <w:tr w14:paraId="7BC13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405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1E9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2006年5月–2007年6月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853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铜价创8790美元/吨新高后，“中国需求”叙事确立，“商品超级周期”成为共识</w:t>
            </w:r>
          </w:p>
        </w:tc>
      </w:tr>
      <w:tr w14:paraId="44A73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6538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狂热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8E1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2007年7月–10月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8581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“资产注入”故事取代基本面，散户月开户380万户，有色动态PE约49x</w:t>
            </w:r>
          </w:p>
        </w:tc>
      </w:tr>
    </w:tbl>
    <w:p w14:paraId="0C47B81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1.3.2 分析师预期与实际偏差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2"/>
        <w:gridCol w:w="3551"/>
        <w:gridCol w:w="5487"/>
      </w:tblGrid>
      <w:tr w14:paraId="4E71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74E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6D2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共识预期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3A9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实际结果</w:t>
            </w:r>
          </w:p>
        </w:tc>
      </w:tr>
      <w:tr w14:paraId="6B435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2AC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2006年12月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AED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铜价10000+美元/吨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A64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2006年5月实际8790美元/吨见顶</w:t>
            </w:r>
          </w:p>
        </w:tc>
      </w:tr>
      <w:tr w14:paraId="04811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4B19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2007年6月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C9D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铜价12000美元/吨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C3E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铜价在6000–8000美元/吨区间震荡</w:t>
            </w:r>
          </w:p>
        </w:tc>
      </w:tr>
      <w:tr w14:paraId="7A614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2B9F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66E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上证综指8000点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D3A7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2007年10月16日实际6124点见顶</w:t>
            </w:r>
          </w:p>
        </w:tc>
      </w:tr>
    </w:tbl>
    <w:p w14:paraId="6E141C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：2007年分析师对铜价的乐观预期与实际峰值存在显著偏差。当前2026年美股分析师对AI的乐观程度已接近2007年水平，该一致性本身构成反向指标。</w:t>
      </w:r>
    </w:p>
    <w:p w14:paraId="30EBF38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1.3.3 国内外公司表现与共振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939"/>
        <w:gridCol w:w="1274"/>
        <w:gridCol w:w="1274"/>
        <w:gridCol w:w="939"/>
        <w:gridCol w:w="939"/>
        <w:gridCol w:w="1099"/>
        <w:gridCol w:w="1026"/>
      </w:tblGrid>
      <w:tr w14:paraId="393D1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0C7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2C2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2005年营收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AF9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2006年营收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1BD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2007年营收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F43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2005年净利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30C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2006年净利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E3F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2007年净利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76E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股价涨幅</w:t>
            </w:r>
          </w:p>
        </w:tc>
      </w:tr>
      <w:tr w14:paraId="475C1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1CD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江西铜业(600362)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726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133亿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59C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254亿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66F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414亿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B95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18.5亿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7E0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46.1亿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23D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41.3亿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95C3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+650%</w:t>
            </w:r>
          </w:p>
        </w:tc>
      </w:tr>
      <w:tr w14:paraId="21F72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A7D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云南铜业(000878)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C09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134亿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FFE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281亿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E90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345亿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271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681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275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9.2亿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E1F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+1122%</w:t>
            </w:r>
          </w:p>
        </w:tc>
      </w:tr>
      <w:tr w14:paraId="1A9D6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86A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紫金矿业(601899)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AC7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约31亿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861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约106–108亿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284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约148–151亿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949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E13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781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4E08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+1500%</w:t>
            </w:r>
          </w:p>
        </w:tc>
      </w:tr>
      <w:tr w14:paraId="46909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1C62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中国铝业(601600)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5FB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412亿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F92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648亿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CAA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762亿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00D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5CE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ED2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102.25亿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784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+300%</w:t>
            </w:r>
          </w:p>
        </w:tc>
      </w:tr>
    </w:tbl>
    <w:p w14:paraId="48ECBC4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江西铜业2005年营收133.4亿元来自公司年报；云南铜业2005年营收134.16亿元来自公司业绩快报；中国铝业2006年营收648.27亿元、2007年营收761.80亿元、2007年净利润102.25亿元来自公司年报；紫金矿业2005年营收30–31亿元、2006年营收约106–108亿元、2007年营收约148–151亿元来自公司公告及公开信息。</w:t>
      </w:r>
    </w:p>
    <w:p w14:paraId="714D5CE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海外对标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：南方铜业(SCCO) 2003–2005年营收+412%；必和必拓(BHP)股价+400%；自由港麦克莫兰(FCX)股价+500%。</w:t>
      </w:r>
    </w:p>
    <w:p w14:paraId="1841704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1.3.4 巨型IPO现象</w:t>
      </w:r>
    </w:p>
    <w:p w14:paraId="7698819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2007年下半年A股出现史无前例的IPO洪峰：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1"/>
        <w:gridCol w:w="1701"/>
        <w:gridCol w:w="1295"/>
        <w:gridCol w:w="1418"/>
        <w:gridCol w:w="2701"/>
      </w:tblGrid>
      <w:tr w14:paraId="5CCBC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A4B5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345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B57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募资规模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6D0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冻结资金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1DC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关键事件</w:t>
            </w:r>
          </w:p>
        </w:tc>
      </w:tr>
      <w:tr w14:paraId="4458F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10EA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2007-04-30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117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中铝A股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860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CAF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DFE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吸收合并山铝/兰铝回归A股</w:t>
            </w:r>
          </w:p>
        </w:tc>
      </w:tr>
      <w:tr w14:paraId="47150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2E5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2007-07-12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EDF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西部矿业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F6E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FDE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0F7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资源储量重估</w:t>
            </w:r>
          </w:p>
        </w:tc>
      </w:tr>
      <w:tr w14:paraId="70C1E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E7F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2007-09-25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8EE9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建设银行A股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987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580亿元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E04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820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大型银行IPO</w:t>
            </w:r>
          </w:p>
        </w:tc>
      </w:tr>
      <w:tr w14:paraId="7D4F9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47D7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2007-10-09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9AE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中国神华A股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B0C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666亿元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AA9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2.7万亿元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0C1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冻结近30%流通市值</w:t>
            </w:r>
          </w:p>
        </w:tc>
      </w:tr>
      <w:tr w14:paraId="125E4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378B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2007-11-05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284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中国石油A股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EB7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668亿元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1D5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3.3万亿元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928B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冻结≈流通市值40%</w:t>
            </w:r>
          </w:p>
        </w:tc>
      </w:tr>
    </w:tbl>
    <w:p w14:paraId="3E5361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：IPO数据来自公开市场信息。</w:t>
      </w:r>
    </w:p>
    <w:p w14:paraId="6230CAC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：中石油冻结3.3万亿元（占流通市值约40%）为2007年顶部关键触发因素。OpenAI IPO的抽水效应相对较小（约0.8% vs 3%），但需关注IPO后30日表现作为情绪指标。</w:t>
      </w:r>
    </w:p>
    <w:p w14:paraId="6AFD214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1.4 超级周期的汇聚与终结机制</w:t>
      </w:r>
    </w:p>
    <w:p w14:paraId="456C924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1.4.1 七大因素的汇聚与逆转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6"/>
        <w:gridCol w:w="4754"/>
        <w:gridCol w:w="5450"/>
      </w:tblGrid>
      <w:tr w14:paraId="26D70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400B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因素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15F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汇聚方向（2005–2007）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529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逆转方向（2007末–2008）</w:t>
            </w:r>
          </w:p>
        </w:tc>
      </w:tr>
      <w:tr w14:paraId="18E8D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CD8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中国需求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F66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固投高增长，铜消费快速增长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5B6E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2007年11月固投增速见顶，2008年金融危机致需求骤停</w:t>
            </w:r>
          </w:p>
        </w:tc>
      </w:tr>
      <w:tr w14:paraId="741C9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928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D1D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美元指数92→80（-13%），推升美元计价商品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EA8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2008年避险推升美元，商品暴跌</w:t>
            </w:r>
          </w:p>
        </w:tc>
      </w:tr>
      <w:tr w14:paraId="4EC18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51F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820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外汇占款+日元套利+储蓄过剩三重供给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AC6D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央行加准加息+日元套利逆转+全球信贷冻结</w:t>
            </w:r>
          </w:p>
        </w:tc>
      </w:tr>
      <w:tr w14:paraId="0A66D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C530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商品价格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8B2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2006年5月LME铜见顶8790美元/吨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34E6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2008年金融危机需求骤停，铜价暴跌</w:t>
            </w:r>
          </w:p>
        </w:tc>
      </w:tr>
      <w:tr w14:paraId="406F7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F97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2B7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 14x→50x（全市场），有色动态PE约49x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FD5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2008年有色PE跌回个位数</w:t>
            </w:r>
          </w:p>
        </w:tc>
      </w:tr>
      <w:tr w14:paraId="59763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CFF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0B7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中石油、神华等巨型IPO吸收流动性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7D8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2008年IPO暂停</w:t>
            </w:r>
          </w:p>
        </w:tc>
      </w:tr>
      <w:tr w14:paraId="5DD0A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3D98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098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“防止经济过热”收紧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142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2008年全面转向宽松救市</w:t>
            </w:r>
          </w:p>
        </w:tc>
      </w:tr>
    </w:tbl>
    <w:p w14:paraId="18487D3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1.4.2 三角闭环：商品超级周期的结构性燃料</w:t>
      </w:r>
    </w:p>
    <w:p w14:paraId="1369EA7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：美国（消费+地产+金融杠杆）+中国（工业生产+固投+资源消耗）+日本（低成本资金+高端中间品）构成“消费—生产—融资”闭环。</w:t>
      </w:r>
    </w:p>
    <w:p w14:paraId="4FC6318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闭环破裂条件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（任一触发即可能终结）：</w:t>
      </w:r>
    </w:p>
    <w:p w14:paraId="6AA308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B6E0F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美国消费崩盘（次贷危机）→终端需求消失；</w:t>
      </w:r>
    </w:p>
    <w:p w14:paraId="3497E4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30CBE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CA2CD6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中国生产停滞（固投见顶）→资源需求消失；</w:t>
      </w:r>
    </w:p>
    <w:p w14:paraId="2CB449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ED03B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139EA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日本融资收紧（日银加息）→套利逆转。</w:t>
      </w:r>
    </w:p>
    <w:p w14:paraId="2ED869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05211B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2008年实际情况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：金融危机同时触发条件1与条件2，三角闭环彻底破裂，商品价格6个月内跌超50%。</w:t>
      </w:r>
    </w:p>
    <w:p w14:paraId="75C3FCB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1.4.3 三大见顶特征</w:t>
      </w:r>
    </w:p>
    <w:p w14:paraId="1AA802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BB79D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商品与股价顶背离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：铜价于2006年5月见顶（8790美元/吨），股价于2007年10月见顶，背离期达17个月；</w:t>
      </w:r>
    </w:p>
    <w:p w14:paraId="547942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29471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CD70C2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垃圾股补涨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：龙头滞涨，边缘股连续涨停，为牛市尾声经典信号；</w:t>
      </w:r>
    </w:p>
    <w:p w14:paraId="0893CD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5FC59B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F9603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巨型IPO放量长阴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：中石油668亿元募资，标志行情终点。</w:t>
      </w:r>
    </w:p>
    <w:p w14:paraId="2BDE52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A3BB20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第二部分：当前AI板块的结构性对标</w:t>
      </w:r>
    </w:p>
    <w:p w14:paraId="41055FF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2022年11月ChatGPT发布重新点燃“技术革命”叙事。18个月内，纳斯达克100指数自约11000点升至约21500点（+95%），英伟达(NVDA)涨幅显著。本章从十个维度进行系统性对标。</w:t>
      </w:r>
    </w:p>
    <w:p w14:paraId="585A750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同维度对比矩阵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3214"/>
        <w:gridCol w:w="2780"/>
        <w:gridCol w:w="1522"/>
      </w:tblGrid>
      <w:tr w14:paraId="7140E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39CB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81D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2005–2007有色金属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BCC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2023–2026 AI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67B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共同本质</w:t>
            </w:r>
          </w:p>
        </w:tc>
      </w:tr>
      <w:tr w14:paraId="11E66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E3B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前三大经济体角色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2DC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美国（消费/赤字国）+中国（生产/需求国）+日本（低成本资金）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F37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美国（AI创新国）+中国（追赶国），日本角色减弱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844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05-07为互补，23-26为竞争</w:t>
            </w:r>
          </w:p>
        </w:tc>
      </w:tr>
      <w:tr w14:paraId="61FD3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478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宏观驱动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BA4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中国重工业化+城镇化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B23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AGI革命+算力军备竞赛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022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资本开支驱动的需求正反馈</w:t>
            </w:r>
          </w:p>
        </w:tc>
      </w:tr>
      <w:tr w14:paraId="24D3C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4D1F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流动性来源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45B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外汇占款被动投放+管制利率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504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M7企业盈利→AI Capex自驱；市场化利率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990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流动性均宽松但机制不同</w:t>
            </w:r>
          </w:p>
        </w:tc>
      </w:tr>
      <w:tr w14:paraId="4F1EA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BE1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债务特征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D72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美国居民杠杆高；中国企业杠杆快速上升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B00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美国政府债务/GDP约120%；M7现金充裕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75BF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杠杆集中于不同部门</w:t>
            </w:r>
          </w:p>
        </w:tc>
      </w:tr>
      <w:tr w14:paraId="50958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741C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产业政策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EE8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中国限制高耗能；美国无干预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877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中国大基金+国产替代；美国芯片管制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0A90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政策角色转向产业竞争</w:t>
            </w:r>
          </w:p>
        </w:tc>
      </w:tr>
      <w:tr w14:paraId="05378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F54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市场共识演变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46D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怀疑→接受→狂热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F99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怀疑→接受→部分狂热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76E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路径类似但演化更慢</w:t>
            </w:r>
          </w:p>
        </w:tc>
      </w:tr>
      <w:tr w14:paraId="0EB55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300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龙头涨幅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D90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有色板块+1857%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A09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NVDA涨幅显著；NDX+95%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3F8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单股涨幅类似</w:t>
            </w:r>
          </w:p>
        </w:tc>
      </w:tr>
      <w:tr w14:paraId="16A07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BF1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龙头估值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144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PE约49x（动态）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132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 P/S约20x（有业绩支撑）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7745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23-26估值有业绩支撑</w:t>
            </w:r>
          </w:p>
        </w:tc>
      </w:tr>
      <w:tr w14:paraId="614E9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FF5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巨型IPO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B3C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中石油冻结3.3万亿≈流通市值40%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AA1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OpenAI待IPO（预计1000–3000亿）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420E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抽水效应减弱但信号意义更大</w:t>
            </w:r>
          </w:p>
        </w:tc>
      </w:tr>
      <w:tr w14:paraId="1751D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6741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终结模式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CEF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政策收紧+IPO虹吸+商品见顶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D9E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潜在：Capex回撤+应用端证伪+IPO抽血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771C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终结机制类似</w:t>
            </w:r>
          </w:p>
        </w:tc>
      </w:tr>
    </w:tbl>
    <w:p w14:paraId="5B4D176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AI板块现状（截至2026年6月）</w:t>
      </w:r>
    </w:p>
    <w:p w14:paraId="5B6F258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2.2.1 M7云厂商资本开支/营业收入比率（估算）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1062"/>
        <w:gridCol w:w="1062"/>
        <w:gridCol w:w="946"/>
        <w:gridCol w:w="946"/>
        <w:gridCol w:w="1492"/>
        <w:gridCol w:w="946"/>
        <w:gridCol w:w="946"/>
      </w:tblGrid>
      <w:tr w14:paraId="744A8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83B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4E5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2023年Capex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8C3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2024年Capex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888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464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AD6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2024年Capex/Rev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09B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8BC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2026年E</w:t>
            </w:r>
          </w:p>
        </w:tc>
      </w:tr>
      <w:tr w14:paraId="2610C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3F9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Microsoft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049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F38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8BA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75E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065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B09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60DE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0.35</w:t>
            </w:r>
          </w:p>
        </w:tc>
      </w:tr>
      <w:tr w14:paraId="20A8D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026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Google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ACB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5BC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B0E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312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6B5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174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A21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0.25</w:t>
            </w:r>
          </w:p>
        </w:tc>
      </w:tr>
      <w:tr w14:paraId="2E676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51AA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Amazon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514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459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9DD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3F2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59D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5AC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991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0.18</w:t>
            </w:r>
          </w:p>
        </w:tc>
      </w:tr>
      <w:tr w14:paraId="2E366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8C20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B2B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ACF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070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348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EC5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A19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237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0.39</w:t>
            </w:r>
          </w:p>
        </w:tc>
      </w:tr>
      <w:tr w14:paraId="34E94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231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Apple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D08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2B5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5C6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4B4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3C1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594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E5A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</w:tr>
      <w:tr w14:paraId="7CA68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798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Tesla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015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0A1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DCD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650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E17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31E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F3F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0.12</w:t>
            </w:r>
          </w:p>
        </w:tc>
      </w:tr>
      <w:tr w14:paraId="0537B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19A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NVIDIA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BA1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840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E47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042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16D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7C8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35F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</w:tr>
      <w:tr w14:paraId="5D580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2283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M7（除NVDA）平均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674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279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18A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370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F18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494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260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69A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192C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0.30</w:t>
            </w:r>
          </w:p>
        </w:tc>
      </w:tr>
    </w:tbl>
    <w:p w14:paraId="1FBD20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：基于公司SEC 10-Q/10-K filings及卖方一致预期整理。Capex数据为公司披露或分析师预估，部分为估算值。</w:t>
      </w:r>
    </w:p>
    <w:p w14:paraId="4D1748B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：M7（除NVDA）平均Capex/Rev自2024年18%升至2026年预估30%，距35%阈值（基于历史固投增速见顶经验的模型假设）仅5个百分点。Meta的2026年预估Capex/Rev达39%，为M7中最高。</w:t>
      </w:r>
    </w:p>
    <w:p w14:paraId="480C411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2.2.2 NDX与NVDA表现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2237"/>
        <w:gridCol w:w="2118"/>
        <w:gridCol w:w="1147"/>
      </w:tblGrid>
      <w:tr w14:paraId="328DD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7866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539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2022年11月起点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04C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2026年6月当前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49F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涨幅</w:t>
            </w:r>
          </w:p>
        </w:tc>
      </w:tr>
      <w:tr w14:paraId="05EDA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614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NDX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FDA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约11,000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ED8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约21,500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967A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约+95%</w:t>
            </w:r>
          </w:p>
        </w:tc>
      </w:tr>
      <w:tr w14:paraId="0B7B9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70B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AF3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约14美元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5CB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约130美元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649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约+800%</w:t>
            </w:r>
          </w:p>
        </w:tc>
      </w:tr>
      <w:tr w14:paraId="48687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8D4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M7在NDX占比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02B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42%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78B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8D06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+13pct</w:t>
            </w:r>
          </w:p>
        </w:tc>
      </w:tr>
    </w:tbl>
    <w:p w14:paraId="7FAA66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：纳斯达克及公开市场数据。</w:t>
      </w:r>
    </w:p>
    <w:p w14:paraId="30C4C5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：2022年11月ChatGPT发布；2023年5月NVDA Q1业绩超预期；2024年6月NVDA拆股；2025年8月NVDA破150美元；2026年3月NVDA单日振幅12%。</w:t>
      </w:r>
    </w:p>
    <w:p w14:paraId="6FA7F1E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2.2.3 HBM市场规模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9"/>
        <w:gridCol w:w="5526"/>
        <w:gridCol w:w="3345"/>
      </w:tblGrid>
      <w:tr w14:paraId="4444C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576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08B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HBM市场规模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867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同比</w:t>
            </w:r>
          </w:p>
        </w:tc>
      </w:tr>
      <w:tr w14:paraId="7E683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10C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155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约43.5亿美元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95B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9D9B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94C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098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约170亿美元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0B49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约+290%</w:t>
            </w:r>
          </w:p>
        </w:tc>
      </w:tr>
      <w:tr w14:paraId="12E05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686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D4E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约307亿美元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108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约+80%</w:t>
            </w:r>
          </w:p>
        </w:tc>
      </w:tr>
      <w:tr w14:paraId="31289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BA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DD8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约500亿美元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09D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约+63%</w:t>
            </w:r>
          </w:p>
        </w:tc>
      </w:tr>
    </w:tbl>
    <w:p w14:paraId="27A26D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：行业研究机构数据。2023年全球HBM收入43.5亿美元，2024年170亿美元，2025年约307亿美元（同比+80.6%），预计2026年有望达到500亿美元。</w:t>
      </w:r>
    </w:p>
    <w:p w14:paraId="1296F69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：增速拐点明显——2025年增速从约+290%降至约+80%，2026年进一步降至约+63%。这一供给端的“二阶导转负”构成硬件股估值的潜在压力。</w:t>
      </w:r>
    </w:p>
    <w:p w14:paraId="2F22C57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2.2.4 A股AI板块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1959"/>
        <w:gridCol w:w="1968"/>
        <w:gridCol w:w="1167"/>
        <w:gridCol w:w="920"/>
      </w:tblGrid>
      <w:tr w14:paraId="2DE08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1A46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标的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FE3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2023年平均PE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857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2026年6月PE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BFA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涨幅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0C9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阶段</w:t>
            </w:r>
          </w:p>
        </w:tc>
      </w:tr>
      <w:tr w14:paraId="470A7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C7A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中际旭创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B3F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694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515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+200%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AEB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光模块</w:t>
            </w:r>
          </w:p>
        </w:tc>
      </w:tr>
      <w:tr w14:paraId="41C19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E834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新易盛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5AC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688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291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+300%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405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光模块</w:t>
            </w:r>
          </w:p>
        </w:tc>
      </w:tr>
      <w:tr w14:paraId="5F4FB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B07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寒武纪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D1A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09A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约80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70A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+150%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372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算力</w:t>
            </w:r>
          </w:p>
        </w:tc>
      </w:tr>
      <w:tr w14:paraId="606DB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E22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海光信息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7D8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22A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F65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+180%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9090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算力</w:t>
            </w:r>
          </w:p>
        </w:tc>
      </w:tr>
      <w:tr w14:paraId="03641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064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金山办公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46C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约280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F19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0F6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+50%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18D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</w:t>
            </w:r>
          </w:p>
        </w:tc>
      </w:tr>
      <w:tr w14:paraId="46AB7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3ADF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科大讯飞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D94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BC6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0DC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+50%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925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</w:t>
            </w:r>
          </w:p>
        </w:tc>
      </w:tr>
    </w:tbl>
    <w:p w14:paraId="636C61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：A股公开市场数据。</w:t>
      </w:r>
    </w:p>
    <w:p w14:paraId="2F03984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轮动阶段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：早期（算力芯片）→中期（光模块/服务器）→晚期（应用软件，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当前已至晚期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）→末期（垃圾股/概念股）。</w:t>
      </w:r>
    </w:p>
    <w:p w14:paraId="1CABE48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2.2.5 NVDA估值历史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7"/>
        <w:gridCol w:w="1340"/>
        <w:gridCol w:w="993"/>
        <w:gridCol w:w="1470"/>
        <w:gridCol w:w="1476"/>
      </w:tblGrid>
      <w:tr w14:paraId="7BBAF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0B9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B88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E34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P/S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A94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 200MA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898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PS 200MA</w:t>
            </w:r>
          </w:p>
        </w:tc>
      </w:tr>
      <w:tr w14:paraId="1D927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26D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2023年12月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479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74E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CAD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4A3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约18</w:t>
            </w:r>
          </w:p>
        </w:tc>
      </w:tr>
      <w:tr w14:paraId="10B83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6B86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2024年12月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A5C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7D1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7DE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1885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约22</w:t>
            </w:r>
          </w:p>
        </w:tc>
      </w:tr>
      <w:tr w14:paraId="77CE1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B9B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2025年12月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4E6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670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B1E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F98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约24</w:t>
            </w:r>
          </w:p>
        </w:tc>
      </w:tr>
      <w:tr w14:paraId="55BA6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2DE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2026年6月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17D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约32–35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D5C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AC7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C95E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约23</w:t>
            </w:r>
          </w:p>
        </w:tc>
      </w:tr>
    </w:tbl>
    <w:p w14:paraId="1B80B8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：NVDA P/S约20.13（需进一步核实具体时点）。</w:t>
      </w:r>
    </w:p>
    <w:p w14:paraId="0D3854C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2.2.6 Copilot渗透率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6"/>
        <w:gridCol w:w="6110"/>
        <w:gridCol w:w="2864"/>
      </w:tblGrid>
      <w:tr w14:paraId="3E0F2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B10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C03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Microsoft 365 Copilot（付费渗透率）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9A2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GitHub Copilot</w:t>
            </w:r>
          </w:p>
        </w:tc>
      </w:tr>
      <w:tr w14:paraId="6778B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84E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2024年12月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9FB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AD7E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约25%</w:t>
            </w:r>
          </w:p>
        </w:tc>
      </w:tr>
      <w:tr w14:paraId="68BD1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1B1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2025年6月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999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F3A9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约32%</w:t>
            </w:r>
          </w:p>
        </w:tc>
      </w:tr>
      <w:tr w14:paraId="47A68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B7A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2025年12月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E1D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3DC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约38%</w:t>
            </w:r>
          </w:p>
        </w:tc>
      </w:tr>
      <w:tr w14:paraId="48916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CDF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2026年6月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88B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约3.3%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7F7B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约42%</w:t>
            </w:r>
          </w:p>
        </w:tc>
      </w:tr>
    </w:tbl>
    <w:p w14:paraId="30247B3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：Microsoft 365拥有超4.5亿付费席位，真正为Copilot额外付费的约1500万席位，占比约3.3%。GitHub Copilot数据来自公开信息。</w:t>
      </w:r>
    </w:p>
    <w:p w14:paraId="556C635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：3.3%的付费渗透率显著低于此前市场预期，说明AI应用端商业化进展慢于预期。此外需关注Copilot在付费AI用户中的首选率变化趋势。</w:t>
      </w:r>
    </w:p>
    <w:p w14:paraId="561DFE6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 宏观背景对照及预期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1"/>
        <w:gridCol w:w="2872"/>
        <w:gridCol w:w="2695"/>
        <w:gridCol w:w="2018"/>
      </w:tblGrid>
      <w:tr w14:paraId="7A245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1CF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D84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2005–2007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EE8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2023–2026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14B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共同本质</w:t>
            </w:r>
          </w:p>
        </w:tc>
      </w:tr>
      <w:tr w14:paraId="7C4F5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4AA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时代叙事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5A1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中国城镇化+工业化+WTO红利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B29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AGI/通用智能革命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364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时代级叙事驱动资产价格</w:t>
            </w:r>
          </w:p>
        </w:tc>
      </w:tr>
      <w:tr w14:paraId="6D7EA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3D7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实体需求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7CE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固投高增长，铜消费快速增长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978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AI Capex高增长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E72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实体需求爆发</w:t>
            </w:r>
          </w:p>
        </w:tc>
      </w:tr>
      <w:tr w14:paraId="54D6E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A81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货币/汇率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BC8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美元指数跌13%，人民币升值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881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美联储2025年降息至3.5%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DB5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货币政策转向</w:t>
            </w:r>
          </w:p>
        </w:tc>
      </w:tr>
      <w:tr w14:paraId="3EB23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355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24A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外汇占款被动投放+管制利率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BAF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企业自驱Capex+市场化利率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051E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流动性均宽松但来源不同</w:t>
            </w:r>
          </w:p>
        </w:tc>
      </w:tr>
      <w:tr w14:paraId="633DB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E9B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709B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加息+加准+印花税+IPO抽血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EB3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AI监管+芯片管制+关税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573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政策干预持续</w:t>
            </w:r>
          </w:p>
        </w:tc>
      </w:tr>
      <w:tr w14:paraId="07C0C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D17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3DC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 14x→50x（全市场）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35A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NDQ PE 25x→35x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DAD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估值均扩张但锚不同</w:t>
            </w:r>
          </w:p>
        </w:tc>
      </w:tr>
    </w:tbl>
    <w:p w14:paraId="4B41EB1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2.3.1 IMF与卖方一致预期</w:t>
      </w:r>
    </w:p>
    <w:p w14:paraId="1489D0F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IMF 2026年春季会议（2026年4月）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：</w:t>
      </w:r>
    </w:p>
    <w:p w14:paraId="245DD8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1E74E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全球GDP增速3.1%（较2025年3.4%放缓）</w:t>
      </w:r>
    </w:p>
    <w:p w14:paraId="0976CD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ED8FD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D6136F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美国2.3%</w:t>
      </w:r>
    </w:p>
    <w:p w14:paraId="36AEA8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6E9AD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3840DF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中国4.4%–4.5%</w:t>
      </w:r>
    </w:p>
    <w:p w14:paraId="6303C9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10D45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8B95C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特别提示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：AI资本开支若被证伪可能引发剧烈修正</w:t>
      </w:r>
    </w:p>
    <w:p w14:paraId="060E2B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0D02129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国内券商共识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52250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5FE831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中金：中国GDP 4.7%，制造业AI产业链为主要贡献</w:t>
      </w:r>
    </w:p>
    <w:p w14:paraId="4141C4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7C243C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7D658DA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中信：中国GDP 4.6%，AI应用场景落地</w:t>
      </w:r>
    </w:p>
    <w:p w14:paraId="549033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0E4BD7C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美股分析师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FD5CF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019249C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高盛：NVDA目标价200美元</w:t>
      </w:r>
    </w:p>
    <w:p w14:paraId="60AE43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588332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42B705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摩根士丹利：NDX目标25,000点</w:t>
      </w:r>
    </w:p>
    <w:p w14:paraId="6A1D3E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64D272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F7B2A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摩根大通：MSFT目标600美元</w:t>
      </w:r>
    </w:p>
    <w:p w14:paraId="0F7DCD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5C06344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第三部分：三大量化顶部信号与操作框架</w:t>
      </w:r>
    </w:p>
    <w:p w14:paraId="454E444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基于2005–2007年历史镜像，本报告提出三项可量化、可监测、可证伪的顶部信号。</w:t>
      </w:r>
    </w:p>
    <w:p w14:paraId="544C87E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S1：云厂商资本开支增速二阶导转负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2"/>
        <w:gridCol w:w="9748"/>
      </w:tblGrid>
      <w:tr w14:paraId="29256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7C1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9F6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CE8C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39F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核心逻辑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1CC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算力需求的“真金”指标瓦解，证伪永续高增长叙事</w:t>
            </w:r>
          </w:p>
        </w:tc>
      </w:tr>
      <w:tr w14:paraId="33AF1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AF2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历史对标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139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2007年11月中国固定资产投资增速见顶→2008年铜真实需求断崖</w:t>
            </w:r>
          </w:p>
        </w:tc>
      </w:tr>
      <w:tr w14:paraId="312E3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403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BAA6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Capex同比增速连续两季&lt;20%或环比负增长（模型假设）</w:t>
            </w:r>
          </w:p>
        </w:tc>
      </w:tr>
      <w:tr w14:paraId="4921D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271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A2AB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未触发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（M7 Capex/Rev约30%，增速仍高）</w:t>
            </w:r>
          </w:p>
        </w:tc>
      </w:tr>
      <w:tr w14:paraId="43D2C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FFA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观测事件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208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Microsoft 2026Q3财报电话会CFO口径变化；台积电CoWoS订单变化</w:t>
            </w:r>
          </w:p>
        </w:tc>
      </w:tr>
      <w:tr w14:paraId="48D1B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DA6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225D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10-Q/10-K、台积电月度营收</w:t>
            </w:r>
          </w:p>
        </w:tc>
      </w:tr>
      <w:tr w14:paraId="67F8F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256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更新频率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A54F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季度（财报季）</w:t>
            </w:r>
          </w:p>
        </w:tc>
      </w:tr>
      <w:tr w14:paraId="28405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251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798F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⏱ 领先指标（领先1–2季度）</w:t>
            </w:r>
          </w:p>
        </w:tc>
      </w:tr>
    </w:tbl>
    <w:p w14:paraId="360F2DF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S2：标志性AI独角兽巨型IPO首日即巅峰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1"/>
        <w:gridCol w:w="9549"/>
      </w:tblGrid>
      <w:tr w14:paraId="6AE35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87C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A24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C1B7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016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核心逻辑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91FD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市场流动性已无法支撑“梦想变现”</w:t>
            </w:r>
          </w:p>
        </w:tc>
      </w:tr>
      <w:tr w14:paraId="290DA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222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历史对标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8C31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2007年11月5日中石油上市高开低走→上证指数大顶</w:t>
            </w:r>
          </w:p>
        </w:tc>
      </w:tr>
      <w:tr w14:paraId="7FE54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AF1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20E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IPO首日高开&gt;50%后收长阴线（模型假设）</w:t>
            </w:r>
          </w:p>
        </w:tc>
      </w:tr>
      <w:tr w14:paraId="2A8BB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70F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B2E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未触发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（OpenAI未上市）</w:t>
            </w:r>
          </w:p>
        </w:tc>
      </w:tr>
      <w:tr w14:paraId="6B6DA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E62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观测事件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F25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SEC关于大型AI公司IPO的注册声明；OpenAI上市首日表现</w:t>
            </w:r>
          </w:p>
        </w:tc>
      </w:tr>
      <w:tr w14:paraId="78E2C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885F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6C65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EDGAR、Bloomberg</w:t>
            </w:r>
          </w:p>
        </w:tc>
      </w:tr>
      <w:tr w14:paraId="5FB43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F87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更新频率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BF2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IPO后每日跟踪</w:t>
            </w:r>
          </w:p>
        </w:tc>
      </w:tr>
      <w:tr w14:paraId="62A45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3B6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DECE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同步确认信号</w:t>
            </w:r>
          </w:p>
        </w:tc>
      </w:tr>
    </w:tbl>
    <w:p w14:paraId="2074853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OpenAI拟IPO估值变化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（非公开信息，仅供参考）：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4"/>
        <w:gridCol w:w="5126"/>
        <w:gridCol w:w="3710"/>
      </w:tblGrid>
      <w:tr w14:paraId="55E6F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0850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5FF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6C4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</w:t>
            </w:r>
          </w:p>
        </w:tc>
      </w:tr>
      <w:tr w14:paraId="5E61F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A2A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2025年10月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278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约5000亿美元（要约收购）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071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tender offer</w:t>
            </w:r>
          </w:p>
        </w:tc>
      </w:tr>
      <w:tr w14:paraId="155A3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6E5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2026年3月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539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约8500亿美元（内部估值）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456E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2E67D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AD2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2026年6月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3F3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拟IPO约1000亿美元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2A4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预计2026Q4–2027Q1</w:t>
            </w:r>
          </w:p>
        </w:tc>
      </w:tr>
    </w:tbl>
    <w:p w14:paraId="7E1E17E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S3：龙头估值框架崩溃+应用端收入证伪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7"/>
        <w:gridCol w:w="9753"/>
      </w:tblGrid>
      <w:tr w14:paraId="77FB1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8639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1EF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29D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6C0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核心逻辑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801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估值从“梦想定价”切换为“残值定价”</w:t>
            </w:r>
          </w:p>
        </w:tc>
      </w:tr>
      <w:tr w14:paraId="4EACB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88B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历史对标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CD2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2007年10月中铝高PE后暴跌</w:t>
            </w:r>
          </w:p>
        </w:tc>
      </w:tr>
      <w:tr w14:paraId="2136C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BD2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CB4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NVDA营收环比增速降至个位数；Copilot付费渗透率停滞（模型假设）</w:t>
            </w:r>
          </w:p>
        </w:tc>
      </w:tr>
      <w:tr w14:paraId="338E8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2BCD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6A1E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未触发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（NVDA P/S约20，Copilot渗透率约3.3%）</w:t>
            </w:r>
          </w:p>
        </w:tc>
      </w:tr>
      <w:tr w14:paraId="417A4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0C5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观测事件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D2B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NVDA季报营收环比；Microsoft Office云收入增速</w:t>
            </w:r>
          </w:p>
        </w:tc>
      </w:tr>
      <w:tr w14:paraId="5788B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CA71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BAE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10-Q/10-K</w:t>
            </w:r>
          </w:p>
        </w:tc>
      </w:tr>
      <w:tr w14:paraId="58451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C5E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更新频率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4CE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季度（财报季）</w:t>
            </w:r>
          </w:p>
        </w:tc>
      </w:tr>
      <w:tr w14:paraId="50C45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2B9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186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🔵 滞后/确认信号</w:t>
            </w:r>
          </w:p>
        </w:tc>
      </w:tr>
    </w:tbl>
    <w:p w14:paraId="668C589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3.4 综合评分与操作建议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6"/>
        <w:gridCol w:w="3085"/>
        <w:gridCol w:w="5789"/>
      </w:tblGrid>
      <w:tr w14:paraId="59349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D71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31F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FD1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操作建议</w:t>
            </w:r>
          </w:p>
        </w:tc>
      </w:tr>
      <w:tr w14:paraId="646E2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762E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0/3 ~ 0.5/3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EC9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安全（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991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维持AI仓位60–70%，跟踪S1</w:t>
            </w:r>
          </w:p>
        </w:tc>
      </w:tr>
      <w:tr w14:paraId="2D110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16A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1/3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40F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CB3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减仓AI至30–40%</w:t>
            </w:r>
          </w:p>
        </w:tc>
      </w:tr>
      <w:tr w14:paraId="1755E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3A44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2/3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80F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危险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FF7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AI降至10–20%，转配债券/黄金</w:t>
            </w:r>
          </w:p>
        </w:tc>
      </w:tr>
      <w:tr w14:paraId="5D7FE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D8D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3/3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79E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触发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61D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清仓风险资产，等待右侧机会</w:t>
            </w:r>
          </w:p>
        </w:tc>
      </w:tr>
    </w:tbl>
    <w:p w14:paraId="5D67E60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当前评分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0/3 ~ 0.5/3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（S1接近触发但未触发，S2/S3未触发）。</w:t>
      </w:r>
    </w:p>
    <w:p w14:paraId="7558408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3.5 关键监测日程（2026–2027）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7"/>
        <w:gridCol w:w="2001"/>
        <w:gridCol w:w="1886"/>
        <w:gridCol w:w="1467"/>
        <w:gridCol w:w="1665"/>
      </w:tblGrid>
      <w:tr w14:paraId="510C9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DC20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433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D43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S1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36F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S2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470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S3</w:t>
            </w:r>
          </w:p>
        </w:tc>
      </w:tr>
      <w:tr w14:paraId="666EE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FD2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2026年7月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388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Q2财报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084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Capex增速拐点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73B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F344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27445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05A2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2026年下半年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62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OpenAI IPO窗口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DD5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B9D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决定性观察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F0C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71001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A6C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2026年10月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5EF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Q3财报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697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二阶导验证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92E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CDAF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NVDA营收环比</w:t>
            </w:r>
          </w:p>
        </w:tc>
      </w:tr>
      <w:tr w14:paraId="2D2AB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C5B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2026年下半年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5C0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HBM产能释放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A85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供给拐点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639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177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7725E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586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2027年Q1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351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Q4财报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D89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终极验证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A8D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B29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Copilot数据</w:t>
            </w:r>
          </w:p>
        </w:tc>
      </w:tr>
    </w:tbl>
    <w:p w14:paraId="3A1CF57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顶部窗口预测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：2026年下半年至2027年上半年。</w:t>
      </w:r>
    </w:p>
    <w:p w14:paraId="7DBD100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附录A：三国货币政策指标不对称的方法论说明</w:t>
      </w:r>
    </w:p>
    <w:p w14:paraId="52AD6BC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三国货币政策框架存在结构性差异，直接使用同一指标比较易产生误导。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2806"/>
        <w:gridCol w:w="1976"/>
        <w:gridCol w:w="3155"/>
      </w:tblGrid>
      <w:tr w14:paraId="1FCD5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2BE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907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央行目标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1E5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27D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1D31D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63E3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45C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充分就业+物价稳定（双目标制）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BBE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联邦基金利率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704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利率走廊机制，利率为直接工具</w:t>
            </w:r>
          </w:p>
        </w:tc>
      </w:tr>
      <w:tr w14:paraId="19EFA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B97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D9C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经济增长+货币供应（多目标制）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339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M2增速+存贷款基准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BF3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数量型工具+管制利率（2019年改革前）</w:t>
            </w:r>
          </w:p>
        </w:tc>
      </w:tr>
      <w:tr w14:paraId="220B0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7D7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465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通胀+利率曲线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FA3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无担保隔夜利率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68D2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量化宽松后转向价格型</w:t>
            </w:r>
          </w:p>
        </w:tc>
      </w:tr>
    </w:tbl>
    <w:p w14:paraId="7FE8ABE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关键方法论修正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56BC3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594512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须使用同期限市场利率进行短长利差对比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：不可将央行管制利率与市场化利率直接比较</w:t>
      </w:r>
    </w:p>
    <w:p w14:paraId="564DC9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3769E0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675C4B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须区分政策利率与市场利率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：中国1年期贷款基准为管制利率，国债为市场化利率</w:t>
      </w:r>
    </w:p>
    <w:p w14:paraId="67C715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1DBE52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0FB516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中国“管制利率倒挂”为2007年特有现象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：1年期存款基准4.14%高于1年期国债收益率（年末约3.8%）</w:t>
      </w:r>
    </w:p>
    <w:p w14:paraId="290D4D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205B5F1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附录B：2005–2007年重大事件时间轴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6"/>
        <w:gridCol w:w="5997"/>
        <w:gridCol w:w="1597"/>
      </w:tblGrid>
      <w:tr w14:paraId="6AC3D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B0E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DAE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A7A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</w:tr>
      <w:tr w14:paraId="6D3E1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646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2005年6月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971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股改启动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5FB1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</w:tr>
      <w:tr w14:paraId="1321D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78A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2005年7月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3DE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人民币汇改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922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汇率</w:t>
            </w:r>
          </w:p>
        </w:tc>
      </w:tr>
      <w:tr w14:paraId="18305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344F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2005年11月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0F8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神华H股IPO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C0E3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4E374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D7A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2006年4月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669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中铝A股IPO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A80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7B4CC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7743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BCC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LME铜8790美元/吨历史峰值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AD4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</w:t>
            </w:r>
          </w:p>
        </w:tc>
      </w:tr>
      <w:tr w14:paraId="4FDCD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18D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2006年6月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47E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美联储加息见顶5.25%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0347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</w:t>
            </w:r>
          </w:p>
        </w:tc>
      </w:tr>
      <w:tr w14:paraId="41038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8DD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2007年4月30日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5B0B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中铝吸收合并山铝/兰铝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A5C4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</w:tr>
      <w:tr w14:paraId="3AD21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114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2007年5月30日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917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印花税1‰→3‰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D80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</w:tr>
      <w:tr w14:paraId="0EEE3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80C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2007年7月12日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87C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西部矿业上市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F1AD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474FA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83A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2007年9月25日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8A1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建设银行A股IPO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54D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68E4E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2C8F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2007年10月9日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A60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中国神华A股IPO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D69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72145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EB0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2007年10月16日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BFF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上证6124见顶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5F65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</w:t>
            </w:r>
          </w:p>
        </w:tc>
      </w:tr>
      <w:tr w14:paraId="33AFB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A6D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2007年11月5日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B89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中石油A股IPO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1160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69F0D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0A02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2008年10月28日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182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上证1664金融危机底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BAB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</w:t>
            </w:r>
          </w:p>
        </w:tc>
      </w:tr>
    </w:tbl>
    <w:p w14:paraId="4EF6D72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附录C：数据来源说明</w:t>
      </w:r>
    </w:p>
    <w:p w14:paraId="6680A01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核心数据文件清单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TopicResearch/data/raw/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7"/>
        <w:gridCol w:w="4782"/>
        <w:gridCol w:w="3161"/>
      </w:tblGrid>
      <w:tr w14:paraId="7A854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AFF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4F2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3CA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69B45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3FD9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fedfunds_clean.json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4C5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联邦基金利率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FD8C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FRED/美联储</w:t>
            </w:r>
          </w:p>
        </w:tc>
      </w:tr>
      <w:tr w14:paraId="1F963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7BD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gs10_clean.json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225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美10年期国债收益率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74F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FRED/美联储</w:t>
            </w:r>
          </w:p>
        </w:tc>
      </w:tr>
      <w:tr w14:paraId="2CB19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216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mortgage30us_clean.json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82A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美30年房贷利率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F213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</w:t>
            </w:r>
          </w:p>
        </w:tc>
      </w:tr>
      <w:tr w14:paraId="77162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109C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dtwx_clean.json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546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BA5D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</w:t>
            </w:r>
          </w:p>
        </w:tc>
      </w:tr>
      <w:tr w14:paraId="20049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51BA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m2sl_clean.json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B5E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美国M2货币供应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4B2B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</w:t>
            </w:r>
          </w:p>
        </w:tc>
      </w:tr>
      <w:tr w14:paraId="1EBC1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AEBA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china_macro_data.json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3FD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中国M2/外储/贸易/GDP/CPI/利率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3A90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PBOC/海关/国家统计局</w:t>
            </w:r>
          </w:p>
        </w:tc>
      </w:tr>
      <w:tr w14:paraId="0FC37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677F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japan_macro_data.json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013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日本利率/JGB/汇率/外储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BB2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BOJ/IMF</w:t>
            </w:r>
          </w:p>
        </w:tc>
      </w:tr>
      <w:tr w14:paraId="1F2BA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427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three_country_data.json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A9E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三国GDP/CPI/债务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B8B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IMF/World Bank</w:t>
            </w:r>
          </w:p>
        </w:tc>
      </w:tr>
      <w:tr w14:paraId="7A3F7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B49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ai_sector_data.json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A5F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M7营收/Capex/NDX/Copilot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FAA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EDGAR/公司年报</w:t>
            </w:r>
          </w:p>
        </w:tc>
      </w:tr>
      <w:tr w14:paraId="71DA8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EAA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ipo_data.json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493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2005–2007 IPO数据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DDA2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公开市场信息</w:t>
            </w:r>
          </w:p>
        </w:tc>
      </w:tr>
      <w:tr w14:paraId="587F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A1F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metal_performance.json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490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2005–2007金属涨幅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F31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</w:t>
            </w:r>
          </w:p>
        </w:tc>
      </w:tr>
      <w:tr w14:paraId="503C8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88B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event_timeline.json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D7D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重大事件时间轴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1B63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</w:t>
            </w:r>
          </w:p>
        </w:tc>
      </w:tr>
      <w:tr w14:paraId="72A03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AA0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expectations_data.json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F31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IMF/卖方预期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79D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IMF/卖方</w:t>
            </w:r>
          </w:p>
        </w:tc>
      </w:tr>
    </w:tbl>
    <w:p w14:paraId="3877D0C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数据源机构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17A98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2B5439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FRED（美联储经济数据）</w:t>
      </w:r>
    </w:p>
    <w:p w14:paraId="544F9F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018BEC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43DF55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PBOC（中国人民银行）</w:t>
      </w:r>
    </w:p>
    <w:p w14:paraId="357D18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5366B1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D8C09A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BOJ（日本银行）</w:t>
      </w:r>
    </w:p>
    <w:p w14:paraId="487464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584F21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6E63E4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IMF（国际货币基金组织）</w:t>
      </w:r>
    </w:p>
    <w:p w14:paraId="39FFC4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4E5E62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3EFEFD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World Bank（世界银行）</w:t>
      </w:r>
    </w:p>
    <w:p w14:paraId="170287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2987FE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6F558A6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SEC EDGAR（美国证券交易委员会）</w:t>
      </w:r>
    </w:p>
    <w:p w14:paraId="1B43AC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4CFCF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5ADC218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LME（伦敦金属交易所）</w:t>
      </w:r>
    </w:p>
    <w:p w14:paraId="336193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535B8C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6DC8E6B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中国国家统计局</w:t>
      </w:r>
    </w:p>
    <w:p w14:paraId="2149C5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683571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3B76F6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中国海关总署</w:t>
      </w:r>
    </w:p>
    <w:p w14:paraId="22E5DB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6754EC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63DE07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公司年报（江西铜业、云南铜业、中国铝业、紫金矿业等）</w:t>
      </w:r>
    </w:p>
    <w:p w14:paraId="621F1D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0384A73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修正说明</w:t>
      </w:r>
    </w:p>
    <w:p w14:paraId="75A9453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本报告v2.1版本基于事实核查进行了以下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关键数据修正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8"/>
        <w:gridCol w:w="1988"/>
        <w:gridCol w:w="1586"/>
        <w:gridCol w:w="2123"/>
        <w:gridCol w:w="2251"/>
      </w:tblGrid>
      <w:tr w14:paraId="3A650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B77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209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修正项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398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原数据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09B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修正后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0ED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修正依据</w:t>
            </w:r>
          </w:p>
        </w:tc>
      </w:tr>
      <w:tr w14:paraId="6EAC3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A5C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C9E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日本2005年GDP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2B0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DBB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44A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0CB6E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96C5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51C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日本2006年GDP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239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336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63E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1D91F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615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CA7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日本2007年GDP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DAD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17C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2.1%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DD33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"https://www.stats.gov.cn/sj/ndsj/2008/html/Z2603e.htm"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58B9A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925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7F6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1Y国债2.79%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967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误为国债收益率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1EE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实为1Y存款基准利率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7B6E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人民银行公告</w:t>
            </w:r>
          </w:p>
        </w:tc>
      </w:tr>
      <w:tr w14:paraId="54543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B07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BD1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LME铜见顶时间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67C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2008年7月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2DF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2006年5月11日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689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LME公开数据</w:t>
            </w:r>
          </w:p>
        </w:tc>
      </w:tr>
      <w:tr w14:paraId="60BC2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CD3A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FC7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中国铝业2007营收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1D1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1100亿元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789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761.80亿元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49B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公司年报</w:t>
            </w:r>
          </w:p>
        </w:tc>
      </w:tr>
      <w:tr w14:paraId="744CF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8A0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E98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中国铝业2006营收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B90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750亿元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A41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648.27亿元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25D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公司年报</w:t>
            </w:r>
          </w:p>
        </w:tc>
      </w:tr>
      <w:tr w14:paraId="3EADC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66E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87C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紫金矿业2006营收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A3D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371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约106–108亿元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7CD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公司公告</w:t>
            </w:r>
          </w:p>
        </w:tc>
      </w:tr>
      <w:tr w14:paraId="2FFED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116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479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 2025市场规模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949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800亿美元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D80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约307亿美元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B26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794C3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E40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F14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 2026E市场规模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9AA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1300亿美元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81C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约500亿美元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44F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0D0AA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16F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AE4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Copilot渗透率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0D4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D4E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约3.3%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D820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微软数据</w:t>
            </w:r>
          </w:p>
        </w:tc>
      </w:tr>
      <w:tr w14:paraId="7BF6C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E5A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22C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美国财政赤字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746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748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联邦约1.0–1.2%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90C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美国财政部（口径说明已补充）</w:t>
            </w:r>
          </w:p>
        </w:tc>
      </w:tr>
    </w:tbl>
    <w:p w14:paraId="1D4B4F0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估算值与模型假设标注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（以下为估算或模型假设，已在上文相应位置标注）：</w:t>
      </w:r>
    </w:p>
    <w:p w14:paraId="23B893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59CB21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日元套利规模（$500B+）：业内估算值</w:t>
      </w:r>
    </w:p>
    <w:p w14:paraId="6B9AF3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78E918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5EBEE1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外汇占款增量：基于央行资产负债表的近似估算</w:t>
      </w:r>
    </w:p>
    <w:p w14:paraId="73D0AF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7F902A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6AA6E2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M7 Capex/Rev阈值35%：基于历史固投增速见顶经验的模型假设</w:t>
      </w:r>
    </w:p>
    <w:p w14:paraId="006981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3A3904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709B2F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S1/S2/S3量化阈值：基于历史类比推导的监测阈值</w:t>
      </w:r>
    </w:p>
    <w:p w14:paraId="532A89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658A3D7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免责声明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本报告基于历史类比与公开数据构建分析框架，不构成任何投资建议。AI板块具有真实盈利支撑，“此次不同”可能使信号延迟而非消失。建议组合运用三项信号，避免单一依赖。本报告作者不对数据准确性、完整性或时效性作任何保证。投资者应依据自身风险承受能力与投资目标独立判断，自担投资风险。</w:t>
      </w:r>
    </w:p>
    <w:p w14:paraId="41993E74"/>
    <w:p w14:paraId="4F2991B4"/>
    <w:p w14:paraId="7553EADE"/>
    <w:p w14:paraId="4FA26AB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以下为报告中所引用核心数据的来源链接及说明。所有链接均来自权威数据源（FRED、国家统计局、中国人民银行等）或主流财经媒体的一手报道。</w:t>
      </w:r>
    </w:p>
    <w:p w14:paraId="4536EE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0B81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一、宏观经济数据</w:t>
      </w:r>
    </w:p>
    <w:p w14:paraId="0097BD3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美国GDP增速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1811"/>
        <w:gridCol w:w="8151"/>
      </w:tblGrid>
      <w:tr w14:paraId="606E5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647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0C9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B36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34596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B258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EC4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195A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美国经济分析局（BEA）数据，引自国家统计局国际统计年鉴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565F1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1DA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71D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2.9%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858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41435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D57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B30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83F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</w:tbl>
    <w:p w14:paraId="11CDE2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7C6A21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：国家统计局国际统计年鉴2008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；国家统计局国际统计年鉴2010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DCE8E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6B09758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中国GDP增速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9"/>
        <w:gridCol w:w="3062"/>
        <w:gridCol w:w="5989"/>
      </w:tblGrid>
      <w:tr w14:paraId="39979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7A2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0E6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E35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77F5A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905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AEE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11.3%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508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国家统计局国际统计年鉴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01485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524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35C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12.7%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F79C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2F2AE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4DFA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205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14.2%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FF1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</w:tbl>
    <w:p w14:paraId="279A6D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602B8F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：国家统计局国际统计年鉴2008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；国家统计局国际统计年鉴2010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F8AB2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109320E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日本GDP增速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4250"/>
        <w:gridCol w:w="5320"/>
      </w:tblGrid>
      <w:tr w14:paraId="150B9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7CE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496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报告数值（修正后）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D9F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6E63C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A30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0CB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C5AB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IMF数据库，引自国家统计局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0AAE2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BDD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B05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6D31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20F54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E80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DA9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2.1%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BFB1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</w:tbl>
    <w:p w14:paraId="1CA2C3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6411FA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：国家统计局国际统计年鉴2008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；日本内阁府2006年经济预测调整报道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"https://www.cei.cn/"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1EDFD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0C7A778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二、货币政策</w:t>
      </w:r>
    </w:p>
    <w:p w14:paraId="1E6035E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美联储联邦基金利率（2007年5.25%）</w:t>
      </w:r>
    </w:p>
    <w:p w14:paraId="07EB58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35CFCFF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：美联储自2006年6月起将联邦基金利率维持在5.25%，2007年连续多次维持不变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"http://economy.enorth.com.cn/system/2007/05/11/001655795.shtml"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640AF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72B9E8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44F09A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：北方网2007年5月11日报道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"http://economy.enorth.com.cn/system/2007/05/11/001655795.shtml"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"http://economy.enorth.com.cn/system/2007/05/11/001655795.shtml"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；全景网2007年8月8日报道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"https://www.p5w.net/"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E7457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1A9203B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美国10年期国债收益率（2007年）</w:t>
      </w:r>
    </w:p>
    <w:p w14:paraId="3F7518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5C515B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：2007年6月一度触及5.25-5.30%；11月初约4.625%；12月回落至约4.04%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"http://finance.ce.cn/fe/gdxw/200712/21/t20071221_12761112.shtml"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9DB1E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410E5C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331FB7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：FRED美联储10年期通胀指数国债数据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"https://fred.stlouisfed.org/data/RIFLGFCY10XIINA"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"https://fred.stlouisfed.org/data/RIFLGFCY10XIINA"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；中国经济网2007年12月21日报道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"http://finance.ce.cn/fe/gdxw/200712/21/t20071221_12761112.shtml"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"http://finance.ce.cn/fe/gdxw/200712/21/t20071221_12761112.shtml"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DD787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39E26E3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 中国1年期贷款基准利率（2007年12月7.47%）</w:t>
      </w:r>
    </w:p>
    <w:p w14:paraId="257B11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08DB8A3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：中国人民银行2007年12月21日调整，一年期贷款基准利率由7.29%上调至7.47%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6B28E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1A0D82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396F41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：新浪财经转载央行公告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；中国人民银行南京分行公告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"http://nanjing.pbc.gov.cn/"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38896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66509C4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 中国1年期存款基准利率（2007年12月4.14%）</w:t>
      </w:r>
    </w:p>
    <w:p w14:paraId="03187C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 w14:paraId="32C72C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：中国人民银行2007年12月21日调整，一年期存款基准利率由3.87%上调至4.14%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391BDC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 w14:paraId="2C6E00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075702F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：同上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3A667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27B5937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 中国1年期存款基准利率（2007年3月2.79%）</w:t>
      </w:r>
    </w:p>
    <w:p w14:paraId="40F88FA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1F51833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：中国人民银行2007年3月18日调整，一年期存款基准利率由2.25%提高到2.79%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8AB28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4E06EF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19467E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报告原将2.79%误记为1年期国债收益率，实为存款基准利率</w:t>
      </w:r>
    </w:p>
    <w:p w14:paraId="695FD93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1E05E1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4A2498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：新浪财经央行利率调整示意图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4246A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1959819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 中国1年期国债收益率（2007年）</w:t>
      </w:r>
    </w:p>
    <w:p w14:paraId="1401B8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 w14:paraId="3B9FE6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：2007年1月初上交所约2.46%；1月末约1.86%；9月新发国债票面利率2.95%；12月新发国债中标利率3.66%</w:t>
      </w:r>
    </w:p>
    <w:p w14:paraId="4A833B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 w14:paraId="117342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 w14:paraId="6AE4EE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：中国经济网2007年1月8日报道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；中国经济网2007年9月13日报道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；中国经济网2007年12月13日报道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5FED215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 w14:paraId="13ABB4F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三、汇率</w:t>
      </w:r>
    </w:p>
    <w:p w14:paraId="4128DE3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10. 美元指数（2005年约92 → 2007年约80）</w:t>
      </w:r>
    </w:p>
    <w:p w14:paraId="0940110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7C22110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：美元指数2004年底曾跌至80.4低点；2005-2008年持续下跌，2008年7月创71.25历史低点</w:t>
      </w:r>
    </w:p>
    <w:p w14:paraId="376547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79F205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2C05F0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：上海证券报2007年8月9日报道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"http://paper.cnstock.com/"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AAB2FC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6C71B8B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11. 人民币汇率（2007年7月突破7.61）</w:t>
      </w:r>
    </w:p>
    <w:p w14:paraId="43D4B8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1B8FD6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：2007年7月2日人民币对美元中间价突破7.61关口，报7.6075</w:t>
      </w:r>
    </w:p>
    <w:p w14:paraId="598D81A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6E78CBD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5EB2CD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：新浪财经2007年7月3日报道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5765C3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0" w:hanging="360"/>
      </w:pPr>
    </w:p>
    <w:p w14:paraId="1B0F99A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四、外汇储备</w:t>
      </w:r>
    </w:p>
    <w:p w14:paraId="4FDC7ED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12. 中国外汇储备（2005年8,189亿 → 2007年15,282亿）</w:t>
      </w:r>
    </w:p>
    <w:p w14:paraId="40314C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4E5D95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：2005年8,188.72亿美元，2006年10,663.44亿美元，2007年15,282.49亿美元</w:t>
      </w:r>
    </w:p>
    <w:p w14:paraId="5D0CFF7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57BB665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298A70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：新浪财经2013年报道（引用国家外汇管理局数据）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69B629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0" w:beforeAutospacing="0" w:after="0" w:afterAutospacing="1"/>
        <w:ind w:left="0" w:hanging="360"/>
      </w:pPr>
    </w:p>
    <w:p w14:paraId="76460A1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五、财政政策</w:t>
      </w:r>
    </w:p>
    <w:p w14:paraId="5D1B66D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13. 美国2007财年财政赤字（占GDP约1.2%）</w:t>
      </w:r>
    </w:p>
    <w:p w14:paraId="7D3C21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 w14:paraId="461B9C5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：美国财政部公布2007财年联邦赤字1,628亿美元，占GDP约1.2%</w:t>
      </w:r>
    </w:p>
    <w:p w14:paraId="5C0FDB3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 w14:paraId="3463058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3931AF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：新浪财经2007年10月12日报道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258A31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90" w:beforeAutospacing="0" w:after="0" w:afterAutospacing="1"/>
        <w:ind w:left="0" w:hanging="360"/>
      </w:pPr>
    </w:p>
    <w:p w14:paraId="34D9968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六、资本市场</w:t>
      </w:r>
    </w:p>
    <w:p w14:paraId="44E3C8A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14. 上证指数2005-2007涨幅（513%）</w:t>
      </w:r>
    </w:p>
    <w:p w14:paraId="480A601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 w14:paraId="1C1BBB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：上证指数从2005年6月998点涨至2007年10月6124点，涨幅513%</w:t>
      </w:r>
    </w:p>
    <w:p w14:paraId="2A45607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 w14:paraId="6E36DA4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0" w:beforeAutospacing="0" w:after="0" w:afterAutospacing="1"/>
        <w:ind w:left="0" w:hanging="360"/>
      </w:pPr>
    </w:p>
    <w:p w14:paraId="76CB1D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：凤凰网2022年报道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"https://i.ifeng.com/"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；证券时报2014年报道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"http://epaper.stcn.com/"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06478F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0" w:beforeAutospacing="0" w:after="0" w:afterAutospacing="1"/>
        <w:ind w:left="0" w:hanging="360"/>
      </w:pPr>
    </w:p>
    <w:p w14:paraId="55D8AFB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七、大宗商品</w:t>
      </w:r>
    </w:p>
    <w:p w14:paraId="5FC1171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15. LME铜价2006年5月见顶8,790美元/吨</w:t>
      </w:r>
    </w:p>
    <w:p w14:paraId="3E80D70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 w14:paraId="29BE6CA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：伦敦金属交易所(LME)三月期铜2006年5月11日达8,790美元/吨历史新高</w:t>
      </w:r>
    </w:p>
    <w:p w14:paraId="66AA657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 w14:paraId="10D4FBF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0" w:afterAutospacing="1"/>
        <w:ind w:left="0" w:hanging="360"/>
      </w:pPr>
    </w:p>
    <w:p w14:paraId="59BA70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：中国证券报2006年5月25日报道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"http://epaper.cs.com.cn/"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716F1C4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90" w:beforeAutospacing="0" w:after="0" w:afterAutospacing="1"/>
        <w:ind w:left="0" w:hanging="360"/>
      </w:pPr>
    </w:p>
    <w:p w14:paraId="6AB9E70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八、公司财务数据</w:t>
      </w:r>
    </w:p>
    <w:p w14:paraId="0E78F85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16. 江西铜业2005年营收133.4亿元</w:t>
      </w:r>
    </w:p>
    <w:p w14:paraId="4E89F3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</w:p>
    <w:p w14:paraId="350700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：江西铜业2005年年报显示主营业务收入1,334,069.24万元</w:t>
      </w:r>
    </w:p>
    <w:p w14:paraId="71BC576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</w:p>
    <w:p w14:paraId="7641A1C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0" w:beforeAutospacing="0" w:after="0" w:afterAutospacing="1"/>
        <w:ind w:left="0" w:hanging="360"/>
      </w:pPr>
    </w:p>
    <w:p w14:paraId="2F8F7CC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：新浪财经2006年4月28日报道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D949A6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0" w:beforeAutospacing="0" w:after="0" w:afterAutospacing="1"/>
        <w:ind w:left="0" w:hanging="360"/>
      </w:pPr>
    </w:p>
    <w:p w14:paraId="0B952DC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17. 中国铝业2007年营收761.80亿元</w:t>
      </w:r>
    </w:p>
    <w:p w14:paraId="67CD857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0" w:hanging="360"/>
      </w:pPr>
    </w:p>
    <w:p w14:paraId="6EA76C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：中国铝业2007年年报显示营业收入761.80亿元，净利润102.25亿元</w:t>
      </w:r>
    </w:p>
    <w:p w14:paraId="019381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0" w:hanging="360"/>
      </w:pPr>
    </w:p>
    <w:p w14:paraId="0FAC950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1"/>
        <w:ind w:left="0" w:hanging="360"/>
      </w:pPr>
    </w:p>
    <w:p w14:paraId="60F7FE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：北方网2008年3月18日报道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71ACE2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90" w:beforeAutospacing="0" w:after="0" w:afterAutospacing="1"/>
        <w:ind w:left="0" w:hanging="360"/>
      </w:pPr>
    </w:p>
    <w:p w14:paraId="06A97B9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九、IPO数据</w:t>
      </w:r>
    </w:p>
    <w:p w14:paraId="4760C9A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18. 中国石油2007年IPO（募资668亿元，冻结3.3万亿）</w:t>
      </w:r>
    </w:p>
    <w:p w14:paraId="09CD11E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</w:p>
    <w:p w14:paraId="77C501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：中国石油A股发行价16.7元，融资规模668亿元；冻结资金3.3万亿元</w:t>
      </w:r>
    </w:p>
    <w:p w14:paraId="3F3CE93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</w:p>
    <w:p w14:paraId="4A13D0D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0" w:beforeAutospacing="0" w:after="0" w:afterAutospacing="1"/>
        <w:ind w:left="0" w:hanging="360"/>
      </w:pPr>
    </w:p>
    <w:p w14:paraId="11AA2C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：中国新闻网2007年10月30日报道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"https://www.chinanews.com.cn/"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；财新网2007年11月12日报道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"http://magazine.caixin.com/"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5966AB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0" w:beforeAutospacing="0" w:after="0" w:afterAutospacing="1"/>
        <w:ind w:left="0" w:hanging="360"/>
      </w:pPr>
    </w:p>
    <w:p w14:paraId="1616353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十、AI板块数据</w:t>
      </w:r>
    </w:p>
    <w:p w14:paraId="07BF97F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19. HBM市场规模</w:t>
      </w:r>
      <w:bookmarkStart w:id="0" w:name="_GoBack"/>
      <w:bookmarkEnd w:id="0"/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2"/>
        <w:gridCol w:w="4180"/>
        <w:gridCol w:w="4078"/>
      </w:tblGrid>
      <w:tr w14:paraId="18871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0C8A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993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191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349BD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69F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617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43.5亿美元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54A8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747EB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4269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5A9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170亿美元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7A3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6CDBA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E53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91E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307亿美元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D672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67364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094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2E0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500亿美元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5C3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</w:tbl>
    <w:p w14:paraId="7425D0E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0" w:hanging="360"/>
      </w:pPr>
    </w:p>
    <w:p w14:paraId="35D12A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：网易2026年2月行业分析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"https://m.163.com/"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742F950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0" w:hanging="360"/>
      </w:pPr>
    </w:p>
    <w:p w14:paraId="4D6298C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20. Microsoft Copilot付费渗透率（约3.3%）</w:t>
      </w:r>
    </w:p>
    <w:p w14:paraId="5C0A967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</w:p>
    <w:p w14:paraId="41D1E3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：Microsoft 365拥有约4.5亿商业用户，Copilot付费席位约1,500万个，渗透率约3.3%</w:t>
      </w:r>
    </w:p>
    <w:p w14:paraId="0DBB1E9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</w:p>
    <w:p w14:paraId="69F190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31688F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：199IT 2026年5月报道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"https://www.199it.com/"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6D80AE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0" w:beforeAutospacing="0" w:after="0" w:afterAutospacing="1"/>
        <w:ind w:left="0" w:hanging="360"/>
      </w:pPr>
    </w:p>
    <w:p w14:paraId="120136D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数据来源汇总表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8"/>
        <w:gridCol w:w="4100"/>
        <w:gridCol w:w="4302"/>
      </w:tblGrid>
      <w:tr w14:paraId="5215C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4AE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0D4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首选来源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C53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备用来源</w:t>
            </w:r>
          </w:p>
        </w:tc>
      </w:tr>
      <w:tr w14:paraId="24A81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5FE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585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美国经济分析局(BEA)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36AB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国家统计局国际统计年鉴</w:t>
            </w:r>
          </w:p>
        </w:tc>
      </w:tr>
      <w:tr w14:paraId="71B23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1BC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E8A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国家统计局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9EF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628CE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539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日本GDP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EB7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日本内阁府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5B3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2E970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ADB7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163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美联储(FED)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02AC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FRED数据库</w:t>
            </w:r>
          </w:p>
        </w:tc>
      </w:tr>
      <w:tr w14:paraId="1DAB1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68F8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美国国债收益率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146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FRED/美联储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7486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4C6BF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8429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230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中国人民银行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6AA0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5B4EF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FBA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中国国债收益率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693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财政部/中债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7F3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6E144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E66B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外汇储备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AF7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国家外汇管理局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324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4B251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2D7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财政赤字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FF0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各国财政部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B27A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47813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25D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股市数据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80C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交易所公开数据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26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11646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888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LME铜价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B5E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82F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7CADD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4EB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公司财务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830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公司年报(SEC/巨潮)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FFD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5138C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74C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551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交易所公告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CDA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50350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1DA4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HBM市场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FDB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Yole Group/行业研究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2E1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4E236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ADD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Copilot数据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5DF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微软财报/公开报道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A68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行业分析</w:t>
            </w:r>
          </w:p>
        </w:tc>
      </w:tr>
    </w:tbl>
    <w:p w14:paraId="0C75CF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E4527"/>
    <w:multiLevelType w:val="multilevel"/>
    <w:tmpl w:val="803E4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09BCEA"/>
    <w:multiLevelType w:val="multilevel"/>
    <w:tmpl w:val="8509B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9E5E50"/>
    <w:multiLevelType w:val="multilevel"/>
    <w:tmpl w:val="899E5E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F5ED857"/>
    <w:multiLevelType w:val="multilevel"/>
    <w:tmpl w:val="8F5ED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115B776"/>
    <w:multiLevelType w:val="multilevel"/>
    <w:tmpl w:val="A115B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2FF5872"/>
    <w:multiLevelType w:val="multilevel"/>
    <w:tmpl w:val="A2FF5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289719"/>
    <w:multiLevelType w:val="multilevel"/>
    <w:tmpl w:val="A62897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CFBDC29"/>
    <w:multiLevelType w:val="multilevel"/>
    <w:tmpl w:val="ACFBD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043F2C5"/>
    <w:multiLevelType w:val="multilevel"/>
    <w:tmpl w:val="B043F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F21409C"/>
    <w:multiLevelType w:val="multilevel"/>
    <w:tmpl w:val="BF214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4B6C14C"/>
    <w:multiLevelType w:val="multilevel"/>
    <w:tmpl w:val="D4B6C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61C00B4"/>
    <w:multiLevelType w:val="multilevel"/>
    <w:tmpl w:val="E61C00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00EEF66"/>
    <w:multiLevelType w:val="multilevel"/>
    <w:tmpl w:val="F00EE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CBC04EE"/>
    <w:multiLevelType w:val="multilevel"/>
    <w:tmpl w:val="FCBC0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E12BE53"/>
    <w:multiLevelType w:val="multilevel"/>
    <w:tmpl w:val="FE12B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4595D19"/>
    <w:multiLevelType w:val="multilevel"/>
    <w:tmpl w:val="04595D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8D549F0"/>
    <w:multiLevelType w:val="multilevel"/>
    <w:tmpl w:val="08D54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DE409B2"/>
    <w:multiLevelType w:val="multilevel"/>
    <w:tmpl w:val="1DE40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F095189"/>
    <w:multiLevelType w:val="multilevel"/>
    <w:tmpl w:val="1F095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26D918A"/>
    <w:multiLevelType w:val="multilevel"/>
    <w:tmpl w:val="226D9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C50DAA0"/>
    <w:multiLevelType w:val="multilevel"/>
    <w:tmpl w:val="4C50D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2E8A944"/>
    <w:multiLevelType w:val="multilevel"/>
    <w:tmpl w:val="52E8A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4CBA048"/>
    <w:multiLevelType w:val="multilevel"/>
    <w:tmpl w:val="54CBA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92DFA1A"/>
    <w:multiLevelType w:val="multilevel"/>
    <w:tmpl w:val="592DF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F26540E"/>
    <w:multiLevelType w:val="multilevel"/>
    <w:tmpl w:val="6F265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3F55918"/>
    <w:multiLevelType w:val="multilevel"/>
    <w:tmpl w:val="73F55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7376586"/>
    <w:multiLevelType w:val="multilevel"/>
    <w:tmpl w:val="77376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DC4BDDD"/>
    <w:multiLevelType w:val="multilevel"/>
    <w:tmpl w:val="7DC4B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15"/>
  </w:num>
  <w:num w:numId="3">
    <w:abstractNumId w:val="12"/>
  </w:num>
  <w:num w:numId="4">
    <w:abstractNumId w:val="9"/>
  </w:num>
  <w:num w:numId="5">
    <w:abstractNumId w:val="6"/>
  </w:num>
  <w:num w:numId="6">
    <w:abstractNumId w:val="2"/>
  </w:num>
  <w:num w:numId="7">
    <w:abstractNumId w:val="25"/>
  </w:num>
  <w:num w:numId="8">
    <w:abstractNumId w:val="1"/>
  </w:num>
  <w:num w:numId="9">
    <w:abstractNumId w:val="3"/>
  </w:num>
  <w:num w:numId="10">
    <w:abstractNumId w:val="23"/>
  </w:num>
  <w:num w:numId="11">
    <w:abstractNumId w:val="10"/>
  </w:num>
  <w:num w:numId="12">
    <w:abstractNumId w:val="19"/>
  </w:num>
  <w:num w:numId="13">
    <w:abstractNumId w:val="0"/>
  </w:num>
  <w:num w:numId="14">
    <w:abstractNumId w:val="24"/>
  </w:num>
  <w:num w:numId="15">
    <w:abstractNumId w:val="13"/>
  </w:num>
  <w:num w:numId="16">
    <w:abstractNumId w:val="18"/>
  </w:num>
  <w:num w:numId="17">
    <w:abstractNumId w:val="27"/>
  </w:num>
  <w:num w:numId="18">
    <w:abstractNumId w:val="17"/>
  </w:num>
  <w:num w:numId="19">
    <w:abstractNumId w:val="5"/>
  </w:num>
  <w:num w:numId="20">
    <w:abstractNumId w:val="22"/>
  </w:num>
  <w:num w:numId="21">
    <w:abstractNumId w:val="4"/>
  </w:num>
  <w:num w:numId="22">
    <w:abstractNumId w:val="20"/>
  </w:num>
  <w:num w:numId="23">
    <w:abstractNumId w:val="8"/>
  </w:num>
  <w:num w:numId="24">
    <w:abstractNumId w:val="21"/>
  </w:num>
  <w:num w:numId="25">
    <w:abstractNumId w:val="7"/>
  </w:num>
  <w:num w:numId="26">
    <w:abstractNumId w:val="16"/>
  </w:num>
  <w:num w:numId="27">
    <w:abstractNumId w:val="2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32615"/>
    <w:rsid w:val="4F93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2026-06-28T13:43:00Z</dcterms:created>
  <dc:creator>ll</dc:creator>
  <cp:lastModifiedBy>ll</cp:lastModifiedBy>
  <dcterms:modified xsi:type="dcterms:W3CDTF">2026-06-28T13:45:50Z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CBF53D53D5B647F9B5CCB1C025A60CFA_11</vt:lpwstr>
  </property>
  <property fmtid="{D5CDD505-2E9C-101B-9397-08002B2CF9AE}" pid="4" name="KSOTemplateDocerSaveRecord">
    <vt:lpwstr>eyJoZGlkIjoiNDgyODI5MTk1ZjlmNzMzNmJlOWU1NjhjYmFmYWM4MDciLCJ1c2VySWQiOiI1Njg1OTIyOTkifQ==</vt:lpwstr>
  </property>
</Properties>
</file>