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08" w:lineRule="auto" w:after="120"/>
        <w:ind w:firstLine="440"/>
      </w:pPr>
    </w:p>
    <w:p>
      <w:pPr>
        <w:spacing w:line="408" w:lineRule="auto" w:after="120"/>
        <w:ind w:firstLine="440"/>
      </w:pPr>
    </w:p>
    <w:p>
      <w:pPr>
        <w:spacing w:line="408" w:lineRule="auto" w:after="120"/>
        <w:ind w:firstLine="440"/>
      </w:pPr>
    </w:p>
    <w:p>
      <w:pPr>
        <w:spacing w:line="408" w:lineRule="auto" w:after="120"/>
        <w:ind w:firstLine="440"/>
        <w:jc w:val="center"/>
      </w:pPr>
      <w:r>
        <w:rPr>
          <w:rFonts w:ascii="Times New Roman" w:hAnsi="Times New Roman" w:eastAsia="宋体"/>
          <w:b/>
          <w:color w:val="0F172A"/>
          <w:sz w:val="48"/>
        </w:rPr>
        <w:t>复盘 2005–2007 有色金属超级周期</w:t>
        <w:br/>
        <w:t>对标当前 AI 板块投资</w:t>
      </w:r>
    </w:p>
    <w:p>
      <w:pPr>
        <w:spacing w:before="400" w:line="408" w:lineRule="auto" w:after="120"/>
        <w:ind w:firstLine="440"/>
        <w:jc w:val="center"/>
      </w:pPr>
      <w:r>
        <w:rPr>
          <w:rFonts w:ascii="Times New Roman" w:hAnsi="Times New Roman" w:eastAsia="宋体"/>
          <w:color w:val="64748B"/>
          <w:sz w:val="26"/>
        </w:rPr>
        <w:t>——基于「资本开支驱动的需求正反馈」的 3 个量化顶部信号</w:t>
      </w:r>
    </w:p>
    <w:p>
      <w:pPr>
        <w:spacing w:line="408" w:lineRule="auto" w:after="120"/>
        <w:ind w:firstLine="440"/>
      </w:pPr>
    </w:p>
    <w:p>
      <w:pPr>
        <w:spacing w:line="408" w:lineRule="auto" w:after="120"/>
        <w:ind w:firstLine="440"/>
      </w:pPr>
    </w:p>
    <w:p>
      <w:pPr>
        <w:spacing w:line="408" w:lineRule="auto" w:after="120"/>
        <w:ind w:firstLine="440"/>
        <w:jc w:val="center"/>
      </w:pPr>
      <w:r>
        <w:rPr>
          <w:rFonts w:ascii="Times New Roman" w:hAnsi="Times New Roman" w:eastAsia="宋体"/>
          <w:color w:val="94A3B8"/>
          <w:sz w:val="20"/>
        </w:rPr>
        <w:t>报告编号：TR-2026-001  |  报告日期：2026 年 6 月 28 日  |  版本 v2.0</w:t>
      </w:r>
    </w:p>
    <w:p>
      <w:pPr>
        <w:spacing w:line="408" w:lineRule="auto" w:after="120"/>
        <w:ind w:firstLine="440"/>
      </w:pPr>
    </w:p>
    <w:p>
      <w:pPr>
        <w:spacing w:line="408" w:lineRule="auto" w:after="120"/>
        <w:ind w:firstLine="440"/>
      </w:pPr>
    </w:p>
    <w:p>
      <w:pPr>
        <w:spacing w:line="408" w:lineRule="auto" w:after="120"/>
        <w:ind w:firstLine="440"/>
        <w:jc w:val="center"/>
      </w:pPr>
      <w:r>
        <w:rPr>
          <w:rFonts w:ascii="Times New Roman" w:hAnsi="Times New Roman" w:eastAsia="宋体"/>
          <w:color w:val="94A3B8"/>
          <w:sz w:val="19"/>
        </w:rPr>
        <w:t>数据来源：FRED、PBOC、BOJ、IMF、World Bank、ICSG、海关总署、SEC EDGAR、Bloomberg</w:t>
        <w:br/>
        <w:t>辅助文件：TopicResearch/data/raw/ (32 个 JSON 数据文件)</w:t>
        <w:br/>
        <w:t>本报告准绳：05-07 有色复盘 HTML 报告 + slides 演示文稿</w:t>
      </w:r>
    </w:p>
    <w:p>
      <w:pPr>
        <w:spacing w:line="408" w:lineRule="auto" w:after="120"/>
        <w:ind w:firstLine="440"/>
      </w:pPr>
    </w:p>
    <w:p>
      <w:pPr>
        <w:spacing w:line="408" w:lineRule="auto" w:after="120"/>
        <w:ind w:firstLine="440"/>
        <w:jc w:val="center"/>
      </w:pPr>
      <w:r>
        <w:rPr>
          <w:rFonts w:ascii="Times New Roman" w:hAnsi="Times New Roman" w:eastAsia="宋体"/>
          <w:i/>
          <w:color w:val="B45309"/>
          <w:sz w:val="17"/>
        </w:rPr>
        <w:t>免责声明：本报告基于历史类比研究，不构成投资建议。AI 浪潮有真实盈利支撑，「此次不同」可能令信号延迟或失效。建议组合使用三信号，不单一依赖。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br w:type="page"/>
      </w:r>
    </w:p>
    <w:p>
      <w:pPr>
        <w:keepNext/>
        <w:spacing w:before="400" w:after="120" w:line="408" w:lineRule="auto"/>
        <w:ind w:firstLine="440"/>
      </w:pPr>
      <w:r>
        <w:rPr>
          <w:rFonts w:ascii="Times New Roman" w:hAnsi="Times New Roman" w:eastAsia="宋体"/>
          <w:b/>
          <w:color w:val="0F172A"/>
          <w:sz w:val="32"/>
        </w:rPr>
        <w:t>引言：为什么要复盘 2005–2007？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2008 年金融危机后，全球资本市场经历了近 15 年的「低利率 + 低增长」长期停滞。直至 2022 年 11 月 ChatGPT 的横空出世，「AGI 革命」叙事点燃了新一轮资本开支浪潮——M7（Magnificent 7，Apple、Microsoft、Google、Amazon、Meta、Tesla、NVIDIA）在 2023–2026 年间将云端 Capex 累计推高至数千亿美元规模，NVIDIA 股价从 $14（拆股后基准）涨至 $130（+800%），纳斯达克 100 指数从 11000 点冲至 21500 点（+95%）。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这一轮 AI 浪潮的「资本开支驱动的需求正反馈」与 2005–2007 年的有色金属超级周期具有令人不安的结构相似性——彼时全球铜价从 $3,000 涨至 $8,985（+197%），LME 铝价从 $1,807 涨至 $3,000，A 股有色金属指数涨幅高达 1,857%，中铝、云铜等龙头股在「资产注入」叙事下 PE 推升至 60–80 倍。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然而，两轮浪潮在「流动性来源」和「估值锚」上存在本质差异：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05–07 的流动性来自**央行被动放水**——中国出口创汇转化为外汇占款（2005–2007 累计 ~8 万亿元），央行结汇后基础货币扩张，M2 增速从 17.6% 升至 18.5%；同时美元持续贬值（92→80，-13%），日本超低利率（0–0.5%）下日元套息交易规模达 $500B+，三重机制共同构成了商品超级周期的「全球流动性大合唱」。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23–26 的流动性则来自**企业主动喷泉**——M7 自由现金流 + 部分企业债融资直接转化为 AI Capex，M7（除 NVDA）平均 Capex/Rev 从 2024 年的 18% 升至 2026E 的 30%。美联储虽然缩表，但企业信用条件仍宽——M7 自身的盈利和现金成为 AI Capex 的唯一来源。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这一差异意味着 23–26 泡沫可能更「粘」——反应慢于 05–07，但顶部更「陡」——M7 同步减投会瞬间反转。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本报告的核心问题是：在 23–26 AI 浪潮的当前阶段（截至 2026 年 6 月），**我们能否找到 3 个可量化、可监测、可证伪的顶部信号**？这些信号应当在 05–07 的历史镜像中得到验证，并能在不同情境下提示风险。</w:t>
      </w:r>
    </w:p>
    <w:p>
      <w:pPr>
        <w:spacing w:before="160" w:after="120" w:line="408" w:lineRule="auto"/>
        <w:ind w:left="440" w:right="440" w:firstLine="440"/>
      </w:pPr>
      <w:r>
        <w:rPr>
          <w:rFonts w:ascii="Times New Roman" w:hAnsi="Times New Roman" w:eastAsia="宋体"/>
          <w:b/>
          <w:color w:val="B45309"/>
        </w:rPr>
        <w:t>本报告的 3 个核心结论：(1) 当前 3 个信号均未触发，综合评分 0/3 ~ 0.5/3，维持关注；(2) 顶部窗口预测 2026H2 – 2027H1；(3) 关键观察点为 OpenAI IPO 后 30 日表现。</w:t>
      </w:r>
    </w:p>
    <w:p>
      <w:pPr>
        <w:keepNext/>
        <w:spacing w:before="400" w:after="120" w:line="408" w:lineRule="auto"/>
        <w:ind w:firstLine="440"/>
      </w:pPr>
      <w:r>
        <w:rPr>
          <w:rFonts w:ascii="Times New Roman" w:hAnsi="Times New Roman" w:eastAsia="宋体"/>
          <w:b/>
          <w:color w:val="0F172A"/>
          <w:sz w:val="32"/>
        </w:rPr>
        <w:t>第一部分　2005–2007 有色金属超级周期全景复盘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要回答「AI 浪潮何时见顶」这一问题，首先需要完整理解 2005–2007 这一历史镜像。本部分从「宏观背景—货币政策—汇率/贸易—外汇储备—财政政策—资本市场」六个维度还原 2005–2007 的全貌，并最终回答一个核心问题：当年的超级周期**为什么**会形成、**为什么**会在 2008 年终结。</w:t>
      </w:r>
    </w:p>
    <w:p>
      <w:pPr>
        <w:keepNext/>
        <w:spacing w:before="280" w:after="120" w:line="408" w:lineRule="auto"/>
        <w:ind w:firstLine="440"/>
      </w:pPr>
      <w:r>
        <w:rPr>
          <w:rFonts w:ascii="Times New Roman" w:hAnsi="Times New Roman" w:eastAsia="宋体"/>
          <w:b/>
          <w:color w:val="1E3A5F"/>
          <w:sz w:val="26"/>
        </w:rPr>
        <w:t>§1.1　全球主要经济体背景：三国同步增长的罕见窗口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2005–2007 是 21 世纪以来美中日三大经济体**同步增长**的罕见窗口。理解这一同步性，是理解商品超级周期的真正起点——三国增速虽然差异巨大，但角色高度互补。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**美国：减速但消费强**。美国实际 GDP 增速从 2005 年 3.5% 降至 2007 年 1.9%，看似在减速，但名义 GDP 仍维持 5% 左右，**消费和资产价格仍强劲**——这是「财富效应」支撑的典型表现：标普 500 指数从 2002 年底部上涨 101%，居民可支配收入随资产价格上涨而扩张，反过来支撑了对中国制造的消费品需求。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**中国：加速，重工业化+城镇化高峰**。中国 GDP 实际增速从 11.3% 升至 14.2%，名义 GDP 增速更高达 23%（含通胀和资产价格重估）。中国贡献了全球铜消费增量的 60%+，M2 增速 17.6%→18.5%，固定资产投资 CAGR 超过 25%——这是「重工业化+城镇化」双轮驱动的典型样本。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**日本：走出「失去的十年」**。日本实际 GDP 增速仅 0.6%–0.8%，名义 GDP ≈ 0，看似在通缩中挣扎，但企业治理改善、外资流入，日经 225 在 2005 年上涨 40.24%——这意味着日本完成了从「偿债」到「扩张」的模式切换，即将在全球金融体系中扮演新的角色。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**关键洞察**：这种「同步增长」是 2005–2007 独有的窗口。美国虽减速但消费强、中国处于工业化高峰、日本走出通缩——三国缺一不可。商品超级周期的真正燃料不是「中国需求」单独一个变量，而是**「消费国+生产国+融资国」的三角互补结构**。</w:t>
      </w:r>
    </w:p>
    <w:p>
      <w:pPr>
        <w:spacing w:before="200" w:after="120" w:line="408" w:lineRule="auto"/>
        <w:ind w:firstLine="440"/>
        <w:jc w:val="center"/>
      </w:pPr>
      <w:r>
        <w:rPr>
          <w:rFonts w:ascii="Times New Roman" w:hAnsi="Times New Roman" w:eastAsia="宋体"/>
          <w:color w:val="1E293B"/>
        </w:rPr>
        <w:drawing>
          <wp:inline xmlns:a="http://schemas.openxmlformats.org/drawingml/2006/main" xmlns:pic="http://schemas.openxmlformats.org/drawingml/2006/picture">
            <wp:extent cx="6217920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hree_country_mac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408" w:lineRule="auto"/>
        <w:ind w:firstLine="440"/>
        <w:jc w:val="center"/>
      </w:pPr>
      <w:r>
        <w:rPr>
          <w:rFonts w:ascii="Times New Roman" w:hAnsi="Times New Roman" w:eastAsia="宋体"/>
          <w:i/>
          <w:color w:val="64748B"/>
          <w:sz w:val="19"/>
        </w:rPr>
        <w:t>图表 1：三国宏观背景对比（2005-2008）——9a GDP 增速 / 9b M2 增速 / 9c CPI / 9d 外储/GDP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图表 1（9a+9d）清晰揭示了三国宏观背景的**结构性差异**（2007 年峰值数据）：中国 GDP 增速 14.2%（加速）vs 美国 1.9%（减速）vs 日本 0.8%（通缩挣扎）；**中国外储/GDP 48% = 美国的 28 倍、日本的 2.3 倍**——这是全球失衡的极致表现。9b M2 增速同样显示中国 18.5% 是美国的 3.3 倍、日本的 13 倍。9c CPI 显示中国通胀 4.8%（工业品价格上行）vs 日本 0%（持续通缩）。</w:t>
      </w:r>
    </w:p>
    <w:p>
      <w:pPr>
        <w:keepNext/>
        <w:spacing w:before="280" w:after="120" w:line="408" w:lineRule="auto"/>
        <w:ind w:firstLine="440"/>
      </w:pPr>
      <w:r>
        <w:rPr>
          <w:rFonts w:ascii="Times New Roman" w:hAnsi="Times New Roman" w:eastAsia="宋体"/>
          <w:b/>
          <w:color w:val="1E3A5F"/>
          <w:sz w:val="26"/>
        </w:rPr>
        <w:t>§1.2　货币政策：表面紧缩、实际宽松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理解 2005–2007 货币政策的关键，是要意识到：**表面上的紧缩，掩盖了实际金融条件的宽松**。如果只看 2007 年末三国央行政策利率——美联储 5.25%、中国 1Y 贷款基准 7.47%、日银 0.5%——会得出三国都在紧缩的结论。然而，市场实际感受的金融条件却普遍宽松。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**美国的「格林斯潘之谜」**揭示了短端利率与长端利率的脱节。美联储在 2004.06–2006.06 期间加息 17 次，联邦基金利率从 1% 抬至 5.25%；但 10 年期国债利率仅从 4.2% 升至 4.6%——几乎纹丝不动。短长利差从 +3.2% 收窄到 +0.65%，意味着**美联储加的息在金融市场上几乎没有传导**。这一悖论的根源是全球「储蓄过剩」——亚洲国家、石油美元的避险资金持续压低长端利率，使美国实际金融条件仍宽松。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**中国的情况更奇特**。1Y 贷款基准 7.47% 看似很高，但同期 10 年期国债仅 4.5%；更反常的是 1Y 存款基准 4.14% 居然高于 1Y 国债 2.79%——在正常利率体系中，国债作为无风险利率应该是市场利率的下限，但中国央行通过存款管制将存款利率人为抬高在国债之上。这意味着 2007 年的中国同时存在**管制利率倒挂**（4.14% &gt; 2.79%）和**贷存利差 3.33%**（7.47% - 4.14%）。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这两个数字是理解中国 2007 年资产价格泡沫的关键。贷存利差 3.33% 是央行在 2019 年 LPR 改革前给中国银行业的「制度性红包」——银行「躺着赚钱」的安全垫；而存款利率被管制在国债之上，意味着居民存款被锁在银行体系内，无法通过市场化渠道配置到股市和楼市。**结果是「被动溢出」——存款利率过低，居民被迫将储蓄转向资产，叠加 M2 增速 18% 的扩张效应**。</w:t>
      </w:r>
    </w:p>
    <w:p>
      <w:pPr>
        <w:spacing w:before="200" w:after="120" w:line="408" w:lineRule="auto"/>
        <w:ind w:firstLine="440"/>
        <w:jc w:val="center"/>
      </w:pPr>
      <w:r>
        <w:rPr>
          <w:rFonts w:ascii="Times New Roman" w:hAnsi="Times New Roman" w:eastAsia="宋体"/>
          <w:color w:val="1E293B"/>
        </w:rPr>
        <w:drawing>
          <wp:inline xmlns:a="http://schemas.openxmlformats.org/drawingml/2006/main" xmlns:pic="http://schemas.openxmlformats.org/drawingml/2006/picture">
            <wp:extent cx="5943600" cy="2228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hree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408" w:lineRule="auto"/>
        <w:ind w:firstLine="440"/>
        <w:jc w:val="center"/>
      </w:pPr>
      <w:r>
        <w:rPr>
          <w:rFonts w:ascii="Times New Roman" w:hAnsi="Times New Roman" w:eastAsia="宋体"/>
          <w:i/>
          <w:color w:val="64748B"/>
          <w:sz w:val="19"/>
        </w:rPr>
        <w:t>图表 2：2007 年三国货币政策三层利率对比——揭示中国管制利率倒挂与贷存利差 3.33%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**日本的故事则是「套利」**。日银 2006 年退出 QE，隔夜利率 0% → 0.5%，但 10Y JGB 仅 1.5%、房贷 2.5%——量宽传导充分。**真正的故事是日元套息**——借日元（利率极低）投资美元资产或商品，估算规模 $500B+。这是 2005–2007 全球风险偏好的关键推手。</w:t>
      </w:r>
    </w:p>
    <w:p>
      <w:pPr>
        <w:spacing w:before="160" w:after="120" w:line="408" w:lineRule="auto"/>
        <w:ind w:left="440" w:right="440" w:firstLine="440"/>
      </w:pPr>
      <w:r>
        <w:rPr>
          <w:rFonts w:ascii="Times New Roman" w:hAnsi="Times New Roman" w:eastAsia="宋体"/>
          <w:b/>
          <w:color w:val="B45309"/>
        </w:rPr>
        <w:t>**为什么三国货币政策「表面紧缩、实际宽松」？**因为三个水龙头的开关逻辑完全不同——美国被储蓄过剩压制，中国被外汇占款抵消，日本被套利输出。这构成了商品超级周期的全球流动性基础。</w:t>
      </w:r>
    </w:p>
    <w:p>
      <w:pPr>
        <w:keepNext/>
        <w:spacing w:before="280" w:after="120" w:line="408" w:lineRule="auto"/>
        <w:ind w:firstLine="440"/>
      </w:pPr>
      <w:r>
        <w:rPr>
          <w:rFonts w:ascii="Times New Roman" w:hAnsi="Times New Roman" w:eastAsia="宋体"/>
          <w:b/>
          <w:color w:val="1E3A5F"/>
          <w:sz w:val="26"/>
        </w:rPr>
        <w:t>§1.3　外汇储备与汇率：全球失衡的镜像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2005–2007 期间，中国外汇储备从 8,189 亿美元跃升至 15,282 亿美元，**两年半内几乎翻倍**。这一数字背后是全球贸易格局的深刻变化——中国出口创汇 $1,022 亿→$2,622 亿，贸易顺差翻倍，外汇占款累计增加近 8 万亿元。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**外储/GDP 48%**——这是 2007 年中国的核心数字，全球第一。美国仅 1.7%，日本 21%。这一失衡本身不可持续，最终必然通过汇率/利率/资产价格调整——这也是 2008 年危机后中国外储增长显著放缓的根本原因。</w:t>
      </w:r>
    </w:p>
    <w:p>
      <w:pPr>
        <w:spacing w:before="200" w:after="120" w:line="408" w:lineRule="auto"/>
        <w:ind w:firstLine="440"/>
        <w:jc w:val="center"/>
      </w:pPr>
      <w:r>
        <w:rPr>
          <w:rFonts w:ascii="Times New Roman" w:hAnsi="Times New Roman" w:eastAsia="宋体"/>
          <w:color w:val="1E293B"/>
        </w:rPr>
        <w:drawing>
          <wp:inline xmlns:a="http://schemas.openxmlformats.org/drawingml/2006/main" xmlns:pic="http://schemas.openxmlformats.org/drawingml/2006/picture">
            <wp:extent cx="6217920" cy="24871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ansmission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408" w:lineRule="auto"/>
        <w:ind w:firstLine="440"/>
        <w:jc w:val="center"/>
      </w:pPr>
      <w:r>
        <w:rPr>
          <w:rFonts w:ascii="Times New Roman" w:hAnsi="Times New Roman" w:eastAsia="宋体"/>
          <w:i/>
          <w:color w:val="64748B"/>
          <w:sz w:val="19"/>
        </w:rPr>
        <w:t>图表 3：中国外汇占款完整传导链（2005-2008）——贸易顺差→外储→外汇占款→M2 增速的 4 变量协同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**美元贬值的连锁效应**是 2005–2007 商品超级周期最直接的燃料：美元指数从 92 跌至 80（-13%），推升以美元计价的商品价格——LME 铜从 $3,000 涨至 $8,000+；同时全球资金流出美国、涌入新兴市场；美国进口成本上升、通胀压力上升、实际利率下降。**这是一条自我强化的链条**——美元越贬值，商品越涨，新兴市场越受益，对美出口越多，外汇占款越多。</w:t>
      </w:r>
    </w:p>
    <w:p>
      <w:pPr>
        <w:spacing w:before="200" w:after="120" w:line="408" w:lineRule="auto"/>
        <w:ind w:firstLine="440"/>
        <w:jc w:val="center"/>
      </w:pPr>
      <w:r>
        <w:rPr>
          <w:rFonts w:ascii="Times New Roman" w:hAnsi="Times New Roman" w:eastAsia="宋体"/>
          <w:color w:val="1E293B"/>
        </w:rPr>
        <w:drawing>
          <wp:inline xmlns:a="http://schemas.openxmlformats.org/drawingml/2006/main" xmlns:pic="http://schemas.openxmlformats.org/drawingml/2006/picture">
            <wp:extent cx="6217920" cy="24871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sd_cop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408" w:lineRule="auto"/>
        <w:ind w:firstLine="440"/>
        <w:jc w:val="center"/>
      </w:pPr>
      <w:r>
        <w:rPr>
          <w:rFonts w:ascii="Times New Roman" w:hAnsi="Times New Roman" w:eastAsia="宋体"/>
          <w:i/>
          <w:color w:val="64748B"/>
          <w:sz w:val="19"/>
        </w:rPr>
        <w:t>图表 4：美元指数 vs LME 铜价（2005-2008）——验证"美元贬值 = 商品燃料"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图表 4 量化验证了「美元贬值 = 商品燃料」这一论断：美元指数 -17% vs LME 铜价 +183%，**两者负相关系数达 0.92**。这意味着 2005-2007 期间每 1% 的美元贬值，对应约 10% 的铜价上涨。这一机制在 23-26 中是否仍成立？这是 HBM/CoWoS 现货价 vs NVDA 股价的关键观察点。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**人民币升值的悖论**值得单独分析。2005 年 7 月汇改启动，人民币兑美元累计升值约 12%，但贸易顺差反而翻倍。这一悖论的答案在于：(1) 中国生产效率提升，单位劳动力成本下降；(2) 加工贸易占比 50%+，汇率传导有限；(3) 外需强劲，升值预期反而强化了出口订单的提前释放。</w:t>
      </w:r>
    </w:p>
    <w:p>
      <w:pPr>
        <w:keepNext/>
        <w:spacing w:before="280" w:after="120" w:line="408" w:lineRule="auto"/>
        <w:ind w:firstLine="440"/>
      </w:pPr>
      <w:r>
        <w:rPr>
          <w:rFonts w:ascii="Times New Roman" w:hAnsi="Times New Roman" w:eastAsia="宋体"/>
          <w:b/>
          <w:color w:val="1E3A5F"/>
          <w:sz w:val="26"/>
        </w:rPr>
        <w:t>§1.4　资本市场与巨型 IPO：见顶的三重信号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三国股市的涨幅差异不是估值差异，而是**经济结构差异**的反映。</w:t>
      </w:r>
    </w:p>
    <w:tbl>
      <w:tblPr>
        <w:tblStyle w:val="LightGrid-Accent1"/>
        <w:tblW w:type="pct" w:w="500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</w:r>
          </w:p>
        </w:tc>
        <w:tc>
          <w:tcPr>
            <w:tcW w:type="dxa" w:w="2351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🇺🇸 美国（标普 500）</w:t>
            </w:r>
          </w:p>
        </w:tc>
        <w:tc>
          <w:tcPr>
            <w:tcW w:type="dxa" w:w="2351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🇨🇳 中国（上证综指）</w:t>
            </w:r>
          </w:p>
        </w:tc>
        <w:tc>
          <w:tcPr>
            <w:tcW w:type="dxa" w:w="2351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🇯🇵 日本（日经 225）</w:t>
            </w:r>
          </w:p>
        </w:tc>
      </w:tr>
      <w:tr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2005-2007 涨幅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+101%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+514%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+50%</w:t>
            </w:r>
          </w:p>
        </w:tc>
      </w:tr>
      <w:tr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起点背景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2002 科网泡沫后底部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2005 股改后起步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2003 摆脱通缩</w:t>
            </w:r>
          </w:p>
        </w:tc>
      </w:tr>
      <w:tr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PE 估值变化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16x → 22x（扩张 1.4 倍）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14x → 50x（扩张 3.5 倍）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18x → 20x（基本稳定）</w:t>
            </w:r>
          </w:p>
        </w:tc>
      </w:tr>
      <w:tr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总市值/GDP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130% → 150%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35% → 120%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70% → 95%</w:t>
            </w:r>
          </w:p>
        </w:tc>
      </w:tr>
      <w:tr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核心驱动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消费+地产+金融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投资+散户+资产注入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通缩挣扎+企业治理</w:t>
            </w:r>
          </w:p>
        </w:tc>
      </w:tr>
    </w:tbl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**中国 PE 14x → 50x 是 2005–2007 最极端的估值扩张**。这一扩张的驱动是「资产注入」叙事——把矿的储量直接乘以现货价格算市值，把未来盈利一次性贴现到现在。当 2007 年下半年市场已经「不再讨论风险，只看注入多少矿」时，这种「梦想定价」就达到了极限。</w:t>
      </w:r>
    </w:p>
    <w:p>
      <w:pPr>
        <w:spacing w:before="200" w:after="120" w:line="408" w:lineRule="auto"/>
        <w:ind w:firstLine="440"/>
        <w:jc w:val="center"/>
      </w:pPr>
      <w:r>
        <w:rPr>
          <w:rFonts w:ascii="Times New Roman" w:hAnsi="Times New Roman" w:eastAsia="宋体"/>
          <w:color w:val="1E293B"/>
        </w:rPr>
        <w:drawing>
          <wp:inline xmlns:a="http://schemas.openxmlformats.org/drawingml/2006/main" xmlns:pic="http://schemas.openxmlformats.org/drawingml/2006/picture">
            <wp:extent cx="6217920" cy="24427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pper_phas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4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408" w:lineRule="auto"/>
        <w:ind w:firstLine="440"/>
        <w:jc w:val="center"/>
      </w:pPr>
      <w:r>
        <w:rPr>
          <w:rFonts w:ascii="Times New Roman" w:hAnsi="Times New Roman" w:eastAsia="宋体"/>
          <w:i/>
          <w:color w:val="64748B"/>
          <w:sz w:val="19"/>
        </w:rPr>
        <w:t>图表 5：LME 铜价走势与三大阶段（2005-2008）——三阶段叙事可视化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图表 3 清晰呈现了 2005-2007 行情的三段式演进：**价值发现（2005.06-2006.12）**——美元贬值 + 中国需求爆发，铜价跟随商品定价；**资产注入狂潮（2007.01-2007.07）**——脱离商品价格，靠「注矿」叙事提估值；**流动性癫狂（2007.08-2007.10）**——巨型 IPO 抽血 + 边缘股补涨。</w:t>
      </w:r>
    </w:p>
    <w:p>
      <w:pPr>
        <w:spacing w:before="200" w:after="120" w:line="408" w:lineRule="auto"/>
        <w:ind w:firstLine="440"/>
        <w:jc w:val="center"/>
      </w:pPr>
      <w:r>
        <w:rPr>
          <w:rFonts w:ascii="Times New Roman" w:hAnsi="Times New Roman" w:eastAsia="宋体"/>
          <w:color w:val="1E293B"/>
        </w:rPr>
        <w:drawing>
          <wp:inline xmlns:a="http://schemas.openxmlformats.org/drawingml/2006/main" xmlns:pic="http://schemas.openxmlformats.org/drawingml/2006/picture">
            <wp:extent cx="6217920" cy="24871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iverg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408" w:lineRule="auto"/>
        <w:ind w:firstLine="440"/>
        <w:jc w:val="center"/>
      </w:pPr>
      <w:r>
        <w:rPr>
          <w:rFonts w:ascii="Times New Roman" w:hAnsi="Times New Roman" w:eastAsia="宋体"/>
          <w:i/>
          <w:color w:val="64748B"/>
          <w:sz w:val="19"/>
        </w:rPr>
        <w:t>图表 6：LME 铜价 vs 上证综指 归一化对比（2005-06=100）——揭示 17 个月顶背离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图表 6 揭示了一个被市场广泛忽视的细节——**LME 铜价早在 2006 年 5 月就已见顶（$8,800），而上证综指直到 2007 年 10 月才见顶（6,124）**。17 个月的「顶背离」是典型的「叙事溢价」阶段——股价不再锚定商品现货，而是锚定「未来注入矿」的无限承诺。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**这意味着一个可操作的洞察**：当商品价格已经见顶、但股价仍在创新高时，往往是「顶部确认」的最强信号——05-07 的 17 个月背离就是经典案例。23-26 中我们需要密切关注 HBM/CoWoS 现货价 vs NVDA 股价的背离。**如果出现 HBM 见顶而 NVDA 创新高，**就要启动 S3 信号预警。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**2007 年下半年的「IPO 洪峰」是政策调控工具**。中石油、神华、建行等巨型 IPO 密集发行，通过大规模发行吸收市场过剩流动性。中石油 A 股 IPO 冻结资金 3.3 万亿元，**相当于当时 A 股流通市值的 40%**——这是 07 年顶部的关键触发因素。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下表清晰呈现了 2007 年 4 月至 11 月的「IPO 洪峰」：4 月中铝（¥100 亿）、9 月建行（¥580 亿）、10 月神华（¥666 亿，冻结 2.7 万亿）、11 月中石油（¥668 亿，冻结 3.3 万亿）。**这些 IPO 不是巧合**——监管层明确知道市场过热，通过「市场化的流动性收紧」（IPO 抽水）来抑制资产价格泡沫。**这是一个教科书级的「政策窗口指导」**——监管从未明令禁止新基金发行，但通过 IPO 节奏控制，实现了对资金面的精准调控。</w:t>
      </w:r>
    </w:p>
    <w:p>
      <w:pPr>
        <w:keepNext/>
        <w:spacing w:before="280" w:after="120" w:line="408" w:lineRule="auto"/>
        <w:ind w:firstLine="440"/>
      </w:pPr>
      <w:r>
        <w:rPr>
          <w:rFonts w:ascii="Times New Roman" w:hAnsi="Times New Roman" w:eastAsia="宋体"/>
          <w:b/>
          <w:color w:val="1E3A5F"/>
          <w:sz w:val="26"/>
        </w:rPr>
        <w:t>§1.5　三角闭环：超级周期的真正终结机制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理解 2005–2007 终结机制的关键，是要理解「三角闭环」的结构。</w:t>
      </w:r>
    </w:p>
    <w:p>
      <w:pPr>
        <w:spacing w:before="200" w:after="120" w:line="408" w:lineRule="auto"/>
        <w:ind w:firstLine="440"/>
        <w:jc w:val="center"/>
      </w:pPr>
      <w:r>
        <w:rPr>
          <w:rFonts w:ascii="Times New Roman" w:hAnsi="Times New Roman" w:eastAsia="宋体"/>
          <w:color w:val="1E293B"/>
        </w:rPr>
        <w:drawing>
          <wp:inline xmlns:a="http://schemas.openxmlformats.org/drawingml/2006/main" xmlns:pic="http://schemas.openxmlformats.org/drawingml/2006/picture">
            <wp:extent cx="5943600" cy="38048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riangle_lo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408" w:lineRule="auto"/>
        <w:ind w:firstLine="440"/>
        <w:jc w:val="center"/>
      </w:pPr>
      <w:r>
        <w:rPr>
          <w:rFonts w:ascii="Times New Roman" w:hAnsi="Times New Roman" w:eastAsia="宋体"/>
          <w:i/>
          <w:color w:val="64748B"/>
          <w:sz w:val="19"/>
        </w:rPr>
        <w:t>图表 7：三角闭环机制示意图——美国-中国-日本「消费-生产-融资」闭环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这一闭环的运作机制是：美国（消费+地产+金融杠杆）→ 美元流向中国出口创汇 → 央行结汇形成外汇占款 → M2 扩张推升投资需求；与此同时日本（低成本资金）→ 借日元投资美元资产/商品 → 全球风险偏好 → 资源需求 → 商品价格。这是一条**自洽的正反馈链**。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**闭环破裂的三个条件**——任一发生即可能终结：</w:t>
      </w:r>
    </w:p>
    <w:p>
      <w:pPr>
        <w:pStyle w:val="ListNumber"/>
        <w:ind w:left="800"/>
      </w:pPr>
      <w:r>
        <w:t>**美国消费崩盘**（次贷危机）→ 终端需求消失</w:t>
      </w:r>
    </w:p>
    <w:p>
      <w:pPr>
        <w:pStyle w:val="ListNumber"/>
        <w:ind w:left="800"/>
      </w:pPr>
      <w:r>
        <w:t>**中国生产停滞**（固投见顶）→ 资源需求消失</w:t>
      </w:r>
    </w:p>
    <w:p>
      <w:pPr>
        <w:pStyle w:val="ListNumber"/>
        <w:ind w:left="800"/>
      </w:pPr>
      <w:r>
        <w:t>**日本融资收紧**（日银加息）→ 套利逆转，全球流动性收缩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**2008 年的实际情况是条件 1 和条件 2 同时触发**——次贷危机导致美国消费崩盘（汽车业、零售业、消费电子全线下滑），中国出口骤降（2009 年 1 月出口同比 -17.5%）。三角闭环彻底破裂。商品价格在 6 个月内跌 50%+，日本套利交易逆转，日元升值 20%+。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这一历史经验对 23–26 AI 浪潮的启示是：需要关注 M7 企业的「同步性」——如果 M7 7 家公司同时减投 AI Capex，整个 AI 板块的「自洽链」将瞬间断裂。**这是 23–26 三角闭环的「脆弱性」所在**——风险集中在 7 家公司，而非整个信贷体系。</w:t>
      </w:r>
    </w:p>
    <w:p>
      <w:pPr>
        <w:keepNext/>
        <w:spacing w:before="400" w:after="120" w:line="408" w:lineRule="auto"/>
        <w:ind w:firstLine="440"/>
      </w:pPr>
      <w:r>
        <w:rPr>
          <w:rFonts w:ascii="Times New Roman" w:hAnsi="Times New Roman" w:eastAsia="宋体"/>
          <w:b/>
          <w:color w:val="0F172A"/>
          <w:sz w:val="32"/>
        </w:rPr>
        <w:t>第二部分　对标 AI 板块：结构相似性与本质差异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基于第一部分的 6 维度复盘，本部分将逐一映射到 2023–2026 的 AI 板块投资浪潮。我们关心的核心问题是：**哪些维度高度相似？哪些维度本质不同？这些差异如何影响信号的设计**？</w:t>
      </w:r>
    </w:p>
    <w:p>
      <w:pPr>
        <w:keepNext/>
        <w:spacing w:before="280" w:after="120" w:line="408" w:lineRule="auto"/>
        <w:ind w:firstLine="440"/>
      </w:pPr>
      <w:r>
        <w:rPr>
          <w:rFonts w:ascii="Times New Roman" w:hAnsi="Times New Roman" w:eastAsia="宋体"/>
          <w:b/>
          <w:color w:val="1E3A5F"/>
          <w:sz w:val="26"/>
        </w:rPr>
        <w:t>§2.1　10 维度对标：结构对照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下表呈现了 2005–2007 与 2023–2026 的 10 维度对标。同维度内，用「共同本质」列提炼两轮行情的内在相似性，这有助于识别哪些信号是「模式可复制」的，哪些是「此次不同」的。</w:t>
      </w:r>
    </w:p>
    <w:tbl>
      <w:tblPr>
        <w:tblStyle w:val="LightGrid-Accent1"/>
        <w:tblW w:type="pct" w:w="500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35"/>
        <w:gridCol w:w="3135"/>
        <w:gridCol w:w="3135"/>
      </w:tblGrid>
      <w:tr>
        <w:tc>
          <w:tcPr>
            <w:tcW w:type="dxa" w:w="1417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969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2005-2007 有色</w:t>
            </w:r>
          </w:p>
        </w:tc>
        <w:tc>
          <w:tcPr>
            <w:tcW w:type="dxa" w:w="3969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2023-2026 AI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驱动叙事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中国城镇化+工业化+WTO 红利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AGI 革命+算力军备竞赛</w:t>
            </w:r>
          </w:p>
        </w:tc>
      </w:tr>
      <w:tr>
        <w:tc>
          <w:tcPr>
            <w:tcW w:type="dxa" w:w="1417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前三大经济体</w:t>
            </w:r>
          </w:p>
        </w:tc>
        <w:tc>
          <w:tcPr>
            <w:tcW w:type="dxa" w:w="3969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美(消费)+中(生产)+日(融资)三角互补</w:t>
            </w:r>
          </w:p>
        </w:tc>
        <w:tc>
          <w:tcPr>
            <w:tcW w:type="dxa" w:w="3969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美(AI创新)+中(追赶) 中美竞争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流动性来源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央行被动放水+外汇占款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M7 主动喷泉+企业自驱 Capex</w:t>
            </w:r>
          </w:p>
        </w:tc>
      </w:tr>
      <w:tr>
        <w:tc>
          <w:tcPr>
            <w:tcW w:type="dxa" w:w="1417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债务特征</w:t>
            </w:r>
          </w:p>
        </w:tc>
        <w:tc>
          <w:tcPr>
            <w:tcW w:type="dxa" w:w="3969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美国居民杠杆 99% 见顶</w:t>
            </w:r>
          </w:p>
        </w:tc>
        <w:tc>
          <w:tcPr>
            <w:tcW w:type="dxa" w:w="3969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美国政府债务 127% + M7 现金充裕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产业政策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中国限制出口+美国无干预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中国大基金+美国芯片管制</w:t>
            </w:r>
          </w:p>
        </w:tc>
      </w:tr>
      <w:tr>
        <w:tc>
          <w:tcPr>
            <w:tcW w:type="dxa" w:w="1417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市场共识</w:t>
            </w:r>
          </w:p>
        </w:tc>
        <w:tc>
          <w:tcPr>
            <w:tcW w:type="dxa" w:w="3969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怀疑→接受→狂热 (3 年)</w:t>
            </w:r>
          </w:p>
        </w:tc>
        <w:tc>
          <w:tcPr>
            <w:tcW w:type="dxa" w:w="3969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怀疑→接受→部分狂热 (4 年)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龙头涨幅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有色 +1,857% / 云铜 +1,122%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NVDA +800% / NDX +95%</w:t>
            </w:r>
          </w:p>
        </w:tc>
      </w:tr>
      <w:tr>
        <w:tc>
          <w:tcPr>
            <w:tcW w:type="dxa" w:w="1417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估值扩张</w:t>
            </w:r>
          </w:p>
        </w:tc>
        <w:tc>
          <w:tcPr>
            <w:tcW w:type="dxa" w:w="3969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PE 14x→50x (3.5 倍)</w:t>
            </w:r>
          </w:p>
        </w:tc>
        <w:tc>
          <w:tcPr>
            <w:tcW w:type="dxa" w:w="3969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NVDA P/S 10x→30x (3 倍)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巨型 IPO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中石油冻结 3.3 万亿 (流通 40%)</w:t>
            </w:r>
          </w:p>
        </w:tc>
        <w:tc>
          <w:tcPr>
            <w:tcW w:type="dxa" w:w="3969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OpenAI 待 IPO ($1,000 亿规模)</w:t>
            </w:r>
          </w:p>
        </w:tc>
      </w:tr>
      <w:tr>
        <w:tc>
          <w:tcPr>
            <w:tcW w:type="dxa" w:w="1417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终结模式</w:t>
            </w:r>
          </w:p>
        </w:tc>
        <w:tc>
          <w:tcPr>
            <w:tcW w:type="dxa" w:w="3969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政策+IPO+商品见顶 三重共振</w:t>
            </w:r>
          </w:p>
        </w:tc>
        <w:tc>
          <w:tcPr>
            <w:tcW w:type="dxa" w:w="3969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Capex 回撤+应用证伪+IPO 抽血</w:t>
            </w:r>
          </w:p>
        </w:tc>
      </w:tr>
    </w:tbl>
    <w:p>
      <w:pPr>
        <w:spacing w:before="200" w:after="120" w:line="408" w:lineRule="auto"/>
        <w:ind w:firstLine="440"/>
        <w:jc w:val="center"/>
      </w:pPr>
      <w:r>
        <w:rPr>
          <w:rFonts w:ascii="Times New Roman" w:hAnsi="Times New Roman" w:eastAsia="宋体"/>
          <w:color w:val="1E293B"/>
        </w:rPr>
        <w:drawing>
          <wp:inline xmlns:a="http://schemas.openxmlformats.org/drawingml/2006/main" xmlns:pic="http://schemas.openxmlformats.org/drawingml/2006/picture">
            <wp:extent cx="5486400" cy="4710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imension_rad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408" w:lineRule="auto"/>
        <w:ind w:firstLine="440"/>
        <w:jc w:val="center"/>
      </w:pPr>
      <w:r>
        <w:rPr>
          <w:rFonts w:ascii="Times New Roman" w:hAnsi="Times New Roman" w:eastAsia="宋体"/>
          <w:i/>
          <w:color w:val="64748B"/>
          <w:sz w:val="19"/>
        </w:rPr>
        <w:t>图表 8：10 维度雷达图——05-07 有色 vs 23-26 AI（重叠区域显示共性，单独区域显示差异）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图表 8 用雷达图直观呈现 10 维度对标结果。**重叠区域（深蓝+橙）显示两轮行情的「共性」**，蓝色单独突出的区域（05-07 独有）和橙色单独突出的区域（23-26 独有）显示差异。**最相似的 3 个维度**：驱动叙事（8 vs 9）、龙头涨幅（8 vs 9）、终结模式（8 vs 7）。**最差异的 3 个维度**：前三大经济体（9 vs 5，三角闭环已破裂）、流动性来源（8 vs 7，但机制不同）、估值扩张（9 vs 7，05-07 是 PE 50x 纯梦想，23-26 是 P/S 30x 业绩支撑）。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**关键差异点 1：流动性来源**。05-07 是「央行被动放水」——外汇占款、储蓄过剩、日元套息形成全球流动性大合唱；23-26 是「M7 主动喷泉」——企业自筹 Capex，自主决策节奏。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**关键差异点 2：债务结构**。05-07 的脆弱性是「美国居民 99% 杠杆 + 中国企业 125% 杠杆」——整个信贷体系的风险；23-26 的脆弱性是「M7 集中度过高 + 美国政府 127% 债务」——风险集中在 7 家公司。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**关键差异点 3：估值锚**。05-07 的 PE 60-80x 完全脱离当期盈利，是「梦想定价」；23-26 的 NVDA P/S 30x 仍有真实业绩支撑（EPS 增速 147%），是「业绩+梦想」双驱动。这意味着 23-26 的「梦想→残值」切换可能比 05-07 晚 6-12 个月发生。</w:t>
      </w:r>
    </w:p>
    <w:p>
      <w:pPr>
        <w:keepNext/>
        <w:spacing w:before="280" w:after="120" w:line="408" w:lineRule="auto"/>
        <w:ind w:firstLine="440"/>
      </w:pPr>
      <w:r>
        <w:rPr>
          <w:rFonts w:ascii="Times New Roman" w:hAnsi="Times New Roman" w:eastAsia="宋体"/>
          <w:b/>
          <w:color w:val="1E3A5F"/>
          <w:sz w:val="26"/>
        </w:rPr>
        <w:t>§2.2　AI 板块现状：截至 2026 年 6 月</w:t>
      </w:r>
    </w:p>
    <w:p>
      <w:pPr>
        <w:keepNext/>
        <w:spacing w:before="160" w:after="120" w:line="408" w:lineRule="auto"/>
        <w:ind w:firstLine="440"/>
      </w:pPr>
      <w:r>
        <w:rPr>
          <w:rFonts w:ascii="Times New Roman" w:hAnsi="Times New Roman" w:eastAsia="宋体"/>
          <w:b/>
          <w:color w:val="475569"/>
          <w:sz w:val="23"/>
        </w:rPr>
        <w:t>M7 云厂商 Capex：S1 信号的核心观测点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M7 云厂商（Microsoft、Google、Amazon、Meta）的 AI Capex 是 23-26 浪潮的核心。与 2005-2007 的中国固投增速类似，**M7 Capex/Rev 比率**反映了「资本开支扩张速度」，是算力需求「真实性」的最强信号。</w:t>
      </w:r>
    </w:p>
    <w:p>
      <w:pPr>
        <w:spacing w:before="200" w:after="120" w:line="408" w:lineRule="auto"/>
        <w:ind w:firstLine="440"/>
        <w:jc w:val="center"/>
      </w:pPr>
      <w:r>
        <w:rPr>
          <w:rFonts w:ascii="Times New Roman" w:hAnsi="Times New Roman" w:eastAsia="宋体"/>
          <w:color w:val="1E293B"/>
        </w:rPr>
        <w:drawing>
          <wp:inline xmlns:a="http://schemas.openxmlformats.org/drawingml/2006/main" xmlns:pic="http://schemas.openxmlformats.org/drawingml/2006/picture">
            <wp:extent cx="5943600" cy="22288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7_cap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408" w:lineRule="auto"/>
        <w:ind w:firstLine="440"/>
        <w:jc w:val="center"/>
      </w:pPr>
      <w:r>
        <w:rPr>
          <w:rFonts w:ascii="Times New Roman" w:hAnsi="Times New Roman" w:eastAsia="宋体"/>
          <w:i/>
          <w:color w:val="64748B"/>
          <w:sz w:val="19"/>
        </w:rPr>
        <w:t>图表 9：M7 云厂商 Capex/Rev 趋势（2024-2026E）——35% 阈值线即 S1 信号触发线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图表 9 呈现了 4 家云厂商的 Capex/Rev 趋势。可以观察到三个关键事实：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**第一，2024-2026 期间所有 4 家云厂商的 Capex/Rev 都在快速攀升**。Microsoft 从 22% 升至 35%，Google 从 15% 升至 25%，Amazon 从 11% 升至 18%，Meta 从 25% 升至 39%。M7 平均（除 NVDA）从 18% 升至 30%——距 35% 阈值仅 5 个百分点。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**第二，Meta 是 S1 信号的「前沿观测点」**。Meta 的 Capex/Rev 在 2026E 已达 39%，超过 35% 阈值——如果 Meta 在 2026Q4 或 2027Q1 财报中给出「Capex 增长放缓」的指引，**这将是 S1 信号最早可能触发的节点**。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**第三，5% 阈值的逻辑**与 2007 年中国固投增速见顶的历史经验直接相关。中国固投增速从 25% 跌到 20%（5 个百分点）用了 1 个季度，引发了 2008 年的需求坍塌。M7 Capex/Rev 从 30% 跌到 25%（5 个百分点）可能同样剧烈——**关键观察点是 M7 CFO 在季报电话会中的「措辞变化」**。如果从「加大投资」变为「审慎评估」或「优化效率」，意味着拐点临近。</w:t>
      </w:r>
    </w:p>
    <w:p>
      <w:pPr>
        <w:keepNext/>
        <w:spacing w:before="160" w:after="120" w:line="408" w:lineRule="auto"/>
        <w:ind w:firstLine="440"/>
      </w:pPr>
      <w:r>
        <w:rPr>
          <w:rFonts w:ascii="Times New Roman" w:hAnsi="Times New Roman" w:eastAsia="宋体"/>
          <w:b/>
          <w:color w:val="475569"/>
          <w:sz w:val="23"/>
        </w:rPr>
        <w:t>NDX vs NVDA 归一化对比</w:t>
      </w:r>
    </w:p>
    <w:p>
      <w:pPr>
        <w:spacing w:before="200" w:after="120" w:line="408" w:lineRule="auto"/>
        <w:ind w:firstLine="440"/>
        <w:jc w:val="center"/>
      </w:pPr>
      <w:r>
        <w:rPr>
          <w:rFonts w:ascii="Times New Roman" w:hAnsi="Times New Roman" w:eastAsia="宋体"/>
          <w:color w:val="1E293B"/>
        </w:rPr>
        <w:drawing>
          <wp:inline xmlns:a="http://schemas.openxmlformats.org/drawingml/2006/main" xmlns:pic="http://schemas.openxmlformats.org/drawingml/2006/picture">
            <wp:extent cx="5943600" cy="2377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dx_nvd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408" w:lineRule="auto"/>
        <w:ind w:firstLine="440"/>
        <w:jc w:val="center"/>
      </w:pPr>
      <w:r>
        <w:rPr>
          <w:rFonts w:ascii="Times New Roman" w:hAnsi="Times New Roman" w:eastAsia="宋体"/>
          <w:i/>
          <w:color w:val="64748B"/>
          <w:sz w:val="19"/>
        </w:rPr>
        <w:t>图表 10：NDX vs NVDA 归一化对比（2022-11=100）——NVDA 涨幅 8 倍于 NDX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图表 10 揭示了 23-26 浪潮的一个关键特征：**NVDA 涨幅 800% 远超 NDX 整体 95%**——即 AI 龙头集中度远高于 2005-2007。彼时云铜 +1,122%，但有色指数整体 +1,857%，板块涨幅大于单股；而 AI 浪潮恰好相反，单股涨幅远超板块。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这一集中度带来的影响是双面的：一方面，NVDA 的 P/S 估值（~20x）是整个 AI 板块的「锚」——如果 NVDA 估值崩溃，整个板块将连锁反应；另一方面，NVDA 2025-2026 业绩的高增长（EPS +147%）正在「消化」高估值，**S3 信号的触发需要看到「业绩增长放缓 + 估值高位」的双重确认**。</w:t>
      </w:r>
    </w:p>
    <w:p>
      <w:pPr>
        <w:keepNext/>
        <w:spacing w:before="400" w:after="120" w:line="408" w:lineRule="auto"/>
        <w:ind w:firstLine="440"/>
      </w:pPr>
      <w:r>
        <w:rPr>
          <w:rFonts w:ascii="Times New Roman" w:hAnsi="Times New Roman" w:eastAsia="宋体"/>
          <w:b/>
          <w:color w:val="0F172A"/>
          <w:sz w:val="32"/>
        </w:rPr>
        <w:t>第三部分　三大量化顶部信号与操作框架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基于第一部分的 6 维度复盘和第二部分的 10 维度对标，我们提出 3 个可量化、可监测、可证伪的顶部信号。每个信号对应一种「终结机制」，组合使用可在不同情境下提示风险。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**信号设计原则**：</w:t>
      </w:r>
    </w:p>
    <w:p>
      <w:pPr>
        <w:pStyle w:val="ListBullet"/>
        <w:ind w:left="800"/>
      </w:pPr>
      <w:r>
        <w:t>**可量化**：每个信号有明确的数值阈值（如 Capex/Rev 35%）</w:t>
      </w:r>
    </w:p>
    <w:p>
      <w:pPr>
        <w:pStyle w:val="ListBullet"/>
        <w:ind w:left="800"/>
      </w:pPr>
      <w:r>
        <w:t>**可监测**：每个信号有明确的观测事件和数据来源</w:t>
      </w:r>
    </w:p>
    <w:p>
      <w:pPr>
        <w:pStyle w:val="ListBullet"/>
        <w:ind w:left="800"/>
      </w:pPr>
      <w:r>
        <w:t>**可证伪**：每个信号有清晰的失效场景</w:t>
      </w:r>
    </w:p>
    <w:p>
      <w:pPr>
        <w:pStyle w:val="ListBullet"/>
        <w:ind w:left="800"/>
      </w:pPr>
      <w:r>
        <w:t>**领先性**：尽量选择领先指标，而非同步或滞后指标</w:t>
      </w:r>
    </w:p>
    <w:p>
      <w:pPr>
        <w:pStyle w:val="ListBullet"/>
        <w:ind w:left="800"/>
      </w:pPr>
      <w:r>
        <w:t>**互补性**：3 个信号对应 3 种不同的终结机制，互不重叠</w:t>
      </w:r>
    </w:p>
    <w:p>
      <w:pPr>
        <w:keepNext/>
        <w:spacing w:before="280" w:after="120" w:line="408" w:lineRule="auto"/>
        <w:ind w:firstLine="440"/>
      </w:pPr>
      <w:r>
        <w:rPr>
          <w:rFonts w:ascii="Times New Roman" w:hAnsi="Times New Roman" w:eastAsia="宋体"/>
          <w:b/>
          <w:color w:val="1E3A5F"/>
          <w:sz w:val="26"/>
        </w:rPr>
        <w:t>§3.1　S1：云厂商 Capex/Rev 比率突破 35%</w:t>
      </w:r>
    </w:p>
    <w:p>
      <w:pPr>
        <w:keepNext/>
        <w:spacing w:before="160" w:after="120" w:line="408" w:lineRule="auto"/>
        <w:ind w:firstLine="440"/>
      </w:pPr>
      <w:r>
        <w:rPr>
          <w:rFonts w:ascii="Times New Roman" w:hAnsi="Times New Roman" w:eastAsia="宋体"/>
          <w:b/>
          <w:color w:val="475569"/>
          <w:sz w:val="23"/>
        </w:rPr>
        <w:t>信号定义</w:t>
      </w:r>
    </w:p>
    <w:tbl>
      <w:tblPr>
        <w:tblStyle w:val="LightGrid-Accent1"/>
        <w:tblW w:type="pct" w:w="500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703"/>
        <w:gridCol w:w="4703"/>
      </w:tblGrid>
      <w:tr>
        <w:tc>
          <w:tcPr>
            <w:tcW w:type="dxa" w:w="4703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核心逻辑</w:t>
            </w:r>
          </w:p>
        </w:tc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算力需求的唯一「真金」指标瓦解；证伪永续高增长</w:t>
            </w:r>
          </w:p>
        </w:tc>
      </w:tr>
      <w:tr>
        <w:tc>
          <w:tcPr>
            <w:tcW w:type="dxa" w:w="4703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历史对标</w:t>
            </w:r>
          </w:p>
        </w:tc>
        <w:tc>
          <w:tcPr>
            <w:tcW w:type="dxa" w:w="4703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2007.11 中国固定资产投资增速见顶 → 2008 铜真实需求断崖</w:t>
            </w:r>
          </w:p>
        </w:tc>
      </w:tr>
      <w:tr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阈值</w:t>
            </w:r>
          </w:p>
        </w:tc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M7 Capex/Rev 比率连续两季 &gt;35%，或单季从峰值回落 &gt;5pct</w:t>
            </w:r>
          </w:p>
        </w:tc>
      </w:tr>
      <w:tr>
        <w:tc>
          <w:tcPr>
            <w:tcW w:type="dxa" w:w="4703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当前状态</w:t>
            </w:r>
          </w:p>
        </w:tc>
        <w:tc>
          <w:tcPr>
            <w:tcW w:type="dxa" w:w="4703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**未触发**（M7 Capex/Rev 30%，距 35% 阈值 5pct）</w:t>
            </w:r>
          </w:p>
        </w:tc>
      </w:tr>
      <w:tr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性质</w:t>
            </w:r>
          </w:p>
        </w:tc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⏱ 领先指标（领先 1-2 季度）</w:t>
            </w:r>
          </w:p>
        </w:tc>
      </w:tr>
    </w:tbl>
    <w:p>
      <w:pPr>
        <w:keepNext/>
        <w:spacing w:before="160" w:after="120" w:line="408" w:lineRule="auto"/>
        <w:ind w:firstLine="440"/>
      </w:pPr>
      <w:r>
        <w:rPr>
          <w:rFonts w:ascii="Times New Roman" w:hAnsi="Times New Roman" w:eastAsia="宋体"/>
          <w:b/>
          <w:color w:val="475569"/>
          <w:sz w:val="23"/>
        </w:rPr>
        <w:t>观测事件与数据来源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**S1 信号的观测依赖两个核心事件**：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**(1) M7 季度财报中的 Capex 指引**。重点关注 Microsoft CFO Amy Hood、Google CFO Ruth Porat、Amazon CFO Brian Olsavsky、Meta CFO Susan Li 的表述变化。如果从「加大投资」转向「审慎评估」或「优化效率」，意味着拐点临近。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**(2) 台积电 CoWoS 先进封装订单变化**。CoWoS 是 AI GPU 的关键封装工艺，台积电的 CoWoS 订单数据是 M7 Capex 的「先行指标」——M7 下单后 1-2 个季度才体现在 CoWoS 产能上。如果 CoWoS 订单出现「环比下滑」，意味着 M7 Capex 增速已实质放缓。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**数据来源**：SEC 10-Q/10-K 公开披露；台积电月度营收公告；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**更新频率**：季度（财报季）+ 月度（台积电营收）</w:t>
      </w:r>
    </w:p>
    <w:p>
      <w:pPr>
        <w:keepNext/>
        <w:spacing w:before="280" w:after="120" w:line="408" w:lineRule="auto"/>
        <w:ind w:firstLine="440"/>
      </w:pPr>
      <w:r>
        <w:rPr>
          <w:rFonts w:ascii="Times New Roman" w:hAnsi="Times New Roman" w:eastAsia="宋体"/>
          <w:b/>
          <w:color w:val="1E3A5F"/>
          <w:sz w:val="26"/>
        </w:rPr>
        <w:t>§3.2　S2：标志性 AI 独角兽巨型 IPO 首日即巅峰</w:t>
      </w:r>
    </w:p>
    <w:p>
      <w:pPr>
        <w:keepNext/>
        <w:spacing w:before="160" w:after="120" w:line="408" w:lineRule="auto"/>
        <w:ind w:firstLine="440"/>
      </w:pPr>
      <w:r>
        <w:rPr>
          <w:rFonts w:ascii="Times New Roman" w:hAnsi="Times New Roman" w:eastAsia="宋体"/>
          <w:b/>
          <w:color w:val="475569"/>
          <w:sz w:val="23"/>
        </w:rPr>
        <w:t>信号定义</w:t>
      </w:r>
    </w:p>
    <w:tbl>
      <w:tblPr>
        <w:tblStyle w:val="LightGrid-Accent1"/>
        <w:tblW w:type="pct" w:w="500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703"/>
        <w:gridCol w:w="4703"/>
      </w:tblGrid>
      <w:tr>
        <w:tc>
          <w:tcPr>
            <w:tcW w:type="dxa" w:w="4703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核心逻辑</w:t>
            </w:r>
          </w:p>
        </w:tc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市场流动性已无法支撑「梦想变现」；信心与比价崩塌</w:t>
            </w:r>
          </w:p>
        </w:tc>
      </w:tr>
      <w:tr>
        <w:tc>
          <w:tcPr>
            <w:tcW w:type="dxa" w:w="4703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历史对标</w:t>
            </w:r>
          </w:p>
        </w:tc>
        <w:tc>
          <w:tcPr>
            <w:tcW w:type="dxa" w:w="4703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2007.11.05 中石油上市高开低走 → 上证指数大顶</w:t>
            </w:r>
          </w:p>
        </w:tc>
      </w:tr>
      <w:tr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阈值</w:t>
            </w:r>
          </w:p>
        </w:tc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IPO 首日高开 &gt;50% 后收长阴线（收盘价 &lt; 开盘价）</w:t>
            </w:r>
          </w:p>
        </w:tc>
      </w:tr>
      <w:tr>
        <w:tc>
          <w:tcPr>
            <w:tcW w:type="dxa" w:w="4703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当前状态</w:t>
            </w:r>
          </w:p>
        </w:tc>
        <w:tc>
          <w:tcPr>
            <w:tcW w:type="dxa" w:w="4703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**未触发**（OpenAI 未上市）</w:t>
            </w:r>
          </w:p>
        </w:tc>
      </w:tr>
      <w:tr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性质</w:t>
            </w:r>
          </w:p>
        </w:tc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🔴 同步确认信号</w:t>
            </w:r>
          </w:p>
        </w:tc>
      </w:tr>
    </w:tbl>
    <w:p>
      <w:pPr>
        <w:keepNext/>
        <w:spacing w:before="160" w:after="120" w:line="408" w:lineRule="auto"/>
        <w:ind w:firstLine="440"/>
      </w:pPr>
      <w:r>
        <w:rPr>
          <w:rFonts w:ascii="Times New Roman" w:hAnsi="Times New Roman" w:eastAsia="宋体"/>
          <w:b/>
          <w:color w:val="475569"/>
          <w:sz w:val="23"/>
        </w:rPr>
        <w:t>OpenAI 拟 IPO 估值变化</w:t>
      </w:r>
    </w:p>
    <w:tbl>
      <w:tblPr>
        <w:tblStyle w:val="LightGrid-Accent1"/>
        <w:tblW w:type="pct" w:w="500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135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估值</w:t>
            </w:r>
          </w:p>
        </w:tc>
        <w:tc>
          <w:tcPr>
            <w:tcW w:type="dxa" w:w="3135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事件</w:t>
            </w:r>
          </w:p>
        </w:tc>
      </w:tr>
      <w:tr>
        <w:tc>
          <w:tcPr>
            <w:tcW w:type="dxa" w:w="3135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2025-10</w:t>
            </w:r>
          </w:p>
        </w:tc>
        <w:tc>
          <w:tcPr>
            <w:tcW w:type="dxa" w:w="3135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$500B（要约收购）</w:t>
            </w:r>
          </w:p>
        </w:tc>
        <w:tc>
          <w:tcPr>
            <w:tcW w:type="dxa" w:w="3135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tender offer</w:t>
            </w:r>
          </w:p>
        </w:tc>
      </w:tr>
      <w:tr>
        <w:tc>
          <w:tcPr>
            <w:tcW w:type="dxa" w:w="3135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2026-03</w:t>
            </w:r>
          </w:p>
        </w:tc>
        <w:tc>
          <w:tcPr>
            <w:tcW w:type="dxa" w:w="3135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$850B（内部估值）</w:t>
            </w:r>
          </w:p>
        </w:tc>
        <w:tc>
          <w:tcPr>
            <w:tcW w:type="dxa" w:w="3135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估值快速攀升</w:t>
            </w:r>
          </w:p>
        </w:tc>
      </w:tr>
      <w:tr>
        <w:tc>
          <w:tcPr>
            <w:tcW w:type="dxa" w:w="3135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2026-06</w:t>
            </w:r>
          </w:p>
        </w:tc>
        <w:tc>
          <w:tcPr>
            <w:tcW w:type="dxa" w:w="3135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拟 IPO $100B</w:t>
            </w:r>
          </w:p>
        </w:tc>
        <w:tc>
          <w:tcPr>
            <w:tcW w:type="dxa" w:w="3135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预计 2026Q4-2027Q1</w:t>
            </w:r>
          </w:p>
        </w:tc>
      </w:tr>
    </w:tbl>
    <w:p>
      <w:pPr>
        <w:keepNext/>
        <w:spacing w:before="160" w:after="120" w:line="408" w:lineRule="auto"/>
        <w:ind w:firstLine="440"/>
      </w:pPr>
      <w:r>
        <w:rPr>
          <w:rFonts w:ascii="Times New Roman" w:hAnsi="Times New Roman" w:eastAsia="宋体"/>
          <w:b/>
          <w:color w:val="475569"/>
          <w:sz w:val="23"/>
        </w:rPr>
        <w:t>S2 触发后的市场反应预判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OpenAI 上市后 30 日的表现是**决定性观察点**。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**情景 A：上市首日高开 +20% 以内，收盘稳定**。这是健康的市场表现，说明市场对 AI 估值仍有支撑。S2 信号**未触发**。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**情景 B：上市首日高开 +30-50%，收盘稳定**。这是偏热但不极端的表现，需要继续观察 30 日内的「二次发行」情况。S2 信号**预警但未触发**。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**情景 C：上市首日高开 +50% 以上，收盘低于开盘价（长阴线）**。这是 S2 信号**触发**的场景。意味着市场已无法承接「梦想变现」的体量，原始股东和风投的抛售压力将引发连锁反应——所有 AI 独角兽的估值需重新定价。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**与中石油 IPO 的对比**：2007-11-05 中石油 A 股首日 +191%，随后 -22%（30 日）、-65%（1 年）。如果 OpenAI 重现这一模式，AI 板块的顶部将得到「同步确认」。</w:t>
      </w:r>
    </w:p>
    <w:p>
      <w:pPr>
        <w:keepNext/>
        <w:spacing w:before="280" w:after="120" w:line="408" w:lineRule="auto"/>
        <w:ind w:firstLine="440"/>
      </w:pPr>
      <w:r>
        <w:rPr>
          <w:rFonts w:ascii="Times New Roman" w:hAnsi="Times New Roman" w:eastAsia="宋体"/>
          <w:b/>
          <w:color w:val="1E3A5F"/>
          <w:sz w:val="26"/>
        </w:rPr>
        <w:t>§3.3　S3：龙头估值框架崩溃 + 应用端收入证伪</w:t>
      </w:r>
    </w:p>
    <w:p>
      <w:pPr>
        <w:keepNext/>
        <w:spacing w:before="160" w:after="120" w:line="408" w:lineRule="auto"/>
        <w:ind w:firstLine="440"/>
      </w:pPr>
      <w:r>
        <w:rPr>
          <w:rFonts w:ascii="Times New Roman" w:hAnsi="Times New Roman" w:eastAsia="宋体"/>
          <w:b/>
          <w:color w:val="475569"/>
          <w:sz w:val="23"/>
        </w:rPr>
        <w:t>信号定义</w:t>
      </w:r>
    </w:p>
    <w:tbl>
      <w:tblPr>
        <w:tblStyle w:val="LightGrid-Accent1"/>
        <w:tblW w:type="pct" w:w="500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703"/>
        <w:gridCol w:w="4703"/>
      </w:tblGrid>
      <w:tr>
        <w:tc>
          <w:tcPr>
            <w:tcW w:type="dxa" w:w="4703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核心逻辑</w:t>
            </w:r>
          </w:p>
        </w:tc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估值从「梦想定价」瞬间切换为「残值定价」；应用端不产生真金白银增量</w:t>
            </w:r>
          </w:p>
        </w:tc>
      </w:tr>
      <w:tr>
        <w:tc>
          <w:tcPr>
            <w:tcW w:type="dxa" w:w="4703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历史对标</w:t>
            </w:r>
          </w:p>
        </w:tc>
        <w:tc>
          <w:tcPr>
            <w:tcW w:type="dxa" w:w="4703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2007.10 中铝 PE 65x，靠「注矿」故事；2008 年业绩暴跌，股价跌超 90%</w:t>
            </w:r>
          </w:p>
        </w:tc>
      </w:tr>
      <w:tr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阈值</w:t>
            </w:r>
          </w:p>
        </w:tc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① 英伟达跌破 200 日均线 ② NVDA P/S &gt; 25x 且营收环比增速降至个位数 ③ 微软 Copilot 付费渗透率停滞</w:t>
            </w:r>
          </w:p>
        </w:tc>
      </w:tr>
      <w:tr>
        <w:tc>
          <w:tcPr>
            <w:tcW w:type="dxa" w:w="4703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当前状态</w:t>
            </w:r>
          </w:p>
        </w:tc>
        <w:tc>
          <w:tcPr>
            <w:tcW w:type="dxa" w:w="4703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**未触发**（NVDA P/S ~20，Copilot 渗透率 15% 接近阈值）</w:t>
            </w:r>
          </w:p>
        </w:tc>
      </w:tr>
      <w:tr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性质</w:t>
            </w:r>
          </w:p>
        </w:tc>
        <w:tc>
          <w:tcPr>
            <w:tcW w:type="dxa" w:w="4703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🔵 滞后/确认信号</w:t>
            </w:r>
          </w:p>
        </w:tc>
      </w:tr>
    </w:tbl>
    <w:p>
      <w:pPr>
        <w:keepNext/>
        <w:spacing w:before="160" w:after="120" w:line="408" w:lineRule="auto"/>
        <w:ind w:firstLine="440"/>
      </w:pPr>
      <w:r>
        <w:rPr>
          <w:rFonts w:ascii="Times New Roman" w:hAnsi="Times New Roman" w:eastAsia="宋体"/>
          <w:b/>
          <w:color w:val="475569"/>
          <w:sz w:val="23"/>
        </w:rPr>
        <w:t>S3 双重阈值的逻辑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**S3 信号需要看到「估值崩溃」+「收入证伪」的双重确认**，理由如下：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**单独看 NVDA 估值**可能产生误判。NVDA 当前 P/S ~20x，处于历史 60% 分位。如果仅看估值，NVDA 似乎仍有上涨空间。但 P/S 的「合理」是建立在「营收持续高增长」前提上的。**如果营收增速降至个位数，20x P/S 就会显得过高**——估值切换可能在一个月内完成。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**单独看 Copilot 渗透率**也不足以触发 S3。Copilot 当前 15%，距离 25-30% 的「成熟期」还有翻倍空间。**真正的证伪是「渗透率停滞」而非「渗透率低」**——如果连续 2 个季度停滞在 15%，意味着 AI 应用端的「故事」已被证伪。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**双重确认的机制**：当 NVDA 估值与 Copilot 渗透率同时出现问题时，市场会意识到「算力侧和应用侧」同时见顶——这是 AI 浪潮的系统性顶部信号。</w:t>
      </w:r>
    </w:p>
    <w:p>
      <w:pPr>
        <w:spacing w:before="200" w:after="120" w:line="408" w:lineRule="auto"/>
        <w:ind w:firstLine="440"/>
        <w:jc w:val="center"/>
      </w:pPr>
      <w:r>
        <w:rPr>
          <w:rFonts w:ascii="Times New Roman" w:hAnsi="Times New Roman" w:eastAsia="宋体"/>
          <w:color w:val="1E293B"/>
        </w:rPr>
        <w:drawing>
          <wp:inline xmlns:a="http://schemas.openxmlformats.org/drawingml/2006/main" xmlns:pic="http://schemas.openxmlformats.org/drawingml/2006/picture">
            <wp:extent cx="6217920" cy="24871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3_dual_threshol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8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408" w:lineRule="auto"/>
        <w:ind w:firstLine="440"/>
        <w:jc w:val="center"/>
      </w:pPr>
      <w:r>
        <w:rPr>
          <w:rFonts w:ascii="Times New Roman" w:hAnsi="Times New Roman" w:eastAsia="宋体"/>
          <w:i/>
          <w:color w:val="64748B"/>
          <w:sz w:val="19"/>
        </w:rPr>
        <w:t>图表 11：S3 双阈值监测（2023Q1-2026Q2）——NVDA P/S + Copilot 渗透率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图表 11 量化呈现了 S3 双重阈值的当前状态。**两个关键观察**：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**第一，NVDA P/S 在 2023Q1 高位（28-32x）已逐步消化至 2026Q2 的 20x**，——业绩增长在「消化」高估值。当前 20x 低于 25x 阈值线，**S3 估值条件尚未满足**。但如果 NVDA 股价在营收增速放缓前继续上涨，P/S 重新升破 25x，则 S3 估值条件将就绪。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**第二，Copilot 渗透率从 0 升至 15%**——增速可观但**已在 15% 阈值线上**。如果 2026Q3-Q4 增速停滞，**S3 信号将快速逼近触发**。</w:t>
      </w:r>
    </w:p>
    <w:p>
      <w:pPr>
        <w:spacing w:before="160" w:after="120" w:line="408" w:lineRule="auto"/>
        <w:ind w:left="440" w:right="440" w:firstLine="440"/>
      </w:pPr>
      <w:r>
        <w:rPr>
          <w:rFonts w:ascii="Times New Roman" w:hAnsi="Times New Roman" w:eastAsia="宋体"/>
          <w:b/>
          <w:color w:val="B45309"/>
        </w:rPr>
        <w:t>**关键洞察**：S3 当前状态 = 「双阈值边缘」（P/S 距 25x 阈值 5 点，Copilot 已触阈值）。**最可能的触发路径**：NVDA 股价继续上涨使 P/S 升破 25x → Copilot 渗透率 2026Q3 停滞 → NVDA 营收增速降至个位数 → P/S 估值切换 → 股价跌破 200 日均线 → S3 触发。</w:t>
      </w:r>
    </w:p>
    <w:p>
      <w:pPr>
        <w:keepNext/>
        <w:spacing w:before="280" w:after="120" w:line="408" w:lineRule="auto"/>
        <w:ind w:firstLine="440"/>
      </w:pPr>
      <w:r>
        <w:rPr>
          <w:rFonts w:ascii="Times New Roman" w:hAnsi="Times New Roman" w:eastAsia="宋体"/>
          <w:b/>
          <w:color w:val="1E3A5F"/>
          <w:sz w:val="26"/>
        </w:rPr>
        <w:t>§3.4　综合评分与操作框架</w:t>
      </w:r>
    </w:p>
    <w:p>
      <w:pPr>
        <w:spacing w:before="200" w:after="120" w:line="408" w:lineRule="auto"/>
        <w:ind w:firstLine="440"/>
        <w:jc w:val="center"/>
      </w:pPr>
      <w:r>
        <w:rPr>
          <w:rFonts w:ascii="Times New Roman" w:hAnsi="Times New Roman" w:eastAsia="宋体"/>
          <w:color w:val="1E293B"/>
        </w:rPr>
        <w:drawing>
          <wp:inline xmlns:a="http://schemas.openxmlformats.org/drawingml/2006/main" xmlns:pic="http://schemas.openxmlformats.org/drawingml/2006/picture">
            <wp:extent cx="5943600" cy="33343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ignal_dash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408" w:lineRule="auto"/>
        <w:ind w:firstLine="440"/>
        <w:jc w:val="center"/>
      </w:pPr>
      <w:r>
        <w:rPr>
          <w:rFonts w:ascii="Times New Roman" w:hAnsi="Times New Roman" w:eastAsia="宋体"/>
          <w:i/>
          <w:color w:val="64748B"/>
          <w:sz w:val="19"/>
        </w:rPr>
        <w:t>图表 12：三大量化顶部信号当前状态仪表盘（2026-06）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图表 12 以仪表盘形式呈现了 3 个信号的当前状态。**综合评分 0/3 ~ 0.5/3**——S1 接近触发但未触发（M7 Capex/Rev 30%，距 35% 阈值仅 5pct），S2/S3 距离触发仍有空间。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**操作框架与评分对应**：</w:t>
      </w:r>
    </w:p>
    <w:tbl>
      <w:tblPr>
        <w:tblStyle w:val="LightGrid-Accent1"/>
        <w:tblW w:type="pct" w:w="500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综合评分</w:t>
            </w:r>
          </w:p>
        </w:tc>
        <w:tc>
          <w:tcPr>
            <w:tcW w:type="dxa" w:w="3135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135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操作建议</w:t>
            </w:r>
          </w:p>
        </w:tc>
      </w:tr>
      <w:tr>
        <w:tc>
          <w:tcPr>
            <w:tcW w:type="dxa" w:w="3135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0/3 ~ 0.5/3</w:t>
            </w:r>
          </w:p>
        </w:tc>
        <w:tc>
          <w:tcPr>
            <w:tcW w:type="dxa" w:w="3135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**安全**（当前）</w:t>
            </w:r>
          </w:p>
        </w:tc>
        <w:tc>
          <w:tcPr>
            <w:tcW w:type="dxa" w:w="3135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维持 AI 仓位 60-70%，跟踪 S1</w:t>
            </w:r>
          </w:p>
        </w:tc>
      </w:tr>
      <w:tr>
        <w:tc>
          <w:tcPr>
            <w:tcW w:type="dxa" w:w="3135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1/3</w:t>
            </w:r>
          </w:p>
        </w:tc>
        <w:tc>
          <w:tcPr>
            <w:tcW w:type="dxa" w:w="3135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**预警**</w:t>
            </w:r>
          </w:p>
        </w:tc>
        <w:tc>
          <w:tcPr>
            <w:tcW w:type="dxa" w:w="3135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减仓 AI 至 30-40%，提现金</w:t>
            </w:r>
          </w:p>
        </w:tc>
      </w:tr>
      <w:tr>
        <w:tc>
          <w:tcPr>
            <w:tcW w:type="dxa" w:w="3135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2/3</w:t>
            </w:r>
          </w:p>
        </w:tc>
        <w:tc>
          <w:tcPr>
            <w:tcW w:type="dxa" w:w="3135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**危险**</w:t>
            </w:r>
          </w:p>
        </w:tc>
        <w:tc>
          <w:tcPr>
            <w:tcW w:type="dxa" w:w="3135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AI 降至 10-20%，转配债券/黄金</w:t>
            </w:r>
          </w:p>
        </w:tc>
      </w:tr>
      <w:tr>
        <w:tc>
          <w:tcPr>
            <w:tcW w:type="dxa" w:w="3135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3/3</w:t>
            </w:r>
          </w:p>
        </w:tc>
        <w:tc>
          <w:tcPr>
            <w:tcW w:type="dxa" w:w="3135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**触发**</w:t>
            </w:r>
          </w:p>
        </w:tc>
        <w:tc>
          <w:tcPr>
            <w:tcW w:type="dxa" w:w="3135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清仓风险资产，等右侧</w:t>
            </w:r>
          </w:p>
        </w:tc>
      </w:tr>
    </w:tbl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**关键观察点**：OpenAI IPO 后 30 日 = 决定性窗口。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br w:type="page"/>
      </w:r>
    </w:p>
    <w:p>
      <w:pPr>
        <w:keepNext/>
        <w:spacing w:before="400" w:after="120" w:line="408" w:lineRule="auto"/>
        <w:ind w:firstLine="440"/>
      </w:pPr>
      <w:r>
        <w:rPr>
          <w:rFonts w:ascii="Times New Roman" w:hAnsi="Times New Roman" w:eastAsia="宋体"/>
          <w:b/>
          <w:color w:val="0F172A"/>
          <w:sz w:val="32"/>
        </w:rPr>
        <w:t>附录 A　三国货币政策指标不对称的方法论说明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本附录系统说明三国货币政策指标不对称的根源、修正方法。</w:t>
      </w:r>
    </w:p>
    <w:tbl>
      <w:tblPr>
        <w:tblStyle w:val="LightGrid-Accent1"/>
        <w:tblW w:type="pct" w:w="500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国家</w:t>
            </w:r>
          </w:p>
        </w:tc>
        <w:tc>
          <w:tcPr>
            <w:tcW w:type="dxa" w:w="2351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央行目标</w:t>
            </w:r>
          </w:p>
        </w:tc>
        <w:tc>
          <w:tcPr>
            <w:tcW w:type="dxa" w:w="2351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关键指标</w:t>
            </w:r>
          </w:p>
        </w:tc>
        <w:tc>
          <w:tcPr>
            <w:tcW w:type="dxa" w:w="2351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原因</w:t>
            </w:r>
          </w:p>
        </w:tc>
      </w:tr>
      <w:tr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🇺🇸 美国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充分就业 + 物价稳定（双目标制）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联邦基金利率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利率走廊机制（IORB + ON RRP）</w:t>
            </w:r>
          </w:p>
        </w:tc>
      </w:tr>
      <w:tr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🇨🇳 中国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经济增长 + 货币供应（多目标制）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M2 + 1Y 贷款/存款基准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数量型工具 + 管制利率</w:t>
            </w:r>
          </w:p>
        </w:tc>
      </w:tr>
      <w:tr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🇯🇵 日本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通胀 + 利率曲线（量宽后转价格型）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无担保隔夜利率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量化宽松后转向价格型</w:t>
            </w:r>
          </w:p>
        </w:tc>
      </w:tr>
    </w:tbl>
    <w:p>
      <w:pPr>
        <w:keepNext/>
        <w:spacing w:before="280" w:after="120" w:line="408" w:lineRule="auto"/>
        <w:ind w:firstLine="440"/>
      </w:pPr>
      <w:r>
        <w:rPr>
          <w:rFonts w:ascii="Times New Roman" w:hAnsi="Times New Roman" w:eastAsia="宋体"/>
          <w:b/>
          <w:color w:val="1E3A5F"/>
          <w:sz w:val="26"/>
        </w:rPr>
        <w:t>A.1　4 项方法论修正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**修正 1：必须用「同期限市场利率」做「短长利差」对比**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原版报告曾出现「中国 1Y 贷款基准 7.47% vs 10Y 国债 4.5%，短长利差 -3.0%」的错误对比——贷款基准是央行管制利率（非市场化），国债是市场化利率，两者本质不同，不能直接比较「短长利差」。正确做法是用同期限的市场利率做对比：1Y 国债 2.79% vs 10Y 国债 4.5% → 市场短长利差 +1.71%（正常）。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**修正 2：必须区分「政策利率」和「市场利率」**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政策利率是央行直接规定的利率（如中国 1Y 贷款基准 7.47% / 1Y 存款基准 4.14%），市场利率是金融市场交易形成的利率（如中国 1Y 国债 2.79% / 10Y 国债 4.5%）。两者的关系是「政策利率影响市场利率，但市场利率反映真实金融条件」。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**修正 3：中国「管制利率倒挂」是 2007 年特有现象**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1Y 存款基准 4.14% &gt; 1Y 国债 2.79%——在正常利率体系中，国债作为无风险利率应该是市场利率的下限，但中国央行通过存款管制将存款利率人为抬高在国债之上。这一倒挂在 2015 年存款利率上限取消后逐步消失。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**修正 4：贷存利差 3.33% = 银行业「制度性红包」**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1Y 贷款基准 7.47% - 1Y 存款基准 4.14% = 3.33%。在 2019 年 LPR 改革前，这是央行给中国银行业的制度性保护——3.33% 的安全垫是银行利润的核心来源。2019 年 LPR 改革后，贷存利差收窄至 1.5%。</w:t>
      </w:r>
    </w:p>
    <w:p>
      <w:pPr>
        <w:spacing w:before="160" w:after="120" w:line="408" w:lineRule="auto"/>
        <w:ind w:left="440" w:right="440" w:firstLine="440"/>
      </w:pPr>
      <w:r>
        <w:rPr>
          <w:rFonts w:ascii="Times New Roman" w:hAnsi="Times New Roman" w:eastAsia="宋体"/>
          <w:b/>
          <w:color w:val="B45309"/>
        </w:rPr>
        <w:t>**结论**：中国货币政策是「数量型 + 管制利率」二元体系。需用「政策利率 + 市场利率 + 贷存利差 + 外汇占款」四维度才能完整刻画。</w:t>
      </w:r>
    </w:p>
    <w:p>
      <w:pPr>
        <w:keepNext/>
        <w:spacing w:before="400" w:after="120" w:line="408" w:lineRule="auto"/>
        <w:ind w:firstLine="440"/>
      </w:pPr>
      <w:r>
        <w:rPr>
          <w:rFonts w:ascii="Times New Roman" w:hAnsi="Times New Roman" w:eastAsia="宋体"/>
          <w:b/>
          <w:color w:val="0F172A"/>
          <w:sz w:val="32"/>
        </w:rPr>
        <w:t>附录 B　05-07 重大事件时间轴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本附录以时间顺序列出 2005-2007 期间对市场产生重大影响的 16 个事件，供读者对照图表 5、图表 6 的事件标注查阅。</w:t>
      </w:r>
    </w:p>
    <w:tbl>
      <w:tblPr>
        <w:tblStyle w:val="LightGrid-Accent1"/>
        <w:tblW w:type="pct" w:w="500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351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事件</w:t>
            </w:r>
          </w:p>
        </w:tc>
        <w:tc>
          <w:tcPr>
            <w:tcW w:type="dxa" w:w="2351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351"/>
            <w:vAlign w:val="center"/>
            <w:shd w:val="clear" w:color="auto" w:fill="1E3A5F"/>
          </w:tcPr>
          <w:p>
            <w:pPr>
              <w:spacing w:after="40" w:line="312" w:lineRule="auto" w:before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影响维度</w:t>
            </w:r>
          </w:p>
        </w:tc>
      </w:tr>
      <w:tr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2005.06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股改启动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政策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2005.07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人民币汇改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汇率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汇率</w:t>
            </w:r>
          </w:p>
        </w:tc>
      </w:tr>
      <w:tr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2005.11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神华 H 股 IPO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IPO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2006.04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中铝 A 股 IPO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IPO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2006.05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LME 铜 $8,800 历史新高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商品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2006.06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美联储加息见顶 5.25%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货币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货币政策</w:t>
            </w:r>
          </w:p>
        </w:tc>
      </w:tr>
      <w:tr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2007.04.30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中铝吸收合并山铝/兰铝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公司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公司</w:t>
            </w:r>
          </w:p>
        </w:tc>
      </w:tr>
      <w:tr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2007.05.30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印花税 1‰→3‰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政策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政策</w:t>
            </w:r>
          </w:p>
        </w:tc>
      </w:tr>
      <w:tr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2007.07.12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西部矿业上市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IPO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2007.09.25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建设银行 A 股 IPO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IPO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2007.10.09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中国神华 A 股 IPO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IPO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2007.10.16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上证 6124 见顶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市场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2007.11.05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中石油 A 股 IPO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IPO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2008.07.03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LME 铜 $8,985 见顶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商品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2008.10.28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上证 1664 金融危机底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市场</w:t>
            </w:r>
          </w:p>
        </w:tc>
        <w:tc>
          <w:tcPr>
            <w:tcW w:type="dxa" w:w="2351"/>
            <w:vAlign w:val="center"/>
            <w:shd w:val="clear" w:color="auto" w:fill="FFFFFF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2008.12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雷曼效应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宏观</w:t>
            </w:r>
          </w:p>
        </w:tc>
        <w:tc>
          <w:tcPr>
            <w:tcW w:type="dxa" w:w="2351"/>
            <w:vAlign w:val="center"/>
            <w:shd w:val="clear" w:color="auto" w:fill="F1F5F9"/>
          </w:tcPr>
          <w:p>
            <w:pPr>
              <w:spacing w:after="40" w:line="312" w:lineRule="auto" w:before="40"/>
              <w:ind w:firstLine="0"/>
            </w:pPr>
            <w:r>
              <w:rPr>
                <w:rFonts w:ascii="Times New Roman" w:hAnsi="Times New Roman" w:eastAsia="宋体"/>
                <w:sz w:val="19"/>
              </w:rPr>
              <w:t>危机</w:t>
            </w:r>
          </w:p>
        </w:tc>
      </w:tr>
    </w:tbl>
    <w:p>
      <w:pPr>
        <w:keepNext/>
        <w:spacing w:before="400" w:after="120" w:line="408" w:lineRule="auto"/>
        <w:ind w:firstLine="440"/>
      </w:pPr>
      <w:r>
        <w:rPr>
          <w:rFonts w:ascii="Times New Roman" w:hAnsi="Times New Roman" w:eastAsia="宋体"/>
          <w:b/>
          <w:color w:val="0F172A"/>
          <w:sz w:val="32"/>
        </w:rPr>
        <w:t>附录 C　数据来源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本报告数据来源说明：</w:t>
      </w:r>
    </w:p>
    <w:p>
      <w:pPr>
        <w:pStyle w:val="ListBullet"/>
      </w:pPr>
      <w:r>
        <w:t>**FRED** (Federal Reserve Economic Data)：美联储官方经济数据</w:t>
      </w:r>
    </w:p>
    <w:p>
      <w:pPr>
        <w:pStyle w:val="ListBullet"/>
      </w:pPr>
      <w:r>
        <w:t>**PBOC** (People's Bank of China)：中国人民银行</w:t>
      </w:r>
    </w:p>
    <w:p>
      <w:pPr>
        <w:pStyle w:val="ListBullet"/>
      </w:pPr>
      <w:r>
        <w:t>**BOJ** (Bank of Japan)：日本银行</w:t>
      </w:r>
    </w:p>
    <w:p>
      <w:pPr>
        <w:pStyle w:val="ListBullet"/>
      </w:pPr>
      <w:r>
        <w:t>**IMF** (International Monetary Fund)：国际货币基金组织</w:t>
      </w:r>
    </w:p>
    <w:p>
      <w:pPr>
        <w:pStyle w:val="ListBullet"/>
      </w:pPr>
      <w:r>
        <w:t>**World Bank**：世界银行</w:t>
      </w:r>
    </w:p>
    <w:p>
      <w:pPr>
        <w:pStyle w:val="ListBullet"/>
      </w:pPr>
      <w:r>
        <w:t>**SEC EDGAR**：美国证券交易委员会公开数据</w:t>
      </w:r>
    </w:p>
    <w:p>
      <w:pPr>
        <w:pStyle w:val="ListBullet"/>
      </w:pPr>
      <w:r>
        <w:t>**LME** (London Metal Exchange)：伦敦金属交易所</w:t>
      </w:r>
    </w:p>
    <w:p>
      <w:pPr>
        <w:pStyle w:val="ListBullet"/>
      </w:pPr>
      <w:r>
        <w:t>**ICSG** (International Copper Study Group)：国际铜业研究组</w:t>
      </w:r>
    </w:p>
    <w:p>
      <w:pPr>
        <w:pStyle w:val="ListBullet"/>
      </w:pPr>
      <w:r>
        <w:t>**海关总署**：中国海关</w:t>
      </w:r>
    </w:p>
    <w:p>
      <w:pPr>
        <w:pStyle w:val="ListBullet"/>
      </w:pPr>
      <w:r>
        <w:t>**Bloomberg**：金融数据终端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**核心数据文件清单**（TopicResearch/data/raw/）：</w:t>
      </w:r>
    </w:p>
    <w:p>
      <w:pPr>
        <w:spacing w:line="408" w:lineRule="auto" w:after="120"/>
        <w:ind w:firstLine="440"/>
      </w:pPr>
      <w:r>
        <w:rPr>
          <w:rFonts w:ascii="Times New Roman" w:hAnsi="Times New Roman" w:eastAsia="宋体"/>
          <w:color w:val="1E293B"/>
        </w:rPr>
        <w:t>本报告使用了 32 个 JSON 数据文件，包括 LME 铜铝日级数据、上证综指日级数据、FRED 联邦基金利率/10Y 国债/30Y 房贷/美元指数/M2/企业债利差、PBOC 中国 M2/外储/利率/贸易顺差、BOJ 日本利率/JGB/汇率/外储、AI 板块 M7 营收/Capex/NDX/Copilot、05-07 IPO 数据、金属涨幅数据、重大事件时间轴、IMF/卖方预期、中国大盘数据等。</w:t>
      </w:r>
    </w:p>
    <w:p>
      <w:pPr>
        <w:spacing w:line="408" w:lineRule="auto" w:after="120"/>
        <w:ind w:firstLine="440"/>
      </w:pPr>
    </w:p>
    <w:p>
      <w:pPr>
        <w:spacing w:line="408" w:lineRule="auto" w:after="120"/>
        <w:ind w:firstLine="440"/>
        <w:jc w:val="center"/>
      </w:pPr>
      <w:r>
        <w:rPr>
          <w:rFonts w:ascii="Times New Roman" w:hAnsi="Times New Roman" w:eastAsia="宋体"/>
          <w:i/>
          <w:color w:val="94A3B8"/>
          <w:sz w:val="22"/>
        </w:rPr>
        <w:t>—— 报告结束 ——</w:t>
      </w:r>
    </w:p>
    <w:sectPr w:rsidR="00FC693F" w:rsidRPr="0006063C" w:rsidSect="00034616">
      <w:pgSz w:w="12240" w:h="15840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8" w:lineRule="auto" w:after="120" w:before="0"/>
      <w:ind w:firstLine="440"/>
    </w:pPr>
    <w:rPr>
      <w:rFonts w:ascii="Times New Roman" w:hAnsi="Times New Roman" w:eastAsia="宋体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320" w:line="312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 w:line="312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 w:line="312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 w:line="312" w:lineRule="auto"/>
      <w:ind w:firstLine="0"/>
      <w:outlineLvl w:val="3"/>
    </w:pPr>
    <w:rPr>
      <w:rFonts w:asciiTheme="majorHAnsi" w:eastAsiaTheme="majorEastAsia" w:hAnsiTheme="majorHAnsi" w:cstheme="majorBidi" w:ascii="Times New Roman" w:hAnsi="Times New Roman" w:eastAsia="宋体"/>
      <w:b/>
      <w:bCs/>
      <w:i/>
      <w:iCs/>
      <w:color w:val="475569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