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EBB4B">
      <w:pPr>
        <w:pStyle w:val="2"/>
        <w:widowControl/>
        <w:shd w:val="clear" w:color="auto" w:fill="FFFFFF"/>
        <w:spacing w:before="0" w:beforeAutospacing="0" w:after="240" w:afterAutospacing="0" w:line="510" w:lineRule="atLeast"/>
        <w:rPr>
          <w:rFonts w:hint="default" w:ascii="Segoe UI" w:hAnsi="Segoe UI" w:eastAsia="Segoe UI" w:cs="Segoe UI"/>
          <w:color w:val="0F1115"/>
          <w:szCs w:val="36"/>
        </w:rPr>
      </w:pPr>
      <w:r>
        <w:rPr>
          <w:rFonts w:hint="default" w:ascii="Segoe UI" w:hAnsi="Segoe UI" w:eastAsia="Segoe UI" w:cs="Segoe UI"/>
          <w:color w:val="0F1115"/>
          <w:szCs w:val="36"/>
          <w:shd w:val="clear" w:color="auto" w:fill="FFFFFF"/>
        </w:rPr>
        <w:t>复盘2005–2007年有色金属超级周期与当前AI板块投资的结构性比较</w:t>
      </w:r>
    </w:p>
    <w:p w14:paraId="7CC4245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摘要</w:t>
      </w:r>
    </w:p>
    <w:p w14:paraId="0BB2279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本报告旨在回答一项核心问题：2005–2007年有色金属超级周期与当前人工智能（AI）板块投资热潮，在结构性层面是否存在可</w:t>
      </w:r>
      <w:bookmarkStart w:id="0" w:name="_GoBack"/>
      <w:bookmarkEnd w:id="0"/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比性。通过对宏观背景、流动性生成机制、估值框架及政策路径的系统比对，研究发现两轮行情在"资本开支驱动的需求正反馈"上高度同构，但在"流动性来源"与"估值锚定"上存在本质差异。基于上述比较，本报告构建三项可量化、可监测、可证伪的顶部信号，组合运用可在不同情境下对风险进行提示性评估。</w:t>
      </w:r>
    </w:p>
    <w:p w14:paraId="4CA5C8E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–2007年间，全球形成"消费国—生产国—融资国"三角闭环——美国（消费+地产+金融杠杆）、中国（工业生产+固定资产投资+资源消耗）、日本（低成本资金+高端中间品）。该闭环与中国管制利率体系下3.33%的贷存利差，共同构成商品超级周期的核心燃料。2007年10月16日，上证指数触及6124点，PE达50倍（99%历史分位），有色金属板块动态PE约49倍，三大见顶特征——商品与股价顶背离、垃圾股补涨、巨型IPO放量长阴——同步显现。</w:t>
      </w:r>
    </w:p>
    <w:p w14:paraId="0F19728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2023–2026年间，三角闭环已然破裂：美国由"消费国"转向"AI创新国"，中国由"生产国"转向"追赶国+国产替代主导国"，日本在AI产业链中角色明显弱化。中美进入"AI军备竞赛+芯片管制"的竞合状态。尽管如此，两轮行情仍存五项共性：资本开支驱动的需求正反馈、央行或头部企业（M7）流动性释放、估值脱离短期盈利、政策面临两难困境，以及最终由供给响应或需求证伪触发转折。</w:t>
      </w:r>
    </w:p>
    <w:p w14:paraId="5E4C783E">
      <w:pPr>
        <w:widowControl/>
        <w:shd w:val="clear" w:color="auto" w:fill="FFFFFF"/>
        <w:spacing w:before="240"/>
        <w:rPr>
          <w:rFonts w:ascii="Segoe UI" w:hAnsi="Segoe UI" w:eastAsia="Segoe UI" w:cs="Segoe UI"/>
          <w:strike/>
          <w:color w:val="0F1115"/>
          <w:sz w:val="24"/>
        </w:rPr>
      </w:pPr>
      <w:r>
        <w:rPr>
          <w:rFonts w:ascii="Segoe UI" w:hAnsi="Segoe UI" w:eastAsia="Segoe UI" w:cs="Segoe UI"/>
          <w:b/>
          <w:bCs/>
          <w:strike/>
          <w:color w:val="0F1115"/>
          <w:sz w:val="24"/>
          <w:shd w:val="clear" w:color="auto" w:fill="FFFFFF"/>
        </w:rPr>
        <w:t>顶部窗口预判：2026年下半年至2027年上半年。当前综合评分：0/3 ~ 0.5/3（维持观察）。关键监测节点：OpenAI首次公开募股（IPO）后30个交易日的市场表现。</w:t>
      </w:r>
    </w:p>
    <w:p w14:paraId="36ADC76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核心观点</w:t>
      </w:r>
    </w:p>
    <w:p w14:paraId="43C69A7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一：三角闭环是商品超级周期的制度性基石。2005–2007年全球资产价格超级周期，本质上是美中日三国在"消费—生产—融资"链条上形成结构性互补的产物。2023–2026年该闭环虽已瓦解，但AI资本开支驱动的"企业内生化"需求正反馈依然有效。</w:t>
      </w:r>
    </w:p>
    <w:p w14:paraId="351FE8D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二：中国2005–2007年的管制利率体系构成泡沫的制度基础。彼时，1年期贷款基准利率7.47%、存款基准利率4.14%、10年期国债收益率约4.5%，形成"管制利率倒挂"（存款基准高于无风险利率）及3.33%的贷存利差，为股市及楼市泡沫提供了重要制度条件。2023–2026年，LPR改革已根本改变这一体系。</w:t>
      </w:r>
    </w:p>
    <w:p w14:paraId="24339F3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三：三角闭环虽破裂，但资本开支正反馈依然有效。2005–2007年为央行被动投放流动性（外汇占款），2023–2026年为M7企业主动进行资本开支（盈利再投资）。两者均形成"资本支出→需求→业绩→股价→进一步资本支出"的正向循环。但2023–2026年的脆弱性集中于M7七家头部企业，而非整个信贷体系。</w:t>
      </w:r>
    </w:p>
    <w:p w14:paraId="6B702CDD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观点四：S1信号（资本开支增速二阶导转负）是最关键的领先指标。当前M7 Capex/Rev已达30%，距35%阈值仅5个百分点。该阈值与2007年中国固投增速从高位回落的历史经验具有可比性。</w:t>
      </w:r>
    </w:p>
    <w:p w14:paraId="49760E5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观点五：S2信号（标志性AI企业IPO首日即巅峰）是同步确认指标。OpenAI拟IPO规模或达1000亿美元（约占纳斯达克100流通市值的0.4%）。若上市首日高开超50%后收长阴线，将复现2007年11月5日中石油IPO的市场模式。</w:t>
      </w:r>
    </w:p>
    <w:p w14:paraId="5111541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第一部分：2005–2007年有色金属超级周期全景复盘</w:t>
      </w:r>
    </w:p>
    <w:p w14:paraId="20D47F9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2005–2007年为美中日三大经济体同步增长的罕见窗口，该同步性构成商品超级周期的宏观前提。本部分从经济增速、货币政策、汇率与贸易、外汇储备、财政政策及资本市场六个维度展开分析。</w:t>
      </w:r>
    </w:p>
    <w:p w14:paraId="1330111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1.1 全球主要经济体宏观背景</w:t>
      </w:r>
    </w:p>
    <w:p w14:paraId="360C402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1.1.1 经济增长：三国同步但结构互补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819"/>
        <w:gridCol w:w="1819"/>
        <w:gridCol w:w="1819"/>
        <w:gridCol w:w="1819"/>
        <w:gridCol w:w="1400"/>
      </w:tblGrid>
      <w:tr w14:paraId="1BC390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6C74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6D85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63F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626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7FC7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2007年名义GDP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E48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2007年CPI</w:t>
            </w:r>
          </w:p>
        </w:tc>
      </w:tr>
      <w:tr w14:paraId="5040A2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7F7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DC7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40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479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886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165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</w:tr>
      <w:tr w14:paraId="357F9F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156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809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022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319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5F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6AA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4.8%</w:t>
            </w:r>
          </w:p>
        </w:tc>
      </w:tr>
      <w:tr w14:paraId="11D88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21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A99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6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43F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A1E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601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0.0%</w:t>
            </w:r>
          </w:p>
        </w:tc>
      </w:tr>
    </w:tbl>
    <w:p w14:paraId="3BAB7DE9">
      <w:pPr>
        <w:widowControl/>
        <w:ind w:left="720" w:right="720"/>
        <w:rPr>
          <w:rFonts w:hint="eastAsia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美国GDP数据来自Macrotrends和IMF，中国和日本GDP来自各国统计局及IMF。中国名义GDP增速及CPI同样来自国家统计局。</w:t>
      </w:r>
      <w:r>
        <w:rPr>
          <w:rFonts w:hint="eastAsia" w:ascii="微软雅黑" w:hAnsi="微软雅黑" w:eastAsia="微软雅黑" w:cs="微软雅黑"/>
          <w:b/>
          <w:bCs/>
          <w:color w:val="0F1115"/>
          <w:sz w:val="24"/>
          <w:shd w:val="clear" w:color="auto" w:fill="FFFFFF"/>
        </w:rPr>
        <w:t>时间拉长00年开始到今，+euro</w:t>
      </w:r>
    </w:p>
    <w:p w14:paraId="3D0A39B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那几年发生了几件大事：2005年6月股权分置改革启动（市场底部），7月人民币汇率形成机制改革启动，2006年6月美联储加息周期见顶于5.25%。</w:t>
      </w:r>
    </w:p>
    <w:p w14:paraId="4C544A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值得注意的是，中国名义GDP增速（23%）显著高于实际增速（14%），差值源于通胀及资产价格重估。日本实际增速已摆脱零增长（2005年1.9%、2006年2.4%、2007年2.1%），但名义增速仍接近零，通缩压力依然存在。美国GDP增速放缓但消费保持韧性，财富效应对商品需求形成支撑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1.1：名义 GDP 增速对比（2000-2026）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8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nom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1.2：实际 GDP 增速对比（2000-2026）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8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8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C03B6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1.1.2 货币政策：表面紧缩与实际宽松的背离</w:t>
      </w:r>
    </w:p>
    <w:p w14:paraId="61B4101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2007年三国货币政策呈现"表面紧缩、实际宽松"的悖论。若仅观察政策利率（美联储5.25%、中国1年期贷款基准7.47%、日本隔夜利率0.5%），三国均呈紧缩态势；但金融市场实际感受到的金融条件普遍偏宽松。</w:t>
      </w:r>
    </w:p>
    <w:p w14:paraId="53D9761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三层利率指标体系（同期限市场利率口径）：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2338"/>
        <w:gridCol w:w="3323"/>
        <w:gridCol w:w="2035"/>
      </w:tblGrid>
      <w:tr w14:paraId="095F5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3BA8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8928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A470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4507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9DE82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E52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760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联邦基金利率5.25%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1年期贷款基准7.47%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3F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隔夜利率0.5%</w:t>
            </w:r>
          </w:p>
        </w:tc>
      </w:tr>
      <w:tr w14:paraId="388C8C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A04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短端市场利率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FB7D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1年期国债约4.5–4.7%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D6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1年期国债年初约2.1%/年末约3.8%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FF1C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1年期国债约0.6%</w:t>
            </w:r>
          </w:p>
        </w:tc>
      </w:tr>
      <w:tr w14:paraId="31E84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494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长端市场利率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7EED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10年期国债约4.6–4.7%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26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11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10年期JGB约1.5%</w:t>
            </w:r>
          </w:p>
        </w:tc>
      </w:tr>
      <w:tr w14:paraId="5075D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575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市场短长利差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22A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098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年初约+2.4%/年末约+0.7%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51A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约+0.9%</w:t>
            </w:r>
          </w:p>
        </w:tc>
      </w:tr>
      <w:tr w14:paraId="6EA99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18F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实际融资利率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DA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30年房贷约6.0–6.5%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070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房贷约7.8%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508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房贷约2.5%</w:t>
            </w:r>
          </w:p>
        </w:tc>
      </w:tr>
      <w:tr w14:paraId="7E325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2A9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贷存利差（管制）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4C8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360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B5E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2FEA7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A71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149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4%→6%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AC0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17.6%→16.7%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506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1%→2%</w:t>
            </w:r>
          </w:p>
        </w:tc>
      </w:tr>
      <w:tr w14:paraId="734A95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E40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政策类型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CF41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C57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数量型+管制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408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价格型（量宽后）</w:t>
            </w:r>
          </w:p>
        </w:tc>
      </w:tr>
      <w:tr w14:paraId="0256A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A9E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实际金融条件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0EF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宽松（长端未跟随）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8D6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局部宽松（外汇占款）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6AE1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极度宽松（套利盛行）</w:t>
            </w:r>
          </w:p>
        </w:tc>
      </w:tr>
    </w:tbl>
    <w:p w14:paraId="505F391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联邦基金利率和10年期国债收益率来自美联储，中国存贷款基准利率来自人民银行，1年期国债收益率来自财政部，日本隔夜利率来自日本央行。</w:t>
      </w:r>
    </w:p>
    <w:p w14:paraId="701EB1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美国“格林斯潘之谜”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：美联储于2004–2006年间将联邦基金利率自1%上调至5.25%，2006年6月至2007年8月维持在5.25%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，但10年期国债收益率在2006年6月约为5%，2007年逐步回落至约3.5%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，加息在金融市场传导受阻。根源在于全球“储蓄过剩”——亚洲国家及石油美元避险资金压低长端利率。</w:t>
      </w:r>
    </w:p>
    <w:p w14:paraId="6486B3C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中国管制利率体系与外汇占款对冲：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1233"/>
        <w:gridCol w:w="1057"/>
        <w:gridCol w:w="1138"/>
        <w:gridCol w:w="1085"/>
        <w:gridCol w:w="1085"/>
        <w:gridCol w:w="962"/>
        <w:gridCol w:w="966"/>
        <w:gridCol w:w="831"/>
      </w:tblGrid>
      <w:tr w14:paraId="27F5D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C546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DDA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M2余额（亿元）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C71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M2同比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27F9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外汇占款增量（约）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6AD8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1年期贷款基准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C32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1年期存款基准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C72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2FF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10年期国债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8D9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贷存利差</w:t>
            </w:r>
          </w:p>
        </w:tc>
      </w:tr>
      <w:tr w14:paraId="51BE4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D3F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6B0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298,755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BCB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9D1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251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5.58%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4DE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9AE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FD9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998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2AEAED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45C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AA8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345,603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450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338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FCA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6.12%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7D9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2.52%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3F9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3EC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182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3.60%</w:t>
            </w:r>
          </w:p>
        </w:tc>
      </w:tr>
      <w:tr w14:paraId="7EDA7E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B7C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99A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403,442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AD4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0D8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约4.0万亿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28E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D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4.14%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753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33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3C4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3AE1C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BCB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284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475,166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B4A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178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689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5.31%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8D3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C3E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7B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约3.6%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3B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3.06%</w:t>
            </w:r>
          </w:p>
        </w:tc>
      </w:tr>
    </w:tbl>
    <w:p w14:paraId="01A02F21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中国存贷款基准利率来自人民银行，外汇储备数据来自国家外汇管理局，1年期国债收益率来自财政部（2007年12月为3.66%）。</w:t>
      </w:r>
    </w:p>
    <w:p w14:paraId="793CBF6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2007年货币政策呈现两重反常特征：（1）管制利率倒挂——1年期存款基准4.14%显著高于1年期国债收益率（年末约3.8%）；（2）贷存利差3.33%——贷款基准与存款基准之差构成银行业的制度性安全垫。上述扭曲源于外汇占款被动投放基础货币：2005–2007年间中国外汇储备从8189亿美元跃升至15282亿美元，央行被迫同时运用数量型工具（10次上调存款准备金率）与价格型工具（6次加息），但加息效果被外汇占款的扩张效应对冲，最终形成局部宽松的金融条件。</w:t>
      </w:r>
    </w:p>
    <w:p w14:paraId="2A88D2E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日本套利交易机制：日本央行于2007年2月将隔夜利率自0.25%上调至0.5%后维持不变。低利率环境催生日元套息交易（借入日元投资高息资产），估算规模逾5000亿美元，成为全球风险偏好的重要推手。</w:t>
      </w:r>
    </w:p>
    <w:p w14:paraId="5E0EC0C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综上，三国分别通过"储蓄过剩压制""外汇占款对冲""套利输出"三种机制形成全球流动性宽松格局，构成商品超级周期的货币基础。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1.3：CPI 通胀对比（2000-2026）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28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1.4：中国货币政策背离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8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et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1.5：市场利率与货币政策类型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7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rm_sp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57CBC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1.1.3 汇率与贸易：三国货币再平衡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2625"/>
        <w:gridCol w:w="3141"/>
        <w:gridCol w:w="2349"/>
      </w:tblGrid>
      <w:tr w14:paraId="55DA5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F23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6FC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3D0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AC6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239EF9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FE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汇率指数变化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8A3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03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人民币8.28→约7.61（升值约8%）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A0B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日元102→114（贬值12%）</w:t>
            </w:r>
          </w:p>
        </w:tc>
      </w:tr>
      <w:tr w14:paraId="16FD8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806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贸易差额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DA0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经常账户赤字约7000亿美元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CD9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顺差1020→2622亿美元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309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顺差90→1000亿美元</w:t>
            </w:r>
          </w:p>
        </w:tc>
      </w:tr>
      <w:tr w14:paraId="652317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9A6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汇率机制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7C4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1A7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管理浮动（爬行盯住美元）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43A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</w:tr>
    </w:tbl>
    <w:p w14:paraId="0E48839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美元指数和汇率数据来自公开市场，中国外汇储备及贸易数据来自国家外汇管理局。</w:t>
      </w:r>
    </w:p>
    <w:p w14:paraId="0EED947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2005年7月人民币汇改是起点，2006年5月LME铜价冲上8790美元/吨创历史新高，2008年12月日元升值至91.30触发套利逆转。</w:t>
      </w:r>
    </w:p>
    <w:p w14:paraId="4B64A9A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美元贬值传导链：美元贬值推升以美元计价的商品价格（LME铜自约3000涨至8790美元/吨），资金流出美国涌入新兴市场，进口成本上升带来通胀压力，实际利率随之下行——此为商品超级周期的直接价格机制。</w:t>
      </w:r>
    </w:p>
    <w:p w14:paraId="6FCDA6D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人民币升值效应：汇改后人民币渐进升值，至2007年末约7.61，升值约8%，但贸易顺差仍实现翻倍，主因在于生产效率提升及外需强劲。</w:t>
      </w:r>
    </w:p>
    <w:p w14:paraId="3F8655E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日元贬值效应：日元2005–2007年贬值约12%，利好出口行业，但贬值幅度小于美元，实际有效汇率基本稳定。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1.6：汇率与贸易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7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x_tr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9A69F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1.1.4 外汇储备：中国主导的全球失衡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1"/>
        <w:gridCol w:w="2477"/>
        <w:gridCol w:w="2269"/>
        <w:gridCol w:w="2175"/>
      </w:tblGrid>
      <w:tr w14:paraId="1D9D2D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0FE6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C9A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E960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E68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8663F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2F3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6D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B02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8,189亿美元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0C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约8,288亿美元</w:t>
            </w:r>
          </w:p>
        </w:tc>
      </w:tr>
      <w:tr w14:paraId="356C1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4DB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5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约2,400亿美元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541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15,282亿美元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FB2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约9,484亿美元</w:t>
            </w:r>
          </w:p>
        </w:tc>
      </w:tr>
      <w:tr w14:paraId="7A4E4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5F6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07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C59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D6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约20%</w:t>
            </w:r>
          </w:p>
        </w:tc>
      </w:tr>
      <w:tr w14:paraId="5D047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C3D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C9C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1D7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A9F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约21%</w:t>
            </w:r>
          </w:p>
        </w:tc>
      </w:tr>
    </w:tbl>
    <w:p w14:paraId="0F8D4339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中国外汇储备数据来自国家外汇管理局，日本外汇储备数据来自IMF。</w:t>
      </w:r>
    </w:p>
    <w:p w14:paraId="39588FB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2006年中国外储首破万亿美元（10663亿），2007年达到15282亿美元，同比+43.31%。</w:t>
      </w:r>
    </w:p>
    <w:p w14:paraId="158E273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EE0000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外汇占款传导链：出口创汇（1020→2622亿美元）→央行结汇→外汇占款增加→基础货币被动扩张→商业银行贷款扩张（贷存利差3.33%）→M2增速维持高位→固定资产投资高速增长→铜铝锌需求爆发。中国外储/GDP约48%，为"全球失衡"的典型镜像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1.7：外汇储备/GDP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87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orex_rese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7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822FC3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1.1.5 财政政策：三国方向迥异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6"/>
        <w:gridCol w:w="2224"/>
        <w:gridCol w:w="2566"/>
        <w:gridCol w:w="2066"/>
      </w:tblGrid>
      <w:tr w14:paraId="1B459BE1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FE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E99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5815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FFE9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545B3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9B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财政赤字/GDP（各国外径）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AC5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联邦赤字约1.0–1.2%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7B6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中央财政赤字约0.3–0.8%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77FF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约2.5–4.0%</w:t>
            </w:r>
          </w:p>
        </w:tc>
      </w:tr>
      <w:tr w14:paraId="39CCD0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3F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主要工具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F8C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减税+战争开支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A72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基建投资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D81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邮政民营化+削减赤字</w:t>
            </w:r>
          </w:p>
        </w:tc>
      </w:tr>
      <w:tr w14:paraId="2F436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407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财政方向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5BDA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扩张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935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积极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C8E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整顿</w:t>
            </w:r>
          </w:p>
        </w:tc>
      </w:tr>
    </w:tbl>
    <w:p w14:paraId="48F3318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美国联邦赤字来自美国财政部，中国财政赤字来自财政部（中央财政口径），日本财政赤字来自公开信息。</w:t>
      </w:r>
    </w:p>
    <w:p w14:paraId="34BF68F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口径说明：各国统计口径不同——美国为联邦政府口径，中国为中央财政口径（不含地方债务），日本为一般政府口径。跨国比较需注意差异。</w:t>
      </w:r>
    </w:p>
    <w:p w14:paraId="2E29FD8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美国财政扩张支撑消费；中国财政赤字收窄系收入高速增长所致，基建投资维持高增长；日本小泉改革推动财政整顿。</w:t>
      </w:r>
    </w:p>
    <w:p>
      <w:pPr/>
      <w:r>
        <w:rPr>
          <w:rFonts w:ascii="微软雅黑" w:hAnsi="微软雅黑"/>
          <w:sz w:val="20"/>
          <w:b/>
        </w:rPr>
        <w:t xml:space="preserve">1.1.6 蒙代尔不可能三角与中国政策选择</w:t>
      </w:r>
    </w:p>
    <w:p>
      <w:pPr/>
      <w:r>
        <w:rPr>
          <w:rFonts w:ascii="微软雅黑" w:hAnsi="微软雅黑"/>
          <w:sz w:val="18"/>
        </w:rPr>
        <w:t xml:space="preserve">蒙代尔-弗莱明不可能三角（Mundell-Fleming Trilemma）是国际金融学的经典理论：固定汇率、资本自由流动、独立货币政策三者不可兼得，任何国家最多只能同时实现其中两个目标。</w:t>
      </w:r>
    </w:p>
    <w:p>
      <w:pPr/>
      <w:r>
        <w:rPr>
          <w:rFonts w:ascii="微软雅黑" w:hAnsi="微软雅黑"/>
          <w:sz w:val="18"/>
        </w:rPr>
        <w:t xml:space="preserve">该理论对于理解2005-2007年中国货币政策困境具有关键意义。彼时中国选择的是"B组合"——固定汇率（盯住美元8.28）+ 资本管制（名义上禁止热钱流入），代价是牺牲货币政策独立性，央行被迫通过大规模冲销操作来维持流动性平衡。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表 1.1-3：蒙代尔不可能三角下中美政策选择对比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p>
            <w:r>
              <w:rPr>
                <w:sz w:val="18"/>
                <w:b/>
              </w:rPr>
              <w:t xml:space="preserve">维度</w:t>
            </w:r>
          </w:p>
        </w:tc>
        <w:tc>
          <w:p>
            <w:r>
              <w:rPr>
                <w:sz w:val="18"/>
                <w:b/>
              </w:rPr>
              <w:t xml:space="preserve">中国 05-07</w:t>
            </w:r>
          </w:p>
        </w:tc>
        <w:tc>
          <w:p>
            <w:r>
              <w:rPr>
                <w:sz w:val="18"/>
                <w:b/>
              </w:rPr>
              <w:t xml:space="preserve">中国 现在</w:t>
            </w:r>
          </w:p>
        </w:tc>
        <w:tc>
          <w:p>
            <w:r>
              <w:rPr>
                <w:sz w:val="18"/>
                <w:b/>
              </w:rPr>
              <w:t xml:space="preserve">美国</w:t>
            </w:r>
          </w:p>
        </w:tc>
      </w:tr>
      <w:tr>
        <w:tc>
          <w:p>
            <w:r>
              <w:rPr>
                <w:sz w:val="18"/>
              </w:rPr>
              <w:t xml:space="preserve">汇率制度</w:t>
            </w:r>
          </w:p>
        </w:tc>
        <w:tc>
          <w:p>
            <w:r>
              <w:rPr>
                <w:sz w:val="18"/>
              </w:rPr>
              <w:t xml:space="preserve">软盯住美元（锁定8.28）</w:t>
            </w:r>
          </w:p>
        </w:tc>
        <w:tc>
          <w:p>
            <w:r>
              <w:rPr>
                <w:sz w:val="18"/>
              </w:rPr>
              <w:t xml:space="preserve">管理浮动（±2%波动）</w:t>
            </w:r>
          </w:p>
        </w:tc>
        <w:tc>
          <w:p>
            <w:r>
              <w:rPr>
                <w:sz w:val="18"/>
              </w:rPr>
              <w:t xml:space="preserve">自由浮动</w:t>
            </w:r>
          </w:p>
        </w:tc>
      </w:tr>
      <w:tr>
        <w:tc>
          <w:p>
            <w:r>
              <w:rPr>
                <w:sz w:val="18"/>
              </w:rPr>
              <w:t xml:space="preserve">资本流动</w:t>
            </w:r>
          </w:p>
        </w:tc>
        <w:tc>
          <w:p>
            <w:r>
              <w:rPr>
                <w:sz w:val="18"/>
              </w:rPr>
              <w:t xml:space="preserve">名义管制（热钱绕道流入）</w:t>
            </w:r>
          </w:p>
        </w:tc>
        <w:tc>
          <w:p>
            <w:r>
              <w:rPr>
                <w:sz w:val="18"/>
              </w:rPr>
              <w:t xml:space="preserve">渐进开放（防外流为主）</w:t>
            </w:r>
          </w:p>
        </w:tc>
        <w:tc>
          <w:p>
            <w:r>
              <w:rPr>
                <w:sz w:val="18"/>
              </w:rPr>
              <w:t xml:space="preserve">完全自由</w:t>
            </w:r>
          </w:p>
        </w:tc>
      </w:tr>
      <w:tr>
        <w:tc>
          <w:p>
            <w:r>
              <w:rPr>
                <w:sz w:val="18"/>
              </w:rPr>
              <w:t xml:space="preserve">货币政策</w:t>
            </w:r>
          </w:p>
        </w:tc>
        <w:tc>
          <w:p>
            <w:r>
              <w:rPr>
                <w:sz w:val="18"/>
              </w:rPr>
              <w:t xml:space="preserve">受冲销约束（被动宽松）</w:t>
            </w:r>
          </w:p>
        </w:tc>
        <w:tc>
          <w:p>
            <w:r>
              <w:rPr>
                <w:sz w:val="18"/>
              </w:rPr>
              <w:t xml:space="preserve">独立性增强（主动宽松）</w:t>
            </w:r>
          </w:p>
        </w:tc>
        <w:tc>
          <w:p>
            <w:r>
              <w:rPr>
                <w:sz w:val="18"/>
              </w:rPr>
              <w:t xml:space="preserve">完全独立</w:t>
            </w:r>
          </w:p>
        </w:tc>
      </w:tr>
      <w:tr>
        <w:tc>
          <w:p>
            <w:r>
              <w:rPr>
                <w:sz w:val="18"/>
              </w:rPr>
              <w:t xml:space="preserve">三角位置</w:t>
            </w:r>
          </w:p>
        </w:tc>
        <w:tc>
          <w:p>
            <w:r>
              <w:rPr>
                <w:sz w:val="18"/>
              </w:rPr>
              <w:t xml:space="preserve">B组合（左上角）</w:t>
            </w:r>
          </w:p>
        </w:tc>
        <w:tc>
          <w:p>
            <w:r>
              <w:rPr>
                <w:sz w:val="18"/>
              </w:rPr>
              <w:t xml:space="preserve">趋向C组合（中间偏右下）</w:t>
            </w:r>
          </w:p>
        </w:tc>
        <w:tc>
          <w:p>
            <w:r>
              <w:rPr>
                <w:sz w:val="18"/>
              </w:rPr>
              <w:t xml:space="preserve">C组合（右下角）</w:t>
            </w:r>
          </w:p>
        </w:tc>
      </w:tr>
      <w:tr>
        <w:tc>
          <w:p>
            <w:r>
              <w:rPr>
                <w:sz w:val="18"/>
              </w:rPr>
              <w:t xml:space="preserve">外储/GDP</w:t>
            </w:r>
          </w:p>
        </w:tc>
        <w:tc>
          <w:p>
            <w:r>
              <w:rPr>
                <w:sz w:val="18"/>
              </w:rPr>
              <w:t xml:space="preserve">15%→37%（快速积累）</w:t>
            </w:r>
          </w:p>
        </w:tc>
        <w:tc>
          <w:p>
            <w:r>
              <w:rPr>
                <w:sz w:val="18"/>
              </w:rPr>
              <w:t xml:space="preserve">17%（相对稳定）</w:t>
            </w:r>
          </w:p>
        </w:tc>
        <w:tc>
          <w:p>
            <w:r>
              <w:rPr>
                <w:sz w:val="18"/>
              </w:rPr>
              <w:t xml:space="preserve">0.3%（无需外储）</w:t>
            </w:r>
          </w:p>
        </w:tc>
      </w:tr>
      <w:tr>
        <w:tc>
          <w:p>
            <w:r>
              <w:rPr>
                <w:sz w:val="18"/>
              </w:rPr>
              <w:t xml:space="preserve">主要矛盾</w:t>
            </w:r>
          </w:p>
        </w:tc>
        <w:tc>
          <w:p>
            <w:r>
              <w:rPr>
                <w:sz w:val="18"/>
              </w:rPr>
              <w:t xml:space="preserve">升值压力+热钱流入</w:t>
            </w:r>
          </w:p>
        </w:tc>
        <w:tc>
          <w:p>
            <w:r>
              <w:rPr>
                <w:sz w:val="18"/>
              </w:rPr>
              <w:t xml:space="preserve">贬值压力+资本外流</w:t>
            </w:r>
          </w:p>
        </w:tc>
        <w:tc>
          <w:p>
            <w:r>
              <w:rPr>
                <w:sz w:val="18"/>
              </w:rPr>
              <w:t xml:space="preserve">通胀 vs 就业</w:t>
            </w:r>
          </w:p>
        </w:tc>
      </w:tr>
    </w:tbl>
    <w:p>
      <w:pPr/>
      <w:r>
        <w:rPr>
          <w:rFonts w:ascii="微软雅黑" w:hAnsi="微软雅黑"/>
          <w:sz w:val="18"/>
        </w:rPr>
        <w:t xml:space="preserve">2005-2007年，中国处于三角形左上角的B组合位置：通过固定汇率（8.28）和资本管制（名义上）来维持出口竞争力，但代价是央行必须被动对冲外汇占款，冲销成本约占GDP的1-2%。加息→热钱流入→更多冲销→成本更高，形成自我强化循环。</w:t>
      </w:r>
    </w:p>
    <w:p>
      <w:pPr>
        <w:jc w:val="center"/>
      </w:pPr>
      <w:r>
        <w:rPr>
          <w:sz w:val="18"/>
          <w:b/>
        </w:rPr>
        <w:t xml:space="preserve">图 1.3：蒙代尔不可能三角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48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hAnsi="微软雅黑"/>
          <w:sz w:val="18"/>
        </w:rPr>
        <w:t xml:space="preserve">2015年"811汇改"后，中国逐步向C组合过渡：汇率转向管理浮动（±2%波动），资本管制从"防流入"转向"防流出"，货币政策独立性显著增强。外储从4万亿美元峰值降至3.2万亿，反映了央行主动放弃部分外储以换取政策空间。</w:t>
      </w:r>
    </w:p>
    <w:p>
      <w:pPr/>
      <w:r>
        <w:rPr>
          <w:rFonts w:ascii="微软雅黑" w:hAnsi="微软雅黑"/>
          <w:sz w:val="18"/>
        </w:rPr>
        <w:t xml:space="preserve">美国始终处于C组合位置：自由浮动汇率+完全资本流动+完全独立货币政策。美联储无需积累外汇储备，政策目标单一（通胀+就业），这也是美元作为全球储备货币的制度优势所在。</w:t>
      </w:r>
    </w:p>
    <w:p w14:paraId="1BEF25C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ascii="微软雅黑" w:hAnsi="微软雅黑"/>
          <w:sz w:val="20"/>
          <w:b/>
        </w:rPr>
        <w:t xml:space="preserve">1.1.7 资本市场：涨幅反映经济结构差异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2"/>
        <w:gridCol w:w="2556"/>
        <w:gridCol w:w="2302"/>
        <w:gridCol w:w="2282"/>
      </w:tblGrid>
      <w:tr w14:paraId="4A8E390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98D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FD0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4383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E3E0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DC93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FB5D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2005–2007股市涨幅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0A8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标普500约+90–101%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54E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上证综指+513.5%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5F0F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日经225约+33%</w:t>
            </w:r>
          </w:p>
        </w:tc>
      </w:tr>
      <w:tr w14:paraId="2C5D5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F14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起点背景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27A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2002年科网泡沫底部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524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2005年股改后起步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39F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2005年初约11488点</w:t>
            </w:r>
          </w:p>
        </w:tc>
      </w:tr>
      <w:tr w14:paraId="0B780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87A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PE估值变化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24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16x→22x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2FC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14x→50x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029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18x→约20x</w:t>
            </w:r>
          </w:p>
        </w:tc>
      </w:tr>
      <w:tr w14:paraId="161447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395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总市值/GDP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2E6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130%→150%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9C21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35%→120%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89E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70%→95%</w:t>
            </w:r>
          </w:p>
        </w:tc>
      </w:tr>
    </w:tbl>
    <w:p w14:paraId="23144FE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上证指数、标普500及日经225涨幅均来自公开市场数据。日经225指数2005年1月约11488点，2007年12月约15307点，涨幅约33%。</w:t>
      </w:r>
    </w:p>
    <w:p w14:paraId="5D4B34F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2005年6月上证综指约1011（市场底部），2007年10月16日触及6124.04（历史大顶），2008年10月28日跌至1664.93（金融危机底部）。</w:t>
      </w:r>
    </w:p>
    <w:p w14:paraId="293C3AA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中国PE扩张3.5倍（14x→50x），估值膨胀最为显著；美国PE扩张温和；日本PE基本稳定。</w:t>
      </w:r>
    </w:p>
    <w:p w14:paraId="06A2FEB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1.2 债务与产业政策</w:t>
      </w:r>
    </w:p>
    <w:p w14:paraId="3612C1D2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1.2.1 三国债务结构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8"/>
        <w:gridCol w:w="1732"/>
        <w:gridCol w:w="1732"/>
        <w:gridCol w:w="1732"/>
        <w:gridCol w:w="1418"/>
      </w:tblGrid>
      <w:tr w14:paraId="0C1F4A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25B2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E993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7B9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6891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6B01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2008</w:t>
            </w:r>
          </w:p>
        </w:tc>
        <w:tc>
          <w:p>
            <w:r>
              <w:rPr>
                <w:sz w:val="18"/>
                <w:b/>
              </w:rPr>
              <w:t xml:space="preserve">2022</w:t>
            </w:r>
          </w:p>
        </w:tc>
        <w:tc>
          <w:p>
            <w:r>
              <w:rPr>
                <w:sz w:val="18"/>
                <w:b/>
              </w:rPr>
              <w:t xml:space="preserve">2023</w:t>
            </w:r>
          </w:p>
        </w:tc>
        <w:tc>
          <w:p>
            <w:r>
              <w:rPr>
                <w:sz w:val="18"/>
                <w:b/>
              </w:rPr>
              <w:t xml:space="preserve">2024</w:t>
            </w:r>
          </w:p>
        </w:tc>
        <w:tc>
          <w:p>
            <w:r>
              <w:rPr>
                <w:sz w:val="18"/>
                <w:b/>
              </w:rPr>
              <w:t xml:space="preserve">2025</w:t>
            </w:r>
          </w:p>
        </w:tc>
        <w:tc>
          <w:p>
            <w:r>
              <w:rPr>
                <w:sz w:val="18"/>
                <w:b/>
              </w:rPr>
              <w:t xml:space="preserve">2026</w:t>
            </w:r>
          </w:p>
        </w:tc>
      </w:tr>
      <w:tr w14:paraId="361DB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B49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51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BD4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6EC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95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约76%</w:t>
            </w:r>
          </w:p>
        </w:tc>
        <w:tc>
          <w:p>
            <w:r>
              <w:rPr>
                <w:sz w:val="18"/>
              </w:rPr>
              <w:t xml:space="preserve">120.6%</w:t>
            </w:r>
          </w:p>
        </w:tc>
        <w:tc>
          <w:p>
            <w:r>
              <w:rPr>
                <w:sz w:val="18"/>
              </w:rPr>
              <w:t xml:space="preserve">120.4%</w:t>
            </w:r>
          </w:p>
        </w:tc>
        <w:tc>
          <w:p>
            <w:r>
              <w:rPr>
                <w:sz w:val="18"/>
              </w:rPr>
              <w:t xml:space="preserve">121.7%</w:t>
            </w:r>
          </w:p>
        </w:tc>
        <w:tc>
          <w:p>
            <w:r>
              <w:rPr>
                <w:sz w:val="18"/>
              </w:rPr>
              <w:t xml:space="preserve">123.3%</w:t>
            </w:r>
          </w:p>
        </w:tc>
        <w:tc>
          <w:p>
            <w:r>
              <w:rPr>
                <w:sz w:val="18"/>
              </w:rPr>
              <w:t xml:space="preserve">127.8%</w:t>
            </w:r>
          </w:p>
        </w:tc>
      </w:tr>
      <w:tr w14:paraId="0577FF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BAE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18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F3C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BDF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A2D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约96%</w:t>
            </w:r>
          </w:p>
        </w:tc>
        <w:tc>
          <w:p>
            <w:r>
              <w:rPr>
                <w:sz w:val="18"/>
              </w:rPr>
              <w:t xml:space="preserve">74.5%</w:t>
            </w:r>
          </w:p>
        </w:tc>
        <w:tc>
          <w:p>
            <w:r>
              <w:rPr>
                <w:sz w:val="18"/>
              </w:rPr>
              <w:t xml:space="preserve">71.8%</w:t>
            </w:r>
          </w:p>
        </w:tc>
        <w:tc>
          <w:p>
            <w:r>
              <w:rPr>
                <w:sz w:val="18"/>
              </w:rPr>
              <w:t xml:space="preserve">69.3%</w:t>
            </w:r>
          </w:p>
        </w:tc>
        <w:tc>
          <w:p>
            <w:r>
              <w:rPr>
                <w:sz w:val="18"/>
              </w:rPr>
              <w:t xml:space="preserve">68.1%</w:t>
            </w:r>
          </w:p>
        </w:tc>
        <w:tc>
          <w:p>
            <w:r>
              <w:rPr>
                <w:sz w:val="18"/>
              </w:rPr>
              <w:t xml:space="preserve">-</w:t>
            </w:r>
          </w:p>
        </w:tc>
      </w:tr>
      <w:tr w14:paraId="257FF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90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58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4AB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2BD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FD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约21.5%</w:t>
            </w:r>
          </w:p>
        </w:tc>
        <w:tc>
          <w:p>
            <w:r>
              <w:rPr>
                <w:sz w:val="18"/>
              </w:rPr>
              <w:t xml:space="preserve">77.3%</w:t>
            </w:r>
          </w:p>
        </w:tc>
        <w:tc>
          <w:p>
            <w:r>
              <w:rPr>
                <w:sz w:val="18"/>
              </w:rPr>
              <w:t xml:space="preserve">84.1%</w:t>
            </w:r>
          </w:p>
        </w:tc>
        <w:tc>
          <w:p>
            <w:r>
              <w:rPr>
                <w:sz w:val="18"/>
              </w:rPr>
              <w:t xml:space="preserve">90.4%</w:t>
            </w:r>
          </w:p>
        </w:tc>
        <w:tc>
          <w:p>
            <w:r>
              <w:rPr>
                <w:sz w:val="18"/>
              </w:rPr>
              <w:t xml:space="preserve">99.2%</w:t>
            </w:r>
          </w:p>
        </w:tc>
        <w:tc>
          <w:p>
            <w:r>
              <w:rPr>
                <w:sz w:val="18"/>
              </w:rPr>
              <w:t xml:space="preserve">106.9%</w:t>
            </w:r>
          </w:p>
        </w:tc>
      </w:tr>
      <w:tr w14:paraId="279F8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EF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中国企业杠杆率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23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070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CF0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0A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约130%</w:t>
            </w:r>
          </w:p>
        </w:tc>
        <w:tc>
          <w:p>
            <w:r>
              <w:rPr>
                <w:sz w:val="18"/>
              </w:rPr>
              <w:t xml:space="preserve">157.7%</w:t>
            </w:r>
          </w:p>
        </w:tc>
        <w:tc>
          <w:p>
            <w:r>
              <w:rPr>
                <w:sz w:val="18"/>
              </w:rPr>
              <w:t xml:space="preserve">163.9%</w:t>
            </w:r>
          </w:p>
        </w:tc>
        <w:tc>
          <w:p>
            <w:r>
              <w:rPr>
                <w:sz w:val="18"/>
              </w:rPr>
              <w:t xml:space="preserve">168.4%</w:t>
            </w:r>
          </w:p>
        </w:tc>
        <w:tc>
          <w:p>
            <w:r>
              <w:rPr>
                <w:sz w:val="18"/>
              </w:rPr>
              <w:t xml:space="preserve">174.6%</w:t>
            </w:r>
          </w:p>
        </w:tc>
        <w:tc>
          <w:p>
            <w:r>
              <w:rPr>
                <w:sz w:val="18"/>
              </w:rPr>
              <w:t xml:space="preserve">180.0%</w:t>
            </w:r>
          </w:p>
        </w:tc>
      </w:tr>
      <w:tr w14:paraId="5D349F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230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4E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E06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F36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7EB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约183%</w:t>
            </w:r>
          </w:p>
        </w:tc>
        <w:tc>
          <w:p>
            <w:r>
              <w:rPr>
                <w:sz w:val="18"/>
              </w:rPr>
              <w:t xml:space="preserve">227.8%</w:t>
            </w:r>
          </w:p>
        </w:tc>
        <w:tc>
          <w:p>
            <w:r>
              <w:rPr>
                <w:sz w:val="18"/>
              </w:rPr>
              <w:t xml:space="preserve">220.3%</w:t>
            </w:r>
          </w:p>
        </w:tc>
        <w:tc>
          <w:p>
            <w:r>
              <w:rPr>
                <w:sz w:val="18"/>
              </w:rPr>
              <w:t xml:space="preserve">214.5%</w:t>
            </w:r>
          </w:p>
        </w:tc>
        <w:tc>
          <w:p>
            <w:r>
              <w:rPr>
                <w:sz w:val="18"/>
              </w:rPr>
              <w:t xml:space="preserve">206.5%</w:t>
            </w:r>
          </w:p>
        </w:tc>
        <w:tc>
          <w:p>
            <w:r>
              <w:rPr>
                <w:sz w:val="18"/>
              </w:rPr>
              <w:t xml:space="preserve">204.4%</w:t>
            </w:r>
          </w:p>
        </w:tc>
      </w:tr>
    </w:tbl>
    <w:p w14:paraId="46D2D1D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数据来自IMF全球债务数据库及世界银行。</w:t>
      </w:r>
    </w:p>
    <w:p w14:paraId="20C9B04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同期美国次贷规模约1.1万亿美元，占按揭市场约13%；2007年公司债利差缓慢上升；2008年12月全球信贷冻结。</w:t>
      </w:r>
    </w:p>
    <w:p w14:paraId="747D497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美国居民杠杆率于99%见顶（2008年危机根源）；中国企业杠杆率持续攀升；日本政府债务率全球最高但私人部门已完成去杠杆。三国债务结构相互补充，共同构成"全球储蓄过剩"（伯南克命题）的微观基础。</w:t>
      </w:r>
    </w:p>
    <w:p w14:paraId="05787616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1.2.2 产业政策对商品的间接影响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3578"/>
        <w:gridCol w:w="3030"/>
        <w:gridCol w:w="1972"/>
      </w:tblGrid>
      <w:tr w14:paraId="2E967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6D6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政策方向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22A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A52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4FB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124FC1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066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有色/资源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17C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2005年11月叫停铜冶炼无序投资；2006年精炼铜出口关税5%→10%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31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无针对性干预，大宗商品依赖进口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29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非资源型国家，高端装备出口支撑矿业</w:t>
            </w:r>
          </w:p>
        </w:tc>
      </w:tr>
      <w:tr w14:paraId="39700C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5375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952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2005年7月汇改+持续加息提准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DE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格林斯潘/伯南克低利率，对资产泡沫“事后清理”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B9B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2006年退出QE，2007年利率0.5%</w:t>
            </w:r>
          </w:p>
        </w:tc>
      </w:tr>
      <w:tr w14:paraId="57BDEC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3E2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资本市场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6E1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2005年6月股权分置改革；2007年5月印花税1‰→3‰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98F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废除Glass-Steagall法案；衍生品不受监管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AD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小泉改革</w:t>
            </w:r>
          </w:p>
        </w:tc>
      </w:tr>
      <w:tr w14:paraId="20A367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A13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宏观基调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A36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“防止经济过热”，2007年“两防”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930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“大稳健”（Great Moderation）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192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结构改革+通缩抗争</w:t>
            </w:r>
          </w:p>
        </w:tc>
      </w:tr>
    </w:tbl>
    <w:p w14:paraId="37B9519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产业政策对商品的间接推升作用：中国限制供给抬高价格中枢；美国放任泡沫推高全球风险偏好；日本低利率催生套利交易，提升商品金融需求。</w:t>
      </w:r>
    </w:p>
    <w:p w14:paraId="5B7C8C9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1.3 市场共识与公司表现</w:t>
      </w:r>
    </w:p>
    <w:p w14:paraId="542B2CB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1.3.1 市场共识演变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，继续回顾，加A股融资上市，补充现在市场状态对比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3"/>
        <w:gridCol w:w="2269"/>
        <w:gridCol w:w="6460"/>
      </w:tblGrid>
      <w:tr w14:paraId="31696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E4AF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605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0C02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市场共识</w:t>
            </w:r>
          </w:p>
        </w:tc>
      </w:tr>
      <w:tr w14:paraId="141728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F5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FD8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2005–2006年初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B6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“商品涨价不可持续”——铜价自约3000涨至4000+美元/吨时，多数分析师认为是投机泡沫；有色股PE仅14x</w:t>
            </w:r>
          </w:p>
        </w:tc>
      </w:tr>
      <w:tr w14:paraId="52079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B87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接受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4C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2006年5月–2007年6月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EA3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铜价创8790美元/吨新高后，“中国需求”叙事确立，“商品超级周期”成为共识</w:t>
            </w:r>
          </w:p>
        </w:tc>
      </w:tr>
      <w:tr w14:paraId="74553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B64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狂热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413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2007年7月–10月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F19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“资产注入”故事取代基本面，散户月开户380万户，有色动态PE约49x</w:t>
            </w:r>
          </w:p>
        </w:tc>
      </w:tr>
    </w:tbl>
    <w:p w14:paraId="03D3AC2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1.3.2 分析师预期与实际偏差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2912"/>
        <w:gridCol w:w="4551"/>
      </w:tblGrid>
      <w:tr w14:paraId="2A157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FB75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8A14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共识预期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EF3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实际结果</w:t>
            </w:r>
          </w:p>
        </w:tc>
      </w:tr>
      <w:tr w14:paraId="06A89B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813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E09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铜价10000+美元/吨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E31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2006年5月实际8790美元/吨见顶</w:t>
            </w:r>
          </w:p>
        </w:tc>
      </w:tr>
      <w:tr w14:paraId="12FC5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D83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AC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铜价12000美元/吨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B55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铜价在6000–8000美元/吨区间震荡</w:t>
            </w:r>
          </w:p>
        </w:tc>
      </w:tr>
      <w:tr w14:paraId="7CE19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281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83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上证综指8000点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F4D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2007年10月16日实际6124点见顶</w:t>
            </w:r>
          </w:p>
        </w:tc>
      </w:tr>
    </w:tbl>
    <w:p w14:paraId="76336330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观察：2007年分析师对铜价的乐观预期与实际峰值存在显著偏差。当前2026年美股分析师对AI的乐观程度已接近2007年水平——当市场共识高度一致时，其本身即构成反向指标。</w:t>
      </w:r>
    </w:p>
    <w:p w14:paraId="2C712E0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1.3.3 国内外公司表现与共振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1026"/>
        <w:gridCol w:w="1374"/>
        <w:gridCol w:w="1374"/>
        <w:gridCol w:w="1027"/>
        <w:gridCol w:w="1027"/>
        <w:gridCol w:w="1186"/>
        <w:gridCol w:w="1054"/>
      </w:tblGrid>
      <w:tr w14:paraId="7DBAF4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FE4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B31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C1F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95B5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2AD7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8E4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0817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401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股价涨幅</w:t>
            </w:r>
          </w:p>
        </w:tc>
      </w:tr>
      <w:tr w14:paraId="23DB64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D77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江西铜业(600362)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EB6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988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254亿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9AF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23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18.5亿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DB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46.1亿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20E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41.3亿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E3E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+650%</w:t>
            </w:r>
          </w:p>
        </w:tc>
      </w:tr>
      <w:tr w14:paraId="63C2D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F5A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云南铜业(000878)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302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134亿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282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3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759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4.9亿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1FA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538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9.2亿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22F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+1122%</w:t>
            </w:r>
          </w:p>
        </w:tc>
      </w:tr>
      <w:tr w14:paraId="64417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538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紫金矿业(601899)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F2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6DD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约106–108亿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38F1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约148–151亿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448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7FC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2A2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CFC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+1500%</w:t>
            </w:r>
          </w:p>
        </w:tc>
      </w:tr>
      <w:tr w14:paraId="6C27F0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6E7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中国铝业(601600)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0EF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0655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648亿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C15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762亿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38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10C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A5B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102.25亿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746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</w:tr>
    </w:tbl>
    <w:p w14:paraId="534122A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江西铜业2005年营收133.4亿元、云南铜业2005年营收134.16亿元来自公司年报和业绩快报；中国铝业2006年营收648.27亿元、2007年营收761.80亿元、净利润102.25亿元来自年报；紫金矿业2005年营收30–31亿元、2006年约106–108亿元、2007年约148–151亿元来自公告及公开信息。</w:t>
      </w:r>
    </w:p>
    <w:p w14:paraId="04DB52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海外对标同样亮眼：南方铜业(SCCO) 2003–2005年营收+412%，必和必拓(BHP)股价+400%，自由港麦克莫兰(FCX)股价+500%。</w:t>
      </w:r>
    </w:p>
    <w:p w14:paraId="6CFDF541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1.3.4 巨型IPO现象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，+这轮ipo抽血问题，</w:t>
      </w:r>
    </w:p>
    <w:p>
      <w:pPr/>
      <w:r>
        <w:rPr>
          <w:rFonts w:ascii="微软雅黑" w:hAnsi="微软雅黑"/>
          <w:sz w:val="20"/>
          <w:b/>
        </w:rPr>
        <w:t xml:space="preserve">1.3.4-AI IPO抽血分析（本轮AI巨型IPO）</w:t>
      </w:r>
    </w:p>
    <w:p>
      <w:pPr/>
      <w:r>
        <w:rPr>
          <w:rFonts w:ascii="微软雅黑" w:hAnsi="微软雅黑"/>
          <w:sz w:val="18"/>
        </w:rPr>
        <w:t xml:space="preserve">2026年6月，SpaceX在纳斯达克成功上市（股票代码SPCX），募资750亿美元，创下全球资本市场史上最大IPO纪录。紧随其后，OpenAI计划于2026Q4-2027Q1进行IPO，规模预计1000亿美元。本轮AI巨兽集中上市的"抽血效应"值得高度关注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表 1.3-1：本轮AI巨型IPO全景</w:t>
      </w:r>
    </w:p>
    <w:tbl>
      <w:tblPr>
        <w:tblStyle w:val="TableGrid"/>
        <w:tblW w:w="0" w:type="auto"/>
      </w:tblPr>
      <w:tblGrid>
        <w:gridCol/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公司</w:t>
            </w:r>
          </w:p>
        </w:tc>
        <w:tc>
          <w:p>
            <w:r>
              <w:rPr>
                <w:sz w:val="16"/>
                <w:b/>
              </w:rPr>
              <w:t xml:space="preserve">状态</w:t>
            </w:r>
          </w:p>
        </w:tc>
        <w:tc>
          <w:p>
            <w:r>
              <w:rPr>
                <w:sz w:val="16"/>
                <w:b/>
              </w:rPr>
              <w:t xml:space="preserve">募资规模</w:t>
            </w:r>
          </w:p>
        </w:tc>
        <w:tc>
          <w:p>
            <w:r>
              <w:rPr>
                <w:sz w:val="16"/>
                <w:b/>
              </w:rPr>
              <w:t xml:space="preserve">估值</w:t>
            </w:r>
          </w:p>
        </w:tc>
        <w:tc>
          <w:p>
            <w:r>
              <w:rPr>
                <w:sz w:val="16"/>
                <w:b/>
              </w:rPr>
              <w:t xml:space="preserve">抽血占比</w:t>
            </w:r>
          </w:p>
        </w:tc>
      </w:tr>
      <w:tr>
        <w:tc>
          <w:p>
            <w:r>
              <w:rPr>
                <w:sz w:val="16"/>
              </w:rPr>
              <w:t xml:space="preserve">SpaceX</w:t>
            </w:r>
          </w:p>
        </w:tc>
        <w:tc>
          <w:p>
            <w:r>
              <w:rPr>
                <w:sz w:val="16"/>
              </w:rPr>
              <w:t xml:space="preserve">✅ 已上市 (2026.6.12)</w:t>
            </w:r>
          </w:p>
        </w:tc>
        <w:tc>
          <w:p>
            <w:r>
              <w:rPr>
                <w:sz w:val="16"/>
              </w:rPr>
              <w:t xml:space="preserve">$750亿</w:t>
            </w:r>
          </w:p>
        </w:tc>
        <w:tc>
          <w:p>
            <w:r>
              <w:rPr>
                <w:sz w:val="16"/>
              </w:rPr>
              <w:t xml:space="preserve">$1.77万亿</w:t>
            </w:r>
          </w:p>
        </w:tc>
        <w:tc>
          <w:p>
            <w:r>
              <w:rPr>
                <w:sz w:val="16"/>
              </w:rPr>
              <w:t xml:space="preserve">0.17%</w:t>
            </w:r>
          </w:p>
        </w:tc>
      </w:tr>
      <w:tr>
        <w:tc>
          <w:p>
            <w:r>
              <w:rPr>
                <w:sz w:val="16"/>
              </w:rPr>
              <w:t xml:space="preserve">OpenAI</w:t>
            </w:r>
          </w:p>
        </w:tc>
        <w:tc>
          <w:p>
            <w:r>
              <w:rPr>
                <w:sz w:val="16"/>
              </w:rPr>
              <w:t xml:space="preserve">拟IPO (2026Q4-2027Q1)</w:t>
            </w:r>
          </w:p>
        </w:tc>
        <w:tc>
          <w:p>
            <w:r>
              <w:rPr>
                <w:sz w:val="16"/>
              </w:rPr>
              <w:t xml:space="preserve">$1000亿</w:t>
            </w:r>
          </w:p>
        </w:tc>
        <w:tc>
          <w:p>
            <w:r>
              <w:rPr>
                <w:sz w:val="16"/>
              </w:rPr>
              <w:t xml:space="preserve">$8500亿</w:t>
            </w:r>
          </w:p>
        </w:tc>
        <w:tc>
          <w:p>
            <w:r>
              <w:rPr>
                <w:sz w:val="16"/>
              </w:rPr>
              <w:t xml:space="preserve">0.22%</w:t>
            </w:r>
          </w:p>
        </w:tc>
      </w:tr>
      <w:tr>
        <w:tc>
          <w:p>
            <w:r>
              <w:rPr>
                <w:sz w:val="16"/>
              </w:rPr>
              <w:t xml:space="preserve">Anthropic</w:t>
            </w:r>
          </w:p>
        </w:tc>
        <w:tc>
          <w:p>
            <w:r>
              <w:rPr>
                <w:sz w:val="16"/>
              </w:rPr>
              <w:t xml:space="preserve">拟IPO (2027+)</w:t>
            </w:r>
          </w:p>
        </w:tc>
        <w:tc>
          <w:p>
            <w:r>
              <w:rPr>
                <w:sz w:val="16"/>
              </w:rPr>
              <w:t xml:space="preserve">$500亿</w:t>
            </w:r>
          </w:p>
        </w:tc>
        <w:tc>
          <w:p>
            <w:r>
              <w:rPr>
                <w:sz w:val="16"/>
              </w:rPr>
              <w:t xml:space="preserve">$2000亿</w:t>
            </w:r>
          </w:p>
        </w:tc>
        <w:tc>
          <w:p>
            <w:r>
              <w:rPr>
                <w:sz w:val="16"/>
              </w:rPr>
              <w:t xml:space="preserve">0.11%</w:t>
            </w:r>
          </w:p>
        </w:tc>
      </w:tr>
      <w:tr>
        <w:tc>
          <w:p>
            <w:r>
              <w:rPr>
                <w:sz w:val="16"/>
              </w:rPr>
              <w:t xml:space="preserve">合计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  <w:tc>
          <w:p>
            <w:r>
              <w:rPr>
                <w:sz w:val="16"/>
              </w:rPr>
              <w:t xml:space="preserve">$2250亿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  <w:tc>
          <w:p>
            <w:r>
              <w:rPr>
                <w:sz w:val="16"/>
              </w:rPr>
              <w:t xml:space="preserve">0.50%</w:t>
            </w:r>
          </w:p>
        </w:tc>
      </w:tr>
    </w:tbl>
    <w:p>
      <w:pPr>
        <w:jc w:val="center"/>
      </w:pPr>
      <w:r>
        <w:rPr>
          <w:rFonts w:ascii="微软雅黑" w:hAnsi="微软雅黑"/>
          <w:sz w:val="18"/>
          <w:b/>
        </w:rPr>
        <w:t xml:space="preserve">表 1.3-2：SpaceX vs 中石油 IPO对比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维度</w:t>
            </w:r>
          </w:p>
        </w:tc>
        <w:tc>
          <w:p>
            <w:r>
              <w:rPr>
                <w:sz w:val="16"/>
                <w:b/>
              </w:rPr>
              <w:t xml:space="preserve">2007 中石油</w:t>
            </w:r>
          </w:p>
        </w:tc>
        <w:tc>
          <w:p>
            <w:r>
              <w:rPr>
                <w:sz w:val="16"/>
                <w:b/>
              </w:rPr>
              <w:t xml:space="preserve">2026 SpaceX</w:t>
            </w:r>
          </w:p>
        </w:tc>
        <w:tc>
          <w:p>
            <w:r>
              <w:rPr>
                <w:sz w:val="16"/>
                <w:b/>
              </w:rPr>
              <w:t xml:space="preserve">差异</w:t>
            </w:r>
          </w:p>
        </w:tc>
      </w:tr>
      <w:tr>
        <w:tc>
          <w:p>
            <w:r>
              <w:rPr>
                <w:sz w:val="16"/>
              </w:rPr>
              <w:t xml:space="preserve">募资规模</w:t>
            </w:r>
          </w:p>
        </w:tc>
        <w:tc>
          <w:p>
            <w:r>
              <w:rPr>
                <w:sz w:val="16"/>
              </w:rPr>
              <w:t xml:space="preserve">¥668亿 ($97亿)</w:t>
            </w:r>
          </w:p>
        </w:tc>
        <w:tc>
          <w:p>
            <w:r>
              <w:rPr>
                <w:sz w:val="16"/>
              </w:rPr>
              <w:t xml:space="preserve">$750亿</w:t>
            </w:r>
          </w:p>
        </w:tc>
        <w:tc>
          <w:p>
            <w:r>
              <w:rPr>
                <w:sz w:val="16"/>
              </w:rPr>
              <w:t xml:space="preserve">SpaceX是中石油7.7倍</w:t>
            </w:r>
          </w:p>
        </w:tc>
      </w:tr>
      <w:tr>
        <w:tc>
          <w:p>
            <w:r>
              <w:rPr>
                <w:sz w:val="16"/>
              </w:rPr>
              <w:t xml:space="preserve">上市估值</w:t>
            </w:r>
          </w:p>
        </w:tc>
        <w:tc>
          <w:p>
            <w:r>
              <w:rPr>
                <w:sz w:val="16"/>
              </w:rPr>
              <w:t xml:space="preserve">$1.08万亿</w:t>
            </w:r>
          </w:p>
        </w:tc>
        <w:tc>
          <w:p>
            <w:r>
              <w:rPr>
                <w:sz w:val="16"/>
              </w:rPr>
              <w:t xml:space="preserve">$1.77万亿</w:t>
            </w:r>
          </w:p>
        </w:tc>
        <w:tc>
          <w:p>
            <w:r>
              <w:rPr>
                <w:sz w:val="16"/>
              </w:rPr>
              <w:t xml:space="preserve">SpaceX高64%</w:t>
            </w:r>
          </w:p>
        </w:tc>
      </w:tr>
      <w:tr>
        <w:tc>
          <w:p>
            <w:r>
              <w:rPr>
                <w:sz w:val="16"/>
              </w:rPr>
              <w:t xml:space="preserve">首日涨幅</w:t>
            </w:r>
          </w:p>
        </w:tc>
        <w:tc>
          <w:p>
            <w:r>
              <w:rPr>
                <w:sz w:val="16"/>
              </w:rPr>
              <w:t xml:space="preserve">+191% (开盘)</w:t>
            </w:r>
          </w:p>
        </w:tc>
        <w:tc>
          <w:p>
            <w:r>
              <w:rPr>
                <w:sz w:val="16"/>
              </w:rPr>
              <w:t xml:space="preserve">+29% (开盘)</w:t>
            </w:r>
          </w:p>
        </w:tc>
        <w:tc>
          <w:p>
            <w:r>
              <w:rPr>
                <w:sz w:val="16"/>
              </w:rPr>
              <w:t xml:space="preserve">中石油更疯狂</w:t>
            </w:r>
          </w:p>
        </w:tc>
      </w:tr>
      <w:tr>
        <w:tc>
          <w:p>
            <w:r>
              <w:rPr>
                <w:sz w:val="16"/>
              </w:rPr>
              <w:t xml:space="preserve">冻结资金</w:t>
            </w:r>
          </w:p>
        </w:tc>
        <w:tc>
          <w:p>
            <w:r>
              <w:rPr>
                <w:sz w:val="16"/>
              </w:rPr>
              <w:t xml:space="preserve">¥3.3万亿 (40%)</w:t>
            </w:r>
          </w:p>
        </w:tc>
        <w:tc>
          <w:p>
            <w:r>
              <w:rPr>
                <w:sz w:val="16"/>
              </w:rPr>
              <w:t xml:space="preserve">$2500亿认购 (4倍)</w:t>
            </w:r>
          </w:p>
        </w:tc>
        <w:tc>
          <w:p>
            <w:r>
              <w:rPr>
                <w:sz w:val="16"/>
              </w:rPr>
              <w:t xml:space="preserve">中石油抽血更猛</w:t>
            </w:r>
          </w:p>
        </w:tc>
      </w:tr>
      <w:tr>
        <w:tc>
          <w:p>
            <w:r>
              <w:rPr>
                <w:sz w:val="16"/>
              </w:rPr>
              <w:t xml:space="preserve">散户参与</w:t>
            </w:r>
          </w:p>
        </w:tc>
        <w:tc>
          <w:p>
            <w:r>
              <w:rPr>
                <w:sz w:val="16"/>
              </w:rPr>
              <w:t xml:space="preserve">&gt;60%</w:t>
            </w:r>
          </w:p>
        </w:tc>
        <w:tc>
          <w:p>
            <w:r>
              <w:rPr>
                <w:sz w:val="16"/>
              </w:rPr>
              <w:t xml:space="preserve">30%</w:t>
            </w:r>
          </w:p>
        </w:tc>
        <w:tc>
          <w:p>
            <w:r>
              <w:rPr>
                <w:sz w:val="16"/>
              </w:rPr>
              <w:t xml:space="preserve">散户占比下降</w:t>
            </w:r>
          </w:p>
        </w:tc>
      </w:tr>
      <w:tr>
        <w:tc>
          <w:p>
            <w:r>
              <w:rPr>
                <w:sz w:val="16"/>
              </w:rPr>
              <w:t xml:space="preserve">盈利状态</w:t>
            </w:r>
          </w:p>
        </w:tc>
        <w:tc>
          <w:p>
            <w:r>
              <w:rPr>
                <w:sz w:val="16"/>
              </w:rPr>
              <w:t xml:space="preserve">盈利</w:t>
            </w:r>
          </w:p>
        </w:tc>
        <w:tc>
          <w:p>
            <w:r>
              <w:rPr>
                <w:sz w:val="16"/>
              </w:rPr>
              <w:t xml:space="preserve">亏损 ($49.4亿)</w:t>
            </w:r>
          </w:p>
        </w:tc>
        <w:tc>
          <w:p>
            <w:r>
              <w:rPr>
                <w:sz w:val="16"/>
              </w:rPr>
              <w:t xml:space="preserve">SpaceX尚未盈利</w:t>
            </w:r>
          </w:p>
        </w:tc>
      </w:tr>
      <w:tr>
        <w:tc>
          <w:p>
            <w:r>
              <w:rPr>
                <w:sz w:val="16"/>
              </w:rPr>
              <w:t xml:space="preserve">后续表现</w:t>
            </w:r>
          </w:p>
        </w:tc>
        <w:tc>
          <w:p>
            <w:r>
              <w:rPr>
                <w:sz w:val="16"/>
              </w:rPr>
              <w:t xml:space="preserve">一年内破发</w:t>
            </w:r>
          </w:p>
        </w:tc>
        <w:tc>
          <w:p>
            <w:r>
              <w:rPr>
                <w:sz w:val="16"/>
              </w:rPr>
              <w:t xml:space="preserve">待观察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</w:tr>
    </w:tbl>
    <w:p>
      <w:pPr/>
      <w:r>
        <w:rPr>
          <w:rFonts w:ascii="微软雅黑" w:hAnsi="微软雅黑"/>
          <w:sz w:val="18"/>
          <w:b/>
        </w:rPr>
        <w:t xml:space="preserve">AI IPO抽血机制分析：</w:t>
      </w:r>
    </w:p>
    <w:p>
      <w:pPr/>
      <w:r>
        <w:rPr>
          <w:rFonts w:ascii="微软雅黑" w:hAnsi="微软雅黑"/>
          <w:sz w:val="18"/>
        </w:rPr>
        <w:t xml:space="preserve">（1）抽血规模对比：SpaceX募资750亿美元，占标普500流通市值约0.17%；OpenAI预计募资1000亿美元，占纳斯达克100流通市值约0.4%。合计潜在抽血2250亿美元，占标普500流通市值约0.50%。对比2007年中石油冻结3.3万亿元（占A股流通市值40%），本轮抽血规模远小于2007年。</w:t>
      </w:r>
    </w:p>
    <w:p>
      <w:pPr/>
      <w:r>
        <w:rPr>
          <w:rFonts w:ascii="微软雅黑" w:hAnsi="微软雅黑"/>
          <w:sz w:val="18"/>
        </w:rPr>
        <w:t xml:space="preserve">（2）存量占用更严重：本轮AI牛市中，NVIDIA+Microsoft已占纳斯达克100约24%权重。SpaceX上市后迅速纳入纳斯达克100，进一步加剧头部集中。当AI巨兽占据指数主要权重时，新IPO的边际抽血效应可能被放大。</w:t>
      </w:r>
    </w:p>
    <w:p>
      <w:pPr/>
      <w:r>
        <w:rPr>
          <w:rFonts w:ascii="微软雅黑" w:hAnsi="微软雅黑"/>
          <w:sz w:val="18"/>
        </w:rPr>
        <w:t xml:space="preserve">（3）流动性环境差异：2007年M2增速17%+外汇占款被动投放，流动性极度宽松；2026年M2增速8%+美联储维持高利率，流动性相对紧张。这意味着本轮IPO对市场流动性的冲击可能更敏感。</w:t>
      </w:r>
    </w:p>
    <w:p>
      <w:pPr/>
      <w:r>
        <w:rPr>
          <w:rFonts w:ascii="微软雅黑" w:hAnsi="微软雅黑"/>
          <w:sz w:val="18"/>
        </w:rPr>
        <w:t xml:space="preserve">（4）散户参与度下降：SpaceX散户份额30%（远高于近年平均水平），但中石油时代散户占比超60%。机构主导的IPO通常波动更小，但一旦下跌，机构止损盘可能更猛烈。</w:t>
      </w:r>
    </w:p>
    <w:p>
      <w:pPr/>
      <w:r>
        <w:rPr>
          <w:rFonts w:ascii="微软雅黑" w:hAnsi="微软雅黑"/>
          <w:sz w:val="18"/>
          <w:b/>
        </w:rPr>
        <w:t xml:space="preserve">关键判断：</w:t>
      </w:r>
    </w:p>
    <w:p>
      <w:pPr/>
      <w:r>
        <w:rPr>
          <w:rFonts w:ascii="微软雅黑" w:hAnsi="微软雅黑"/>
          <w:sz w:val="18"/>
        </w:rPr>
        <w:t xml:space="preserve">本轮AI IPO抽血规模虽小于2007年，但需高度关注两个风险点：（1）多只AI巨兽集中上市的时间窗口重叠（SpaceX已上市+OpenAI即将IPO）；（2）存量占用严重（NVIDIA+Microsoft+SpaceX已占纳斯达克100约26%）。核心监测指标：OpenAI IPO后30日表现（S2信号触发点）。</w:t>
      </w:r>
    </w:p>
    <w:p w14:paraId="65B6A7B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2007年下半年A股出现史无前例的IPO洪峰，几乎每月都有重量级IPO登场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942"/>
        <w:gridCol w:w="1369"/>
        <w:gridCol w:w="1543"/>
        <w:gridCol w:w="3132"/>
      </w:tblGrid>
      <w:tr w14:paraId="77B98D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DD18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B258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B29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募资规模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560E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冻结资金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270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关键事件</w:t>
            </w:r>
          </w:p>
        </w:tc>
      </w:tr>
      <w:tr w14:paraId="03A4E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907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2007-04-30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D51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E5B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B12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FAE0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吸收合并山铝/兰铝回归A股</w:t>
            </w:r>
          </w:p>
        </w:tc>
      </w:tr>
      <w:tr w14:paraId="49DA6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88F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2007-07-12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2D4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AD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C0F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461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资源储量重估</w:t>
            </w:r>
          </w:p>
        </w:tc>
      </w:tr>
      <w:tr w14:paraId="28C86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24F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2007-09-25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30FF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964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580亿元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FA6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49A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大型银行IPO</w:t>
            </w:r>
          </w:p>
        </w:tc>
      </w:tr>
      <w:tr w14:paraId="402D4A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27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2007-10-09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411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73F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666亿元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0F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2.7万亿元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3C3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冻结近30%流通市值</w:t>
            </w:r>
          </w:p>
        </w:tc>
      </w:tr>
      <w:tr w14:paraId="4BA8F0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D15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2007-11-05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84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中国石油A股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470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668亿元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E5D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3.3万亿元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F5A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冻结≈流通市值40%</w:t>
            </w:r>
          </w:p>
        </w:tc>
      </w:tr>
    </w:tbl>
    <w:p w14:paraId="2B2BC45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IPO数据来自公开市场信息。</w:t>
      </w:r>
    </w:p>
    <w:p w14:paraId="49190B5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核心观察：中石油冻结3.3万亿元（占流通市值约40%）为2007年顶部关键触发因素。OpenAI IPO的抽水效应相对较小（约0.8%），但需关注IPO后30日表现作为情绪指标。</w:t>
      </w:r>
    </w:p>
    <w:p w14:paraId="60D4BD2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1.4 超级周期的汇聚与终结机制</w:t>
      </w:r>
    </w:p>
    <w:p w14:paraId="5C68817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1.4.1 七大因素的汇聚与逆转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4000"/>
        <w:gridCol w:w="4352"/>
      </w:tblGrid>
      <w:tr w14:paraId="5D4B2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C84D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因素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0B2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汇聚方向（2005–2007）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A160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逆转方向（2007末–2008）</w:t>
            </w:r>
          </w:p>
        </w:tc>
      </w:tr>
      <w:tr w14:paraId="0D56D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5F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中国需求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98B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85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2007年11月固投增速见顶，2008年金融危机致需求骤停</w:t>
            </w:r>
          </w:p>
        </w:tc>
      </w:tr>
      <w:tr w14:paraId="1B53B4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61C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C9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美元指数92→80（-13%），推升美元计价商品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B70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2008年避险推升美元，商品暴跌</w:t>
            </w:r>
          </w:p>
        </w:tc>
      </w:tr>
      <w:tr w14:paraId="63C24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6436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3E2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外汇占款+日元套利+储蓄过剩三重供给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21C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央行加准加息+日元套利逆转+全球信贷冻结</w:t>
            </w:r>
          </w:p>
        </w:tc>
      </w:tr>
      <w:tr w14:paraId="23EBAB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C56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商品价格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8FD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2006年5月LME铜见顶8790美元/吨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9C1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2008年金融危机需求骤停，铜价暴跌</w:t>
            </w:r>
          </w:p>
        </w:tc>
      </w:tr>
      <w:tr w14:paraId="7CD3E2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08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C2F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14x→50x（全市场），有色动态PE约49x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0F9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2008年有色PE跌回个位数</w:t>
            </w:r>
          </w:p>
        </w:tc>
      </w:tr>
      <w:tr w14:paraId="58CAC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CE5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ACF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中石油、神华等巨型IPO吸收流动性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C3A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2008年IPO暂停</w:t>
            </w:r>
          </w:p>
        </w:tc>
      </w:tr>
      <w:tr w14:paraId="52CFE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F4A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765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“防止经济过热”收紧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DF6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2008年全面转向宽松救市</w:t>
            </w:r>
          </w:p>
        </w:tc>
      </w:tr>
    </w:tbl>
    <w:p w14:paraId="0CDE003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1.4.2 三角闭环：商品超级周期的结构性燃料</w:t>
      </w:r>
    </w:p>
    <w:p w14:paraId="3BB9D7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这个闭环的运转逻辑是：美国负责消费加杠杆和金融创新，中国负责工业生产和固定资产投资，日本提供低成本资金和高端中间品，三者构成"消费—生产—融资"的闭环。</w:t>
      </w:r>
    </w:p>
    <w:p w14:paraId="63876E1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闭环破裂条件（任一触发即可能终结）：</w:t>
      </w:r>
    </w:p>
    <w:p w14:paraId="5D972C6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美国消费崩盘（次贷危机）→终端需求消失；</w:t>
      </w:r>
    </w:p>
    <w:p w14:paraId="0B8ECF79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中国生产停滞（固投见顶）→资源需求消失；</w:t>
      </w:r>
    </w:p>
    <w:p w14:paraId="00BA11F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日本融资收紧（日银加息）→套利逆转。</w:t>
      </w:r>
    </w:p>
    <w:p w14:paraId="7D4F6B91">
      <w:pPr>
        <w:widowControl/>
        <w:spacing w:before="90" w:afterAutospacing="1"/>
        <w:ind w:left="440" w:firstLine="0"/>
      </w:pPr>
    </w:p>
    <w:p w14:paraId="6ADEA72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2008年实际情况：金融危机同时触发条件1与条件2，三角闭环彻底破裂，商品价格6个月内跌超50%。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1.8：蒙代尔不可能三角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95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mpossible_trin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53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BEF30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1.4.3 三大见顶特征</w:t>
      </w:r>
    </w:p>
    <w:p w14:paraId="0A7F5E58">
      <w:pPr>
        <w:widowControl/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1.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商品与股价顶背离：铜价于2006年5月见顶（8790美元/吨），股价于2007年10月见顶，背离期17个月，反映"叙事溢价"阶段——股价锚定"未来资产注入"而非现货价格。</w:t>
      </w:r>
    </w:p>
    <w:p w14:paraId="53530BFE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2.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垃圾股补涨：龙头滞涨、边缘股连续涨停，为牛市尾声经典信号。</w:t>
      </w:r>
    </w:p>
    <w:p w14:paraId="33FFE7B1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3.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巨型IPO放量长阴：中石油668亿元募资，标志行情终点。</w:t>
      </w:r>
    </w:p>
    <w:p w14:paraId="7B6831A9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第二部分：当前AI板块的结构性对标</w:t>
      </w:r>
    </w:p>
    <w:p w14:paraId="674621B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2022年11月ChatGPT发布，重新点燃"技术革命"叙事。约18个月内，纳斯达克100指数自约11000点升至约21500点（+95%），英伟达(NVDA)涨幅约1,035%。本章从十个维度进行系统性对标。</w:t>
      </w:r>
    </w:p>
    <w:p w14:paraId="08887D7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2.1 同维度对比矩阵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3472"/>
        <w:gridCol w:w="3041"/>
        <w:gridCol w:w="1661"/>
      </w:tblGrid>
      <w:tr w14:paraId="4CEFB93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20E1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3ED6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2005–2007有色金属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7B9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 AI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8F8D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69D33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103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前三大经济体角色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90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美国（消费/赤字国）+中国（生产/需求国）+日本（低成本资金）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B21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美国（AI创新国）+中国（追赶国），日本角色减弱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E74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05-07为互补，23-26为竞争</w:t>
            </w:r>
          </w:p>
        </w:tc>
      </w:tr>
      <w:tr w14:paraId="1CBCF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7E8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宏观驱动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3D1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中国重工业化+城镇化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A3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AGI革命+算力军备竞赛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2AC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资本开支驱动的需求正反馈</w:t>
            </w:r>
          </w:p>
        </w:tc>
      </w:tr>
      <w:tr w14:paraId="5F7284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8C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流动性来源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45B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D3E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M7企业盈利→AI Capex自驱；市场化利率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915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流动性均宽松但机制不同</w:t>
            </w:r>
          </w:p>
        </w:tc>
      </w:tr>
      <w:tr w14:paraId="6F100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51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债务特征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FA5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美国居民杠杆高；中国企业杠杆快速上升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EB3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美国政府债务/GDP约120%；M7现金充裕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72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杠杆集中于不同部门</w:t>
            </w:r>
          </w:p>
        </w:tc>
      </w:tr>
      <w:tr w14:paraId="26491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1B2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产业政策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72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中国限制高耗能；美国无干预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C0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中国大基金+国产替代；美国芯片管制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6A5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政策角色转向产业竞争</w:t>
            </w:r>
          </w:p>
        </w:tc>
      </w:tr>
      <w:tr w14:paraId="125EE8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3E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市场共识演变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BFD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E8B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怀疑→接受→部分狂热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4BC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路径类似但演化更慢</w:t>
            </w:r>
          </w:p>
        </w:tc>
      </w:tr>
      <w:tr w14:paraId="091211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894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7C7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有色板块+1857%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309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NVDA涨幅显著；NDX+95%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A2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单股涨幅类似</w:t>
            </w:r>
          </w:p>
        </w:tc>
      </w:tr>
      <w:tr w14:paraId="3D83D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1C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C81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PE约49x（动态）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387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 P/S约20x（有业绩支撑）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FA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23-26估值有业绩支撑</w:t>
            </w:r>
          </w:p>
        </w:tc>
      </w:tr>
      <w:tr w14:paraId="1F931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77D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巨型IPO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18A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中石油冻结3.3万亿≈流通市值40%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5FE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OpenAI待IPO（预计1000–3000亿）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BCA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抽水效应减弱但信号意义更大</w:t>
            </w:r>
          </w:p>
        </w:tc>
      </w:tr>
      <w:tr w14:paraId="76927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3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终结模式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12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政策收紧+IPO虹吸+商品见顶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33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潜在：Capex回撤+应用端证伪+IPO抽血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8A0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终结机制类似</w:t>
            </w:r>
          </w:p>
        </w:tc>
      </w:tr>
    </w:tbl>
    <w:p w14:paraId="6C095A3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2.2 AI板块现状（截至2026年6月）</w:t>
      </w:r>
    </w:p>
    <w:p w14:paraId="3DD5E87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2.2.1 M7云厂商资本开支/营业收入比率（估算）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1248"/>
        <w:gridCol w:w="1248"/>
        <w:gridCol w:w="1018"/>
        <w:gridCol w:w="1018"/>
        <w:gridCol w:w="1636"/>
        <w:gridCol w:w="1018"/>
        <w:gridCol w:w="1018"/>
      </w:tblGrid>
      <w:tr w14:paraId="78603B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2D4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DB58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944A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C4B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5B5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5D0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2024年Capex/Rev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E50F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4D87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</w:tr>
      <w:tr w14:paraId="06577A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D05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AD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EB1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A2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12C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A13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29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11D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0.35</w:t>
            </w:r>
          </w:p>
        </w:tc>
      </w:tr>
      <w:tr w14:paraId="316DF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BFDE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Google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924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A93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618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970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A96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B59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CED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</w:tr>
      <w:tr w14:paraId="55C33A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D79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Amazon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60EC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287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1EF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E44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DF4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91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F9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0.18</w:t>
            </w:r>
          </w:p>
        </w:tc>
      </w:tr>
      <w:tr w14:paraId="18993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95F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Meta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E7C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ABE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83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81A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0AD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FA8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D0B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0.39</w:t>
            </w:r>
          </w:p>
        </w:tc>
      </w:tr>
      <w:tr w14:paraId="31FE0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7C1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Apple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82D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842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1B7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E9B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44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D608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C2B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7155D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AC5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Tesla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55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30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8D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EFA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067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E9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CE2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</w:tr>
      <w:tr w14:paraId="57774C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6D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NVIDIA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E5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E21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90F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2A1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B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53D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DD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5B75C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FB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85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F45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C6B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F7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FD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077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C9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</w:tr>
    </w:tbl>
    <w:p w14:paraId="4FC0369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Capex数据基于公司SEC 10-Q/10-K filings及卖方一致预期整理，部分为估算值。</w:t>
      </w:r>
    </w:p>
    <w:p w14:paraId="1BFB87E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核心观察：M7（除NVDA）平均Capex/Rev自2024年18%升至2026年预估30%，距35%阈值仅5个百分点。Meta的2026年预估Capex/Rev达39%，为M7中最高，构成S1信号的"前沿观测点"。</w:t>
      </w:r>
    </w:p>
    <w:p w14:paraId="1B98F66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2.2.2 NDX与NVDA表现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1"/>
        <w:gridCol w:w="2676"/>
        <w:gridCol w:w="2544"/>
        <w:gridCol w:w="1661"/>
      </w:tblGrid>
      <w:tr w14:paraId="142CF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230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6B3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2022年11月起点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38D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2026年6月当前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C62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</w:tr>
      <w:tr w14:paraId="6839D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68BE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198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E65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约21,500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956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约+95%</w:t>
            </w:r>
          </w:p>
        </w:tc>
      </w:tr>
      <w:tr w14:paraId="15E47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2CC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E90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9FE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约192美元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82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约+1,035%</w:t>
            </w:r>
          </w:p>
        </w:tc>
      </w:tr>
      <w:tr w14:paraId="52E29F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104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M7在NDX占比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DE2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55F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02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+13pct</w:t>
            </w:r>
          </w:p>
        </w:tc>
      </w:tr>
    </w:tbl>
    <w:p w14:paraId="5B17667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数据来自纳斯达克及公开市场。</w:t>
      </w:r>
    </w:p>
    <w:p w14:paraId="2BC385C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几个标志性节点：2022年11月ChatGPT发布，2023年5月NVDA Q1业绩超预期，2024年6月NVDA拆股，2025年8月NVDA破150美元，2026年3月NVDA单日振幅12%。</w:t>
      </w:r>
    </w:p>
    <w:p w14:paraId="06F0F2C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2.2.3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4"/>
        <w:gridCol w:w="4584"/>
        <w:gridCol w:w="2714"/>
      </w:tblGrid>
      <w:tr w14:paraId="1DE06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D6B1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24C2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HBM市场规模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0B5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同比</w:t>
            </w:r>
          </w:p>
        </w:tc>
      </w:tr>
      <w:tr w14:paraId="603274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6FC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FBA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C13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6548F7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713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3C2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19D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约+290%</w:t>
            </w:r>
          </w:p>
        </w:tc>
      </w:tr>
      <w:tr w14:paraId="048C87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593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9DF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0435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约+80%</w:t>
            </w:r>
          </w:p>
        </w:tc>
      </w:tr>
      <w:tr w14:paraId="2799A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79F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12F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95B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约+63%</w:t>
            </w:r>
          </w:p>
        </w:tc>
      </w:tr>
    </w:tbl>
    <w:p w14:paraId="4BBE315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2023年全球HBM收入43.5亿美元，2024年170亿美元，2025年约307亿美元（同比+80.6%），预计2026年有望达到500亿美元。</w:t>
      </w:r>
    </w:p>
    <w:p w14:paraId="5A774FF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核心观察：增速拐点已然显现——2025年增速从约+290%降至约+80%，2026年进一步降至约+63%。供给端"二阶导转负"对硬件股估值构成潜在压力。</w:t>
      </w:r>
    </w:p>
    <w:p w14:paraId="2E427DA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2.2.4 A股AI板块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2512"/>
        <w:gridCol w:w="2512"/>
        <w:gridCol w:w="1528"/>
        <w:gridCol w:w="1230"/>
      </w:tblGrid>
      <w:tr w14:paraId="0956C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B7D3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标的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F38A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2023年平均PE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DA68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9670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31C7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</w:tr>
      <w:tr w14:paraId="299EA6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C0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中际旭创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C68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F0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989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+200%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0BD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600EB3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543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新易盛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ED1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6E8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90E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6E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453CE3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347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寒武纪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C47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70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1D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38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7E8094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B4E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海光信息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196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2A9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4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+180%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1A8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310C4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2C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金山办公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4575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7FA7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FF7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58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  <w:tr w14:paraId="01D7A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2BB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科大讯飞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E46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B4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9A6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515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</w:tbl>
    <w:p w14:paraId="4986869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数据来自A股公开市场。</w:t>
      </w:r>
    </w:p>
    <w:p w14:paraId="48E5978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轮动阶段：早期（算力芯片）→中期（光模块/服务器）→晚期（应用软件，当前已至晚期）→末期（垃圾股/概念股）。当轮动推进至最末端时，行情通常接近尾声。</w:t>
      </w:r>
    </w:p>
    <w:p w14:paraId="2AF437D8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2.2.5 NVDA估值历史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1841"/>
        <w:gridCol w:w="1375"/>
        <w:gridCol w:w="2002"/>
        <w:gridCol w:w="1971"/>
      </w:tblGrid>
      <w:tr w14:paraId="654019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F2C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33AC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1C2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P/S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6220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 200MA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4C68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PS 200MA</w:t>
            </w:r>
          </w:p>
        </w:tc>
      </w:tr>
      <w:tr w14:paraId="3FC2C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9DC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DD8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633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75A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E86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</w:t>
            </w:r>
          </w:p>
        </w:tc>
      </w:tr>
      <w:tr w14:paraId="52FF7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AB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1AF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12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B5D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BF1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</w:tr>
      <w:tr w14:paraId="2E96C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40E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28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99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700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</w:t>
            </w:r>
          </w:p>
        </w:tc>
      </w:tr>
      <w:tr w14:paraId="00C20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AFD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23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约32–35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0D0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FE3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60A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约23</w:t>
            </w:r>
          </w:p>
        </w:tc>
      </w:tr>
    </w:tbl>
    <w:p w14:paraId="2DDFDBA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NVDA当前P/S约20.13。</w:t>
      </w:r>
    </w:p>
    <w:p w14:paraId="7FFB7E8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2.2.6 Copilot渗透率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4937"/>
        <w:gridCol w:w="2395"/>
      </w:tblGrid>
      <w:tr w14:paraId="461829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1B7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E6EB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Microsoft 365 Copilot（付费渗透率）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AF4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GitHub Copilot</w:t>
            </w:r>
          </w:p>
        </w:tc>
      </w:tr>
      <w:tr w14:paraId="3648F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5FE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92C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A1B5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约25%</w:t>
            </w:r>
          </w:p>
        </w:tc>
      </w:tr>
      <w:tr w14:paraId="376DFA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608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BDC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EEE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约32%</w:t>
            </w:r>
          </w:p>
        </w:tc>
      </w:tr>
      <w:tr w14:paraId="54C4F9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4D8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B6F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12D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</w:tr>
      <w:tr w14:paraId="161EEF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B86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C9F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B55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约42%</w:t>
            </w:r>
          </w:p>
        </w:tc>
      </w:tr>
    </w:tbl>
    <w:p w14:paraId="3BE9C4E8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Microsoft 365拥有超4.5亿付费席位，真正为Copilot额外付费的约1500万席位，占比约3.3%。GitHub Copilot的付费用户数据同样来自公开信息。</w:t>
      </w:r>
    </w:p>
    <w:p w14:paraId="1233C5C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核心观察：3.3%的付费渗透率显著低于此前市场预期，说明AI应用端商业化进展慢于预期。Copilot在付费AI用户中的首选率变化同样值得跟踪。</w:t>
      </w:r>
    </w:p>
    <w:p w14:paraId="6736764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2.3 宏观背景对照及预期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3098"/>
        <w:gridCol w:w="2867"/>
        <w:gridCol w:w="2298"/>
      </w:tblGrid>
      <w:tr w14:paraId="1756E3CA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42A4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5DC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283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D20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31BAB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D86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时代叙事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2F5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中国城镇化+工业化+WTO红利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88B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AGI/通用智能革命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D48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时代级叙事驱动资产价格</w:t>
            </w:r>
          </w:p>
        </w:tc>
      </w:tr>
      <w:tr w14:paraId="478EBD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227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792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91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AI Capex高增长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62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实体需求爆发</w:t>
            </w:r>
          </w:p>
        </w:tc>
      </w:tr>
      <w:tr w14:paraId="322717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77D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7BB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美元指数跌13%，人民币升值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2C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美联储2025年降息至3.5%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2A9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货币政策转向</w:t>
            </w:r>
          </w:p>
        </w:tc>
      </w:tr>
      <w:tr w14:paraId="11906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C62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A8F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5B2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企业自驱Capex+市场化利率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B2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流动性均宽松但来源不同</w:t>
            </w:r>
          </w:p>
        </w:tc>
      </w:tr>
      <w:tr w14:paraId="003AE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957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696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加息+加准+印花税+IPO抽血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BD7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AI监管+芯片管制+关税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8D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政策干预持续</w:t>
            </w:r>
          </w:p>
        </w:tc>
      </w:tr>
      <w:tr w14:paraId="26AE3F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38B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DE4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382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NDQ PE 25x→35x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522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估值均扩张但锚不同</w:t>
            </w:r>
          </w:p>
        </w:tc>
      </w:tr>
    </w:tbl>
    <w:p w14:paraId="05BA2E64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2.3.1 IMF与卖方一致预期</w:t>
      </w:r>
    </w:p>
    <w:p w14:paraId="529256A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IMF 2026年春季会议（2026年4月）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5313BBA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全球GDP增速3.1%（较2025年3.4%放缓）</w:t>
      </w:r>
    </w:p>
    <w:p w14:paraId="371203B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美国2.3%</w:t>
      </w:r>
    </w:p>
    <w:p w14:paraId="4924DFA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中国4.4%–4.5%</w:t>
      </w:r>
    </w:p>
    <w:p w14:paraId="26A55D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需要注意的是，如果AI资本开支被证伪，可能引发剧烈修正。</w:t>
      </w:r>
    </w:p>
    <w:p w14:paraId="30FAB19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国内券商的共识是：</w:t>
      </w:r>
    </w:p>
    <w:p w14:paraId="1C7CBA2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中金：中国GDP 4.7%，制造业AI产业链为主要贡献</w:t>
      </w:r>
    </w:p>
    <w:p w14:paraId="77FEA6D6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中信：中国GDP 4.6%，AI应用场景落地</w:t>
      </w:r>
    </w:p>
    <w:p w14:paraId="7F5347D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美股分析师方面：</w:t>
      </w:r>
    </w:p>
    <w:p w14:paraId="38F7024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高盛：NVDA目标价200美元</w:t>
      </w:r>
    </w:p>
    <w:p w14:paraId="77203B08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摩根士丹利：NDX目标25,000点</w:t>
      </w:r>
    </w:p>
    <w:p w14:paraId="2A8593C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摩根大通：MSFT目标600美元</w:t>
      </w:r>
    </w:p>
    <w:p w14:paraId="6183D68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第三部分：三大量化顶部信号与操作框架</w:t>
      </w:r>
    </w:p>
    <w:p w14:paraId="19CA7FB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基于2005–2007年历史镜像，本报告提出三项可量化、可监测、可证伪的顶部信号，每项信号对应一种终结机制。</w:t>
      </w:r>
    </w:p>
    <w:p w14:paraId="08936F6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3.1 S1：云厂商资本开支增速二阶导转负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8029"/>
      </w:tblGrid>
      <w:tr w14:paraId="1AA73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63C1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BADC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50D58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B19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9E4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算力需求的“真金”指标瓦解，证伪永续高增长叙事</w:t>
            </w:r>
          </w:p>
        </w:tc>
      </w:tr>
      <w:tr w14:paraId="79C8D2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3F4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D09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2007年11月中国固定资产投资增速见顶→2008年铜真实需求断崖</w:t>
            </w:r>
          </w:p>
        </w:tc>
      </w:tr>
      <w:tr w14:paraId="59253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3D3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879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Capex同比增速连续两季&lt;20%或环比负增长（模型假设）</w:t>
            </w:r>
          </w:p>
        </w:tc>
      </w:tr>
      <w:tr w14:paraId="60A036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99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DE0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（M7 Capex/Rev约30%，增速仍高）</w:t>
            </w:r>
          </w:p>
        </w:tc>
      </w:tr>
      <w:tr w14:paraId="3C8AE7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0BB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39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 2026Q3财报电话会CFO口径变化；台积电CoWoS订单变化</w:t>
            </w:r>
          </w:p>
        </w:tc>
      </w:tr>
      <w:tr w14:paraId="5621A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D17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88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10-Q/10-K、台积电月度营收</w:t>
            </w:r>
          </w:p>
        </w:tc>
      </w:tr>
      <w:tr w14:paraId="264CB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5C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9F5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4B88AA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B9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C4C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⏱ 领先指标（领先1–2季度）</w:t>
            </w:r>
          </w:p>
        </w:tc>
      </w:tr>
    </w:tbl>
    <w:p w14:paraId="5512F8D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3.2 S2：标志性AI独角兽巨型IPO首日即巅峰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7893"/>
      </w:tblGrid>
      <w:tr w14:paraId="074A5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1B57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B49C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6BE42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D76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64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市场流动性已无法支撑“梦想变现”</w:t>
            </w:r>
          </w:p>
        </w:tc>
      </w:tr>
      <w:tr w14:paraId="40DEA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C607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E0B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2007年11月5日中石油上市高开低走→上证指数大顶</w:t>
            </w:r>
          </w:p>
        </w:tc>
      </w:tr>
      <w:tr w14:paraId="52F78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526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E6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IPO首日高开&gt;50%后收长阴线（模型假设）</w:t>
            </w:r>
          </w:p>
        </w:tc>
      </w:tr>
      <w:tr w14:paraId="172A1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76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9A0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（OpenAI未上市）</w:t>
            </w:r>
          </w:p>
        </w:tc>
      </w:tr>
      <w:tr w14:paraId="0FF521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C4F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EFD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SEC关于大型AI公司IPO的注册声明；OpenAI上市首日表现</w:t>
            </w:r>
          </w:p>
        </w:tc>
      </w:tr>
      <w:tr w14:paraId="7A83A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693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DC8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EDGAR、Bloomberg</w:t>
            </w:r>
          </w:p>
        </w:tc>
      </w:tr>
      <w:tr w14:paraId="4676F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3CD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F49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IPO后每日跟踪</w:t>
            </w:r>
          </w:p>
        </w:tc>
      </w:tr>
      <w:tr w14:paraId="4B05A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CE6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72E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🔴 同步确认信号</w:t>
            </w:r>
          </w:p>
        </w:tc>
      </w:tr>
    </w:tbl>
    <w:p w14:paraId="3237B63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OpenAI拟IPO的估值变化（非公开信息，仅供参考）：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4298"/>
        <w:gridCol w:w="3011"/>
      </w:tblGrid>
      <w:tr w14:paraId="7A559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5E1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DC9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917E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</w:tr>
      <w:tr w14:paraId="43F238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A73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3B7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约5000亿美元（要约收购）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09B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tender offer</w:t>
            </w:r>
          </w:p>
        </w:tc>
      </w:tr>
      <w:tr w14:paraId="011DA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F5D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2026年3月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CC4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约8500亿美元（内部估值）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279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D64FC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74A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A7D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拟IPO约1000亿美元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E7A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预计2026Q4–2027Q1</w:t>
            </w:r>
          </w:p>
        </w:tc>
      </w:tr>
    </w:tbl>
    <w:p w14:paraId="363F979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3.3 S3：龙头估值框架崩溃+应用端收入证伪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8050"/>
      </w:tblGrid>
      <w:tr w14:paraId="599CC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6CA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0EE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7FFEB9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A70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4FC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估值从“梦想定价”切换为“残值定价”</w:t>
            </w:r>
          </w:p>
        </w:tc>
      </w:tr>
      <w:tr w14:paraId="505FCE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7E8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25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2007年10月中铝高PE后暴跌</w:t>
            </w:r>
          </w:p>
        </w:tc>
      </w:tr>
      <w:tr w14:paraId="129582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131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6EB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NVDA营收环比增速降至个位数；Copilot付费渗透率停滞（模型假设）</w:t>
            </w:r>
          </w:p>
        </w:tc>
      </w:tr>
      <w:tr w14:paraId="4FDA01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51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BD3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（NVDA P/S约20，Copilot渗透率约3.3%）</w:t>
            </w:r>
          </w:p>
        </w:tc>
      </w:tr>
      <w:tr w14:paraId="79C207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08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09A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NVDA季报营收环比；Microsoft Office云收入增速</w:t>
            </w:r>
          </w:p>
        </w:tc>
      </w:tr>
      <w:tr w14:paraId="2963E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66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405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</w:t>
            </w:r>
          </w:p>
        </w:tc>
      </w:tr>
      <w:tr w14:paraId="076A3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3D5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4CF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582E53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40E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E50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🔵 滞后/确认信号</w:t>
            </w:r>
          </w:p>
        </w:tc>
      </w:tr>
    </w:tbl>
    <w:p w14:paraId="0441AEA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3.4 综合评分与操作建议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2642"/>
        <w:gridCol w:w="4922"/>
      </w:tblGrid>
      <w:tr w14:paraId="477EA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5B3D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评分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095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970F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操作建议</w:t>
            </w:r>
          </w:p>
        </w:tc>
      </w:tr>
      <w:tr w14:paraId="45CD88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703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0/3 ~ 0.5/3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C0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安全（</w:t>
            </w: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当前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E4F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维持AI仓位60–70%，跟踪S1</w:t>
            </w:r>
          </w:p>
        </w:tc>
      </w:tr>
      <w:tr w14:paraId="1139E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468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794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预警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707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减仓AI至30–40%</w:t>
            </w:r>
          </w:p>
        </w:tc>
      </w:tr>
      <w:tr w14:paraId="6560F7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CC2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CFA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危险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459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AI降至10–20%，转配债券/黄金</w:t>
            </w:r>
          </w:p>
        </w:tc>
      </w:tr>
      <w:tr w14:paraId="572BE8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C3E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DAE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触发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DE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清仓风险资产，等待右侧机会</w:t>
            </w:r>
          </w:p>
        </w:tc>
      </w:tr>
    </w:tbl>
    <w:p w14:paraId="4A7A63D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当前评分：0/3 ~ 0.5/3（S1接近触发但未触发，S2/S3未触发）。</w:t>
      </w:r>
    </w:p>
    <w:p w14:paraId="5455724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3.5 关键监测日程（2026–2027）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2148"/>
        <w:gridCol w:w="2029"/>
        <w:gridCol w:w="1621"/>
        <w:gridCol w:w="1858"/>
      </w:tblGrid>
      <w:tr w14:paraId="7C6331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E87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ACF2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9F57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BB2F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CD56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S3</w:t>
            </w:r>
          </w:p>
        </w:tc>
      </w:tr>
      <w:tr w14:paraId="66E6E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528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FEF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Q2财报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E07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Capex增速拐点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A99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146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E2B32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9DE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C74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 IPO窗口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CC9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B7A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决定性观察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A19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0E10C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23B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CB2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Q3财报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8B2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二阶导验证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7A3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20F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</w:t>
            </w:r>
          </w:p>
        </w:tc>
      </w:tr>
      <w:tr w14:paraId="0B9F6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998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8F5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HBM产能释放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B0A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供给拐点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2E6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6EC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5778E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D30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2027年Q1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AB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Q4财报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F24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终极验证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FF9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11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</w:tr>
    </w:tbl>
    <w:p w14:paraId="5513ACA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顶部窗口预测：2026年下半年至2027年上半年。</w:t>
      </w:r>
    </w:p>
    <w:p w14:paraId="6ED44BD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附录A：三国货币政策指标不对称的方法论说明</w:t>
      </w:r>
    </w:p>
    <w:p w14:paraId="616DDBD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三国货币政策框架存在结构性差异，直接使用同一指标比较易产生误导。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3089"/>
        <w:gridCol w:w="2134"/>
        <w:gridCol w:w="3457"/>
      </w:tblGrid>
      <w:tr w14:paraId="02101E4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74FB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A41C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央行目标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A33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2D48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原因</w:t>
            </w:r>
          </w:p>
        </w:tc>
      </w:tr>
      <w:tr w14:paraId="7F58C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65E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2B87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充分就业+物价稳定（双目标制）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AED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A98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利率走廊机制，利率为直接工具</w:t>
            </w:r>
          </w:p>
        </w:tc>
      </w:tr>
      <w:tr w14:paraId="72AE9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70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B2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经济增长+货币供应（多目标制）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C58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M2增速+存贷款基准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91F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数量型工具+管制利率（2019年改革前）</w:t>
            </w:r>
          </w:p>
        </w:tc>
      </w:tr>
      <w:tr w14:paraId="6244A1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0B3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00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通胀+利率曲线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1E6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无担保隔夜利率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161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量化宽松后转向价格型</w:t>
            </w:r>
          </w:p>
        </w:tc>
      </w:tr>
    </w:tbl>
    <w:p w14:paraId="7DF0836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关键方法论修正：</w:t>
      </w:r>
    </w:p>
    <w:p w14:paraId="0EEE970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须使用同期限市场利率进行短长利差对比：不可将央行管制利率与市场化利率直接比较。</w:t>
      </w:r>
    </w:p>
    <w:p w14:paraId="7223FA5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须区分政策利率与市场利率：中国贷款基准为管制利率，国债为市场化利率。</w:t>
      </w:r>
    </w:p>
    <w:p w14:paraId="6948F5C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"管制利率倒挂"为2007年特有现象：存款基准4.14%高于1年期国债（年末约3.8%）。</w:t>
      </w:r>
    </w:p>
    <w:p w14:paraId="2F091F5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附录B：2005–2007年重大事件时间轴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3"/>
        <w:gridCol w:w="5006"/>
        <w:gridCol w:w="1293"/>
      </w:tblGrid>
      <w:tr w14:paraId="546B9F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537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6FD6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56DA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类型</w:t>
            </w:r>
          </w:p>
        </w:tc>
      </w:tr>
      <w:tr w14:paraId="6D74FD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BB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E6C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股改启动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ED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59D7A5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6DA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7A4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人民币汇改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F8C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</w:t>
            </w:r>
          </w:p>
        </w:tc>
      </w:tr>
      <w:tr w14:paraId="3D427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81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0F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神华H股IPO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55A3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6A7C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9E8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2006年4月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94E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4A4C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39B010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D9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4A6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LME铜8790美元/吨历史峰值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2C4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</w:t>
            </w:r>
          </w:p>
        </w:tc>
      </w:tr>
      <w:tr w14:paraId="5ED5CD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3DD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EC0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美联储加息见顶5.25%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35D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</w:t>
            </w:r>
          </w:p>
        </w:tc>
      </w:tr>
      <w:tr w14:paraId="53D5A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DA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2007年4月30日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FB1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中铝吸收合并山铝/兰铝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BFF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</w:t>
            </w:r>
          </w:p>
        </w:tc>
      </w:tr>
      <w:tr w14:paraId="670EC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8A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2007年5月30日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16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印花税1‰→3‰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A24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6664D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F4F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2007年7月12日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D6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西部矿业上市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EB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31A0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121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2007年9月25日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545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9A1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444EA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5D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2007年10月9日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134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CD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17B85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D15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FF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上证6124见顶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F85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  <w:tr w14:paraId="7D0C29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D80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24E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B4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59E8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C75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2008年10月28日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E2A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上证1664金融危机底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09E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</w:tbl>
    <w:p w14:paraId="4A33A61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附录C：数据来源说明</w:t>
      </w:r>
    </w:p>
    <w:p w14:paraId="3A78126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核心数据文件清单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（</w:t>
      </w:r>
      <w:r>
        <w:rPr>
          <w:rStyle w:val="12"/>
          <w:rFonts w:ascii="Consolas" w:hAnsi="Consolas" w:eastAsia="Consolas" w:cs="Consolas"/>
          <w:color w:val="0F1115"/>
          <w:sz w:val="18"/>
          <w:szCs w:val="18"/>
          <w:shd w:val="clear" w:color="auto" w:fill="EBEEF2"/>
        </w:rPr>
        <w:t>TopicResearch/data/raw/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）如下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0"/>
        <w:gridCol w:w="4117"/>
        <w:gridCol w:w="2765"/>
      </w:tblGrid>
      <w:tr w14:paraId="1208BB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5F26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100C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6D3D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45C13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9AE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fedfunds_clean.json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0BD0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0FF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0758B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2EE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gs10_clean.json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088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美10年期国债收益率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7B9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647EA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09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mortgage30us_clean.json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46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美30年房贷利率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419C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5213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5A5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dtwx_clean.json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12A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51E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16199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E57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m2sl_clean.json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B91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美国M2货币供应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278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2AF10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370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china_macro_data.json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CE9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中国M2/外储/贸易/GDP/CPI/利率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76C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PBOC/海关/国家统计局</w:t>
            </w:r>
          </w:p>
        </w:tc>
      </w:tr>
      <w:tr w14:paraId="17E30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183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japan_macro_data.json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F0F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日本利率/JGB/汇率/外储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19A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BOJ/IMF</w:t>
            </w:r>
          </w:p>
        </w:tc>
      </w:tr>
      <w:tr w14:paraId="104DF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6B7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three_country_data.json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EBC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三国GDP/CPI/债务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F26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IMF/World Bank</w:t>
            </w:r>
          </w:p>
        </w:tc>
      </w:tr>
      <w:tr w14:paraId="75B1A4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EF4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ai_sector_data.json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772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M7营收/Capex/NDX/Copilot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2A0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EDGAR/公司年报</w:t>
            </w:r>
          </w:p>
        </w:tc>
      </w:tr>
      <w:tr w14:paraId="772BD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A1A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ipo_data.json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442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 IPO数据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51E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公开市场信息</w:t>
            </w:r>
          </w:p>
        </w:tc>
      </w:tr>
      <w:tr w14:paraId="7B50B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B2C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metal_performance.json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8F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2005–2007金属涨幅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F20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</w:tr>
      <w:tr w14:paraId="64D0EF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174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event_timeline.json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0E8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重大事件时间轴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4BB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综合</w:t>
            </w:r>
          </w:p>
        </w:tc>
      </w:tr>
      <w:tr w14:paraId="001D9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7CE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expectations_data.json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A4B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IMF/卖方预期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CC4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</w:t>
            </w:r>
          </w:p>
        </w:tc>
      </w:tr>
    </w:tbl>
    <w:p w14:paraId="0AD5724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数据源机构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398D91C4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071DE61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FRED（美联储经济数据）</w:t>
      </w:r>
    </w:p>
    <w:p w14:paraId="21118987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38D5D337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PBOC（中国人民银行）</w:t>
      </w:r>
    </w:p>
    <w:p w14:paraId="7E14B048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ABBA90C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BOJ（日本银行）</w:t>
      </w:r>
    </w:p>
    <w:p w14:paraId="0C512AF9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20EA3E7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IMF（国际货币基金组织）</w:t>
      </w:r>
    </w:p>
    <w:p w14:paraId="556A406D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68368B75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World Bank（世界银行）</w:t>
      </w:r>
    </w:p>
    <w:p w14:paraId="0F90FCF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8466EEB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SEC EDGAR（美国证券交易委员会）</w:t>
      </w:r>
    </w:p>
    <w:p w14:paraId="511A149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095FD2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LME（伦敦金属交易所）</w:t>
      </w:r>
    </w:p>
    <w:p w14:paraId="451D1EB3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092FA3F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中国国家统计局</w:t>
      </w:r>
    </w:p>
    <w:p w14:paraId="03B182D7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BF51240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中国海关总署</w:t>
      </w:r>
    </w:p>
    <w:p w14:paraId="13C9F82B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6425812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公司年报（江西铜业、云南铜业、中国铝业、紫金矿业等）</w:t>
      </w:r>
    </w:p>
    <w:p w14:paraId="7A398B3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修正说明</w:t>
      </w:r>
    </w:p>
    <w:p w14:paraId="0C9DE32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v2.4版本在前序版本基础上进一步优化了语言表达。相较于v2.1版本的事实核查，核心数据修正如下：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2151"/>
        <w:gridCol w:w="1716"/>
        <w:gridCol w:w="2270"/>
        <w:gridCol w:w="2584"/>
      </w:tblGrid>
      <w:tr w14:paraId="3F411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FBE2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EFBD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F615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6D79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8CB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修正依据</w:t>
            </w:r>
          </w:p>
        </w:tc>
      </w:tr>
      <w:tr w14:paraId="222936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89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AC3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日本2005年GDP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7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D4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AE4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926B2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9F6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88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日本2006年GDP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A2D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610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1E5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1E94B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57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E98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日本2007年GDP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BC9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75F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D7D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  <w:r>
              <w:fldChar w:fldCharType="begin"/>
            </w:r>
            <w:r>
              <w:instrText xml:space="preserve"> HYPERLINK "https://www.stats.gov.cn/sj/ndsj/2008/html/Z2603e.htm"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BFDD9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E30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47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1Y国债2.79%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FC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误为国债收益率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D3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实为1Y存款基准利率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5D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人民银行公告</w:t>
            </w:r>
          </w:p>
        </w:tc>
      </w:tr>
      <w:tr w14:paraId="2CB648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985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144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LME铜见顶时间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F26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F94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2006年5月11日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18C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LME公开数据</w:t>
            </w:r>
          </w:p>
        </w:tc>
      </w:tr>
      <w:tr w14:paraId="2A667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D78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EA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中国铝业2007营收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B5F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430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761.80亿元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2E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78C76D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153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75E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中国铝业2006营收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EBB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750亿元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EE9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648.27亿元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F3E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64B5A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8FB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D8D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紫金矿业2006营收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DF2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F38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约106–108亿元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417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公司公告</w:t>
            </w:r>
          </w:p>
        </w:tc>
      </w:tr>
      <w:tr w14:paraId="41045D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27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34F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2025市场规模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5F6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393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E2E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3E12E4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DA5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05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2026E市场规模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405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9A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692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674CB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44C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F42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Copilot渗透率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D27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157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D83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微软数据</w:t>
            </w:r>
          </w:p>
        </w:tc>
      </w:tr>
      <w:tr w14:paraId="5D2BD2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826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F3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美国财政赤字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B22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AC6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联邦约1.0–1.2%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3D8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美国财政部（口径说明已补充）</w:t>
            </w:r>
          </w:p>
        </w:tc>
      </w:tr>
    </w:tbl>
    <w:p w14:paraId="752770B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估算值与模型假设（已在正文相应位置标注）：</w:t>
      </w:r>
    </w:p>
    <w:p w14:paraId="051C8E81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339392F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日元套利规模（$500B+）：业内估算</w:t>
      </w:r>
    </w:p>
    <w:p w14:paraId="3F7954EF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2CBC3AC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外汇占款增量：基于央行资产负债表的近似估算</w:t>
      </w:r>
    </w:p>
    <w:p w14:paraId="4C28AC7A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4F6DB4A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M7 Capex/Rev阈值35%：基于历史固投增速见顶经验的模型假设</w:t>
      </w:r>
    </w:p>
    <w:p w14:paraId="3EB7B5C5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28C5174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S1/S2/S3量化阈值：基于历史类比推导的监测阈值</w:t>
      </w:r>
    </w:p>
    <w:p w14:paraId="2C1A573B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09914FD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免责声明：本报告基于历史类比与公开数据构建分析框架，不构成任何投资建议。AI板块具有真实盈利支撑，"此次不同"可能使信号延迟而非消失。建议组合运用三项信号，避免单一依赖。报告作者不对数据准确性、完整性或时效性作任何保证。投资者应依据自身风险承受能力与投资目标独立判断，自担风险。</w:t>
      </w:r>
    </w:p>
    <w:p w14:paraId="26B1E4E5"/>
    <w:p w14:paraId="11A6F897">
      <w:pPr>
        <w:widowControl/>
        <w:shd w:val="clear" w:color="auto" w:fill="FFFFFF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以下为报告中所引用核心数据的来源链接及说明。所有链接均来自权威数据源（FRED、国家统计局、中国人民银行等）或主流财经媒体的一手报道。</w:t>
      </w:r>
    </w:p>
    <w:p w14:paraId="4D9B72B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一、宏观经济数据</w:t>
      </w:r>
    </w:p>
    <w:p w14:paraId="5F8C1F8E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 美国GDP增速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420"/>
        <w:gridCol w:w="6836"/>
      </w:tblGrid>
      <w:tr w14:paraId="1A87E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3855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E627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575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17B696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279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2B5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96EA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美国经济分析局（BEA）数据，引自国家统计局国际统计年鉴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37502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BF64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49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6FE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E24E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F0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78C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20EC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085DA2D8">
      <w:pPr>
        <w:widowControl/>
        <w:numPr>
          <w:ilvl w:val="0"/>
          <w:numId w:val="4"/>
        </w:numPr>
        <w:spacing w:beforeAutospacing="1" w:afterAutospacing="1"/>
        <w:ind w:left="0" w:firstLine="440"/>
      </w:pPr>
    </w:p>
    <w:p w14:paraId="0B3CE46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3A1221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 中国GDP增速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441"/>
        <w:gridCol w:w="5056"/>
      </w:tblGrid>
      <w:tr w14:paraId="422BB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1B0E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D42D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A550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2C238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4E3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FF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AAE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E67D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4A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6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1AC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F19A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F4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F2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94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74CF6873">
      <w:pPr>
        <w:widowControl/>
        <w:numPr>
          <w:ilvl w:val="0"/>
          <w:numId w:val="5"/>
        </w:numPr>
        <w:spacing w:beforeAutospacing="1" w:afterAutospacing="1"/>
        <w:ind w:left="0" w:firstLine="440"/>
      </w:pPr>
    </w:p>
    <w:p w14:paraId="53E7054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60C163A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 日本GDP增速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0"/>
        <w:gridCol w:w="3355"/>
        <w:gridCol w:w="4557"/>
      </w:tblGrid>
      <w:tr w14:paraId="6F8E49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9041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EBA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报告数值（修正后）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6D8F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3968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C8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4C1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207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IMF数据库，引自国家统计局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5E8A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D27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78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F1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D744E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4E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2E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42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1E230FF">
      <w:pPr>
        <w:widowControl/>
        <w:numPr>
          <w:ilvl w:val="0"/>
          <w:numId w:val="6"/>
        </w:numPr>
        <w:spacing w:beforeAutospacing="1" w:afterAutospacing="1"/>
        <w:ind w:left="0" w:firstLine="440"/>
      </w:pPr>
    </w:p>
    <w:p w14:paraId="7D7E610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；日本内阁府2006年经济预测调整报道 </w:t>
      </w:r>
      <w:r>
        <w:fldChar w:fldCharType="begin"/>
      </w:r>
      <w:r>
        <w:instrText xml:space="preserve"> HYPERLINK "https://www.cei.cn/"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745C504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二、货币政策</w:t>
      </w:r>
    </w:p>
    <w:p w14:paraId="1481C4B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4. 美联储联邦基金利率（2007年5.25%）</w:t>
      </w:r>
    </w:p>
    <w:p w14:paraId="516538A3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333AA4F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：美联储自2006年6月起将联邦基金利率维持在5.25%，2007年连续多次维持不变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</w:p>
    <w:p w14:paraId="6BD7C38A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4F75723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：北方网2007年5月11日报道 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；全景网2007年8月8日报道 </w:t>
      </w:r>
      <w:r>
        <w:fldChar w:fldCharType="begin"/>
      </w:r>
      <w:r>
        <w:instrText xml:space="preserve"> HYPERLINK "https://www.p5w.net/"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AC06E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5. 美国10年期国债收益率（2007年）</w:t>
      </w:r>
    </w:p>
    <w:p w14:paraId="4D914147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5882229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：2007年6月一度触及5.25-5.30%；11月初约4.625%；12月回落至约4.04%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3753CD1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13AAE87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：FRED美联储10年期通胀指数国债数据 </w:t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；中国经济网2007年12月21日报道 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EA5864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6. 中国1年期贷款基准利率（2007年12月7.47%）</w:t>
      </w:r>
    </w:p>
    <w:p w14:paraId="4F1C6812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0FD1491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：中国人民银行2007年12月21日调整，一年期贷款基准利率由7.29%上调至7.47%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6AECD270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1A51F48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：新浪财经转载央行公告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；中国人民银行南京分行公告 </w:t>
      </w:r>
      <w:r>
        <w:fldChar w:fldCharType="begin"/>
      </w:r>
      <w:r>
        <w:instrText xml:space="preserve"> HYPERLINK "http://nanjing.pbc.gov.cn/"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51F5B07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7. 中国1年期存款基准利率（2007年12月4.14%）</w:t>
      </w:r>
    </w:p>
    <w:p w14:paraId="2EF3EFEA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5F47AB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：中国人民银行2007年12月21日调整，一年期存款基准利率由3.87%上调至4.14%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5B935ECD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3FA8B7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：同上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469CA7C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8. 中国1年期存款基准利率（2007年3月2.79%）</w:t>
      </w:r>
    </w:p>
    <w:p w14:paraId="02DD0491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7404D38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：中国人民银行2007年3月18日调整，一年期存款基准利率由2.25%提高到2.79%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78343D0F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071756D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说明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报告原将2.79%误记为1年期国债收益率，实为存款基准利率</w:t>
      </w:r>
    </w:p>
    <w:p w14:paraId="256A7F32">
      <w:pPr>
        <w:widowControl/>
        <w:numPr>
          <w:ilvl w:val="0"/>
          <w:numId w:val="11"/>
        </w:numPr>
        <w:spacing w:before="90" w:afterAutospacing="1"/>
        <w:ind w:left="0" w:firstLine="440"/>
      </w:pPr>
    </w:p>
    <w:p w14:paraId="019E70E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：新浪财经央行利率调整示意图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365D987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9. 中国1年期国债收益率（2007年）</w:t>
      </w:r>
    </w:p>
    <w:p w14:paraId="3FB0066C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EF32AB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：2007年1月初上交所约2.46%；1月末约1.86%；9月新发国债票面利率2.95%；12月新发国债中标利率3.66%</w:t>
      </w:r>
    </w:p>
    <w:p w14:paraId="31BA5AEA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53E91D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：中国经济网2007年1月8日报道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；中国经济网2007年9月13日报道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C6D758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三、汇率</w:t>
      </w:r>
    </w:p>
    <w:p w14:paraId="6E421A5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10. 美元指数（2005年约92 → 2007年约80）</w:t>
      </w:r>
    </w:p>
    <w:p w14:paraId="78F8C607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7AD1FFB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：美元指数2004年底曾跌至80.4低点；2005-2008年持续下跌，2008年7月创71.25历史低点</w:t>
      </w:r>
    </w:p>
    <w:p w14:paraId="654AFA99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087C9C92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：上海证券报2007年8月9日报道 </w:t>
      </w:r>
      <w:r>
        <w:fldChar w:fldCharType="begin"/>
      </w:r>
      <w:r>
        <w:instrText xml:space="preserve"> HYPERLINK "http://paper.cnstock.com/"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F8F507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11. 人民币汇率（2007年7月突破7.61）</w:t>
      </w:r>
    </w:p>
    <w:p w14:paraId="280F1E15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6701C33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：2007年7月2日人民币对美元中间价突破7.61关口，报7.6075</w:t>
      </w:r>
    </w:p>
    <w:p w14:paraId="49AB595E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4D90480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：新浪财经2007年7月3日报道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3294A48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四、外汇储备</w:t>
      </w:r>
    </w:p>
    <w:p w14:paraId="5213760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12. 中国外汇储备（2005年8,189亿 → 2007年15,282亿）</w:t>
      </w:r>
    </w:p>
    <w:p w14:paraId="4FA414DB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64C0EA6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：2005年8,188.72亿美元，2006年10,663.44亿美元，2007年15,282.49亿美元</w:t>
      </w:r>
    </w:p>
    <w:p w14:paraId="57EC5664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20BB1B4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：新浪财经2013年报道（引用国家外汇管理局数据）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45129B0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五、财政政策</w:t>
      </w:r>
    </w:p>
    <w:p w14:paraId="75D16D3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13. 美国2007财年财政赤字（占GDP约1.2%）</w:t>
      </w:r>
    </w:p>
    <w:p w14:paraId="7E58FBB3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6BCFEE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：美国财政部公布2007财年联邦赤字1,628亿美元，占GDP约1.2%</w:t>
      </w:r>
    </w:p>
    <w:p w14:paraId="0B8CE8E0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7CE88E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：新浪财经2007年10月12日报道 </w:t>
      </w:r>
      <w:r>
        <w:fldChar w:fldCharType="begin"/>
      </w:r>
      <w:r>
        <w:instrText xml:space="preserve"> HYPERLINK "https://finance.sina.cn/"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0965FFB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六、资本市场</w:t>
      </w:r>
    </w:p>
    <w:p w14:paraId="291029D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14. 上证指数2005-2007涨幅（513%）</w:t>
      </w:r>
    </w:p>
    <w:p w14:paraId="6C21B11C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63946C1E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：上证指数从2005年6月998点涨至2007年10月6124点，涨幅513%</w:t>
      </w:r>
    </w:p>
    <w:p w14:paraId="500498EF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5B6BE117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：凤凰网2022年报道 </w:t>
      </w:r>
      <w:r>
        <w:fldChar w:fldCharType="begin"/>
      </w:r>
      <w:r>
        <w:instrText xml:space="preserve"> HYPERLINK "https://i.ifeng.com/"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；证券时报2014年报道 </w:t>
      </w:r>
      <w:r>
        <w:fldChar w:fldCharType="begin"/>
      </w:r>
      <w:r>
        <w:instrText xml:space="preserve"> HYPERLINK "http://epaper.stcn.com/"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4A70825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七、大宗商品</w:t>
      </w:r>
    </w:p>
    <w:p w14:paraId="26F056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15. LME铜价2006年5月见顶8,790美元/吨</w:t>
      </w:r>
    </w:p>
    <w:p w14:paraId="6D38E4A9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3AA916BD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：伦敦金属交易所(LME)三月期铜2006年5月11日达8,790美元/吨历史新高</w:t>
      </w:r>
    </w:p>
    <w:p w14:paraId="03DA2782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632A47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：中国证券报2006年5月25日报道 </w:t>
      </w:r>
      <w:r>
        <w:fldChar w:fldCharType="begin"/>
      </w:r>
      <w:r>
        <w:instrText xml:space="preserve"> HYPERLINK "http://epaper.cs.com.cn/"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FFDFBF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八、公司财务数据</w:t>
      </w:r>
    </w:p>
    <w:p w14:paraId="5E3787F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16. 江西铜业2005年营收133.4亿元</w:t>
      </w:r>
    </w:p>
    <w:p w14:paraId="1368DA71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3890D93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：江西铜业2005年年报显示主营业务收入1,334,069.24万元</w:t>
      </w:r>
    </w:p>
    <w:p w14:paraId="27EB2892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038024F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：新浪财经2006年4月28日报道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6179702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17. 中国铝业2007年营收761.80亿元</w:t>
      </w:r>
    </w:p>
    <w:p w14:paraId="320922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2370511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：中国铝业2007年年报显示营业收入761.80亿元，净利润102.25亿元</w:t>
      </w:r>
    </w:p>
    <w:p w14:paraId="26E3C3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0AC2D3A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：北方网2008年3月18日报道 </w:t>
      </w:r>
      <w:r>
        <w:fldChar w:fldCharType="begin"/>
      </w:r>
      <w:r>
        <w:instrText xml:space="preserve"> HYPERLINK "http://economy.enorth.com.cn/"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F3DE296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九、IPO数据</w:t>
      </w:r>
    </w:p>
    <w:p w14:paraId="342A948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18. 中国石油2007年IPO（募资668亿元，冻结3.3万亿）</w:t>
      </w:r>
    </w:p>
    <w:p w14:paraId="609182AB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494EC2B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：中国石油A股发行价16.7元，融资规模668亿元；冻结资金3.3万亿元</w:t>
      </w:r>
    </w:p>
    <w:p w14:paraId="6D90FC8F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6E35F37B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：中国新闻网2007年10月30日报道 </w:t>
      </w:r>
      <w:r>
        <w:fldChar w:fldCharType="begin"/>
      </w:r>
      <w:r>
        <w:instrText xml:space="preserve"> HYPERLINK "https://www.chinanews.com.cn/"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；财新网2007年11月12日报道 </w:t>
      </w:r>
      <w:r>
        <w:fldChar w:fldCharType="begin"/>
      </w:r>
      <w:r>
        <w:instrText xml:space="preserve"> HYPERLINK "http://magazine.caixin.com/"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6CAA780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十、AI板块数据</w:t>
      </w:r>
    </w:p>
    <w:p w14:paraId="4788B00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19.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8"/>
        <w:gridCol w:w="3434"/>
        <w:gridCol w:w="3390"/>
      </w:tblGrid>
      <w:tr w14:paraId="21D1B5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D667F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F63F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BEB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49C7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C60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534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D03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7340B8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F693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522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58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1EDD72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C68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426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F44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491CDD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BA5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699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A07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</w:tbl>
    <w:p w14:paraId="737557CF">
      <w:pPr>
        <w:widowControl/>
        <w:numPr>
          <w:ilvl w:val="0"/>
          <w:numId w:val="22"/>
        </w:numPr>
        <w:spacing w:beforeAutospacing="1" w:afterAutospacing="1"/>
        <w:ind w:left="0" w:firstLine="440"/>
      </w:pPr>
    </w:p>
    <w:p w14:paraId="77B6A0B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：网易2026年2月行业分析 </w:t>
      </w:r>
      <w:r>
        <w:fldChar w:fldCharType="begin"/>
      </w:r>
      <w:r>
        <w:instrText xml:space="preserve"> HYPERLINK "https://m.163.com/"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43FE0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20. Microsoft Copilot付费渗透率（约3.3%）</w:t>
      </w:r>
    </w:p>
    <w:p w14:paraId="119A1042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5E6E602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：Microsoft 365拥有约4.5亿商业用户，Copilot付费席位约1,500万个，渗透率约3.3%</w:t>
      </w:r>
    </w:p>
    <w:p w14:paraId="4B6CCB5B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27C24B8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：199IT 2026年5月报道 </w:t>
      </w:r>
      <w:r>
        <w:fldChar w:fldCharType="begin"/>
      </w:r>
      <w:r>
        <w:instrText xml:space="preserve"> HYPERLINK "https://www.199it.com/"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3D97D3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数据来源汇总表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3445"/>
        <w:gridCol w:w="3515"/>
      </w:tblGrid>
      <w:tr w14:paraId="07FAF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4D5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3917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首选来源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093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备用来源</w:t>
            </w:r>
          </w:p>
        </w:tc>
      </w:tr>
      <w:tr w14:paraId="675A1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4A1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73E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美国经济分析局(BEA)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A1B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</w:p>
        </w:tc>
      </w:tr>
      <w:tr w14:paraId="4D42D5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4D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0D0E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B03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7A6147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EC5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5F8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日本内阁府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9CA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20557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C2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D3B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美联储(FED)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C4D7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FRED数据库</w:t>
            </w:r>
          </w:p>
        </w:tc>
      </w:tr>
      <w:tr w14:paraId="691DEC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C50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6FC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338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4762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195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2C0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中国人民银行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3C3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9A5C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D2CC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B23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财政部/中债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6B6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076F9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A7D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外汇储备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FC1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国家外汇管理局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AF4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54B36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E0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A6C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各国财政部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624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1D5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6EA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股市数据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B5D8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交易所公开数据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055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45BE5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CF1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B81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E2A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64F78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6F7C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公司财务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278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公司年报(SEC/巨潮)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78F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C97E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F4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D1C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71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A32F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D5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HBM市场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68A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Yole Group/行业研究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218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3A1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E4F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E47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微软财报/公开报道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921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行业分析</w:t>
            </w:r>
          </w:p>
        </w:tc>
      </w:tr>
    </w:tbl>
    <w:p w14:paraId="46EEC78A"/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08" w:lineRule="auto"/>
      </w:pPr>
      <w:r>
        <w:separator/>
      </w:r>
    </w:p>
  </w:footnote>
  <w:footnote w:type="continuationSeparator" w:id="1">
    <w:p>
      <w:pPr>
        <w:spacing w:before="0" w:after="0" w:line="40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4527"/>
    <w:multiLevelType w:val="multilevel"/>
    <w:tmpl w:val="803E4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09BCEA"/>
    <w:multiLevelType w:val="multilevel"/>
    <w:tmpl w:val="8509B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5ED857"/>
    <w:multiLevelType w:val="multilevel"/>
    <w:tmpl w:val="8F5ED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15B776"/>
    <w:multiLevelType w:val="multilevel"/>
    <w:tmpl w:val="A115B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FF5872"/>
    <w:multiLevelType w:val="multilevel"/>
    <w:tmpl w:val="A2FF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FBDC29"/>
    <w:multiLevelType w:val="multilevel"/>
    <w:tmpl w:val="ACFBD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43F2C5"/>
    <w:multiLevelType w:val="multilevel"/>
    <w:tmpl w:val="B043F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4B6C14C"/>
    <w:multiLevelType w:val="multilevel"/>
    <w:tmpl w:val="D4B6C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244DA0"/>
    <w:multiLevelType w:val="singleLevel"/>
    <w:tmpl w:val="FA244DA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CBC04EE"/>
    <w:multiLevelType w:val="multilevel"/>
    <w:tmpl w:val="FCBC0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E12BE53"/>
    <w:multiLevelType w:val="multilevel"/>
    <w:tmpl w:val="FE12B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8D549F0"/>
    <w:multiLevelType w:val="multilevel"/>
    <w:tmpl w:val="08D54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DE409B2"/>
    <w:multiLevelType w:val="multilevel"/>
    <w:tmpl w:val="1DE40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F095189"/>
    <w:multiLevelType w:val="multilevel"/>
    <w:tmpl w:val="1F095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26D918A"/>
    <w:multiLevelType w:val="multilevel"/>
    <w:tmpl w:val="226D9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C50DAA0"/>
    <w:multiLevelType w:val="multilevel"/>
    <w:tmpl w:val="4C50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2E8A944"/>
    <w:multiLevelType w:val="multilevel"/>
    <w:tmpl w:val="52E8A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4CBA048"/>
    <w:multiLevelType w:val="multilevel"/>
    <w:tmpl w:val="54CBA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92DFA1A"/>
    <w:multiLevelType w:val="multilevel"/>
    <w:tmpl w:val="592DF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F26540E"/>
    <w:multiLevelType w:val="multilevel"/>
    <w:tmpl w:val="6F265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3F55918"/>
    <w:multiLevelType w:val="multilevel"/>
    <w:tmpl w:val="73F55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7376586"/>
    <w:multiLevelType w:val="multilevel"/>
    <w:tmpl w:val="7737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DC4BDDD"/>
    <w:multiLevelType w:val="multilevel"/>
    <w:tmpl w:val="7DC4B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20"/>
  </w:num>
  <w:num w:numId="3">
    <w:abstractNumId w:val="1"/>
  </w:num>
  <w:num w:numId="4">
    <w:abstractNumId w:val="2"/>
  </w:num>
  <w:num w:numId="5">
    <w:abstractNumId w:val="18"/>
  </w:num>
  <w:num w:numId="6">
    <w:abstractNumId w:val="7"/>
  </w:num>
  <w:num w:numId="7">
    <w:abstractNumId w:val="14"/>
  </w:num>
  <w:num w:numId="8">
    <w:abstractNumId w:val="0"/>
  </w:num>
  <w:num w:numId="9">
    <w:abstractNumId w:val="19"/>
  </w:num>
  <w:num w:numId="10">
    <w:abstractNumId w:val="9"/>
  </w:num>
  <w:num w:numId="11">
    <w:abstractNumId w:val="13"/>
  </w:num>
  <w:num w:numId="12">
    <w:abstractNumId w:val="22"/>
  </w:num>
  <w:num w:numId="13">
    <w:abstractNumId w:val="12"/>
  </w:num>
  <w:num w:numId="14">
    <w:abstractNumId w:val="4"/>
  </w:num>
  <w:num w:numId="15">
    <w:abstractNumId w:val="17"/>
  </w:num>
  <w:num w:numId="16">
    <w:abstractNumId w:val="3"/>
  </w:num>
  <w:num w:numId="17">
    <w:abstractNumId w:val="15"/>
  </w:num>
  <w:num w:numId="18">
    <w:abstractNumId w:val="6"/>
  </w:num>
  <w:num w:numId="19">
    <w:abstractNumId w:val="16"/>
  </w:num>
  <w:num w:numId="20">
    <w:abstractNumId w:val="5"/>
  </w:num>
  <w:num w:numId="21">
    <w:abstractNumId w:val="11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932615"/>
    <w:rsid w:val="00181D45"/>
    <w:rsid w:val="0050731D"/>
    <w:rsid w:val="00714AA3"/>
    <w:rsid w:val="009D0C94"/>
    <w:rsid w:val="00AF0367"/>
    <w:rsid w:val="00CE0F85"/>
    <w:rsid w:val="06460B11"/>
    <w:rsid w:val="4F932615"/>
    <w:rsid w:val="585F4F12"/>
    <w:rsid w:val="78CD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408" w:lineRule="auto"/>
      <w:ind w:firstLine="440"/>
      <w:jc w:val="both"/>
    </w:pPr>
    <w:rPr>
      <w:rFonts w:asciiTheme="minorHAnsi" w:hAnsiTheme="minorHAnsi" w:eastAsiaTheme="minorEastAsia" w:cstheme="minorBidi"/>
      <w:color w:val="1E293B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480" w:beforeAutospacing="1" w:after="320" w:afterAutospacing="1" w:line="312" w:lineRule="auto"/>
      <w:ind w:firstLine="0"/>
      <w:jc w:val="left"/>
      <w:outlineLvl w:val="0"/>
    </w:pPr>
    <w:rPr>
      <w:rFonts w:hint="eastAsia" w:ascii="Times New Roman" w:hAnsi="Times New Roman" w:eastAsia="宋体" w:cs="Times New Roman"/>
      <w:b/>
      <w:bCs/>
      <w:color w:val="1E3A5F"/>
      <w:kern w:val="44"/>
      <w:sz w:val="36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1" w:after="240" w:afterAutospacing="1" w:line="312" w:lineRule="auto"/>
      <w:ind w:firstLine="0"/>
      <w:jc w:val="left"/>
      <w:outlineLvl w:val="1"/>
    </w:pPr>
    <w:rPr>
      <w:rFonts w:hint="eastAsia" w:ascii="Times New Roman" w:hAnsi="Times New Roman" w:eastAsia="宋体" w:cs="Times New Roman"/>
      <w:b/>
      <w:bCs/>
      <w:color w:val="1E3A5F"/>
      <w:kern w:val="0"/>
      <w:sz w:val="28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1" w:after="160" w:afterAutospacing="1" w:line="312" w:lineRule="auto"/>
      <w:ind w:firstLine="0"/>
      <w:jc w:val="left"/>
      <w:outlineLvl w:val="2"/>
    </w:pPr>
    <w:rPr>
      <w:rFonts w:hint="eastAsia" w:ascii="Times New Roman" w:hAnsi="Times New Roman" w:eastAsia="宋体" w:cs="Times New Roman"/>
      <w:b/>
      <w:bCs/>
      <w:color w:val="1E3A5F"/>
      <w:kern w:val="0"/>
      <w:sz w:val="24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60" w:beforeAutospacing="1" w:afterAutospacing="1" w:line="312" w:lineRule="auto"/>
      <w:ind w:firstLine="0"/>
      <w:jc w:val="left"/>
      <w:outlineLvl w:val="3"/>
    </w:pPr>
    <w:rPr>
      <w:rFonts w:hint="eastAsia" w:ascii="Times New Roman" w:hAnsi="Times New Roman" w:eastAsia="宋体" w:cs="Times New Roman"/>
      <w:b/>
      <w:bCs/>
      <w:color w:val="475569"/>
      <w:kern w:val="0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页眉 字符"/>
    <w:basedOn w:val="10"/>
    <w:link w:val="7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  <w:style w:type="character" w:customStyle="1" w:styleId="14">
    <w:name w:val="页脚 字符"/>
    <w:basedOn w:val="10"/>
    <w:link w:val="6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1742</Words>
  <Characters>2134</Characters>
  <Lines>170</Lines>
  <Paragraphs>48</Paragraphs>
  <TotalTime>249</TotalTime>
  <ScaleCrop>false</ScaleCrop>
  <LinksUpToDate>false</LinksUpToDate>
  <CharactersWithSpaces>2140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2026-06-29T05:00:00Z</dcterms:created>
  <dc:creator>ll</dc:creator>
  <cp:lastModifiedBy>ll</cp:lastModifiedBy>
  <dcterms:modified xsi:type="dcterms:W3CDTF">2026-06-29T10:16:26Z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4D9ACDD3ED5848A081CB6B19EF5F5FE7_13</vt:lpwstr>
  </property>
  <property fmtid="{D5CDD505-2E9C-101B-9397-08002B2CF9AE}" pid="4" name="KSOTemplateDocerSaveRecord">
    <vt:lpwstr>eyJoZGlkIjoiNDgyODI5MTk1ZjlmNzMzNmJlOWU1NjhjYmFmYWM4MDciLCJ1c2VySWQiOiI1Njg1OTIyOTkifQ==</vt:lpwstr>
  </property>
</Properties>
</file>