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BB4B">
      <w:pPr>
        <w:pStyle w:val="2"/>
        <w:widowControl/>
        <w:shd w:val="clear" w:color="auto" w:fill="FFFFFF"/>
        <w:spacing w:before="0" w:beforeAutospacing="0" w:after="240" w:afterAutospacing="0" w:line="510" w:lineRule="atLeast"/>
        <w:rPr>
          <w:rFonts w:hint="default" w:ascii="Segoe UI" w:hAnsi="Segoe UI" w:eastAsia="Segoe UI" w:cs="Segoe UI"/>
          <w:color w:val="0F1115"/>
          <w:szCs w:val="36"/>
        </w:rPr>
      </w:pPr>
      <w:r>
        <w:rPr>
          <w:rFonts w:hint="default" w:ascii="Segoe UI" w:hAnsi="Segoe UI" w:eastAsia="Segoe UI" w:cs="Segoe UI"/>
          <w:color w:val="0F1115"/>
          <w:szCs w:val="36"/>
          <w:shd w:val="clear" w:color="auto" w:fill="FFFFFF"/>
        </w:rPr>
        <w:t>复盘2005–2007年有色金属超级周期与当前AI板块投资的结构性比较</w:t>
      </w:r>
    </w:p>
    <w:p w14:paraId="7CC4245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摘要</w:t>
      </w:r>
    </w:p>
    <w:p w14:paraId="0BB2279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本报告旨在回答一项核心问题：2005–2007年有色金属超级周期与当前人工智能（AI）板块投资热潮，在结构性层面是否存在可</w:t>
      </w:r>
      <w:bookmarkStart w:id="0" w:name="_GoBack"/>
      <w:bookmarkEnd w:id="0"/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 w14:paraId="4CA5C8E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</w:p>
    <w:p w14:paraId="0F19728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</w:p>
    <w:p w14:paraId="5E4C783E">
      <w:pPr>
        <w:widowControl/>
        <w:shd w:val="clear" w:color="auto" w:fill="FFFFFF"/>
        <w:spacing w:before="240"/>
        <w:rPr>
          <w:rFonts w:ascii="Segoe UI" w:hAnsi="Segoe UI" w:eastAsia="Segoe UI" w:cs="Segoe UI"/>
          <w:strike/>
          <w:color w:val="0F1115"/>
          <w:sz w:val="24"/>
        </w:rPr>
      </w:pPr>
      <w:r>
        <w:rPr>
          <w:rFonts w:ascii="Segoe UI" w:hAnsi="Segoe UI" w:eastAsia="Segoe UI" w:cs="Segoe UI"/>
          <w:b/>
          <w:bCs/>
          <w:strike/>
          <w:color w:val="0F1115"/>
          <w:sz w:val="24"/>
          <w:shd w:val="clear" w:color="auto" w:fill="FFFFFF"/>
        </w:rPr>
        <w:t>顶部窗口预判：2026年下半年至2027年上半年。当前综合评分：0/3 ~ 0.5/3（维持观察）。关键监测节点：OpenAI首次公开募股（IPO）后30个交易日的市场表现。</w:t>
      </w:r>
    </w:p>
    <w:p w14:paraId="36ADC76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核心观点</w:t>
      </w:r>
    </w:p>
    <w:p w14:paraId="43C69A7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</w:p>
    <w:p w14:paraId="351FE8D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</w:p>
    <w:p w14:paraId="24339F3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</w:p>
    <w:p w14:paraId="6B702CDD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</w:p>
    <w:p w14:paraId="49760E5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</w:p>
    <w:p w14:paraId="5111541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第一部分：2005–2007年有色金属超级周期全景复盘</w:t>
      </w:r>
    </w:p>
    <w:p w14:paraId="20D47F9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1330111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1.1 全球主要经济体宏观背景</w:t>
      </w:r>
    </w:p>
    <w:p w14:paraId="360C402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1.1.1 经济增长：三国同步但结构互补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819"/>
        <w:gridCol w:w="1819"/>
        <w:gridCol w:w="1819"/>
        <w:gridCol w:w="1819"/>
        <w:gridCol w:w="1400"/>
      </w:tblGrid>
      <w:tr w14:paraId="1BC39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6C74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6D85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3F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626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7FC7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E48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2007年CPI</w:t>
            </w:r>
          </w:p>
        </w:tc>
      </w:tr>
      <w:tr w14:paraId="5040A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7F7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DC7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40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479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86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165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</w:tr>
      <w:tr w14:paraId="357F9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156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809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022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319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5F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6AA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4.8%</w:t>
            </w:r>
          </w:p>
        </w:tc>
      </w:tr>
      <w:tr w14:paraId="11D8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21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A99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6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43F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A1E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601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0.0%</w:t>
            </w:r>
          </w:p>
        </w:tc>
      </w:tr>
    </w:tbl>
    <w:p w14:paraId="3BAB7DE9">
      <w:pPr>
        <w:widowControl/>
        <w:ind w:left="720" w:right="720"/>
        <w:rPr>
          <w:rFonts w:hint="eastAsia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美国GDP数据来自Macrotrends和IMF，中国和日本GDP来自各国统计局及IMF。中国名义GDP增速及CPI同样来自国家统计局。</w:t>
      </w:r>
      <w:r>
        <w:rPr>
          <w:rFonts w:hint="eastAsia" w:ascii="微软雅黑" w:hAnsi="微软雅黑" w:eastAsia="微软雅黑" w:cs="微软雅黑"/>
          <w:b/>
          <w:bCs/>
          <w:color w:val="0F1115"/>
          <w:sz w:val="24"/>
          <w:shd w:val="clear" w:color="auto" w:fill="FFFFFF"/>
        </w:rPr>
        <w:t>时间拉长00年开始到今，+euro</w:t>
      </w:r>
    </w:p>
    <w:p w14:paraId="3D0A39B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那几年发生了几件大事：2005年6月股权分置改革启动（市场底部），7月人民币汇率形成机制改革启动，2006年6月美联储加息周期见顶于5.25%。</w:t>
      </w:r>
    </w:p>
    <w:p w14:paraId="4C544A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</w:p>
    <w:p w14:paraId="58C03B6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1.1.2 货币政策：表面紧缩与实际宽松的背离</w:t>
      </w:r>
    </w:p>
    <w:p w14:paraId="61B4101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 w14:paraId="53D9761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三层利率指标体系（同期限市场利率口径）：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338"/>
        <w:gridCol w:w="3323"/>
        <w:gridCol w:w="2035"/>
      </w:tblGrid>
      <w:tr w14:paraId="095F5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3BA8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928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470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4507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9DE8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E52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760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联邦基金利率5.25%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1年期贷款基准7.47%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3F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隔夜利率0.5%</w:t>
            </w:r>
          </w:p>
        </w:tc>
      </w:tr>
      <w:tr w14:paraId="388C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A04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短端市场利率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FB7D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1年期国债约4.5–4.7%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D6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1年期国债年初约2.1%/年末约3.8%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FF1C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1年期国债约0.6%</w:t>
            </w:r>
          </w:p>
        </w:tc>
      </w:tr>
      <w:tr w14:paraId="31E84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494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长端市场利率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7EED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10年期国债约4.6–4.7%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6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11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10年期JGB约1.5%</w:t>
            </w:r>
          </w:p>
        </w:tc>
      </w:tr>
      <w:tr w14:paraId="5075D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75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市场短长利差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22A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098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年初约+2.4%/年末约+0.7%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51A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约+0.9%</w:t>
            </w:r>
          </w:p>
        </w:tc>
      </w:tr>
      <w:tr w14:paraId="6EA99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8F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实际融资利率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DA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30年房贷约6.0–6.5%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070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房贷约7.8%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508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房贷约2.5%</w:t>
            </w:r>
          </w:p>
        </w:tc>
      </w:tr>
      <w:tr w14:paraId="7E325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2A9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贷存利差（管制）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4C8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0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B5E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2FEA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A71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149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4%→6%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C0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17.6%→16.7%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506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1%→2%</w:t>
            </w:r>
          </w:p>
        </w:tc>
      </w:tr>
      <w:tr w14:paraId="734A95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E40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政策类型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F41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C57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数量型+管制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408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价格型（量宽后）</w:t>
            </w:r>
          </w:p>
        </w:tc>
      </w:tr>
      <w:tr w14:paraId="0256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A9E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实际金融条件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0EF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宽松（长端未跟随）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D6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局部宽松（外汇占款）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AE1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极度宽松（套利盛行）</w:t>
            </w:r>
          </w:p>
        </w:tc>
      </w:tr>
    </w:tbl>
    <w:p w14:paraId="505F391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联邦基金利率和10年期国债收益率来自美联储，中国存贷款基准利率来自人民银行，1年期国债收益率来自财政部，日本隔夜利率来自日本央行。</w:t>
      </w:r>
    </w:p>
    <w:p w14:paraId="701EB1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美国“格林斯潘之谜”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：美联储于2004–2006年间将联邦基金利率自1%上调至5.25%，2006年6月至2007年8月维持在5.25%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，但10年期国债收益率在2006年6月约为5%，2007年逐步回落至约3.5%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，加息在金融市场传导受阻。根源在于全球“储蓄过剩”——亚洲国家及石油美元避险资金压低长端利率。</w:t>
      </w:r>
    </w:p>
    <w:p w14:paraId="6486B3C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中国管制利率体系与外汇占款对冲：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233"/>
        <w:gridCol w:w="1057"/>
        <w:gridCol w:w="1138"/>
        <w:gridCol w:w="1085"/>
        <w:gridCol w:w="1085"/>
        <w:gridCol w:w="962"/>
        <w:gridCol w:w="966"/>
        <w:gridCol w:w="831"/>
      </w:tblGrid>
      <w:tr w14:paraId="27F5D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546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DDA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C71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27F9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AD8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C32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C72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2FF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8D9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贷存利差</w:t>
            </w:r>
          </w:p>
        </w:tc>
      </w:tr>
      <w:tr w14:paraId="51BE4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D3F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B0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298,755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CB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9D1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251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5.58%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4DE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AE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FD9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998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2AEAED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45C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AA8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345,603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450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38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FCA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6.12%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7D9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2.52%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3F9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3EC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182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3.60%</w:t>
            </w:r>
          </w:p>
        </w:tc>
      </w:tr>
      <w:tr w14:paraId="7EDA7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B7C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99A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403,442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AD4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0D8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约4.0万亿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8E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D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4.14%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753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33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C4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3AE1C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BCB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284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475,166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4A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178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689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5.31%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8D3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C3E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7B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约3.6%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3B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3.06%</w:t>
            </w:r>
          </w:p>
        </w:tc>
      </w:tr>
    </w:tbl>
    <w:p w14:paraId="01A02F21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中国存贷款基准利率来自人民银行，外汇储备数据来自国家外汇管理局，1年期国债收益率来自财政部（2007年12月为3.66%）。</w:t>
      </w:r>
    </w:p>
    <w:p w14:paraId="793CBF6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</w:p>
    <w:p w14:paraId="2A88D2E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</w:p>
    <w:p w14:paraId="5E0EC0C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综上，三国分别通过"储蓄过剩压制""外汇占款对冲""套利输出"三种机制形成全球流动性宽松格局，构成商品超级周期的货币基础。</w:t>
      </w:r>
    </w:p>
    <w:p w14:paraId="77057CBC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1.1.3 汇率与贸易：三国货币再平衡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2625"/>
        <w:gridCol w:w="3141"/>
        <w:gridCol w:w="2349"/>
      </w:tblGrid>
      <w:tr w14:paraId="55DA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F23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6FC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3D0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AC6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239EF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FE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汇率指数变化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8A3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03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人民币8.28→约7.61（升值约8%）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A0B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日元102→114（贬值12%）</w:t>
            </w:r>
          </w:p>
        </w:tc>
      </w:tr>
      <w:tr w14:paraId="16FD8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806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贸易差额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DA0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经常账户赤字约7000亿美元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CD9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顺差1020→2622亿美元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309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顺差90→1000亿美元</w:t>
            </w:r>
          </w:p>
        </w:tc>
      </w:tr>
      <w:tr w14:paraId="65231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9A6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汇率机制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7C4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A7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管理浮动（爬行盯住美元）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43A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</w:tr>
    </w:tbl>
    <w:p w14:paraId="0E48839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美元指数和汇率数据来自公开市场，中国外汇储备及贸易数据来自国家外汇管理局。</w:t>
      </w:r>
    </w:p>
    <w:p w14:paraId="0EED947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2005年7月人民币汇改是起点，2006年5月LME铜价冲上8790美元/吨创历史新高，2008年12月日元升值至91.30触发套利逆转。</w:t>
      </w:r>
    </w:p>
    <w:p w14:paraId="4B64A9A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</w:p>
    <w:p w14:paraId="6FCDA6D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人民币升值效应：汇改后人民币渐进升值，至2007年末约7.61，升值约8%，但贸易顺差仍实现翻倍，主因在于生产效率提升及外需强劲。</w:t>
      </w:r>
    </w:p>
    <w:p w14:paraId="3F8655E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日元贬值效应：日元2005–2007年贬值约12%，利好出口行业，但贬值幅度小于美元，实际有效汇率基本稳定。</w:t>
      </w:r>
    </w:p>
    <w:p w14:paraId="1F9A69F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1.1.4 外汇储备：中国主导的全球失衡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2477"/>
        <w:gridCol w:w="2269"/>
        <w:gridCol w:w="2175"/>
      </w:tblGrid>
      <w:tr w14:paraId="1D9D2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0FE6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C9A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960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E68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8663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2F3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6D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B02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8,189亿美元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0C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约8,288亿美元</w:t>
            </w:r>
          </w:p>
        </w:tc>
      </w:tr>
      <w:tr w14:paraId="356C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4DB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5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约2,400亿美元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541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15,282亿美元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FB2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约9,484亿美元</w:t>
            </w:r>
          </w:p>
        </w:tc>
      </w:tr>
      <w:tr w14:paraId="7A4E4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F6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07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59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D6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约20%</w:t>
            </w:r>
          </w:p>
        </w:tc>
      </w:tr>
      <w:tr w14:paraId="5D047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C3D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9C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1D7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A9F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约21%</w:t>
            </w:r>
          </w:p>
        </w:tc>
      </w:tr>
    </w:tbl>
    <w:p w14:paraId="0F8D4339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中国外汇储备数据来自国家外汇管理局，日本外汇储备数据来自IMF。</w:t>
      </w:r>
    </w:p>
    <w:p w14:paraId="39588FB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2006年中国外储首破万亿美元（10663亿），2007年达到15282亿美元，同比+43.31%。</w:t>
      </w:r>
    </w:p>
    <w:p w14:paraId="158E273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EE0000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</w:p>
    <w:p w14:paraId="09822FC3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1.1.5 财政政策：三国方向迥异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6"/>
        <w:gridCol w:w="2224"/>
        <w:gridCol w:w="2566"/>
        <w:gridCol w:w="2066"/>
      </w:tblGrid>
      <w:tr w14:paraId="1B459BE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FE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99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815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FE9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545B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9B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财政赤字/GDP（各国外径）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C5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联邦赤字约1.0–1.2%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B6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中央财政赤字约0.3–0.8%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77FF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约2.5–4.0%</w:t>
            </w:r>
          </w:p>
        </w:tc>
      </w:tr>
      <w:tr w14:paraId="39CCD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3F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主要工具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F8C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减税+战争开支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72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基建投资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D81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邮政民营化+削减赤字</w:t>
            </w:r>
          </w:p>
        </w:tc>
      </w:tr>
      <w:tr w14:paraId="2F436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407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5BDA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扩张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935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积极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C8E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整顿</w:t>
            </w:r>
          </w:p>
        </w:tc>
      </w:tr>
    </w:tbl>
    <w:p w14:paraId="48F3318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美国联邦赤字来自美国财政部，中国财政赤字来自财政部（中央财政口径），日本财政赤字来自公开信息。</w:t>
      </w:r>
    </w:p>
    <w:p w14:paraId="34BF68F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口径说明：各国统计口径不同——美国为联邦政府口径，中国为中央财政口径（不含地方债务），日本为一般政府口径。跨国比较需注意差异。</w:t>
      </w:r>
    </w:p>
    <w:p w14:paraId="2E29FD8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美国财政扩张支撑消费；中国财政赤字收窄系收入高速增长所致，基建投资维持高增长；日本小泉改革推动财政整顿。</w:t>
      </w:r>
    </w:p>
    <w:p w14:paraId="1BEF25C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1.1.6 资本市场：涨幅反映经济结构差异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2"/>
        <w:gridCol w:w="2556"/>
        <w:gridCol w:w="2302"/>
        <w:gridCol w:w="2282"/>
      </w:tblGrid>
      <w:tr w14:paraId="4A8E390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98D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FD0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4383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E3E0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DC93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FB5D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2005–2007股市涨幅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A8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标普500约+90–101%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54E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上证综指+513.5%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5F0F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日经225约+33%</w:t>
            </w:r>
          </w:p>
        </w:tc>
      </w:tr>
      <w:tr w14:paraId="2C5D5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F14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起点背景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27A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2002年科网泡沫底部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24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2005年股改后起步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9F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2005年初约11488点</w:t>
            </w:r>
          </w:p>
        </w:tc>
      </w:tr>
      <w:tr w14:paraId="0B780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87A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PE估值变化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24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16x→22x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FC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14x→50x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029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18x→约20x</w:t>
            </w:r>
          </w:p>
        </w:tc>
      </w:tr>
      <w:tr w14:paraId="16144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95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总市值/GDP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2E6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130%→150%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9C21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35%→120%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89E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70%→95%</w:t>
            </w:r>
          </w:p>
        </w:tc>
      </w:tr>
    </w:tbl>
    <w:p w14:paraId="23144FE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上证指数、标普500及日经225涨幅均来自公开市场数据。日经225指数2005年1月约11488点，2007年12月约15307点，涨幅约33%。</w:t>
      </w:r>
    </w:p>
    <w:p w14:paraId="5D4B34F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2005年6月上证综指约1011（市场底部），2007年10月16日触及6124.04（历史大顶），2008年10月28日跌至1664.93（金融危机底部）。</w:t>
      </w:r>
    </w:p>
    <w:p w14:paraId="293C3AA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中国PE扩张3.5倍（14x→50x），估值膨胀最为显著；美国PE扩张温和；日本PE基本稳定。</w:t>
      </w:r>
    </w:p>
    <w:p w14:paraId="06A2FEB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1.2 债务与产业政策</w:t>
      </w:r>
    </w:p>
    <w:p w14:paraId="3612C1D2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1.2.1 三国债务结构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1732"/>
        <w:gridCol w:w="1732"/>
        <w:gridCol w:w="1732"/>
        <w:gridCol w:w="1418"/>
      </w:tblGrid>
      <w:tr w14:paraId="0C1F4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25B2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E993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7B9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6891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6B01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2008</w:t>
            </w:r>
          </w:p>
        </w:tc>
      </w:tr>
      <w:tr w14:paraId="361DB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B49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51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BD4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6EC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95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约76%</w:t>
            </w:r>
          </w:p>
        </w:tc>
      </w:tr>
      <w:tr w14:paraId="0577FF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BAE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18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F3C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BDF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A2D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约96%</w:t>
            </w:r>
          </w:p>
        </w:tc>
      </w:tr>
      <w:tr w14:paraId="257FF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90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58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4AB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2BD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FD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约21.5%</w:t>
            </w:r>
          </w:p>
        </w:tc>
      </w:tr>
      <w:tr w14:paraId="279F8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F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中国企业杠杆率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23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70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CF0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0A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约130%</w:t>
            </w:r>
          </w:p>
        </w:tc>
      </w:tr>
      <w:tr w14:paraId="5D349F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230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4E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E06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F36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7EB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约183%</w:t>
            </w:r>
          </w:p>
        </w:tc>
      </w:tr>
    </w:tbl>
    <w:p w14:paraId="46D2D1D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数据来自IMF全球债务数据库及世界银行。</w:t>
      </w:r>
    </w:p>
    <w:p w14:paraId="20C9B04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同期美国次贷规模约1.1万亿美元，占按揭市场约13%；2007年公司债利差缓慢上升；2008年12月全球信贷冻结。</w:t>
      </w:r>
    </w:p>
    <w:p w14:paraId="747D497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</w:p>
    <w:p w14:paraId="05787616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1.2.2 产业政策对商品的间接影响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3578"/>
        <w:gridCol w:w="3030"/>
        <w:gridCol w:w="1972"/>
      </w:tblGrid>
      <w:tr w14:paraId="2E967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D6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22A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A52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4FB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124FC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066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有色/资源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17C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31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无针对性干预，大宗商品依赖进口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9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非资源型国家，高端装备出口支撑矿业</w:t>
            </w:r>
          </w:p>
        </w:tc>
      </w:tr>
      <w:tr w14:paraId="39700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5375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52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2005年7月汇改+持续加息提准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DE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格林斯潘/伯南克低利率，对资产泡沫“事后清理”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B9B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2006年退出QE，2007年利率0.5%</w:t>
            </w:r>
          </w:p>
        </w:tc>
      </w:tr>
      <w:tr w14:paraId="57BDE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E2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资本市场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E1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2005年6月股权分置改革；2007年5月印花税1‰→3‰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98F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废除Glass-Steagall法案；衍生品不受监管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AD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小泉改革</w:t>
            </w:r>
          </w:p>
        </w:tc>
      </w:tr>
      <w:tr w14:paraId="20A36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A13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宏观基调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36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“防止经济过热”，2007年“两防”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930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“大稳健”（Great Moderation）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192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结构改革+通缩抗争</w:t>
            </w:r>
          </w:p>
        </w:tc>
      </w:tr>
    </w:tbl>
    <w:p w14:paraId="37B9519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5B7C8C9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1.3 市场共识与公司表现</w:t>
      </w:r>
    </w:p>
    <w:p w14:paraId="542B2CB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1.3.1 市场共识演变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，继续回顾，加A股融资上市，补充现在市场状态对比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2269"/>
        <w:gridCol w:w="6460"/>
      </w:tblGrid>
      <w:tr w14:paraId="31696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E4AF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05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C02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市场共识</w:t>
            </w:r>
          </w:p>
        </w:tc>
      </w:tr>
      <w:tr w14:paraId="14172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F5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D8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2005–2006年初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B6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52079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B87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接受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4C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2006年5月–2007年6月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A3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铜价创8790美元/吨新高后，“中国需求”叙事确立，“商品超级周期”成为共识</w:t>
            </w:r>
          </w:p>
        </w:tc>
      </w:tr>
      <w:tr w14:paraId="74553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B64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狂热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413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2007年7月–10月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F19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“资产注入”故事取代基本面，散户月开户380万户，有色动态PE约49x</w:t>
            </w:r>
          </w:p>
        </w:tc>
      </w:tr>
    </w:tbl>
    <w:p w14:paraId="03D3AC2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1.3.2 分析师预期与实际偏差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2912"/>
        <w:gridCol w:w="4551"/>
      </w:tblGrid>
      <w:tr w14:paraId="2A157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B75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8A14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EF3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实际结果</w:t>
            </w:r>
          </w:p>
        </w:tc>
      </w:tr>
      <w:tr w14:paraId="06A89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813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09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铜价10000+美元/吨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E31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2006年5月实际8790美元/吨见顶</w:t>
            </w:r>
          </w:p>
        </w:tc>
      </w:tr>
      <w:tr w14:paraId="12FC5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D83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C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铜价12000美元/吨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B55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铜价在6000–8000美元/吨区间震荡</w:t>
            </w:r>
          </w:p>
        </w:tc>
      </w:tr>
      <w:tr w14:paraId="7CE19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281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83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上证综指8000点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4D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2007年10月16日实际6124点见顶</w:t>
            </w:r>
          </w:p>
        </w:tc>
      </w:tr>
    </w:tbl>
    <w:p w14:paraId="76336330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</w:p>
    <w:p w14:paraId="2C712E0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1.3.3 国内外公司表现与共振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26"/>
        <w:gridCol w:w="1374"/>
        <w:gridCol w:w="1374"/>
        <w:gridCol w:w="1027"/>
        <w:gridCol w:w="1027"/>
        <w:gridCol w:w="1186"/>
        <w:gridCol w:w="1054"/>
      </w:tblGrid>
      <w:tr w14:paraId="7DBAF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FE4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B31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C1F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95B5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2AD7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8E4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0817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401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股价涨幅</w:t>
            </w:r>
          </w:p>
        </w:tc>
      </w:tr>
      <w:tr w14:paraId="23DB6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D77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江西铜业(600362)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B6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988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254亿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AF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3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18.5亿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DB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46.1亿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0E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41.3亿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E3E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+650%</w:t>
            </w:r>
          </w:p>
        </w:tc>
      </w:tr>
      <w:tr w14:paraId="63C2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5A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云南铜业(000878)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302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134亿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282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3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759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4.9亿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1FA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538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9.2亿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22F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+1122%</w:t>
            </w:r>
          </w:p>
        </w:tc>
      </w:tr>
      <w:tr w14:paraId="64417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538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紫金矿业(601899)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F2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6DD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约106–108亿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38F1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约148–151亿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448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FC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2A2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CFC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+1500%</w:t>
            </w:r>
          </w:p>
        </w:tc>
      </w:tr>
      <w:tr w14:paraId="6C27F0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6E7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中国铝业(601600)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0EF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0655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648亿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15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762亿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38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10C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A5B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102.25亿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746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</w:tr>
    </w:tbl>
    <w:p w14:paraId="534122A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</w:p>
    <w:p w14:paraId="04DB52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海外对标同样亮眼：南方铜业(SCCO) 2003–2005年营收+412%，必和必拓(BHP)股价+400%，自由港麦克莫兰(FCX)股价+500%。</w:t>
      </w:r>
    </w:p>
    <w:p w14:paraId="6CFDF541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1.3.4 巨型IPO现象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，+这轮ipo抽血问题，</w:t>
      </w:r>
    </w:p>
    <w:p w14:paraId="65B6A7B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2007年下半年A股出现史无前例的IPO洪峰，几乎每月都有重量级IPO登场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942"/>
        <w:gridCol w:w="1369"/>
        <w:gridCol w:w="1543"/>
        <w:gridCol w:w="3132"/>
      </w:tblGrid>
      <w:tr w14:paraId="77B98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DD18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258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B29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60E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70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关键事件</w:t>
            </w:r>
          </w:p>
        </w:tc>
      </w:tr>
      <w:tr w14:paraId="03A4E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907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2007-04-30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D51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E5B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12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AE0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吸收合并山铝/兰铝回归A股</w:t>
            </w:r>
          </w:p>
        </w:tc>
      </w:tr>
      <w:tr w14:paraId="49DA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88F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2007-07-12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2D4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AD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C0F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461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资源储量重估</w:t>
            </w:r>
          </w:p>
        </w:tc>
      </w:tr>
      <w:tr w14:paraId="28C86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24F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2007-09-25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0FF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64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580亿元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FA6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49A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大型银行IPO</w:t>
            </w:r>
          </w:p>
        </w:tc>
      </w:tr>
      <w:tr w14:paraId="402D4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27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2007-10-09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411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73F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666亿元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0F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2.7万亿元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C3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冻结近30%流通市值</w:t>
            </w:r>
          </w:p>
        </w:tc>
      </w:tr>
      <w:tr w14:paraId="4BA8F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D15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2007-11-05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4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中国石油A股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470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668亿元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5D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3.3万亿元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F5A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冻结≈流通市值40%</w:t>
            </w:r>
          </w:p>
        </w:tc>
      </w:tr>
    </w:tbl>
    <w:p w14:paraId="2B2BC45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IPO数据来自公开市场信息。</w:t>
      </w:r>
    </w:p>
    <w:p w14:paraId="49190B5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核心观察：中石油冻结3.3万亿元（占流通市值约40%）为2007年顶部关键触发因素。OpenAI IPO的抽水效应相对较小（约0.8%），但需关注IPO后30日表现作为情绪指标。</w:t>
      </w:r>
    </w:p>
    <w:p w14:paraId="60D4BD2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1.4 超级周期的汇聚与终结机制</w:t>
      </w:r>
    </w:p>
    <w:p w14:paraId="5C68817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1.4.1 七大因素的汇聚与逆转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000"/>
        <w:gridCol w:w="4352"/>
      </w:tblGrid>
      <w:tr w14:paraId="5D4B2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C84D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B2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A160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逆转方向（2007末–2008）</w:t>
            </w:r>
          </w:p>
        </w:tc>
      </w:tr>
      <w:tr w14:paraId="0D56D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5F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98B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85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2007年11月固投增速见顶，2008年金融危机致需求骤停</w:t>
            </w:r>
          </w:p>
        </w:tc>
      </w:tr>
      <w:tr w14:paraId="1B53B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61C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C9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美元指数92→80（-13%），推升美元计价商品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B70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2008年避险推升美元，商品暴跌</w:t>
            </w:r>
          </w:p>
        </w:tc>
      </w:tr>
      <w:tr w14:paraId="63C24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6436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3E2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外汇占款+日元套利+储蓄过剩三重供给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21C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央行加准加息+日元套利逆转+全球信贷冻结</w:t>
            </w:r>
          </w:p>
        </w:tc>
      </w:tr>
      <w:tr w14:paraId="23EBA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C56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商品价格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8FD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2006年5月LME铜见顶8790美元/吨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9C1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2008年金融危机需求骤停，铜价暴跌</w:t>
            </w:r>
          </w:p>
        </w:tc>
      </w:tr>
      <w:tr w14:paraId="7CD3E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08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2F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14x→50x（全市场），有色动态PE约49x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0F9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2008年有色PE跌回个位数</w:t>
            </w:r>
          </w:p>
        </w:tc>
      </w:tr>
      <w:tr w14:paraId="58CAC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CE5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ACF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中石油、神华等巨型IPO吸收流动性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C3A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2008年IPO暂停</w:t>
            </w:r>
          </w:p>
        </w:tc>
      </w:tr>
      <w:tr w14:paraId="52CFE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F4A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65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“防止经济过热”收紧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F6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2008年全面转向宽松救市</w:t>
            </w:r>
          </w:p>
        </w:tc>
      </w:tr>
    </w:tbl>
    <w:p w14:paraId="0CDE003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1.4.2 三角闭环：商品超级周期的结构性燃料</w:t>
      </w:r>
    </w:p>
    <w:p w14:paraId="3BB9D7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</w:p>
    <w:p w14:paraId="63876E1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闭环破裂条件（任一触发即可能终结）：</w:t>
      </w:r>
    </w:p>
    <w:p w14:paraId="5D972C6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美国消费崩盘（次贷危机）→终端需求消失；</w:t>
      </w:r>
    </w:p>
    <w:p w14:paraId="0B8ECF79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中国生产停滞（固投见顶）→资源需求消失；</w:t>
      </w:r>
    </w:p>
    <w:p w14:paraId="00BA11F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日本融资收紧（日银加息）→套利逆转。</w:t>
      </w:r>
    </w:p>
    <w:p w14:paraId="7D4F6B91">
      <w:pPr>
        <w:widowControl/>
        <w:spacing w:before="90" w:afterAutospacing="1"/>
        <w:ind w:left="440" w:firstLine="0"/>
      </w:pPr>
    </w:p>
    <w:p w14:paraId="6ADEA72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2008年实际情况：金融危机同时触发条件1与条件2，三角闭环彻底破裂，商品价格6个月内跌超50%。</w:t>
      </w:r>
    </w:p>
    <w:p w14:paraId="7ABEF30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1.4.3 三大见顶特征</w:t>
      </w:r>
    </w:p>
    <w:p w14:paraId="0A7F5E58">
      <w:pPr>
        <w:widowControl/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1.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商品与股价顶背离：铜价于2006年5月见顶（8790美元/吨），股价于2007年10月见顶，背离期17个月，反映"叙事溢价"阶段——股价锚定"未来资产注入"而非现货价格。</w:t>
      </w:r>
    </w:p>
    <w:p w14:paraId="53530BFE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2.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垃圾股补涨：龙头滞涨、边缘股连续涨停，为牛市尾声经典信号。</w:t>
      </w:r>
    </w:p>
    <w:p w14:paraId="33FFE7B1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3.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巨型IPO放量长阴：中石油668亿元募资，标志行情终点。</w:t>
      </w:r>
    </w:p>
    <w:p w14:paraId="7B6831A9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第二部分：当前AI板块的结构性对标</w:t>
      </w:r>
    </w:p>
    <w:p w14:paraId="674621B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 w14:paraId="08887D7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2.1 同维度对比矩阵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472"/>
        <w:gridCol w:w="3041"/>
        <w:gridCol w:w="1661"/>
      </w:tblGrid>
      <w:tr w14:paraId="4CEFB93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20E1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3ED6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7B9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F8D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69D33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103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前三大经济体角色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0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B21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美国（AI创新国）+中国（追赶国），日本角色减弱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E74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05-07为互补，23-26为竞争</w:t>
            </w:r>
          </w:p>
        </w:tc>
      </w:tr>
      <w:tr w14:paraId="1CBCF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7E8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宏观驱动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D1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中国重工业化+城镇化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A3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AGI革命+算力军备竞赛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2AC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资本开支驱动的需求正反馈</w:t>
            </w:r>
          </w:p>
        </w:tc>
      </w:tr>
      <w:tr w14:paraId="5F728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8C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45B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3E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M7企业盈利→AI Capex自驱；市场化利率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15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流动性均宽松但机制不同</w:t>
            </w:r>
          </w:p>
        </w:tc>
      </w:tr>
      <w:tr w14:paraId="6F100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51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债务特征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A5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美国居民杠杆高；中国企业杠杆快速上升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EB3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美国政府债务/GDP约120%；M7现金充裕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72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杠杆集中于不同部门</w:t>
            </w:r>
          </w:p>
        </w:tc>
      </w:tr>
      <w:tr w14:paraId="26491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1B2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产业政策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72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中国限制高耗能；美国无干预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0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中国大基金+国产替代；美国芯片管制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6A5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政策角色转向产业竞争</w:t>
            </w:r>
          </w:p>
        </w:tc>
      </w:tr>
      <w:tr w14:paraId="125EE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3E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市场共识演变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FD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8B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怀疑→接受→部分狂热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4BC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路径类似但演化更慢</w:t>
            </w:r>
          </w:p>
        </w:tc>
      </w:tr>
      <w:tr w14:paraId="09121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94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C7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有色板块+1857%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309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NVDA涨幅显著；NDX+95%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2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单股涨幅类似</w:t>
            </w:r>
          </w:p>
        </w:tc>
      </w:tr>
      <w:tr w14:paraId="3D83D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1C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C81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PE约49x（动态）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387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 P/S约20x（有业绩支撑）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FA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23-26估值有业绩支撑</w:t>
            </w:r>
          </w:p>
        </w:tc>
      </w:tr>
      <w:tr w14:paraId="1F931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7D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巨型IPO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8A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中石油冻结3.3万亿≈流通市值40%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5FE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OpenAI待IPO（预计1000–3000亿）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CA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抽水效应减弱但信号意义更大</w:t>
            </w:r>
          </w:p>
        </w:tc>
      </w:tr>
      <w:tr w14:paraId="76927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3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终结模式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12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政策收紧+IPO虹吸+商品见顶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33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潜在：Capex回撤+应用端证伪+IPO抽血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8A0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终结机制类似</w:t>
            </w:r>
          </w:p>
        </w:tc>
      </w:tr>
    </w:tbl>
    <w:p w14:paraId="6C095A3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2.2 AI板块现状（截至2026年6月）</w:t>
      </w:r>
    </w:p>
    <w:p w14:paraId="3DD5E87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2.2.1 M7云厂商资本开支/营业收入比率（估算）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248"/>
        <w:gridCol w:w="1248"/>
        <w:gridCol w:w="1018"/>
        <w:gridCol w:w="1018"/>
        <w:gridCol w:w="1636"/>
        <w:gridCol w:w="1018"/>
        <w:gridCol w:w="1018"/>
      </w:tblGrid>
      <w:tr w14:paraId="78603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2D4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DB58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44A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4B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5B5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5D0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50F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D87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</w:tr>
      <w:tr w14:paraId="06577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D05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AD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EB1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A2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12C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A13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29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11D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0.35</w:t>
            </w:r>
          </w:p>
        </w:tc>
      </w:tr>
      <w:tr w14:paraId="316DF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BFDE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Google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24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A93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618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970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A96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B59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CED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</w:tr>
      <w:tr w14:paraId="55C33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D79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Amazon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60EC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287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EF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44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F4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91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F9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0.18</w:t>
            </w:r>
          </w:p>
        </w:tc>
      </w:tr>
      <w:tr w14:paraId="1899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95F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Meta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E7C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ABE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3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1A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AD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FA8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D0B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0.39</w:t>
            </w:r>
          </w:p>
        </w:tc>
      </w:tr>
      <w:tr w14:paraId="31FE0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7C1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Apple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82D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42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1B7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9B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44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D608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C2B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7155D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AC5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Tesla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5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0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8D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EFA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067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E9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CE2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</w:tr>
      <w:tr w14:paraId="57774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D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NVIDIA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E5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21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90F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2A1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B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53D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D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5B75C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B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85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45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C6B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F7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FD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77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C9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</w:tr>
    </w:tbl>
    <w:p w14:paraId="4FC0369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Capex数据基于公司SEC 10-Q/10-K filings及卖方一致预期整理，部分为估算值。</w:t>
      </w:r>
    </w:p>
    <w:p w14:paraId="1BFB87E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核心观察：M7（除NVDA）平均Capex/Rev自2024年18%升至2026年预估30%，距35%阈值仅5个百分点。Meta的2026年预估Capex/Rev达39%，为M7中最高，构成S1信号的"前沿观测点"。</w:t>
      </w:r>
    </w:p>
    <w:p w14:paraId="1B98F66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2.2.2 NDX与NVDA表现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1"/>
        <w:gridCol w:w="2676"/>
        <w:gridCol w:w="2544"/>
        <w:gridCol w:w="1661"/>
      </w:tblGrid>
      <w:tr w14:paraId="142CF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230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B3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8D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62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</w:tr>
      <w:tr w14:paraId="6839D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8BE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98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E65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956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约+95%</w:t>
            </w:r>
          </w:p>
        </w:tc>
      </w:tr>
      <w:tr w14:paraId="15E47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CC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90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FE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约192美元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82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约+1,035%</w:t>
            </w:r>
          </w:p>
        </w:tc>
      </w:tr>
      <w:tr w14:paraId="52E29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104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M7在NDX占比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DE2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55F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02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+13pct</w:t>
            </w:r>
          </w:p>
        </w:tc>
      </w:tr>
    </w:tbl>
    <w:p w14:paraId="5B17667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数据来自纳斯达克及公开市场。</w:t>
      </w:r>
    </w:p>
    <w:p w14:paraId="2BC385C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几个标志性节点：2022年11月ChatGPT发布，2023年5月NVDA Q1业绩超预期，2024年6月NVDA拆股，2025年8月NVDA破150美元，2026年3月NVDA单日振幅12%。</w:t>
      </w:r>
    </w:p>
    <w:p w14:paraId="06F0F2C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2.2.3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4584"/>
        <w:gridCol w:w="2714"/>
      </w:tblGrid>
      <w:tr w14:paraId="1DE06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D6B1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24C2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B5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同比</w:t>
            </w:r>
          </w:p>
        </w:tc>
      </w:tr>
      <w:tr w14:paraId="60327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6FC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FBA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C13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6548F7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713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3C2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19D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约+290%</w:t>
            </w:r>
          </w:p>
        </w:tc>
      </w:tr>
      <w:tr w14:paraId="048C8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593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9DF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435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约+80%</w:t>
            </w:r>
          </w:p>
        </w:tc>
      </w:tr>
      <w:tr w14:paraId="2799A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9F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12F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95B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约+63%</w:t>
            </w:r>
          </w:p>
        </w:tc>
      </w:tr>
    </w:tbl>
    <w:p w14:paraId="4BBE315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2023年全球HBM收入43.5亿美元，2024年170亿美元，2025年约307亿美元（同比+80.6%），预计2026年有望达到500亿美元。</w:t>
      </w:r>
    </w:p>
    <w:p w14:paraId="5A774FF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核心观察：增速拐点已然显现——2025年增速从约+290%降至约+80%，2026年进一步降至约+63%。供给端"二阶导转负"对硬件股估值构成潜在压力。</w:t>
      </w:r>
    </w:p>
    <w:p w14:paraId="2E427DA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2.2.4 A股AI板块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2512"/>
        <w:gridCol w:w="2512"/>
        <w:gridCol w:w="1528"/>
        <w:gridCol w:w="1230"/>
      </w:tblGrid>
      <w:tr w14:paraId="0956C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7D3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F38A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A68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670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31C7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</w:tr>
      <w:tr w14:paraId="299EA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C0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中际旭创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C68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F0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989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+200%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0BD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600EB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543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新易盛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ED1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6E8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0E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6E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453CE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347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寒武纪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47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70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1D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7E809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4E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海光信息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96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2A9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4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+180%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1A8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310C4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2C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金山办公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4575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7FA7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FF7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58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  <w:tr w14:paraId="01D7A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2BB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科大讯飞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E46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B4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9A6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515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</w:tbl>
    <w:p w14:paraId="4986869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数据来自A股公开市场。</w:t>
      </w:r>
    </w:p>
    <w:p w14:paraId="48E5978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轮动阶段：早期（算力芯片）→中期（光模块/服务器）→晚期（应用软件，当前已至晚期）→末期（垃圾股/概念股）。当轮动推进至最末端时，行情通常接近尾声。</w:t>
      </w:r>
    </w:p>
    <w:p w14:paraId="2AF437D8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2.2.5 NVDA估值历史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841"/>
        <w:gridCol w:w="1375"/>
        <w:gridCol w:w="2002"/>
        <w:gridCol w:w="1971"/>
      </w:tblGrid>
      <w:tr w14:paraId="654019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F2C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3AC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1C2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6220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4C68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PS 200MA</w:t>
            </w:r>
          </w:p>
        </w:tc>
      </w:tr>
      <w:tr w14:paraId="3FC2C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9DC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DD8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33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75A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E86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</w:t>
            </w:r>
          </w:p>
        </w:tc>
      </w:tr>
      <w:tr w14:paraId="52FF7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AB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1AF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12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B5D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BF1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</w:tr>
      <w:tr w14:paraId="2E96C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0E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28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9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700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</w:t>
            </w:r>
          </w:p>
        </w:tc>
      </w:tr>
      <w:tr w14:paraId="00C20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AFD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23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约32–35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D0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FE3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60A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约23</w:t>
            </w:r>
          </w:p>
        </w:tc>
      </w:tr>
    </w:tbl>
    <w:p w14:paraId="2DDFDBA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NVDA当前P/S约20.13。</w:t>
      </w:r>
    </w:p>
    <w:p w14:paraId="7FFB7E8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2.2.6 Copilot渗透率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4937"/>
        <w:gridCol w:w="2395"/>
      </w:tblGrid>
      <w:tr w14:paraId="46182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1B7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E6EB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AF4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GitHub Copilot</w:t>
            </w:r>
          </w:p>
        </w:tc>
      </w:tr>
      <w:tr w14:paraId="3648F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5FE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92C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A1B5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约25%</w:t>
            </w:r>
          </w:p>
        </w:tc>
      </w:tr>
      <w:tr w14:paraId="376DF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08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DC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EEE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约32%</w:t>
            </w:r>
          </w:p>
        </w:tc>
      </w:tr>
      <w:tr w14:paraId="54C4F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D8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B6F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12D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</w:tr>
      <w:tr w14:paraId="161EE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B86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9F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B55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约42%</w:t>
            </w:r>
          </w:p>
        </w:tc>
      </w:tr>
    </w:tbl>
    <w:p w14:paraId="3BE9C4E8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Microsoft 365拥有超4.5亿付费席位，真正为Copilot额外付费的约1500万席位，占比约3.3%。GitHub Copilot的付费用户数据同样来自公开信息。</w:t>
      </w:r>
    </w:p>
    <w:p w14:paraId="1233C5C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核心观察：3.3%的付费渗透率显著低于此前市场预期，说明AI应用端商业化进展慢于预期。Copilot在付费AI用户中的首选率变化同样值得跟踪。</w:t>
      </w:r>
    </w:p>
    <w:p w14:paraId="6736764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2.3 宏观背景对照及预期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3098"/>
        <w:gridCol w:w="2867"/>
        <w:gridCol w:w="2298"/>
      </w:tblGrid>
      <w:tr w14:paraId="1756E3C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42A4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5DC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283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20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31BAB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86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时代叙事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2F5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中国城镇化+工业化+WTO红利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88B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AGI/通用智能革命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48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时代级叙事驱动资产价格</w:t>
            </w:r>
          </w:p>
        </w:tc>
      </w:tr>
      <w:tr w14:paraId="478EB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227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792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1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AI Capex高增长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2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实体需求爆发</w:t>
            </w:r>
          </w:p>
        </w:tc>
      </w:tr>
      <w:tr w14:paraId="32271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77D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7BB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美元指数跌13%，人民币升值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2C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美联储2025年降息至3.5%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2A9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货币政策转向</w:t>
            </w:r>
          </w:p>
        </w:tc>
      </w:tr>
      <w:tr w14:paraId="11906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C62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A8F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5B2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企业自驱Capex+市场化利率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2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流动性均宽松但来源不同</w:t>
            </w:r>
          </w:p>
        </w:tc>
      </w:tr>
      <w:tr w14:paraId="003AE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957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96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加息+加准+印花税+IPO抽血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BD7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AI监管+芯片管制+关税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8D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政策干预持续</w:t>
            </w:r>
          </w:p>
        </w:tc>
      </w:tr>
      <w:tr w14:paraId="26AE3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38B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DE4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382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NDQ PE 25x→35x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522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估值均扩张但锚不同</w:t>
            </w:r>
          </w:p>
        </w:tc>
      </w:tr>
    </w:tbl>
    <w:p w14:paraId="05BA2E64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2.3.1 IMF与卖方一致预期</w:t>
      </w:r>
    </w:p>
    <w:p w14:paraId="529256A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IMF 2026年春季会议（2026年4月）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5313BBA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全球GDP增速3.1%（较2025年3.4%放缓）</w:t>
      </w:r>
    </w:p>
    <w:p w14:paraId="371203B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美国2.3%</w:t>
      </w:r>
    </w:p>
    <w:p w14:paraId="4924DFA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中国4.4%–4.5%</w:t>
      </w:r>
    </w:p>
    <w:p w14:paraId="26A55D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需要注意的是，如果AI资本开支被证伪，可能引发剧烈修正。</w:t>
      </w:r>
    </w:p>
    <w:p w14:paraId="30FAB19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国内券商的共识是：</w:t>
      </w:r>
    </w:p>
    <w:p w14:paraId="1C7CBA2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中金：中国GDP 4.7%，制造业AI产业链为主要贡献</w:t>
      </w:r>
    </w:p>
    <w:p w14:paraId="77FEA6D6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中信：中国GDP 4.6%，AI应用场景落地</w:t>
      </w:r>
    </w:p>
    <w:p w14:paraId="7F5347D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美股分析师方面：</w:t>
      </w:r>
    </w:p>
    <w:p w14:paraId="38F7024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高盛：NVDA目标价200美元</w:t>
      </w:r>
    </w:p>
    <w:p w14:paraId="77203B08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摩根士丹利：NDX目标25,000点</w:t>
      </w:r>
    </w:p>
    <w:p w14:paraId="2A8593C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摩根大通：MSFT目标600美元</w:t>
      </w:r>
    </w:p>
    <w:p w14:paraId="6183D68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第三部分：三大量化顶部信号与操作框架</w:t>
      </w:r>
    </w:p>
    <w:p w14:paraId="19CA7FB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基于2005–2007年历史镜像，本报告提出三项可量化、可监测、可证伪的顶部信号，每项信号对应一种终结机制。</w:t>
      </w:r>
    </w:p>
    <w:p w14:paraId="08936F6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3.1 S1：云厂商资本开支增速二阶导转负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8029"/>
      </w:tblGrid>
      <w:tr w14:paraId="1AA73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63C1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BADC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50D5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B19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9E4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算力需求的“真金”指标瓦解，证伪永续高增长叙事</w:t>
            </w:r>
          </w:p>
        </w:tc>
      </w:tr>
      <w:tr w14:paraId="79C8D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3F4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09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2007年11月中国固定资产投资增速见顶→2008年铜真实需求断崖</w:t>
            </w:r>
          </w:p>
        </w:tc>
      </w:tr>
      <w:tr w14:paraId="59253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3D3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879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Capex同比增速连续两季&lt;20%或环比负增长（模型假设）</w:t>
            </w:r>
          </w:p>
        </w:tc>
      </w:tr>
      <w:tr w14:paraId="60A03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9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DE0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（M7 Capex/Rev约30%，增速仍高）</w:t>
            </w:r>
          </w:p>
        </w:tc>
      </w:tr>
      <w:tr w14:paraId="3C8AE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0BB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39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 2026Q3财报电话会CFO口径变化；台积电CoWoS订单变化</w:t>
            </w:r>
          </w:p>
        </w:tc>
      </w:tr>
      <w:tr w14:paraId="5621A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D17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88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10-Q/10-K、台积电月度营收</w:t>
            </w:r>
          </w:p>
        </w:tc>
      </w:tr>
      <w:tr w14:paraId="264CB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C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9F5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4B88A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9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4C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⏱ 领先指标（领先1–2季度）</w:t>
            </w:r>
          </w:p>
        </w:tc>
      </w:tr>
    </w:tbl>
    <w:p w14:paraId="5512F8D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3.2 S2：标志性AI独角兽巨型IPO首日即巅峰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7893"/>
      </w:tblGrid>
      <w:tr w14:paraId="074A5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1B57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B49C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6BE42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D76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64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市场流动性已无法支撑“梦想变现”</w:t>
            </w:r>
          </w:p>
        </w:tc>
      </w:tr>
      <w:tr w14:paraId="40DE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607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E0B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2007年11月5日中石油上市高开低走→上证指数大顶</w:t>
            </w:r>
          </w:p>
        </w:tc>
      </w:tr>
      <w:tr w14:paraId="52F78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526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E6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IPO首日高开&gt;50%后收长阴线（模型假设）</w:t>
            </w:r>
          </w:p>
        </w:tc>
      </w:tr>
      <w:tr w14:paraId="172A1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76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9A0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（OpenAI未上市）</w:t>
            </w:r>
          </w:p>
        </w:tc>
      </w:tr>
      <w:tr w14:paraId="0FF52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C4F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EFD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SEC关于大型AI公司IPO的注册声明；OpenAI上市首日表现</w:t>
            </w:r>
          </w:p>
        </w:tc>
      </w:tr>
      <w:tr w14:paraId="7A83A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693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DC8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EDGAR、Bloomberg</w:t>
            </w:r>
          </w:p>
        </w:tc>
      </w:tr>
      <w:tr w14:paraId="4676F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CD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F49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IPO后每日跟踪</w:t>
            </w:r>
          </w:p>
        </w:tc>
      </w:tr>
      <w:tr w14:paraId="4B05A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CE6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72E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🔴 同步确认信号</w:t>
            </w:r>
          </w:p>
        </w:tc>
      </w:tr>
    </w:tbl>
    <w:p w14:paraId="3237B63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OpenAI拟IPO的估值变化（非公开信息，仅供参考）：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4298"/>
        <w:gridCol w:w="3011"/>
      </w:tblGrid>
      <w:tr w14:paraId="7A559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E1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C9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17E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</w:tr>
      <w:tr w14:paraId="43F23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73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3B7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约5000亿美元（要约收购）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09B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tender offer</w:t>
            </w:r>
          </w:p>
        </w:tc>
      </w:tr>
      <w:tr w14:paraId="011DA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F5D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2026年3月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CC4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约8500亿美元（内部估值）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279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D64F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4A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7D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拟IPO约1000亿美元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7A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预计2026Q4–2027Q1</w:t>
            </w:r>
          </w:p>
        </w:tc>
      </w:tr>
    </w:tbl>
    <w:p w14:paraId="363F979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3.3 S3：龙头估值框架崩溃+应用端收入证伪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8050"/>
      </w:tblGrid>
      <w:tr w14:paraId="599CC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6CA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0EE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7FFEB9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A70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4FC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估值从“梦想定价”切换为“残值定价”</w:t>
            </w:r>
          </w:p>
        </w:tc>
      </w:tr>
      <w:tr w14:paraId="505FC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7E8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5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2007年10月中铝高PE后暴跌</w:t>
            </w:r>
          </w:p>
        </w:tc>
      </w:tr>
      <w:tr w14:paraId="12958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31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6EB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NVDA营收环比增速降至个位数；Copilot付费渗透率停滞（模型假设）</w:t>
            </w:r>
          </w:p>
        </w:tc>
      </w:tr>
      <w:tr w14:paraId="4FDA0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51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BD3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（NVDA P/S约20，Copilot渗透率约3.3%）</w:t>
            </w:r>
          </w:p>
        </w:tc>
      </w:tr>
      <w:tr w14:paraId="79C20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08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09A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NVDA季报营收环比；Microsoft Office云收入增速</w:t>
            </w:r>
          </w:p>
        </w:tc>
      </w:tr>
      <w:tr w14:paraId="2963E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66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405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</w:t>
            </w:r>
          </w:p>
        </w:tc>
      </w:tr>
      <w:tr w14:paraId="076A3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3D5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4CF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582E5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40E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E50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🔵 滞后/确认信号</w:t>
            </w:r>
          </w:p>
        </w:tc>
      </w:tr>
    </w:tbl>
    <w:p w14:paraId="0441AEA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3.4 综合评分与操作建议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42"/>
        <w:gridCol w:w="4922"/>
      </w:tblGrid>
      <w:tr w14:paraId="477EA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5B3D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095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970F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操作建议</w:t>
            </w:r>
          </w:p>
        </w:tc>
      </w:tr>
      <w:tr w14:paraId="45CD8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703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0/3 ~ 0.5/3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C0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安全（</w:t>
            </w: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当前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E4F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维持AI仓位60–70%，跟踪S1</w:t>
            </w:r>
          </w:p>
        </w:tc>
      </w:tr>
      <w:tr w14:paraId="1139E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68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794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预警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707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减仓AI至30–40%</w:t>
            </w:r>
          </w:p>
        </w:tc>
      </w:tr>
      <w:tr w14:paraId="6560F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CC2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CFA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危险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459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AI降至10–20%，转配债券/黄金</w:t>
            </w:r>
          </w:p>
        </w:tc>
      </w:tr>
      <w:tr w14:paraId="572BE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C3E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DAE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触发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DE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清仓风险资产，等待右侧机会</w:t>
            </w:r>
          </w:p>
        </w:tc>
      </w:tr>
    </w:tbl>
    <w:p w14:paraId="4A7A63D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当前评分：0/3 ~ 0.5/3（S1接近触发但未触发，S2/S3未触发）。</w:t>
      </w:r>
    </w:p>
    <w:p w14:paraId="5455724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3.5 关键监测日程（2026–2027）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2148"/>
        <w:gridCol w:w="2029"/>
        <w:gridCol w:w="1621"/>
        <w:gridCol w:w="1858"/>
      </w:tblGrid>
      <w:tr w14:paraId="7C633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87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CF2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9F57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BB2F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CD56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S3</w:t>
            </w:r>
          </w:p>
        </w:tc>
      </w:tr>
      <w:tr w14:paraId="66E6E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528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EF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Q2财报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E07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Capex增速拐点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A99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46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E2B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9DE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74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 IPO窗口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CC9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B7A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决定性观察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A19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0E10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3B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B2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Q3财报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8B2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二阶导验证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7A3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20F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</w:t>
            </w:r>
          </w:p>
        </w:tc>
      </w:tr>
      <w:tr w14:paraId="0B9F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98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F5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HBM产能释放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0A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供给拐点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2E6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6EC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5778E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D30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2027年Q1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AB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Q4财报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F24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终极验证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FF9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</w:tr>
    </w:tbl>
    <w:p w14:paraId="5513ACA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顶部窗口预测：2026年下半年至2027年上半年。</w:t>
      </w:r>
    </w:p>
    <w:p w14:paraId="6ED44BD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附录A：三国货币政策指标不对称的方法论说明</w:t>
      </w:r>
    </w:p>
    <w:p w14:paraId="616DDBD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三国货币政策框架存在结构性差异，直接使用同一指标比较易产生误导。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3089"/>
        <w:gridCol w:w="2134"/>
        <w:gridCol w:w="3457"/>
      </w:tblGrid>
      <w:tr w14:paraId="02101E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74FB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A41C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A33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D48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原因</w:t>
            </w:r>
          </w:p>
        </w:tc>
      </w:tr>
      <w:tr w14:paraId="7F58C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65E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B87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充分就业+物价稳定（双目标制）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ED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A98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利率走廊机制，利率为直接工具</w:t>
            </w:r>
          </w:p>
        </w:tc>
      </w:tr>
      <w:tr w14:paraId="72AE9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70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B2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经济增长+货币供应（多目标制）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58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M2增速+存贷款基准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91F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数量型工具+管制利率（2019年改革前）</w:t>
            </w:r>
          </w:p>
        </w:tc>
      </w:tr>
      <w:tr w14:paraId="6244A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0B3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00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通胀+利率曲线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1E6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无担保隔夜利率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161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量化宽松后转向价格型</w:t>
            </w:r>
          </w:p>
        </w:tc>
      </w:tr>
    </w:tbl>
    <w:p w14:paraId="7DF0836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关键方法论修正：</w:t>
      </w:r>
    </w:p>
    <w:p w14:paraId="0EEE970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须使用同期限市场利率进行短长利差对比：不可将央行管制利率与市场化利率直接比较。</w:t>
      </w:r>
    </w:p>
    <w:p w14:paraId="7223FA5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须区分政策利率与市场利率：中国贷款基准为管制利率，国债为市场化利率。</w:t>
      </w:r>
    </w:p>
    <w:p w14:paraId="6948F5C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"管制利率倒挂"为2007年特有现象：存款基准4.14%高于1年期国债（年末约3.8%）。</w:t>
      </w:r>
    </w:p>
    <w:p w14:paraId="2F091F5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附录B：2005–2007年重大事件时间轴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5006"/>
        <w:gridCol w:w="1293"/>
      </w:tblGrid>
      <w:tr w14:paraId="546B9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537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FD6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56DA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类型</w:t>
            </w:r>
          </w:p>
        </w:tc>
      </w:tr>
      <w:tr w14:paraId="6D74F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BB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E6C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股改启动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ED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59D7A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6DA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7A4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人民币汇改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F8C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</w:t>
            </w:r>
          </w:p>
        </w:tc>
      </w:tr>
      <w:tr w14:paraId="3D427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81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0F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神华H股IPO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55A3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6A7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9E8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2006年4月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94E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A4C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39B01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D9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A6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LME铜8790美元/吨历史峰值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2C4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</w:t>
            </w:r>
          </w:p>
        </w:tc>
      </w:tr>
      <w:tr w14:paraId="5ED5C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DD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C0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美联储加息见顶5.25%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35D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</w:t>
            </w:r>
          </w:p>
        </w:tc>
      </w:tr>
      <w:tr w14:paraId="53D5A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DA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2007年4月30日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FB1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中铝吸收合并山铝/兰铝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BFF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</w:t>
            </w:r>
          </w:p>
        </w:tc>
      </w:tr>
      <w:tr w14:paraId="670EC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A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2007年5月30日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16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印花税1‰→3‰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A24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6664D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F4F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2007年7月12日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D6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西部矿业上市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EB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31A0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1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2007年9月25日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545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9A1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444EA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5D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2007年10月9日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134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CD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17B8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15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F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上证6124见顶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F85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  <w:tr w14:paraId="7D0C2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80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24E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B4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59E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C75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2008年10月28日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2A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上证1664金融危机底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9E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</w:tbl>
    <w:p w14:paraId="4A33A61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附录C：数据来源说明</w:t>
      </w:r>
    </w:p>
    <w:p w14:paraId="3A78126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核心数据文件清单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（</w:t>
      </w:r>
      <w:r>
        <w:rPr>
          <w:rStyle w:val="12"/>
          <w:rFonts w:ascii="Consolas" w:hAnsi="Consolas" w:eastAsia="Consolas" w:cs="Consolas"/>
          <w:color w:val="0F1115"/>
          <w:sz w:val="18"/>
          <w:szCs w:val="18"/>
          <w:shd w:val="clear" w:color="auto" w:fill="EBEEF2"/>
        </w:rPr>
        <w:t>TopicResearch/data/raw/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）如下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4117"/>
        <w:gridCol w:w="2765"/>
      </w:tblGrid>
      <w:tr w14:paraId="1208B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5F26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100C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6D3D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45C13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9AE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fedfunds_clean.json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BD0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0FF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0758B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EE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gs10_clean.json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88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美10年期国债收益率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7B9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647EA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09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mortgage30us_clean.json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46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美30年房贷利率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419C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5213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5A5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dtwx_clean.json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2A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51E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1619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E57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m2sl_clean.json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B91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美国M2货币供应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278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2AF1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370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china_macro_data.json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CE9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中国M2/外储/贸易/GDP/CPI/利率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76C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PBOC/海关/国家统计局</w:t>
            </w:r>
          </w:p>
        </w:tc>
      </w:tr>
      <w:tr w14:paraId="17E30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183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japan_macro_data.json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F0F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日本利率/JGB/汇率/外储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19A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BOJ/IMF</w:t>
            </w:r>
          </w:p>
        </w:tc>
      </w:tr>
      <w:tr w14:paraId="104DF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6B7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three_country_data.json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BC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三国GDP/CPI/债务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F26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IMF/World Bank</w:t>
            </w:r>
          </w:p>
        </w:tc>
      </w:tr>
      <w:tr w14:paraId="75B1A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EF4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ai_sector_data.json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72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M7营收/Capex/NDX/Copilot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2A0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EDGAR/公司年报</w:t>
            </w:r>
          </w:p>
        </w:tc>
      </w:tr>
      <w:tr w14:paraId="772BD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1A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ipo_data.json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42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 IPO数据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51E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公开市场信息</w:t>
            </w:r>
          </w:p>
        </w:tc>
      </w:tr>
      <w:tr w14:paraId="7B50B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B2C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metal_performance.json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8F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2005–2007金属涨幅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20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</w:tr>
      <w:tr w14:paraId="64D0E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174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event_timeline.json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0E8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重大事件时间轴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BB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综合</w:t>
            </w:r>
          </w:p>
        </w:tc>
      </w:tr>
      <w:tr w14:paraId="001D9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7CE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expectations_data.json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A4B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IMF/卖方预期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CC4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</w:t>
            </w:r>
          </w:p>
        </w:tc>
      </w:tr>
    </w:tbl>
    <w:p w14:paraId="0AD5724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数据源机构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398D91C4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071DE61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FRED（美联储经济数据）</w:t>
      </w:r>
    </w:p>
    <w:p w14:paraId="21118987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38D5D337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PBOC（中国人民银行）</w:t>
      </w:r>
    </w:p>
    <w:p w14:paraId="7E14B048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ABBA90C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BOJ（日本银行）</w:t>
      </w:r>
    </w:p>
    <w:p w14:paraId="0C512AF9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20EA3E7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IMF（国际货币基金组织）</w:t>
      </w:r>
    </w:p>
    <w:p w14:paraId="556A406D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68368B75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World Bank（世界银行）</w:t>
      </w:r>
    </w:p>
    <w:p w14:paraId="0F90FCF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8466EEB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SEC EDGAR（美国证券交易委员会）</w:t>
      </w:r>
    </w:p>
    <w:p w14:paraId="511A149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095FD2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LME（伦敦金属交易所）</w:t>
      </w:r>
    </w:p>
    <w:p w14:paraId="451D1EB3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092FA3F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中国国家统计局</w:t>
      </w:r>
    </w:p>
    <w:p w14:paraId="03B182D7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BF51240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中国海关总署</w:t>
      </w:r>
    </w:p>
    <w:p w14:paraId="13C9F82B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6425812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公司年报（江西铜业、云南铜业、中国铝业、紫金矿业等）</w:t>
      </w:r>
    </w:p>
    <w:p w14:paraId="7A398B3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修正说明</w:t>
      </w:r>
    </w:p>
    <w:p w14:paraId="0C9DE32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v2.4版本在前序版本基础上进一步优化了语言表达。相较于v2.1版本的事实核查，核心数据修正如下：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151"/>
        <w:gridCol w:w="1716"/>
        <w:gridCol w:w="2270"/>
        <w:gridCol w:w="2584"/>
      </w:tblGrid>
      <w:tr w14:paraId="3F411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BE2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EFBD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F615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6D79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8CB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修正依据</w:t>
            </w:r>
          </w:p>
        </w:tc>
      </w:tr>
      <w:tr w14:paraId="22293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89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AC3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日本2005年GDP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7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D4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AE4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926B2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9F6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88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日本2006年GDP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A2D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610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E5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1E94B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57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E98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日本2007年GDP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BC9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75F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D7D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HYPERLINK "https://www.stats.gov.cn/sj/ndsj/2008/html/Z2603e.htm"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BFDD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30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47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1Y国债2.79%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FC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误为国债收益率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D3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实为1Y存款基准利率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5D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人民银行公告</w:t>
            </w:r>
          </w:p>
        </w:tc>
      </w:tr>
      <w:tr w14:paraId="2CB64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985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144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LME铜见顶时间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F26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F94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2006年5月11日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18C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LME公开数据</w:t>
            </w:r>
          </w:p>
        </w:tc>
      </w:tr>
      <w:tr w14:paraId="2A667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D78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A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中国铝业2007营收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5F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30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761.80亿元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2E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78C76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153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5E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中国铝业2006营收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B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750亿元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EE9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648.27亿元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F3E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64B5A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8FB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D8D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紫金矿业2006营收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DF2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38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约106–108亿元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417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公司公告</w:t>
            </w:r>
          </w:p>
        </w:tc>
      </w:tr>
      <w:tr w14:paraId="41045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7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34F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2025市场规模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5F6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393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2E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3E12E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DA5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05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2026E市场规模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05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A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692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674CB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4C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F42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Copilot渗透率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27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157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83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微软数据</w:t>
            </w:r>
          </w:p>
        </w:tc>
      </w:tr>
      <w:tr w14:paraId="5D2BD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26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F3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美国财政赤字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B22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AC6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联邦约1.0–1.2%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3D8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美国财政部（口径说明已补充）</w:t>
            </w:r>
          </w:p>
        </w:tc>
      </w:tr>
    </w:tbl>
    <w:p w14:paraId="752770B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估算值与模型假设（已在正文相应位置标注）：</w:t>
      </w:r>
    </w:p>
    <w:p w14:paraId="051C8E81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339392F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日元套利规模（$500B+）：业内估算</w:t>
      </w:r>
    </w:p>
    <w:p w14:paraId="3F7954EF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2CBC3AC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外汇占款增量：基于央行资产负债表的近似估算</w:t>
      </w:r>
    </w:p>
    <w:p w14:paraId="4C28AC7A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4F6DB4A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M7 Capex/Rev阈值35%：基于历史固投增速见顶经验的模型假设</w:t>
      </w:r>
    </w:p>
    <w:p w14:paraId="3EB7B5C5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28C5174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S1/S2/S3量化阈值：基于历史类比推导的监测阈值</w:t>
      </w:r>
    </w:p>
    <w:p w14:paraId="2C1A573B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09914FD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</w:p>
    <w:p w14:paraId="26B1E4E5"/>
    <w:p w14:paraId="11A6F897">
      <w:pPr>
        <w:widowControl/>
        <w:shd w:val="clear" w:color="auto" w:fill="FFFFFF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D9B72B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一、宏观经济数据</w:t>
      </w:r>
    </w:p>
    <w:p w14:paraId="5F8C1F8E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 美国GDP增速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420"/>
        <w:gridCol w:w="6836"/>
      </w:tblGrid>
      <w:tr w14:paraId="1A87E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3855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E627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575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17B69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279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2B5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6EA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美国经济分析局（BEA）数据，引自国家统计局国际统计年鉴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37502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F64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9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6FE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E24E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F0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8C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0EC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85DA2D8">
      <w:pPr>
        <w:widowControl/>
        <w:numPr>
          <w:ilvl w:val="0"/>
          <w:numId w:val="4"/>
        </w:numPr>
        <w:spacing w:beforeAutospacing="1" w:afterAutospacing="1"/>
        <w:ind w:left="0" w:firstLine="440"/>
      </w:pPr>
    </w:p>
    <w:p w14:paraId="0B3CE46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3A1221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 中国GDP增速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441"/>
        <w:gridCol w:w="5056"/>
      </w:tblGrid>
      <w:tr w14:paraId="422BB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1B0E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D42D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550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2C238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4E3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FF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AAE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E67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4A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6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1AC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F19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F4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F2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94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4CF6873">
      <w:pPr>
        <w:widowControl/>
        <w:numPr>
          <w:ilvl w:val="0"/>
          <w:numId w:val="5"/>
        </w:numPr>
        <w:spacing w:beforeAutospacing="1" w:afterAutospacing="1"/>
        <w:ind w:left="0" w:firstLine="440"/>
      </w:pPr>
    </w:p>
    <w:p w14:paraId="53E7054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60C163A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 日本GDP增速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3355"/>
        <w:gridCol w:w="4557"/>
      </w:tblGrid>
      <w:tr w14:paraId="6F8E4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9041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BA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6D8F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3968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C8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4C1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207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IMF数据库，引自国家统计局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5E8A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D27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8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F1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D744E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4E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E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42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1E230FF">
      <w:pPr>
        <w:widowControl/>
        <w:numPr>
          <w:ilvl w:val="0"/>
          <w:numId w:val="6"/>
        </w:numPr>
        <w:spacing w:beforeAutospacing="1" w:afterAutospacing="1"/>
        <w:ind w:left="0" w:firstLine="440"/>
      </w:pPr>
    </w:p>
    <w:p w14:paraId="7D7E610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；日本内阁府2006年经济预测调整报道 </w:t>
      </w:r>
      <w:r>
        <w:fldChar w:fldCharType="begin"/>
      </w:r>
      <w:r>
        <w:instrText xml:space="preserve"> HYPERLINK "https://www.cei.cn/"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745C504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二、货币政策</w:t>
      </w:r>
    </w:p>
    <w:p w14:paraId="1481C4B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4. 美联储联邦基金利率（2007年5.25%）</w:t>
      </w:r>
    </w:p>
    <w:p w14:paraId="516538A3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333AA4F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：美联储自2006年6月起将联邦基金利率维持在5.25%，2007年连续多次维持不变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</w:p>
    <w:p w14:paraId="6BD7C38A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4F75723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：北方网2007年5月11日报道 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；全景网2007年8月8日报道 </w:t>
      </w:r>
      <w:r>
        <w:fldChar w:fldCharType="begin"/>
      </w:r>
      <w:r>
        <w:instrText xml:space="preserve"> HYPERLINK "https://www.p5w.net/"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AC06E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5. 美国10年期国债收益率（2007年）</w:t>
      </w:r>
    </w:p>
    <w:p w14:paraId="4D914147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5882229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：2007年6月一度触及5.25-5.30%；11月初约4.625%；12月回落至约4.04%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3753CD1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13AAE87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：FRED美联储10年期通胀指数国债数据 </w:t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；中国经济网2007年12月21日报道 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EA5864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6. 中国1年期贷款基准利率（2007年12月7.47%）</w:t>
      </w:r>
    </w:p>
    <w:p w14:paraId="4F1C6812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0FD1491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：中国人民银行2007年12月21日调整，一年期贷款基准利率由7.29%上调至7.47%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6AECD270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1A51F48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：新浪财经转载央行公告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；中国人民银行南京分行公告 </w:t>
      </w:r>
      <w:r>
        <w:fldChar w:fldCharType="begin"/>
      </w:r>
      <w:r>
        <w:instrText xml:space="preserve"> HYPERLINK "http://nanjing.pbc.gov.cn/"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51F5B07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7. 中国1年期存款基准利率（2007年12月4.14%）</w:t>
      </w:r>
    </w:p>
    <w:p w14:paraId="2EF3EFEA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5F47AB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：中国人民银行2007年12月21日调整，一年期存款基准利率由3.87%上调至4.14%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5B935ECD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3FA8B7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：同上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469CA7C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8. 中国1年期存款基准利率（2007年3月2.79%）</w:t>
      </w:r>
    </w:p>
    <w:p w14:paraId="02DD0491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7404D38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：中国人民银行2007年3月18日调整，一年期存款基准利率由2.25%提高到2.79%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78343D0F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071756D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说明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报告原将2.79%误记为1年期国债收益率，实为存款基准利率</w:t>
      </w:r>
    </w:p>
    <w:p w14:paraId="256A7F32">
      <w:pPr>
        <w:widowControl/>
        <w:numPr>
          <w:ilvl w:val="0"/>
          <w:numId w:val="11"/>
        </w:numPr>
        <w:spacing w:before="90" w:afterAutospacing="1"/>
        <w:ind w:left="0" w:firstLine="440"/>
      </w:pPr>
    </w:p>
    <w:p w14:paraId="019E70E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：新浪财经央行利率调整示意图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365D987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9. 中国1年期国债收益率（2007年）</w:t>
      </w:r>
    </w:p>
    <w:p w14:paraId="3FB0066C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EF32AB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：2007年1月初上交所约2.46%；1月末约1.86%；9月新发国债票面利率2.95%；12月新发国债中标利率3.66%</w:t>
      </w:r>
    </w:p>
    <w:p w14:paraId="31BA5AEA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53E91D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：中国经济网2007年1月8日报道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；中国经济网2007年9月13日报道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C6D758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三、汇率</w:t>
      </w:r>
    </w:p>
    <w:p w14:paraId="6E421A5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10. 美元指数（2005年约92 → 2007年约80）</w:t>
      </w:r>
    </w:p>
    <w:p w14:paraId="78F8C607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7AD1FFB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：美元指数2004年底曾跌至80.4低点；2005-2008年持续下跌，2008年7月创71.25历史低点</w:t>
      </w:r>
    </w:p>
    <w:p w14:paraId="654AFA99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087C9C92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：上海证券报2007年8月9日报道 </w:t>
      </w:r>
      <w:r>
        <w:fldChar w:fldCharType="begin"/>
      </w:r>
      <w:r>
        <w:instrText xml:space="preserve"> HYPERLINK "http://paper.cnstock.com/"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F8F507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11. 人民币汇率（2007年7月突破7.61）</w:t>
      </w:r>
    </w:p>
    <w:p w14:paraId="280F1E15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6701C33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：2007年7月2日人民币对美元中间价突破7.61关口，报7.6075</w:t>
      </w:r>
    </w:p>
    <w:p w14:paraId="49AB595E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4D90480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：新浪财经2007年7月3日报道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3294A48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四、外汇储备</w:t>
      </w:r>
    </w:p>
    <w:p w14:paraId="5213760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12. 中国外汇储备（2005年8,189亿 → 2007年15,282亿）</w:t>
      </w:r>
    </w:p>
    <w:p w14:paraId="4FA414DB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64C0EA6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：2005年8,188.72亿美元，2006年10,663.44亿美元，2007年15,282.49亿美元</w:t>
      </w:r>
    </w:p>
    <w:p w14:paraId="57EC5664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20BB1B4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：新浪财经2013年报道（引用国家外汇管理局数据）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45129B0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五、财政政策</w:t>
      </w:r>
    </w:p>
    <w:p w14:paraId="75D16D3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13. 美国2007财年财政赤字（占GDP约1.2%）</w:t>
      </w:r>
    </w:p>
    <w:p w14:paraId="7E58FBB3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6BCFEE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：美国财政部公布2007财年联邦赤字1,628亿美元，占GDP约1.2%</w:t>
      </w:r>
    </w:p>
    <w:p w14:paraId="0B8CE8E0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7CE88E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：新浪财经2007年10月12日报道 </w:t>
      </w:r>
      <w:r>
        <w:fldChar w:fldCharType="begin"/>
      </w:r>
      <w:r>
        <w:instrText xml:space="preserve"> HYPERLINK "https://finance.sina.cn/"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0965FFB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六、资本市场</w:t>
      </w:r>
    </w:p>
    <w:p w14:paraId="291029D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14. 上证指数2005-2007涨幅（513%）</w:t>
      </w:r>
    </w:p>
    <w:p w14:paraId="6C21B11C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63946C1E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：上证指数从2005年6月998点涨至2007年10月6124点，涨幅513%</w:t>
      </w:r>
    </w:p>
    <w:p w14:paraId="500498EF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5B6BE117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：凤凰网2022年报道 </w:t>
      </w:r>
      <w:r>
        <w:fldChar w:fldCharType="begin"/>
      </w:r>
      <w:r>
        <w:instrText xml:space="preserve"> HYPERLINK "https://i.ifeng.com/"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；证券时报2014年报道 </w:t>
      </w:r>
      <w:r>
        <w:fldChar w:fldCharType="begin"/>
      </w:r>
      <w:r>
        <w:instrText xml:space="preserve"> HYPERLINK "http://epaper.stcn.com/"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4A70825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七、大宗商品</w:t>
      </w:r>
    </w:p>
    <w:p w14:paraId="26F056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15. LME铜价2006年5月见顶8,790美元/吨</w:t>
      </w:r>
    </w:p>
    <w:p w14:paraId="6D38E4A9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3AA916BD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：伦敦金属交易所(LME)三月期铜2006年5月11日达8,790美元/吨历史新高</w:t>
      </w:r>
    </w:p>
    <w:p w14:paraId="03DA2782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632A47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：中国证券报2006年5月25日报道 </w:t>
      </w:r>
      <w:r>
        <w:fldChar w:fldCharType="begin"/>
      </w:r>
      <w:r>
        <w:instrText xml:space="preserve"> HYPERLINK "http://epaper.cs.com.cn/"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FFDFBF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八、公司财务数据</w:t>
      </w:r>
    </w:p>
    <w:p w14:paraId="5E3787F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16. 江西铜业2005年营收133.4亿元</w:t>
      </w:r>
    </w:p>
    <w:p w14:paraId="1368DA71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3890D93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：江西铜业2005年年报显示主营业务收入1,334,069.24万元</w:t>
      </w:r>
    </w:p>
    <w:p w14:paraId="27EB2892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038024F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：新浪财经2006年4月28日报道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6179702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17. 中国铝业2007年营收761.80亿元</w:t>
      </w:r>
    </w:p>
    <w:p w14:paraId="320922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2370511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：中国铝业2007年年报显示营业收入761.80亿元，净利润102.25亿元</w:t>
      </w:r>
    </w:p>
    <w:p w14:paraId="26E3C3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0AC2D3A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：北方网2008年3月18日报道 </w:t>
      </w:r>
      <w:r>
        <w:fldChar w:fldCharType="begin"/>
      </w:r>
      <w:r>
        <w:instrText xml:space="preserve"> HYPERLINK "http://economy.enorth.com.cn/"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F3DE296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九、IPO数据</w:t>
      </w:r>
    </w:p>
    <w:p w14:paraId="342A948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18. 中国石油2007年IPO（募资668亿元，冻结3.3万亿）</w:t>
      </w:r>
    </w:p>
    <w:p w14:paraId="609182AB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494EC2B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：中国石油A股发行价16.7元，融资规模668亿元；冻结资金3.3万亿元</w:t>
      </w:r>
    </w:p>
    <w:p w14:paraId="6D90FC8F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6E35F37B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：中国新闻网2007年10月30日报道 </w:t>
      </w:r>
      <w:r>
        <w:fldChar w:fldCharType="begin"/>
      </w:r>
      <w:r>
        <w:instrText xml:space="preserve"> HYPERLINK "https://www.chinanews.com.cn/"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；财新网2007年11月12日报道 </w:t>
      </w:r>
      <w:r>
        <w:fldChar w:fldCharType="begin"/>
      </w:r>
      <w:r>
        <w:instrText xml:space="preserve"> HYPERLINK "http://magazine.caixin.com/"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6CAA780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十、AI板块数据</w:t>
      </w:r>
    </w:p>
    <w:p w14:paraId="4788B00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19.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434"/>
        <w:gridCol w:w="3390"/>
      </w:tblGrid>
      <w:tr w14:paraId="21D1B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667F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F63F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EB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49C7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C60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534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D03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7340B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693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22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58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1EDD7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C68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426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F44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491CD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BA5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99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A07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</w:tbl>
    <w:p w14:paraId="737557CF">
      <w:pPr>
        <w:widowControl/>
        <w:numPr>
          <w:ilvl w:val="0"/>
          <w:numId w:val="22"/>
        </w:numPr>
        <w:spacing w:beforeAutospacing="1" w:afterAutospacing="1"/>
        <w:ind w:left="0" w:firstLine="440"/>
      </w:pPr>
    </w:p>
    <w:p w14:paraId="77B6A0B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：网易2026年2月行业分析 </w:t>
      </w:r>
      <w:r>
        <w:fldChar w:fldCharType="begin"/>
      </w:r>
      <w:r>
        <w:instrText xml:space="preserve"> HYPERLINK "https://m.163.com/"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43FE0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20. Microsoft Copilot付费渗透率（约3.3%）</w:t>
      </w:r>
    </w:p>
    <w:p w14:paraId="119A1042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5E6E602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：Microsoft 365拥有约4.5亿商业用户，Copilot付费席位约1,500万个，渗透率约3.3%</w:t>
      </w:r>
    </w:p>
    <w:p w14:paraId="4B6CCB5B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27C24B8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：199IT 2026年5月报道 </w:t>
      </w:r>
      <w:r>
        <w:fldChar w:fldCharType="begin"/>
      </w:r>
      <w:r>
        <w:instrText xml:space="preserve"> HYPERLINK "https://www.199it.com/"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3D97D3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数据来源汇总表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3445"/>
        <w:gridCol w:w="3515"/>
      </w:tblGrid>
      <w:tr w14:paraId="07FAF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4D5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3917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093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备用来源</w:t>
            </w:r>
          </w:p>
        </w:tc>
      </w:tr>
      <w:tr w14:paraId="675A1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4A1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3E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美国经济分析局(BEA)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A1B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</w:p>
        </w:tc>
      </w:tr>
      <w:tr w14:paraId="4D42D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4D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0D0E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B03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7A6147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EC5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5F8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日本内阁府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9CA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20557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C2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D3B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美联储(FED)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C4D7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FRED数据库</w:t>
            </w:r>
          </w:p>
        </w:tc>
      </w:tr>
      <w:tr w14:paraId="691DE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C50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6FC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338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4762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195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C0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中国人民银行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C3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9A5C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D2CC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23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财政部/中债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6B6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076F9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A7D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外汇储备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FC1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国家外汇管理局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AF4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54B36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E0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6C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各国财政部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624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1D5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6EA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股市数据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5D8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交易所公开数据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055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45BE5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CF1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B81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2A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64F78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F7C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公司财务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278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公司年报(SEC/巨潮)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78F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C97E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F4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1C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71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A32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D5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HBM市场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A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Yole Group/行业研究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218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3A1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E4F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E47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微软财报/公开报道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921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行业分析</w:t>
            </w:r>
          </w:p>
        </w:tc>
      </w:tr>
    </w:tbl>
    <w:p w14:paraId="46EEC78A"/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8" w:lineRule="auto"/>
      </w:pPr>
      <w:r>
        <w:separator/>
      </w:r>
    </w:p>
  </w:footnote>
  <w:footnote w:type="continuationSeparator" w:id="1">
    <w:p>
      <w:pPr>
        <w:spacing w:before="0" w:after="0" w:line="40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244DA0"/>
    <w:multiLevelType w:val="singleLevel"/>
    <w:tmpl w:val="FA244DA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20"/>
  </w:num>
  <w:num w:numId="3">
    <w:abstractNumId w:val="1"/>
  </w:num>
  <w:num w:numId="4">
    <w:abstractNumId w:val="2"/>
  </w:num>
  <w:num w:numId="5">
    <w:abstractNumId w:val="18"/>
  </w:num>
  <w:num w:numId="6">
    <w:abstractNumId w:val="7"/>
  </w:num>
  <w:num w:numId="7">
    <w:abstractNumId w:val="14"/>
  </w:num>
  <w:num w:numId="8">
    <w:abstractNumId w:val="0"/>
  </w:num>
  <w:num w:numId="9">
    <w:abstractNumId w:val="19"/>
  </w:num>
  <w:num w:numId="10">
    <w:abstractNumId w:val="9"/>
  </w:num>
  <w:num w:numId="11">
    <w:abstractNumId w:val="13"/>
  </w:num>
  <w:num w:numId="12">
    <w:abstractNumId w:val="22"/>
  </w:num>
  <w:num w:numId="13">
    <w:abstractNumId w:val="12"/>
  </w:num>
  <w:num w:numId="14">
    <w:abstractNumId w:val="4"/>
  </w:num>
  <w:num w:numId="15">
    <w:abstractNumId w:val="17"/>
  </w:num>
  <w:num w:numId="16">
    <w:abstractNumId w:val="3"/>
  </w:num>
  <w:num w:numId="17">
    <w:abstractNumId w:val="15"/>
  </w:num>
  <w:num w:numId="18">
    <w:abstractNumId w:val="6"/>
  </w:num>
  <w:num w:numId="19">
    <w:abstractNumId w:val="16"/>
  </w:num>
  <w:num w:numId="20">
    <w:abstractNumId w:val="5"/>
  </w:num>
  <w:num w:numId="21">
    <w:abstractNumId w:val="11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32615"/>
    <w:rsid w:val="00181D45"/>
    <w:rsid w:val="0050731D"/>
    <w:rsid w:val="00714AA3"/>
    <w:rsid w:val="009D0C94"/>
    <w:rsid w:val="00AF0367"/>
    <w:rsid w:val="00CE0F85"/>
    <w:rsid w:val="06460B11"/>
    <w:rsid w:val="4F932615"/>
    <w:rsid w:val="585F4F12"/>
    <w:rsid w:val="78CD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408" w:lineRule="auto"/>
      <w:ind w:firstLine="440"/>
      <w:jc w:val="both"/>
    </w:pPr>
    <w:rPr>
      <w:rFonts w:asciiTheme="minorHAnsi" w:hAnsiTheme="minorHAnsi" w:eastAsiaTheme="minorEastAsia" w:cstheme="minorBidi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  <w:outlineLvl w:val="0"/>
    </w:pPr>
    <w:rPr>
      <w:rFonts w:hint="eastAsia" w:ascii="Times New Roman" w:hAnsi="Times New Roman" w:eastAsia="宋体" w:cs="Times New Roman"/>
      <w:b/>
      <w:bCs/>
      <w:color w:val="1E3A5F"/>
      <w:kern w:val="44"/>
      <w:sz w:val="36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  <w:outlineLvl w:val="1"/>
    </w:pPr>
    <w:rPr>
      <w:rFonts w:hint="eastAsia" w:ascii="Times New Roman" w:hAnsi="Times New Roman" w:eastAsia="宋体" w:cs="Times New Roman"/>
      <w:b/>
      <w:bCs/>
      <w:color w:val="1E3A5F"/>
      <w:kern w:val="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  <w:outlineLvl w:val="2"/>
    </w:pPr>
    <w:rPr>
      <w:rFonts w:hint="eastAsia" w:ascii="Times New Roman" w:hAnsi="Times New Roman" w:eastAsia="宋体" w:cs="Times New Roman"/>
      <w:b/>
      <w:bCs/>
      <w:color w:val="1E3A5F"/>
      <w:kern w:val="0"/>
      <w:sz w:val="24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Autospacing="1" w:line="312" w:lineRule="auto"/>
      <w:ind w:firstLine="0"/>
      <w:jc w:val="left"/>
      <w:outlineLvl w:val="3"/>
    </w:pPr>
    <w:rPr>
      <w:rFonts w:hint="eastAsia" w:ascii="Times New Roman" w:hAnsi="Times New Roman" w:eastAsia="宋体" w:cs="Times New Roman"/>
      <w:b/>
      <w:bCs/>
      <w:color w:val="475569"/>
      <w:kern w:val="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1742</Words>
  <Characters>2134</Characters>
  <Lines>170</Lines>
  <Paragraphs>48</Paragraphs>
  <TotalTime>249</TotalTime>
  <ScaleCrop>false</ScaleCrop>
  <LinksUpToDate>false</LinksUpToDate>
  <CharactersWithSpaces>2140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2026-06-29T05:00:00Z</dcterms:created>
  <dc:creator>ll</dc:creator>
  <cp:lastModifiedBy>ll</cp:lastModifiedBy>
  <dcterms:modified xsi:type="dcterms:W3CDTF">2026-06-29T10:16:26Z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4D9ACDD3ED5848A081CB6B19EF5F5FE7_13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