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EBB4B">
      <w:pPr>
        <w:pStyle w:val="2"/>
        <w:widowControl/>
        <w:shd w:val="clear" w:color="auto" w:fill="FFFFFF"/>
        <w:spacing w:before="0" w:beforeAutospacing="0" w:after="240" w:afterAutospacing="0" w:line="510" w:lineRule="atLeast"/>
        <w:rPr>
          <w:rFonts w:hint="default" w:ascii="Segoe UI" w:hAnsi="Segoe UI" w:eastAsia="Segoe UI" w:cs="Segoe UI"/>
          <w:color w:val="0F1115"/>
          <w:szCs w:val="36"/>
        </w:rPr>
      </w:pPr>
      <w:r>
        <w:rPr>
          <w:rFonts w:hint="default" w:ascii="Segoe UI" w:hAnsi="Segoe UI" w:eastAsia="Segoe UI" w:cs="Segoe UI"/>
          <w:color w:val="0F1115"/>
          <w:szCs w:val="36"/>
          <w:shd w:val="clear" w:color="auto" w:fill="FFFFFF"/>
        </w:rPr>
        <w:t>复盘2005–2007年有色金属超级周期与当前AI板块投资的结构性比较</w:t>
      </w:r>
    </w:p>
    <w:p w14:paraId="7CC4245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摘要</w:t>
      </w:r>
    </w:p>
    <w:p w14:paraId="0BB2279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本报告旨在回答一项核心问题：2005–2007年有色金属超级周期与当前人工智能（AI）板块投资热潮，在结构性层面是否存在可</w:t>
      </w:r>
      <w:bookmarkStart w:id="0" w:name="_GoBack"/>
      <w:bookmarkEnd w:id="0"/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比性。通过对宏观背景、流动性生成机制、估值框架及政策路径的系统比对，研究发现两轮行情在"资本开支驱动的需求正反馈"上高度同构，但在"流动性来源"与"估值锚定"上存在本质差异。基于上述比较，本报告构建三项可量化、可监测、可证伪的顶部信号，组合运用可在不同情境下对风险进行提示性评估。</w:t>
      </w:r>
    </w:p>
    <w:p w14:paraId="4CA5C8E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–2007年间，全球形成"消费国—生产国—融资国"三角闭环——美国（消费+地产+金融杠杆）、中国（工业生产+固定资产投资+资源消耗）、日本（低成本资金+高端中间品）。该闭环与中国管制利率体系下3.33%的贷存利差，共同构成商品超级周期的核心燃料。2007年10月16日，上证指数触及6124点，PE达50倍（99%历史分位），有色金属板块动态PE约49倍，三大见顶特征——商品与股价顶背离、垃圾股补涨、巨型IPO放量长阴——同步显现。</w:t>
      </w:r>
    </w:p>
    <w:p w14:paraId="0F19728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2023–2026年间，三角闭环已然破裂：美国由"消费国"转向"AI创新国"，中国由"生产国"转向"追赶国+国产替代主导国"，日本在AI产业链中角色明显弱化。中美进入"AI军备竞赛+芯片管制"的竞合状态。尽管如此，两轮行情仍存五项共性：资本开支驱动的需求正反馈、央行或头部企业（M7）流动性释放、估值脱离短期盈利、政策面临两难困境，以及最终由供给响应或需求证伪触发转折。</w:t>
      </w:r>
    </w:p>
    <w:p w14:paraId="5E4C783E">
      <w:pPr>
        <w:widowControl/>
        <w:shd w:val="clear" w:color="auto" w:fill="FFFFFF"/>
        <w:spacing w:before="240"/>
        <w:rPr>
          <w:rFonts w:ascii="Segoe UI" w:hAnsi="Segoe UI" w:eastAsia="Segoe UI" w:cs="Segoe UI"/>
          <w:strike/>
          <w:color w:val="0F1115"/>
          <w:sz w:val="24"/>
        </w:rPr>
      </w:pPr>
      <w:r>
        <w:rPr>
          <w:rFonts w:ascii="Segoe UI" w:hAnsi="Segoe UI" w:eastAsia="Segoe UI" w:cs="Segoe UI"/>
          <w:b/>
          <w:bCs/>
          <w:strike/>
          <w:color w:val="0F1115"/>
          <w:sz w:val="24"/>
          <w:shd w:val="clear" w:color="auto" w:fill="FFFFFF"/>
        </w:rPr>
        <w:t>顶部窗口预判：2026年下半年至2027年上半年。当前综合评分：0/3 ~ 0.5/3（维持观察）。关键监测节点：OpenAI首次公开募股（IPO）后30个交易日的市场表现。</w:t>
      </w:r>
    </w:p>
    <w:p w14:paraId="36ADC76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核心观点</w:t>
      </w:r>
    </w:p>
    <w:p w14:paraId="43C69A7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一：三角闭环是商品超级周期的制度性基石。2005–2007年全球资产价格超级周期，本质上是美中日三国在"消费—生产—融资"链条上形成结构性互补的产物。2023–2026年该闭环虽已瓦解，但AI资本开支驱动的"企业内生化"需求正反馈依然有效。</w:t>
      </w:r>
    </w:p>
    <w:p w14:paraId="351FE8D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二：中国2005–2007年的管制利率体系构成泡沫的制度基础。彼时，1年期贷款基准利率7.47%、存款基准利率4.14%、10年期国债收益率约4.5%，形成"管制利率倒挂"（存款基准高于无风险利率）及3.33%的贷存利差，为股市及楼市泡沫提供了重要制度条件。2023–2026年，LPR改革已根本改变这一体系。</w:t>
      </w:r>
    </w:p>
    <w:p w14:paraId="24339F3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三：三角闭环虽破裂，但资本开支正反馈依然有效。2005–2007年为央行被动投放流动性（外汇占款），2023–2026年为M7企业主动进行资本开支（盈利再投资）。两者均形成"资本支出→需求→业绩→股价→进一步资本支出"的正向循环。但2023–2026年的脆弱性集中于M7七家头部企业，而非整个信贷体系。</w:t>
      </w:r>
    </w:p>
    <w:p w14:paraId="6B702CDD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观点四：S1信号（资本开支增速二阶导转负）是最关键的领先指标。当前M7 Capex/Rev已达30%，距35%阈值仅5个百分点。该阈值与2007年中国固投增速从高位回落的历史经验具有可比性。</w:t>
      </w:r>
    </w:p>
    <w:p w14:paraId="49760E5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观点五：S2信号（标志性AI企业IPO首日即巅峰）是同步确认指标。OpenAI拟IPO规模或达1000亿美元（约占纳斯达克100流通市值的0.4%）。若上市首日高开超50%后收长阴线，将复现2007年11月5日中石油IPO的市场模式。</w:t>
      </w:r>
    </w:p>
    <w:p w14:paraId="5111541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第一部分：2005–2007年有色金属超级周期全景复盘</w:t>
      </w:r>
    </w:p>
    <w:p w14:paraId="20D47F9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2005–2007年为美中日三大经济体同步增长的罕见窗口，该同步性构成商品超级周期的宏观前提。本部分从经济增速、货币政策、汇率与贸易、外汇储备、财政政策及资本市场六个维度展开分析。</w:t>
      </w:r>
    </w:p>
    <w:p w14:paraId="1330111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1.1 全球主要经济体宏观背景</w:t>
      </w:r>
    </w:p>
    <w:p w14:paraId="360C402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1.1.1 经济增长：三国同步但结构互补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819"/>
        <w:gridCol w:w="1819"/>
        <w:gridCol w:w="1819"/>
        <w:gridCol w:w="1819"/>
        <w:gridCol w:w="1400"/>
      </w:tblGrid>
      <w:tr w14:paraId="1BC390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6C74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6D85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63F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626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7FC7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2007年名义GDP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E48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2007年CPI</w:t>
            </w:r>
          </w:p>
        </w:tc>
      </w:tr>
      <w:tr w14:paraId="5040A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7F7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DC7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40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479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86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165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</w:tr>
      <w:tr w14:paraId="357F9F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156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809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022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319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5F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6AA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4.8%</w:t>
            </w:r>
          </w:p>
        </w:tc>
      </w:tr>
      <w:tr w14:paraId="11D88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21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A99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6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43F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A1E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601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0.0%</w:t>
            </w:r>
          </w:p>
        </w:tc>
      </w:tr>
    </w:tbl>
    <w:p w14:paraId="3BAB7DE9">
      <w:pPr>
        <w:widowControl/>
        <w:ind w:left="720" w:right="720"/>
        <w:rPr>
          <w:rFonts w:hint="eastAsia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美国GDP数据来自Macrotrends和IMF，中国和日本GDP来自各国统计局及IMF。中国名义GDP增速及CPI同样来自国家统计局。</w:t>
      </w:r>
      <w:r>
        <w:rPr>
          <w:rFonts w:hint="eastAsia" w:ascii="微软雅黑" w:hAnsi="微软雅黑" w:eastAsia="微软雅黑" w:cs="微软雅黑"/>
          <w:b/>
          <w:bCs/>
          <w:color w:val="0F1115"/>
          <w:sz w:val="24"/>
          <w:shd w:val="clear" w:color="auto" w:fill="FFFFFF"/>
        </w:rPr>
        <w:t>时间拉长00年开始到今，+euro</w:t>
      </w:r>
    </w:p>
    <w:p w14:paraId="3D0A39B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那几年发生了几件大事：2005年6月股权分置改革启动（市场底部），7月人民币汇率形成机制改革启动，2006年6月美联储加息周期见顶于5.25%。</w:t>
      </w:r>
    </w:p>
    <w:p w14:paraId="4C544A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值得注意的是，中国名义GDP增速（23%）显著高于实际增速（14%），差值源于通胀及资产价格重估。日本实际增速已摆脱零增长（2005年1.9%、2006年2.4%、2007年2.1%），但名义增速仍接近零，通缩压力依然存在。美国GDP增速放缓但消费保持韧性，财富效应对商品需求形成支撑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1.1：名义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nom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1.2：实际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8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8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C03B6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1.1.2 货币政策：表面紧缩与实际宽松的背离</w:t>
      </w:r>
    </w:p>
    <w:p w14:paraId="61B4101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2007年三国货币政策呈现"表面紧缩、实际宽松"的悖论。若仅观察政策利率（美联储5.25%、中国1年期贷款基准7.47%、日本隔夜利率0.5%），三国均呈紧缩态势；但金融市场实际感受到的金融条件普遍偏宽松。</w:t>
      </w:r>
    </w:p>
    <w:p w14:paraId="53D9761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三层利率指标体系（同期限市场利率口径）：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2338"/>
        <w:gridCol w:w="3323"/>
        <w:gridCol w:w="2035"/>
      </w:tblGrid>
      <w:tr w14:paraId="095F5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3BA8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8928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A470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4507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9DE8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E52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760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联邦基金利率5.25%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1年期贷款基准7.47%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3F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隔夜利率0.5%</w:t>
            </w:r>
          </w:p>
        </w:tc>
      </w:tr>
      <w:tr w14:paraId="388C8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A04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短端市场利率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FB7D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1年期国债约4.5–4.7%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D6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1年期国债年初约2.1%/年末约3.8%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FF1C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1年期国债约0.6%</w:t>
            </w:r>
          </w:p>
        </w:tc>
      </w:tr>
      <w:tr w14:paraId="31E84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494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长端市场利率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7EED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10年期国债约4.6–4.7%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26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11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10年期JGB约1.5%</w:t>
            </w:r>
          </w:p>
        </w:tc>
      </w:tr>
      <w:tr w14:paraId="5075D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575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市场短长利差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22A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098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年初约+2.4%/年末约+0.7%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51A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约+0.9%</w:t>
            </w:r>
          </w:p>
        </w:tc>
      </w:tr>
      <w:tr w14:paraId="6EA99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18F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实际融资利率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DA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30年房贷约6.0–6.5%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070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房贷约7.8%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508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房贷约2.5%</w:t>
            </w:r>
          </w:p>
        </w:tc>
      </w:tr>
      <w:tr w14:paraId="7E325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2A9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贷存利差（管制）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4C8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360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B5E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2FEA7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A71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149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4%→6%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AC0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17.6%→16.7%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506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1%→2%</w:t>
            </w:r>
          </w:p>
        </w:tc>
      </w:tr>
      <w:tr w14:paraId="734A95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E40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政策类型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CF41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C57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数量型+管制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408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价格型（量宽后）</w:t>
            </w:r>
          </w:p>
        </w:tc>
      </w:tr>
      <w:tr w14:paraId="0256A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A9E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实际金融条件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0EF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宽松（长端未跟随）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8D6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局部宽松（外汇占款）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6AE1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极度宽松（套利盛行）</w:t>
            </w:r>
          </w:p>
        </w:tc>
      </w:tr>
    </w:tbl>
    <w:p w14:paraId="505F391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联邦基金利率和10年期国债收益率来自美联储，中国存贷款基准利率来自人民银行，1年期国债收益率来自财政部，日本隔夜利率来自日本央行。</w:t>
      </w:r>
    </w:p>
    <w:p w14:paraId="701EB1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美国“格林斯潘之谜”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：美联储于2004–2006年间将联邦基金利率自1%上调至5.25%，2006年6月至2007年8月维持在5.25%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，但10年期国债收益率在2006年6月约为5%，2007年逐步回落至约3.5%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，加息在金融市场传导受阻。根源在于全球“储蓄过剩”——亚洲国家及石油美元避险资金压低长端利率。</w:t>
      </w:r>
    </w:p>
    <w:p w14:paraId="6486B3C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中国管制利率体系与外汇占款对冲：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1233"/>
        <w:gridCol w:w="1057"/>
        <w:gridCol w:w="1138"/>
        <w:gridCol w:w="1085"/>
        <w:gridCol w:w="1085"/>
        <w:gridCol w:w="962"/>
        <w:gridCol w:w="966"/>
        <w:gridCol w:w="831"/>
      </w:tblGrid>
      <w:tr w14:paraId="27F5D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C546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DDA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M2余额（亿元）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C71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M2同比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27F9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外汇占款增量（约）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6AD8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1年期贷款基准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C32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1年期存款基准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C72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2FF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10年期国债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8D9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贷存利差</w:t>
            </w:r>
          </w:p>
        </w:tc>
      </w:tr>
      <w:tr w14:paraId="51BE4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D3F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B0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298,755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BCB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9D1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251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5.58%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4DE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9AE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FD9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998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2AEAED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45C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AA8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345,603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450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338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FCA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6.12%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7D9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2.52%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3F9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3EC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182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3.60%</w:t>
            </w:r>
          </w:p>
        </w:tc>
      </w:tr>
      <w:tr w14:paraId="7EDA7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B7C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99A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403,442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AD4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0D8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约4.0万亿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28E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D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4.14%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753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33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3C4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3AE1C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BCB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284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475,166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B4A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178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689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5.31%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8D3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C3E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7B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约3.6%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3B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3.06%</w:t>
            </w:r>
          </w:p>
        </w:tc>
      </w:tr>
    </w:tbl>
    <w:p w14:paraId="01A02F21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中国存贷款基准利率来自人民银行，外汇储备数据来自国家外汇管理局，1年期国债收益率来自财政部（2007年12月为3.66%）。</w:t>
      </w:r>
    </w:p>
    <w:p w14:paraId="793CBF6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2007年货币政策呈现两重反常特征：（1）管制利率倒挂——1年期存款基准4.14%显著高于1年期国债收益率（年末约3.8%）；（2）贷存利差3.33%——贷款基准与存款基准之差构成银行业的制度性安全垫。上述扭曲源于外汇占款被动投放基础货币：2005–2007年间中国外汇储备从8189亿美元跃升至15282亿美元，央行被迫同时运用数量型工具（10次上调存款准备金率）与价格型工具（6次加息），但加息效果被外汇占款的扩张效应对冲，最终形成局部宽松的金融条件。</w:t>
      </w:r>
    </w:p>
    <w:p w14:paraId="2A88D2E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日本套利交易机制：日本央行于2007年2月将隔夜利率自0.25%上调至0.5%后维持不变。低利率环境催生日元套息交易（借入日元投资高息资产），估算规模逾5000亿美元，成为全球风险偏好的重要推手。</w:t>
      </w:r>
    </w:p>
    <w:p w14:paraId="5E0EC0C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综上，三国分别通过"储蓄过剩压制""外汇占款对冲""套利输出"三种机制形成全球流动性宽松格局，构成商品超级周期的货币基础。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1.3：CPI 通胀对比（2000-2026）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28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1.4：中国货币政策背离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8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et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1.5：市场利率与货币政策类型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rm_sp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57CBC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1.1.3 汇率与贸易：三国货币再平衡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2625"/>
        <w:gridCol w:w="3141"/>
        <w:gridCol w:w="2349"/>
      </w:tblGrid>
      <w:tr w14:paraId="55DA5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F23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6FC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3D0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AC6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239EF9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FE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汇率指数变化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8A3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03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人民币8.28→约7.61（升值约8%）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A0B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日元102→114（贬值12%）</w:t>
            </w:r>
          </w:p>
        </w:tc>
      </w:tr>
      <w:tr w14:paraId="16FD8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806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贸易差额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DA0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经常账户赤字约7000亿美元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CD9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顺差1020→2622亿美元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309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顺差90→1000亿美元</w:t>
            </w:r>
          </w:p>
        </w:tc>
      </w:tr>
      <w:tr w14:paraId="65231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9A6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汇率机制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7C4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1A7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管理浮动（爬行盯住美元）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43A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</w:tr>
    </w:tbl>
    <w:p w14:paraId="0E48839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美元指数和汇率数据来自公开市场，中国外汇储备及贸易数据来自国家外汇管理局。</w:t>
      </w:r>
    </w:p>
    <w:p w14:paraId="0EED947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2005年7月人民币汇改是起点，2006年5月LME铜价冲上8790美元/吨创历史新高，2008年12月日元升值至91.30触发套利逆转。</w:t>
      </w:r>
    </w:p>
    <w:p w14:paraId="4B64A9A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美元贬值传导链：美元贬值推升以美元计价的商品价格（LME铜自约3000涨至8790美元/吨），资金流出美国涌入新兴市场，进口成本上升带来通胀压力，实际利率随之下行——此为商品超级周期的直接价格机制。</w:t>
      </w:r>
    </w:p>
    <w:p w14:paraId="6FCDA6D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人民币升值效应：汇改后人民币渐进升值，至2007年末约7.61，升值约8%，但贸易顺差仍实现翻倍，主因在于生产效率提升及外需强劲。</w:t>
      </w:r>
    </w:p>
    <w:p w14:paraId="3F8655E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日元贬值效应：日元2005–2007年贬值约12%，利好出口行业，但贬值幅度小于美元，实际有效汇率基本稳定。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1.6：汇率与贸易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x_tr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9A69F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1.1.4 外汇储备：中国主导的全球失衡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1"/>
        <w:gridCol w:w="2477"/>
        <w:gridCol w:w="2269"/>
        <w:gridCol w:w="2175"/>
      </w:tblGrid>
      <w:tr w14:paraId="1D9D2D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0FE6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C9A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E960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E68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8663F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2F3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6D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B02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8,189亿美元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0C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约8,288亿美元</w:t>
            </w:r>
          </w:p>
        </w:tc>
      </w:tr>
      <w:tr w14:paraId="356C1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4DB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5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约2,400亿美元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541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15,282亿美元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FB2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约9,484亿美元</w:t>
            </w:r>
          </w:p>
        </w:tc>
      </w:tr>
      <w:tr w14:paraId="7A4E4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5F6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07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C59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D6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约20%</w:t>
            </w:r>
          </w:p>
        </w:tc>
      </w:tr>
      <w:tr w14:paraId="5D047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C3D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C9C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1D7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A9F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约21%</w:t>
            </w:r>
          </w:p>
        </w:tc>
      </w:tr>
    </w:tbl>
    <w:p w14:paraId="0F8D4339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中国外汇储备数据来自国家外汇管理局，日本外汇储备数据来自IMF。</w:t>
      </w:r>
    </w:p>
    <w:p w14:paraId="39588FB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2006年中国外储首破万亿美元（10663亿），2007年达到15282亿美元，同比+43.31%。</w:t>
      </w:r>
    </w:p>
    <w:p w14:paraId="158E273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EE0000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外汇占款传导链：出口创汇（1020→2622亿美元）→央行结汇→外汇占款增加→基础货币被动扩张→商业银行贷款扩张（贷存利差3.33%）→M2增速维持高位→固定资产投资高速增长→铜铝锌需求爆发。中国外储/GDP约48%，为"全球失衡"的典型镜像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1.7：外汇储备/GDP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orex_rese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822FC3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1.1.5 财政政策：三国方向迥异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6"/>
        <w:gridCol w:w="2224"/>
        <w:gridCol w:w="2566"/>
        <w:gridCol w:w="2066"/>
      </w:tblGrid>
      <w:tr w14:paraId="1B459BE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FE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E99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5815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FFE9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545B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9B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财政赤字/GDP（各国外径）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AC5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联邦赤字约1.0–1.2%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B6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中央财政赤字约0.3–0.8%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77FF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约2.5–4.0%</w:t>
            </w:r>
          </w:p>
        </w:tc>
      </w:tr>
      <w:tr w14:paraId="39CCD0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3F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主要工具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F8C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减税+战争开支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A72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基建投资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D81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邮政民营化+削减赤字</w:t>
            </w:r>
          </w:p>
        </w:tc>
      </w:tr>
      <w:tr w14:paraId="2F436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407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财政方向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5BDA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扩张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935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积极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C8E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整顿</w:t>
            </w:r>
          </w:p>
        </w:tc>
      </w:tr>
    </w:tbl>
    <w:p w14:paraId="48F3318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美国联邦赤字来自美国财政部，中国财政赤字来自财政部（中央财政口径），日本财政赤字来自公开信息。</w:t>
      </w:r>
    </w:p>
    <w:p w14:paraId="34BF68F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口径说明：各国统计口径不同——美国为联邦政府口径，中国为中央财政口径（不含地方债务），日本为一般政府口径。跨国比较需注意差异。</w:t>
      </w:r>
    </w:p>
    <w:p w14:paraId="2E29FD8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美国财政扩张支撑消费；中国财政赤字收窄系收入高速增长所致，基建投资维持高增长；日本小泉改革推动财政整顿。</w:t>
      </w:r>
    </w:p>
    <w:p w14:paraId="1BEF25C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1.1.6 资本市场：涨幅反映经济结构差异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2"/>
        <w:gridCol w:w="2556"/>
        <w:gridCol w:w="2302"/>
        <w:gridCol w:w="2282"/>
      </w:tblGrid>
      <w:tr w14:paraId="4A8E390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98D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FD0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4383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E3E0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DC93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FB5D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2005–2007股市涨幅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0A8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标普500约+90–101%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54E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上证综指+513.5%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5F0F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日经225约+33%</w:t>
            </w:r>
          </w:p>
        </w:tc>
      </w:tr>
      <w:tr w14:paraId="2C5D5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F14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起点背景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27A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2002年科网泡沫底部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524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2005年股改后起步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39F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2005年初约11488点</w:t>
            </w:r>
          </w:p>
        </w:tc>
      </w:tr>
      <w:tr w14:paraId="0B780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87A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PE估值变化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24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16x→22x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2FC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14x→50x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029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18x→约20x</w:t>
            </w:r>
          </w:p>
        </w:tc>
      </w:tr>
      <w:tr w14:paraId="161447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395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总市值/GDP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2E6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130%→150%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9C21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35%→120%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89E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70%→95%</w:t>
            </w:r>
          </w:p>
        </w:tc>
      </w:tr>
    </w:tbl>
    <w:p w14:paraId="23144FE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上证指数、标普500及日经225涨幅均来自公开市场数据。日经225指数2005年1月约11488点，2007年12月约15307点，涨幅约33%。</w:t>
      </w:r>
    </w:p>
    <w:p w14:paraId="5D4B34F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2005年6月上证综指约1011（市场底部），2007年10月16日触及6124.04（历史大顶），2008年10月28日跌至1664.93（金融危机底部）。</w:t>
      </w:r>
    </w:p>
    <w:p w14:paraId="293C3AA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中国PE扩张3.5倍（14x→50x），估值膨胀最为显著；美国PE扩张温和；日本PE基本稳定。</w:t>
      </w:r>
    </w:p>
    <w:p w14:paraId="06A2FEB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1.2 债务与产业政策</w:t>
      </w:r>
    </w:p>
    <w:p w14:paraId="3612C1D2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1.2.1 三国债务结构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1732"/>
        <w:gridCol w:w="1732"/>
        <w:gridCol w:w="1732"/>
        <w:gridCol w:w="1418"/>
      </w:tblGrid>
      <w:tr w14:paraId="0C1F4A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25B2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E993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7B9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6891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6B01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2008</w:t>
            </w:r>
          </w:p>
        </w:tc>
      </w:tr>
      <w:tr w14:paraId="361DB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B49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51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BD4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6EC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95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约76%</w:t>
            </w:r>
          </w:p>
        </w:tc>
      </w:tr>
      <w:tr w14:paraId="0577FF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BAE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18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F3C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BDF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A2D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约96%</w:t>
            </w:r>
          </w:p>
        </w:tc>
      </w:tr>
      <w:tr w14:paraId="257FF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90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58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4AB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2BD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FD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约21.5%</w:t>
            </w:r>
          </w:p>
        </w:tc>
      </w:tr>
      <w:tr w14:paraId="279F8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EF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中国企业杠杆率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23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070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CF0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0A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约130%</w:t>
            </w:r>
          </w:p>
        </w:tc>
      </w:tr>
      <w:tr w14:paraId="5D349F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230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4E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E06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F36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7EB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约183%</w:t>
            </w:r>
          </w:p>
        </w:tc>
      </w:tr>
    </w:tbl>
    <w:p w14:paraId="46D2D1D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数据来自IMF全球债务数据库及世界银行。</w:t>
      </w:r>
    </w:p>
    <w:p w14:paraId="20C9B04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同期美国次贷规模约1.1万亿美元，占按揭市场约13%；2007年公司债利差缓慢上升；2008年12月全球信贷冻结。</w:t>
      </w:r>
    </w:p>
    <w:p w14:paraId="747D497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美国居民杠杆率于99%见顶（2008年危机根源）；中国企业杠杆率持续攀升；日本政府债务率全球最高但私人部门已完成去杠杆。三国债务结构相互补充，共同构成"全球储蓄过剩"（伯南克命题）的微观基础。</w:t>
      </w:r>
    </w:p>
    <w:p w14:paraId="05787616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1.2.2 产业政策对商品的间接影响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3578"/>
        <w:gridCol w:w="3030"/>
        <w:gridCol w:w="1972"/>
      </w:tblGrid>
      <w:tr w14:paraId="2E967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6D6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政策方向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22A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A52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4FB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124FC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066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有色/资源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17C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2005年11月叫停铜冶炼无序投资；2006年精炼铜出口关税5%→10%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31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无针对性干预，大宗商品依赖进口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29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非资源型国家，高端装备出口支撑矿业</w:t>
            </w:r>
          </w:p>
        </w:tc>
      </w:tr>
      <w:tr w14:paraId="39700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5375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952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2005年7月汇改+持续加息提准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DE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格林斯潘/伯南克低利率，对资产泡沫“事后清理”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B9B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2006年退出QE，2007年利率0.5%</w:t>
            </w:r>
          </w:p>
        </w:tc>
      </w:tr>
      <w:tr w14:paraId="57BDEC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3E2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资本市场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6E1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2005年6月股权分置改革；2007年5月印花税1‰→3‰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98F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废除Glass-Steagall法案；衍生品不受监管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AD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小泉改革</w:t>
            </w:r>
          </w:p>
        </w:tc>
      </w:tr>
      <w:tr w14:paraId="20A367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A13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宏观基调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A36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“防止经济过热”，2007年“两防”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930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“大稳健”（Great Moderation）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192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结构改革+通缩抗争</w:t>
            </w:r>
          </w:p>
        </w:tc>
      </w:tr>
    </w:tbl>
    <w:p w14:paraId="37B9519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产业政策对商品的间接推升作用：中国限制供给抬高价格中枢；美国放任泡沫推高全球风险偏好；日本低利率催生套利交易，提升商品金融需求。</w:t>
      </w:r>
    </w:p>
    <w:p w14:paraId="5B7C8C9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1.3 市场共识与公司表现</w:t>
      </w:r>
    </w:p>
    <w:p w14:paraId="542B2CB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1.3.1 市场共识演变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，继续回顾，加A股融资上市，补充现在市场状态对比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"/>
        <w:gridCol w:w="2269"/>
        <w:gridCol w:w="6460"/>
      </w:tblGrid>
      <w:tr w14:paraId="31696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E4AF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05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0C02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市场共识</w:t>
            </w:r>
          </w:p>
        </w:tc>
      </w:tr>
      <w:tr w14:paraId="14172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F5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D8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2005–2006年初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B6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“商品涨价不可持续”——铜价自约3000涨至4000+美元/吨时，多数分析师认为是投机泡沫；有色股PE仅14x</w:t>
            </w:r>
          </w:p>
        </w:tc>
      </w:tr>
      <w:tr w14:paraId="52079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B87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接受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4C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2006年5月–2007年6月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EA3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铜价创8790美元/吨新高后，“中国需求”叙事确立，“商品超级周期”成为共识</w:t>
            </w:r>
          </w:p>
        </w:tc>
      </w:tr>
      <w:tr w14:paraId="74553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B64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狂热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413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2007年7月–10月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F19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“资产注入”故事取代基本面，散户月开户380万户，有色动态PE约49x</w:t>
            </w:r>
          </w:p>
        </w:tc>
      </w:tr>
    </w:tbl>
    <w:p w14:paraId="03D3AC2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1.3.2 分析师预期与实际偏差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2912"/>
        <w:gridCol w:w="4551"/>
      </w:tblGrid>
      <w:tr w14:paraId="2A157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FB75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8A14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共识预期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EF3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实际结果</w:t>
            </w:r>
          </w:p>
        </w:tc>
      </w:tr>
      <w:tr w14:paraId="06A89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813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09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铜价10000+美元/吨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E31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2006年5月实际8790美元/吨见顶</w:t>
            </w:r>
          </w:p>
        </w:tc>
      </w:tr>
      <w:tr w14:paraId="12FC5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D83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AC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铜价12000美元/吨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B55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铜价在6000–8000美元/吨区间震荡</w:t>
            </w:r>
          </w:p>
        </w:tc>
      </w:tr>
      <w:tr w14:paraId="7CE19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281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83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上证综指8000点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F4D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2007年10月16日实际6124点见顶</w:t>
            </w:r>
          </w:p>
        </w:tc>
      </w:tr>
    </w:tbl>
    <w:p w14:paraId="76336330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观察：2007年分析师对铜价的乐观预期与实际峰值存在显著偏差。当前2026年美股分析师对AI的乐观程度已接近2007年水平——当市场共识高度一致时，其本身即构成反向指标。</w:t>
      </w:r>
    </w:p>
    <w:p w14:paraId="2C712E0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1.3.3 国内外公司表现与共振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1026"/>
        <w:gridCol w:w="1374"/>
        <w:gridCol w:w="1374"/>
        <w:gridCol w:w="1027"/>
        <w:gridCol w:w="1027"/>
        <w:gridCol w:w="1186"/>
        <w:gridCol w:w="1054"/>
      </w:tblGrid>
      <w:tr w14:paraId="7DBAF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FE4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B31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C1F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95B5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2AD7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8E4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0817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401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股价涨幅</w:t>
            </w:r>
          </w:p>
        </w:tc>
      </w:tr>
      <w:tr w14:paraId="23DB6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D77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江西铜业(600362)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B6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988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254亿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9AF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23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18.5亿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DB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46.1亿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20E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41.3亿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E3E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+650%</w:t>
            </w:r>
          </w:p>
        </w:tc>
      </w:tr>
      <w:tr w14:paraId="63C2D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F5A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云南铜业(000878)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302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134亿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282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3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759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4.9亿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1FA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538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9.2亿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22F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+1122%</w:t>
            </w:r>
          </w:p>
        </w:tc>
      </w:tr>
      <w:tr w14:paraId="64417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538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紫金矿业(601899)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F2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6DD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约106–108亿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38F1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约148–151亿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448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7FC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2A2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CFC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+1500%</w:t>
            </w:r>
          </w:p>
        </w:tc>
      </w:tr>
      <w:tr w14:paraId="6C27F0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6E7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中国铝业(601600)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0EF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0655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648亿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15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762亿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38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10C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A5B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102.25亿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746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</w:tr>
    </w:tbl>
    <w:p w14:paraId="534122A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江西铜业2005年营收133.4亿元、云南铜业2005年营收134.16亿元来自公司年报和业绩快报；中国铝业2006年营收648.27亿元、2007年营收761.80亿元、净利润102.25亿元来自年报；紫金矿业2005年营收30–31亿元、2006年约106–108亿元、2007年约148–151亿元来自公告及公开信息。</w:t>
      </w:r>
    </w:p>
    <w:p w14:paraId="04DB52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海外对标同样亮眼：南方铜业(SCCO) 2003–2005年营收+412%，必和必拓(BHP)股价+400%，自由港麦克莫兰(FCX)股价+500%。</w:t>
      </w:r>
    </w:p>
    <w:p w14:paraId="6CFDF541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1.3.4 巨型IPO现象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，+这轮ipo抽血问题，</w:t>
      </w:r>
    </w:p>
    <w:p>
      <w:pPr/>
      <w:r>
        <w:rPr>
          <w:rFonts w:ascii="微软雅黑" w:hAnsi="微软雅黑"/>
          <w:sz w:val="20"/>
          <w:b/>
        </w:rPr>
        <w:t xml:space="preserve">1.3.4-AI IPO抽血分析（本轮AI巨型IPO）</w:t>
      </w:r>
    </w:p>
    <w:p>
      <w:pPr/>
      <w:r>
        <w:rPr>
          <w:rFonts w:ascii="微软雅黑" w:hAnsi="微软雅黑"/>
          <w:sz w:val="18"/>
        </w:rPr>
        <w:t xml:space="preserve">2026年6月，SpaceX在纳斯达克成功上市（股票代码SPCX），募资750亿美元，创下全球资本市场史上最大IPO纪录。紧随其后，OpenAI计划于2026Q4-2027Q1进行IPO，规模预计1000亿美元。本轮AI巨兽集中上市的"抽血效应"值得高度关注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表 1.3-1：本轮AI巨型IPO全景</w:t>
      </w:r>
    </w:p>
    <w:tbl>
      <w:tblPr>
        <w:tblStyle w:val="TableGrid"/>
        <w:tblW w:w="0" w:type="auto"/>
      </w:tblPr>
      <w:tblGrid>
        <w:gridCol/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公司</w:t>
            </w:r>
          </w:p>
        </w:tc>
        <w:tc>
          <w:p>
            <w:r>
              <w:rPr>
                <w:sz w:val="16"/>
                <w:b/>
              </w:rPr>
              <w:t xml:space="preserve">状态</w:t>
            </w:r>
          </w:p>
        </w:tc>
        <w:tc>
          <w:p>
            <w:r>
              <w:rPr>
                <w:sz w:val="16"/>
                <w:b/>
              </w:rPr>
              <w:t xml:space="preserve">募资规模</w:t>
            </w:r>
          </w:p>
        </w:tc>
        <w:tc>
          <w:p>
            <w:r>
              <w:rPr>
                <w:sz w:val="16"/>
                <w:b/>
              </w:rPr>
              <w:t xml:space="preserve">估值</w:t>
            </w:r>
          </w:p>
        </w:tc>
        <w:tc>
          <w:p>
            <w:r>
              <w:rPr>
                <w:sz w:val="16"/>
                <w:b/>
              </w:rPr>
              <w:t xml:space="preserve">抽血占比</w:t>
            </w:r>
          </w:p>
        </w:tc>
      </w:tr>
      <w:tr>
        <w:tc>
          <w:p>
            <w:r>
              <w:rPr>
                <w:sz w:val="16"/>
              </w:rPr>
              <w:t xml:space="preserve">SpaceX</w:t>
            </w:r>
          </w:p>
        </w:tc>
        <w:tc>
          <w:p>
            <w:r>
              <w:rPr>
                <w:sz w:val="16"/>
              </w:rPr>
              <w:t xml:space="preserve">✅ 已上市 (2026.6.12)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0.17%</w:t>
            </w:r>
          </w:p>
        </w:tc>
      </w:tr>
      <w:tr>
        <w:tc>
          <w:p>
            <w:r>
              <w:rPr>
                <w:sz w:val="16"/>
              </w:rPr>
              <w:t xml:space="preserve">OpenAI</w:t>
            </w:r>
          </w:p>
        </w:tc>
        <w:tc>
          <w:p>
            <w:r>
              <w:rPr>
                <w:sz w:val="16"/>
              </w:rPr>
              <w:t xml:space="preserve">拟IPO (2026Q4-2027Q1)</w:t>
            </w:r>
          </w:p>
        </w:tc>
        <w:tc>
          <w:p>
            <w:r>
              <w:rPr>
                <w:sz w:val="16"/>
              </w:rPr>
              <w:t xml:space="preserve">$1000亿</w:t>
            </w:r>
          </w:p>
        </w:tc>
        <w:tc>
          <w:p>
            <w:r>
              <w:rPr>
                <w:sz w:val="16"/>
              </w:rPr>
              <w:t xml:space="preserve">$8500亿</w:t>
            </w:r>
          </w:p>
        </w:tc>
        <w:tc>
          <w:p>
            <w:r>
              <w:rPr>
                <w:sz w:val="16"/>
              </w:rPr>
              <w:t xml:space="preserve">0.22%</w:t>
            </w:r>
          </w:p>
        </w:tc>
      </w:tr>
      <w:tr>
        <w:tc>
          <w:p>
            <w:r>
              <w:rPr>
                <w:sz w:val="16"/>
              </w:rPr>
              <w:t xml:space="preserve">Anthropic</w:t>
            </w:r>
          </w:p>
        </w:tc>
        <w:tc>
          <w:p>
            <w:r>
              <w:rPr>
                <w:sz w:val="16"/>
              </w:rPr>
              <w:t xml:space="preserve">拟IPO (2027+)</w:t>
            </w:r>
          </w:p>
        </w:tc>
        <w:tc>
          <w:p>
            <w:r>
              <w:rPr>
                <w:sz w:val="16"/>
              </w:rPr>
              <w:t xml:space="preserve">$500亿</w:t>
            </w:r>
          </w:p>
        </w:tc>
        <w:tc>
          <w:p>
            <w:r>
              <w:rPr>
                <w:sz w:val="16"/>
              </w:rPr>
              <w:t xml:space="preserve">$2000亿</w:t>
            </w:r>
          </w:p>
        </w:tc>
        <w:tc>
          <w:p>
            <w:r>
              <w:rPr>
                <w:sz w:val="16"/>
              </w:rPr>
              <w:t xml:space="preserve">0.11%</w:t>
            </w:r>
          </w:p>
        </w:tc>
      </w:tr>
      <w:tr>
        <w:tc>
          <w:p>
            <w:r>
              <w:rPr>
                <w:sz w:val="16"/>
              </w:rPr>
              <w:t xml:space="preserve">合计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$2250亿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0.50%</w:t>
            </w:r>
          </w:p>
        </w:tc>
      </w:tr>
    </w:tbl>
    <w:p>
      <w:pPr>
        <w:jc w:val="center"/>
      </w:pPr>
      <w:r>
        <w:rPr>
          <w:rFonts w:ascii="微软雅黑" w:hAnsi="微软雅黑"/>
          <w:sz w:val="18"/>
          <w:b/>
        </w:rPr>
        <w:t xml:space="preserve">表 1.3-2：SpaceX vs 中石油 IPO对比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维度</w:t>
            </w:r>
          </w:p>
        </w:tc>
        <w:tc>
          <w:p>
            <w:r>
              <w:rPr>
                <w:sz w:val="16"/>
                <w:b/>
              </w:rPr>
              <w:t xml:space="preserve">2007 中石油</w:t>
            </w:r>
          </w:p>
        </w:tc>
        <w:tc>
          <w:p>
            <w:r>
              <w:rPr>
                <w:sz w:val="16"/>
                <w:b/>
              </w:rPr>
              <w:t xml:space="preserve">2026 SpaceX</w:t>
            </w:r>
          </w:p>
        </w:tc>
        <w:tc>
          <w:p>
            <w:r>
              <w:rPr>
                <w:sz w:val="16"/>
                <w:b/>
              </w:rPr>
              <w:t xml:space="preserve">差异</w:t>
            </w:r>
          </w:p>
        </w:tc>
      </w:tr>
      <w:tr>
        <w:tc>
          <w:p>
            <w:r>
              <w:rPr>
                <w:sz w:val="16"/>
              </w:rPr>
              <w:t xml:space="preserve">募资规模</w:t>
            </w:r>
          </w:p>
        </w:tc>
        <w:tc>
          <w:p>
            <w:r>
              <w:rPr>
                <w:sz w:val="16"/>
              </w:rPr>
              <w:t xml:space="preserve">¥668亿 ($97亿)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SpaceX是中石油7.7倍</w:t>
            </w:r>
          </w:p>
        </w:tc>
      </w:tr>
      <w:tr>
        <w:tc>
          <w:p>
            <w:r>
              <w:rPr>
                <w:sz w:val="16"/>
              </w:rPr>
              <w:t xml:space="preserve">上市估值</w:t>
            </w:r>
          </w:p>
        </w:tc>
        <w:tc>
          <w:p>
            <w:r>
              <w:rPr>
                <w:sz w:val="16"/>
              </w:rPr>
              <w:t xml:space="preserve">$1.08万亿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SpaceX高64%</w:t>
            </w:r>
          </w:p>
        </w:tc>
      </w:tr>
      <w:tr>
        <w:tc>
          <w:p>
            <w:r>
              <w:rPr>
                <w:sz w:val="16"/>
              </w:rPr>
              <w:t xml:space="preserve">首日涨幅</w:t>
            </w:r>
          </w:p>
        </w:tc>
        <w:tc>
          <w:p>
            <w:r>
              <w:rPr>
                <w:sz w:val="16"/>
              </w:rPr>
              <w:t xml:space="preserve">+191% (开盘)</w:t>
            </w:r>
          </w:p>
        </w:tc>
        <w:tc>
          <w:p>
            <w:r>
              <w:rPr>
                <w:sz w:val="16"/>
              </w:rPr>
              <w:t xml:space="preserve">+29% (开盘)</w:t>
            </w:r>
          </w:p>
        </w:tc>
        <w:tc>
          <w:p>
            <w:r>
              <w:rPr>
                <w:sz w:val="16"/>
              </w:rPr>
              <w:t xml:space="preserve">中石油更疯狂</w:t>
            </w:r>
          </w:p>
        </w:tc>
      </w:tr>
      <w:tr>
        <w:tc>
          <w:p>
            <w:r>
              <w:rPr>
                <w:sz w:val="16"/>
              </w:rPr>
              <w:t xml:space="preserve">冻结资金</w:t>
            </w:r>
          </w:p>
        </w:tc>
        <w:tc>
          <w:p>
            <w:r>
              <w:rPr>
                <w:sz w:val="16"/>
              </w:rPr>
              <w:t xml:space="preserve">¥3.3万亿 (40%)</w:t>
            </w:r>
          </w:p>
        </w:tc>
        <w:tc>
          <w:p>
            <w:r>
              <w:rPr>
                <w:sz w:val="16"/>
              </w:rPr>
              <w:t xml:space="preserve">$2500亿认购 (4倍)</w:t>
            </w:r>
          </w:p>
        </w:tc>
        <w:tc>
          <w:p>
            <w:r>
              <w:rPr>
                <w:sz w:val="16"/>
              </w:rPr>
              <w:t xml:space="preserve">中石油抽血更猛</w:t>
            </w:r>
          </w:p>
        </w:tc>
      </w:tr>
      <w:tr>
        <w:tc>
          <w:p>
            <w:r>
              <w:rPr>
                <w:sz w:val="16"/>
              </w:rPr>
              <w:t xml:space="preserve">散户参与</w:t>
            </w:r>
          </w:p>
        </w:tc>
        <w:tc>
          <w:p>
            <w:r>
              <w:rPr>
                <w:sz w:val="16"/>
              </w:rPr>
              <w:t xml:space="preserve">&gt;60%</w:t>
            </w:r>
          </w:p>
        </w:tc>
        <w:tc>
          <w:p>
            <w:r>
              <w:rPr>
                <w:sz w:val="16"/>
              </w:rPr>
              <w:t xml:space="preserve">30%</w:t>
            </w:r>
          </w:p>
        </w:tc>
        <w:tc>
          <w:p>
            <w:r>
              <w:rPr>
                <w:sz w:val="16"/>
              </w:rPr>
              <w:t xml:space="preserve">散户占比下降</w:t>
            </w:r>
          </w:p>
        </w:tc>
      </w:tr>
      <w:tr>
        <w:tc>
          <w:p>
            <w:r>
              <w:rPr>
                <w:sz w:val="16"/>
              </w:rPr>
              <w:t xml:space="preserve">盈利状态</w:t>
            </w:r>
          </w:p>
        </w:tc>
        <w:tc>
          <w:p>
            <w:r>
              <w:rPr>
                <w:sz w:val="16"/>
              </w:rPr>
              <w:t xml:space="preserve">盈利</w:t>
            </w:r>
          </w:p>
        </w:tc>
        <w:tc>
          <w:p>
            <w:r>
              <w:rPr>
                <w:sz w:val="16"/>
              </w:rPr>
              <w:t xml:space="preserve">亏损 ($49.4亿)</w:t>
            </w:r>
          </w:p>
        </w:tc>
        <w:tc>
          <w:p>
            <w:r>
              <w:rPr>
                <w:sz w:val="16"/>
              </w:rPr>
              <w:t xml:space="preserve">SpaceX尚未盈利</w:t>
            </w:r>
          </w:p>
        </w:tc>
      </w:tr>
      <w:tr>
        <w:tc>
          <w:p>
            <w:r>
              <w:rPr>
                <w:sz w:val="16"/>
              </w:rPr>
              <w:t xml:space="preserve">后续表现</w:t>
            </w:r>
          </w:p>
        </w:tc>
        <w:tc>
          <w:p>
            <w:r>
              <w:rPr>
                <w:sz w:val="16"/>
              </w:rPr>
              <w:t xml:space="preserve">一年内破发</w:t>
            </w:r>
          </w:p>
        </w:tc>
        <w:tc>
          <w:p>
            <w:r>
              <w:rPr>
                <w:sz w:val="16"/>
              </w:rPr>
              <w:t xml:space="preserve">待观察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</w:tr>
    </w:tbl>
    <w:p>
      <w:pPr/>
      <w:r>
        <w:rPr>
          <w:rFonts w:ascii="微软雅黑" w:hAnsi="微软雅黑"/>
          <w:sz w:val="18"/>
          <w:b/>
        </w:rPr>
        <w:t xml:space="preserve">AI IPO抽血机制分析：</w:t>
      </w:r>
    </w:p>
    <w:p>
      <w:pPr/>
      <w:r>
        <w:rPr>
          <w:rFonts w:ascii="微软雅黑" w:hAnsi="微软雅黑"/>
          <w:sz w:val="18"/>
        </w:rPr>
        <w:t xml:space="preserve">（1）抽血规模对比：SpaceX募资750亿美元，占标普500流通市值约0.17%；OpenAI预计募资1000亿美元，占纳斯达克100流通市值约0.4%。合计潜在抽血2250亿美元，占标普500流通市值约0.50%。对比2007年中石油冻结3.3万亿元（占A股流通市值40%），本轮抽血规模远小于2007年。</w:t>
      </w:r>
    </w:p>
    <w:p>
      <w:pPr/>
      <w:r>
        <w:rPr>
          <w:rFonts w:ascii="微软雅黑" w:hAnsi="微软雅黑"/>
          <w:sz w:val="18"/>
        </w:rPr>
        <w:t xml:space="preserve">（2）存量占用更严重：本轮AI牛市中，NVIDIA+Microsoft已占纳斯达克100约24%权重。SpaceX上市后迅速纳入纳斯达克100，进一步加剧头部集中。当AI巨兽占据指数主要权重时，新IPO的边际抽血效应可能被放大。</w:t>
      </w:r>
    </w:p>
    <w:p>
      <w:pPr/>
      <w:r>
        <w:rPr>
          <w:rFonts w:ascii="微软雅黑" w:hAnsi="微软雅黑"/>
          <w:sz w:val="18"/>
        </w:rPr>
        <w:t xml:space="preserve">（3）流动性环境差异：2007年M2增速17%+外汇占款被动投放，流动性极度宽松；2026年M2增速8%+美联储维持高利率，流动性相对紧张。这意味着本轮IPO对市场流动性的冲击可能更敏感。</w:t>
      </w:r>
    </w:p>
    <w:p>
      <w:pPr/>
      <w:r>
        <w:rPr>
          <w:rFonts w:ascii="微软雅黑" w:hAnsi="微软雅黑"/>
          <w:sz w:val="18"/>
        </w:rPr>
        <w:t xml:space="preserve">（4）散户参与度下降：SpaceX散户份额30%（远高于近年平均水平），但中石油时代散户占比超60%。机构主导的IPO通常波动更小，但一旦下跌，机构止损盘可能更猛烈。</w:t>
      </w:r>
    </w:p>
    <w:p>
      <w:pPr/>
      <w:r>
        <w:rPr>
          <w:rFonts w:ascii="微软雅黑" w:hAnsi="微软雅黑"/>
          <w:sz w:val="18"/>
          <w:b/>
        </w:rPr>
        <w:t xml:space="preserve">关键判断：</w:t>
      </w:r>
    </w:p>
    <w:p>
      <w:pPr/>
      <w:r>
        <w:rPr>
          <w:rFonts w:ascii="微软雅黑" w:hAnsi="微软雅黑"/>
          <w:sz w:val="18"/>
        </w:rPr>
        <w:t xml:space="preserve">本轮AI IPO抽血规模虽小于2007年，但需高度关注两个风险点：（1）多只AI巨兽集中上市的时间窗口重叠（SpaceX已上市+OpenAI即将IPO）；（2）存量占用严重（NVIDIA+Microsoft+SpaceX已占纳斯达克100约26%）。核心监测指标：OpenAI IPO后30日表现（S2信号触发点）。</w:t>
      </w:r>
    </w:p>
    <w:p w14:paraId="65B6A7B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2007年下半年A股出现史无前例的IPO洪峰，几乎每月都有重量级IPO登场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942"/>
        <w:gridCol w:w="1369"/>
        <w:gridCol w:w="1543"/>
        <w:gridCol w:w="3132"/>
      </w:tblGrid>
      <w:tr w14:paraId="77B98D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DD18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B258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B29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募资规模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560E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冻结资金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70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关键事件</w:t>
            </w:r>
          </w:p>
        </w:tc>
      </w:tr>
      <w:tr w14:paraId="03A4E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907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2007-04-30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D51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E5B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B12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FAE0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吸收合并山铝/兰铝回归A股</w:t>
            </w:r>
          </w:p>
        </w:tc>
      </w:tr>
      <w:tr w14:paraId="49DA6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88F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2007-07-12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2D4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AD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C0F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461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资源储量重估</w:t>
            </w:r>
          </w:p>
        </w:tc>
      </w:tr>
      <w:tr w14:paraId="28C86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24F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2007-09-25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30FF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964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580亿元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FA6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49A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大型银行IPO</w:t>
            </w:r>
          </w:p>
        </w:tc>
      </w:tr>
      <w:tr w14:paraId="402D4A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27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2007-10-09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411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73F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666亿元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0F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2.7万亿元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3C3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冻结近30%流通市值</w:t>
            </w:r>
          </w:p>
        </w:tc>
      </w:tr>
      <w:tr w14:paraId="4BA8F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D15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2007-11-05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84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中国石油A股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470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668亿元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E5D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3.3万亿元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F5A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冻结≈流通市值40%</w:t>
            </w:r>
          </w:p>
        </w:tc>
      </w:tr>
    </w:tbl>
    <w:p w14:paraId="2B2BC45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IPO数据来自公开市场信息。</w:t>
      </w:r>
    </w:p>
    <w:p w14:paraId="49190B5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核心观察：中石油冻结3.3万亿元（占流通市值约40%）为2007年顶部关键触发因素。OpenAI IPO的抽水效应相对较小（约0.8%），但需关注IPO后30日表现作为情绪指标。</w:t>
      </w:r>
    </w:p>
    <w:p w14:paraId="60D4BD2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1.4 超级周期的汇聚与终结机制</w:t>
      </w:r>
    </w:p>
    <w:p w14:paraId="5C68817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1.4.1 七大因素的汇聚与逆转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4000"/>
        <w:gridCol w:w="4352"/>
      </w:tblGrid>
      <w:tr w14:paraId="5D4B2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C84D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因素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0B2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汇聚方向（2005–2007）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A160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逆转方向（2007末–2008）</w:t>
            </w:r>
          </w:p>
        </w:tc>
      </w:tr>
      <w:tr w14:paraId="0D56D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5F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中国需求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98B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85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2007年11月固投增速见顶，2008年金融危机致需求骤停</w:t>
            </w:r>
          </w:p>
        </w:tc>
      </w:tr>
      <w:tr w14:paraId="1B53B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61C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C9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美元指数92→80（-13%），推升美元计价商品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B70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2008年避险推升美元，商品暴跌</w:t>
            </w:r>
          </w:p>
        </w:tc>
      </w:tr>
      <w:tr w14:paraId="63C24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6436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3E2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外汇占款+日元套利+储蓄过剩三重供给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21C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央行加准加息+日元套利逆转+全球信贷冻结</w:t>
            </w:r>
          </w:p>
        </w:tc>
      </w:tr>
      <w:tr w14:paraId="23EBA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C56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商品价格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8FD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2006年5月LME铜见顶8790美元/吨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9C1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2008年金融危机需求骤停，铜价暴跌</w:t>
            </w:r>
          </w:p>
        </w:tc>
      </w:tr>
      <w:tr w14:paraId="7CD3E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08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C2F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14x→50x（全市场），有色动态PE约49x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0F9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2008年有色PE跌回个位数</w:t>
            </w:r>
          </w:p>
        </w:tc>
      </w:tr>
      <w:tr w14:paraId="58CAC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CE5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ACF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中石油、神华等巨型IPO吸收流动性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C3A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2008年IPO暂停</w:t>
            </w:r>
          </w:p>
        </w:tc>
      </w:tr>
      <w:tr w14:paraId="52CFE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F4A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65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“防止经济过热”收紧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DF6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2008年全面转向宽松救市</w:t>
            </w:r>
          </w:p>
        </w:tc>
      </w:tr>
    </w:tbl>
    <w:p w14:paraId="0CDE003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1.4.2 三角闭环：商品超级周期的结构性燃料</w:t>
      </w:r>
    </w:p>
    <w:p w14:paraId="3BB9D7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这个闭环的运转逻辑是：美国负责消费加杠杆和金融创新，中国负责工业生产和固定资产投资，日本提供低成本资金和高端中间品，三者构成"消费—生产—融资"的闭环。</w:t>
      </w:r>
    </w:p>
    <w:p w14:paraId="63876E1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闭环破裂条件（任一触发即可能终结）：</w:t>
      </w:r>
    </w:p>
    <w:p w14:paraId="5D972C6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美国消费崩盘（次贷危机）→终端需求消失；</w:t>
      </w:r>
    </w:p>
    <w:p w14:paraId="0B8ECF79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中国生产停滞（固投见顶）→资源需求消失；</w:t>
      </w:r>
    </w:p>
    <w:p w14:paraId="00BA11F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日本融资收紧（日银加息）→套利逆转。</w:t>
      </w:r>
    </w:p>
    <w:p w14:paraId="7D4F6B91">
      <w:pPr>
        <w:widowControl/>
        <w:spacing w:before="90" w:afterAutospacing="1"/>
        <w:ind w:left="440" w:firstLine="0"/>
      </w:pPr>
    </w:p>
    <w:p w14:paraId="6ADEA72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2008年实际情况：金融危机同时触发条件1与条件2，三角闭环彻底破裂，商品价格6个月内跌超50%。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1.8：蒙代尔不可能三角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95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mpossible_trin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53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BEF30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1.4.3 三大见顶特征</w:t>
      </w:r>
    </w:p>
    <w:p w14:paraId="0A7F5E58">
      <w:pPr>
        <w:widowControl/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1.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商品与股价顶背离：铜价于2006年5月见顶（8790美元/吨），股价于2007年10月见顶，背离期17个月，反映"叙事溢价"阶段——股价锚定"未来资产注入"而非现货价格。</w:t>
      </w:r>
    </w:p>
    <w:p w14:paraId="53530BFE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2.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垃圾股补涨：龙头滞涨、边缘股连续涨停，为牛市尾声经典信号。</w:t>
      </w:r>
    </w:p>
    <w:p w14:paraId="33FFE7B1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3.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巨型IPO放量长阴：中石油668亿元募资，标志行情终点。</w:t>
      </w:r>
    </w:p>
    <w:p w14:paraId="7B6831A9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第二部分：当前AI板块的结构性对标</w:t>
      </w:r>
    </w:p>
    <w:p w14:paraId="674621B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2022年11月ChatGPT发布，重新点燃"技术革命"叙事。约18个月内，纳斯达克100指数自约11000点升至约21500点（+95%），英伟达(NVDA)涨幅约1,035%。本章从十个维度进行系统性对标。</w:t>
      </w:r>
    </w:p>
    <w:p w14:paraId="08887D7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2.1 同维度对比矩阵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472"/>
        <w:gridCol w:w="3041"/>
        <w:gridCol w:w="1661"/>
      </w:tblGrid>
      <w:tr w14:paraId="4CEFB93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20E1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3ED6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2005–2007有色金属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7B9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 AI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8F8D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69D33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103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前三大经济体角色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90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美国（消费/赤字国）+中国（生产/需求国）+日本（低成本资金）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B21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美国（AI创新国）+中国（追赶国），日本角色减弱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E74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05-07为互补，23-26为竞争</w:t>
            </w:r>
          </w:p>
        </w:tc>
      </w:tr>
      <w:tr w14:paraId="1CBCF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7E8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宏观驱动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3D1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中国重工业化+城镇化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A3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AGI革命+算力军备竞赛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2AC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资本开支驱动的需求正反馈</w:t>
            </w:r>
          </w:p>
        </w:tc>
      </w:tr>
      <w:tr w14:paraId="5F728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8C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流动性来源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45B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D3E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M7企业盈利→AI Capex自驱；市场化利率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915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流动性均宽松但机制不同</w:t>
            </w:r>
          </w:p>
        </w:tc>
      </w:tr>
      <w:tr w14:paraId="6F100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51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债务特征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FA5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美国居民杠杆高；中国企业杠杆快速上升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EB3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美国政府债务/GDP约120%；M7现金充裕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72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杠杆集中于不同部门</w:t>
            </w:r>
          </w:p>
        </w:tc>
      </w:tr>
      <w:tr w14:paraId="26491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1B2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产业政策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72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中国限制高耗能；美国无干预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C0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中国大基金+国产替代；美国芯片管制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6A5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政策角色转向产业竞争</w:t>
            </w:r>
          </w:p>
        </w:tc>
      </w:tr>
      <w:tr w14:paraId="125EE8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3E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市场共识演变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BFD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E8B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怀疑→接受→部分狂热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4BC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路径类似但演化更慢</w:t>
            </w:r>
          </w:p>
        </w:tc>
      </w:tr>
      <w:tr w14:paraId="09121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894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7C7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有色板块+1857%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309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NVDA涨幅显著；NDX+95%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A2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单股涨幅类似</w:t>
            </w:r>
          </w:p>
        </w:tc>
      </w:tr>
      <w:tr w14:paraId="3D83D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1C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C81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PE约49x（动态）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387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 P/S约20x（有业绩支撑）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FA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23-26估值有业绩支撑</w:t>
            </w:r>
          </w:p>
        </w:tc>
      </w:tr>
      <w:tr w14:paraId="1F931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77D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巨型IPO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8A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中石油冻结3.3万亿≈流通市值40%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5FE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OpenAI待IPO（预计1000–3000亿）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BCA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抽水效应减弱但信号意义更大</w:t>
            </w:r>
          </w:p>
        </w:tc>
      </w:tr>
      <w:tr w14:paraId="76927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3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终结模式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12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政策收紧+IPO虹吸+商品见顶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33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潜在：Capex回撤+应用端证伪+IPO抽血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8A0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终结机制类似</w:t>
            </w:r>
          </w:p>
        </w:tc>
      </w:tr>
    </w:tbl>
    <w:p w14:paraId="6C095A3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2.2 AI板块现状（截至2026年6月）</w:t>
      </w:r>
    </w:p>
    <w:p w14:paraId="3DD5E87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2.2.1 M7云厂商资本开支/营业收入比率（估算）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248"/>
        <w:gridCol w:w="1248"/>
        <w:gridCol w:w="1018"/>
        <w:gridCol w:w="1018"/>
        <w:gridCol w:w="1636"/>
        <w:gridCol w:w="1018"/>
        <w:gridCol w:w="1018"/>
      </w:tblGrid>
      <w:tr w14:paraId="78603B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2D4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DB58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44A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C4B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5B5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5D0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2024年Capex/Rev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50F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4D87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</w:tr>
      <w:tr w14:paraId="06577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D05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AD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EB1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A2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12C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A13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29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11D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0.35</w:t>
            </w:r>
          </w:p>
        </w:tc>
      </w:tr>
      <w:tr w14:paraId="316DF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BFDE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Google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924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A93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618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970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A96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B59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CED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</w:tr>
      <w:tr w14:paraId="55C33A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D79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Amazon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60EC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287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1EF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44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DF4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91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F9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0.18</w:t>
            </w:r>
          </w:p>
        </w:tc>
      </w:tr>
      <w:tr w14:paraId="18993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95F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Meta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E7C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ABE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83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81A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0AD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FA8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D0B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0.39</w:t>
            </w:r>
          </w:p>
        </w:tc>
      </w:tr>
      <w:tr w14:paraId="31FE0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7C1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Apple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82D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842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1B7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E9B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44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D608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C2B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7155D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AC5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Tesla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55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0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8D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EFA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067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E9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CE2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</w:tr>
      <w:tr w14:paraId="57774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6D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NVIDIA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E5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E21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90F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2A1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B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53D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DD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5B75C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FB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85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F45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C6B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F7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FD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077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C9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</w:tr>
    </w:tbl>
    <w:p w14:paraId="4FC0369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Capex数据基于公司SEC 10-Q/10-K filings及卖方一致预期整理，部分为估算值。</w:t>
      </w:r>
    </w:p>
    <w:p w14:paraId="1BFB87E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核心观察：M7（除NVDA）平均Capex/Rev自2024年18%升至2026年预估30%，距35%阈值仅5个百分点。Meta的2026年预估Capex/Rev达39%，为M7中最高，构成S1信号的"前沿观测点"。</w:t>
      </w:r>
    </w:p>
    <w:p w14:paraId="1B98F66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2.2.2 NDX与NVDA表现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1"/>
        <w:gridCol w:w="2676"/>
        <w:gridCol w:w="2544"/>
        <w:gridCol w:w="1661"/>
      </w:tblGrid>
      <w:tr w14:paraId="142CF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230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6B3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2022年11月起点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38D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2026年6月当前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C62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</w:tr>
      <w:tr w14:paraId="6839D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68BE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198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E65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约21,500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956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约+95%</w:t>
            </w:r>
          </w:p>
        </w:tc>
      </w:tr>
      <w:tr w14:paraId="15E47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2CC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E90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9FE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约192美元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82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约+1,035%</w:t>
            </w:r>
          </w:p>
        </w:tc>
      </w:tr>
      <w:tr w14:paraId="52E29F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104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M7在NDX占比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DE2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55F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02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+13pct</w:t>
            </w:r>
          </w:p>
        </w:tc>
      </w:tr>
    </w:tbl>
    <w:p w14:paraId="5B17667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数据来自纳斯达克及公开市场。</w:t>
      </w:r>
    </w:p>
    <w:p w14:paraId="2BC385C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几个标志性节点：2022年11月ChatGPT发布，2023年5月NVDA Q1业绩超预期，2024年6月NVDA拆股，2025年8月NVDA破150美元，2026年3月NVDA单日振幅12%。</w:t>
      </w:r>
    </w:p>
    <w:p w14:paraId="06F0F2C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2.2.3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4"/>
        <w:gridCol w:w="4584"/>
        <w:gridCol w:w="2714"/>
      </w:tblGrid>
      <w:tr w14:paraId="1DE06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D6B1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24C2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HBM市场规模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0B5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同比</w:t>
            </w:r>
          </w:p>
        </w:tc>
      </w:tr>
      <w:tr w14:paraId="60327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6FC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FBA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C13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6548F7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713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3C2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19D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约+290%</w:t>
            </w:r>
          </w:p>
        </w:tc>
      </w:tr>
      <w:tr w14:paraId="048C8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593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9DF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435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约+80%</w:t>
            </w:r>
          </w:p>
        </w:tc>
      </w:tr>
      <w:tr w14:paraId="2799A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79F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12F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95B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约+63%</w:t>
            </w:r>
          </w:p>
        </w:tc>
      </w:tr>
    </w:tbl>
    <w:p w14:paraId="4BBE315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2023年全球HBM收入43.5亿美元，2024年170亿美元，2025年约307亿美元（同比+80.6%），预计2026年有望达到500亿美元。</w:t>
      </w:r>
    </w:p>
    <w:p w14:paraId="5A774FF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核心观察：增速拐点已然显现——2025年增速从约+290%降至约+80%，2026年进一步降至约+63%。供给端"二阶导转负"对硬件股估值构成潜在压力。</w:t>
      </w:r>
    </w:p>
    <w:p w14:paraId="2E427DA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2.2.4 A股AI板块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2512"/>
        <w:gridCol w:w="2512"/>
        <w:gridCol w:w="1528"/>
        <w:gridCol w:w="1230"/>
      </w:tblGrid>
      <w:tr w14:paraId="0956C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B7D3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标的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F38A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2023年平均PE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DA68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670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31C7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</w:tr>
      <w:tr w14:paraId="299EA6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C0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中际旭创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C68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F0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989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+200%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0BD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600EB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543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新易盛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ED1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6E8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90E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6E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453CE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347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寒武纪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C47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70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1D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38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7E8094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B4E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海光信息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196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2A9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4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+180%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1A8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310C4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2C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金山办公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4575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7FA7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FF7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58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  <w:tr w14:paraId="01D7A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2BB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科大讯飞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E46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B4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9A6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515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</w:tbl>
    <w:p w14:paraId="4986869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数据来自A股公开市场。</w:t>
      </w:r>
    </w:p>
    <w:p w14:paraId="48E5978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轮动阶段：早期（算力芯片）→中期（光模块/服务器）→晚期（应用软件，当前已至晚期）→末期（垃圾股/概念股）。当轮动推进至最末端时，行情通常接近尾声。</w:t>
      </w:r>
    </w:p>
    <w:p w14:paraId="2AF437D8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2.2.5 NVDA估值历史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841"/>
        <w:gridCol w:w="1375"/>
        <w:gridCol w:w="2002"/>
        <w:gridCol w:w="1971"/>
      </w:tblGrid>
      <w:tr w14:paraId="654019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F2C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33AC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1C2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P/S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6220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 200MA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4C68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PS 200MA</w:t>
            </w:r>
          </w:p>
        </w:tc>
      </w:tr>
      <w:tr w14:paraId="3FC2C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9DC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DD8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633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75A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E86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</w:t>
            </w:r>
          </w:p>
        </w:tc>
      </w:tr>
      <w:tr w14:paraId="52FF7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AB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1AF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12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B5D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BF1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</w:tr>
      <w:tr w14:paraId="2E96C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40E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28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9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700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</w:t>
            </w:r>
          </w:p>
        </w:tc>
      </w:tr>
      <w:tr w14:paraId="00C20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AFD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23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约32–35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D0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FE3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60A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约23</w:t>
            </w:r>
          </w:p>
        </w:tc>
      </w:tr>
    </w:tbl>
    <w:p w14:paraId="2DDFDBA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NVDA当前P/S约20.13。</w:t>
      </w:r>
    </w:p>
    <w:p w14:paraId="7FFB7E8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2.2.6 Copilot渗透率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4937"/>
        <w:gridCol w:w="2395"/>
      </w:tblGrid>
      <w:tr w14:paraId="46182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1B7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E6EB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Microsoft 365 Copilot（付费渗透率）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AF4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GitHub Copilot</w:t>
            </w:r>
          </w:p>
        </w:tc>
      </w:tr>
      <w:tr w14:paraId="3648F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5FE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92C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A1B5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约25%</w:t>
            </w:r>
          </w:p>
        </w:tc>
      </w:tr>
      <w:tr w14:paraId="376DF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608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BDC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EEE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约32%</w:t>
            </w:r>
          </w:p>
        </w:tc>
      </w:tr>
      <w:tr w14:paraId="54C4F9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4D8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B6F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12D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</w:tr>
      <w:tr w14:paraId="161EEF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B86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9F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B55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约42%</w:t>
            </w:r>
          </w:p>
        </w:tc>
      </w:tr>
    </w:tbl>
    <w:p w14:paraId="3BE9C4E8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Microsoft 365拥有超4.5亿付费席位，真正为Copilot额外付费的约1500万席位，占比约3.3%。GitHub Copilot的付费用户数据同样来自公开信息。</w:t>
      </w:r>
    </w:p>
    <w:p w14:paraId="1233C5C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核心观察：3.3%的付费渗透率显著低于此前市场预期，说明AI应用端商业化进展慢于预期。Copilot在付费AI用户中的首选率变化同样值得跟踪。</w:t>
      </w:r>
    </w:p>
    <w:p w14:paraId="6736764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2.3 宏观背景对照及预期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3098"/>
        <w:gridCol w:w="2867"/>
        <w:gridCol w:w="2298"/>
      </w:tblGrid>
      <w:tr w14:paraId="1756E3C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42A4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5DC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283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D20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31BAB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D86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时代叙事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2F5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中国城镇化+工业化+WTO红利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88B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AGI/通用智能革命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D48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时代级叙事驱动资产价格</w:t>
            </w:r>
          </w:p>
        </w:tc>
      </w:tr>
      <w:tr w14:paraId="478EB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227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792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91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AI Capex高增长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2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实体需求爆发</w:t>
            </w:r>
          </w:p>
        </w:tc>
      </w:tr>
      <w:tr w14:paraId="322717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77D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7BB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美元指数跌13%，人民币升值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2C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美联储2025年降息至3.5%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2A9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货币政策转向</w:t>
            </w:r>
          </w:p>
        </w:tc>
      </w:tr>
      <w:tr w14:paraId="11906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C62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A8F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5B2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企业自驱Capex+市场化利率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B2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流动性均宽松但来源不同</w:t>
            </w:r>
          </w:p>
        </w:tc>
      </w:tr>
      <w:tr w14:paraId="003AE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957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696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加息+加准+印花税+IPO抽血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BD7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AI监管+芯片管制+关税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8D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政策干预持续</w:t>
            </w:r>
          </w:p>
        </w:tc>
      </w:tr>
      <w:tr w14:paraId="26AE3F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38B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DE4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382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NDQ PE 25x→35x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522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估值均扩张但锚不同</w:t>
            </w:r>
          </w:p>
        </w:tc>
      </w:tr>
    </w:tbl>
    <w:p w14:paraId="05BA2E64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2.3.1 IMF与卖方一致预期</w:t>
      </w:r>
    </w:p>
    <w:p w14:paraId="529256A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IMF 2026年春季会议（2026年4月）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5313BBA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全球GDP增速3.1%（较2025年3.4%放缓）</w:t>
      </w:r>
    </w:p>
    <w:p w14:paraId="371203B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美国2.3%</w:t>
      </w:r>
    </w:p>
    <w:p w14:paraId="4924DFA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中国4.4%–4.5%</w:t>
      </w:r>
    </w:p>
    <w:p w14:paraId="26A55D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需要注意的是，如果AI资本开支被证伪，可能引发剧烈修正。</w:t>
      </w:r>
    </w:p>
    <w:p w14:paraId="30FAB19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国内券商的共识是：</w:t>
      </w:r>
    </w:p>
    <w:p w14:paraId="1C7CBA2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中金：中国GDP 4.7%，制造业AI产业链为主要贡献</w:t>
      </w:r>
    </w:p>
    <w:p w14:paraId="77FEA6D6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中信：中国GDP 4.6%，AI应用场景落地</w:t>
      </w:r>
    </w:p>
    <w:p w14:paraId="7F5347D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美股分析师方面：</w:t>
      </w:r>
    </w:p>
    <w:p w14:paraId="38F7024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高盛：NVDA目标价200美元</w:t>
      </w:r>
    </w:p>
    <w:p w14:paraId="77203B08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摩根士丹利：NDX目标25,000点</w:t>
      </w:r>
    </w:p>
    <w:p w14:paraId="2A8593C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摩根大通：MSFT目标600美元</w:t>
      </w:r>
    </w:p>
    <w:p w14:paraId="6183D68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第三部分：三大量化顶部信号与操作框架</w:t>
      </w:r>
    </w:p>
    <w:p w14:paraId="19CA7FB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基于2005–2007年历史镜像，本报告提出三项可量化、可监测、可证伪的顶部信号，每项信号对应一种终结机制。</w:t>
      </w:r>
    </w:p>
    <w:p w14:paraId="08936F6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3.1 S1：云厂商资本开支增速二阶导转负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8029"/>
      </w:tblGrid>
      <w:tr w14:paraId="1AA73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63C1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BADC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50D58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B19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9E4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算力需求的“真金”指标瓦解，证伪永续高增长叙事</w:t>
            </w:r>
          </w:p>
        </w:tc>
      </w:tr>
      <w:tr w14:paraId="79C8D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3F4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D09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2007年11月中国固定资产投资增速见顶→2008年铜真实需求断崖</w:t>
            </w:r>
          </w:p>
        </w:tc>
      </w:tr>
      <w:tr w14:paraId="59253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3D3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879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Capex同比增速连续两季&lt;20%或环比负增长（模型假设）</w:t>
            </w:r>
          </w:p>
        </w:tc>
      </w:tr>
      <w:tr w14:paraId="60A036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99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DE0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（M7 Capex/Rev约30%，增速仍高）</w:t>
            </w:r>
          </w:p>
        </w:tc>
      </w:tr>
      <w:tr w14:paraId="3C8AE7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0BB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39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 2026Q3财报电话会CFO口径变化；台积电CoWoS订单变化</w:t>
            </w:r>
          </w:p>
        </w:tc>
      </w:tr>
      <w:tr w14:paraId="5621A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D17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88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10-Q/10-K、台积电月度营收</w:t>
            </w:r>
          </w:p>
        </w:tc>
      </w:tr>
      <w:tr w14:paraId="264CB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5C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9F5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4B88AA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B9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C4C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⏱ 领先指标（领先1–2季度）</w:t>
            </w:r>
          </w:p>
        </w:tc>
      </w:tr>
    </w:tbl>
    <w:p w14:paraId="5512F8D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3.2 S2：标志性AI独角兽巨型IPO首日即巅峰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7893"/>
      </w:tblGrid>
      <w:tr w14:paraId="074A5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1B57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B49C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6BE42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D76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64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市场流动性已无法支撑“梦想变现”</w:t>
            </w:r>
          </w:p>
        </w:tc>
      </w:tr>
      <w:tr w14:paraId="40DEA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607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E0B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2007年11月5日中石油上市高开低走→上证指数大顶</w:t>
            </w:r>
          </w:p>
        </w:tc>
      </w:tr>
      <w:tr w14:paraId="52F78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526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E6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IPO首日高开&gt;50%后收长阴线（模型假设）</w:t>
            </w:r>
          </w:p>
        </w:tc>
      </w:tr>
      <w:tr w14:paraId="172A1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76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9A0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（OpenAI未上市）</w:t>
            </w:r>
          </w:p>
        </w:tc>
      </w:tr>
      <w:tr w14:paraId="0FF521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C4F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EFD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SEC关于大型AI公司IPO的注册声明；OpenAI上市首日表现</w:t>
            </w:r>
          </w:p>
        </w:tc>
      </w:tr>
      <w:tr w14:paraId="7A83A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693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DC8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EDGAR、Bloomberg</w:t>
            </w:r>
          </w:p>
        </w:tc>
      </w:tr>
      <w:tr w14:paraId="4676F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3CD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F49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IPO后每日跟踪</w:t>
            </w:r>
          </w:p>
        </w:tc>
      </w:tr>
      <w:tr w14:paraId="4B05A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CE6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72E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🔴 同步确认信号</w:t>
            </w:r>
          </w:p>
        </w:tc>
      </w:tr>
    </w:tbl>
    <w:p w14:paraId="3237B63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OpenAI拟IPO的估值变化（非公开信息，仅供参考）：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4298"/>
        <w:gridCol w:w="3011"/>
      </w:tblGrid>
      <w:tr w14:paraId="7A559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5E1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DC9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17E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</w:tr>
      <w:tr w14:paraId="43F23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73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3B7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约5000亿美元（要约收购）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09B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tender offer</w:t>
            </w:r>
          </w:p>
        </w:tc>
      </w:tr>
      <w:tr w14:paraId="011DA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F5D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2026年3月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CC4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约8500亿美元（内部估值）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279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D64F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74A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A7D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拟IPO约1000亿美元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E7A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预计2026Q4–2027Q1</w:t>
            </w:r>
          </w:p>
        </w:tc>
      </w:tr>
    </w:tbl>
    <w:p w14:paraId="363F979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3.3 S3：龙头估值框架崩溃+应用端收入证伪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8050"/>
      </w:tblGrid>
      <w:tr w14:paraId="599CC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6CA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0EE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7FFEB9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A70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4FC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估值从“梦想定价”切换为“残值定价”</w:t>
            </w:r>
          </w:p>
        </w:tc>
      </w:tr>
      <w:tr w14:paraId="505FCE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7E8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25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2007年10月中铝高PE后暴跌</w:t>
            </w:r>
          </w:p>
        </w:tc>
      </w:tr>
      <w:tr w14:paraId="129582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131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6EB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NVDA营收环比增速降至个位数；Copilot付费渗透率停滞（模型假设）</w:t>
            </w:r>
          </w:p>
        </w:tc>
      </w:tr>
      <w:tr w14:paraId="4FDA0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51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BD3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（NVDA P/S约20，Copilot渗透率约3.3%）</w:t>
            </w:r>
          </w:p>
        </w:tc>
      </w:tr>
      <w:tr w14:paraId="79C20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08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09A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NVDA季报营收环比；Microsoft Office云收入增速</w:t>
            </w:r>
          </w:p>
        </w:tc>
      </w:tr>
      <w:tr w14:paraId="2963E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66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405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</w:t>
            </w:r>
          </w:p>
        </w:tc>
      </w:tr>
      <w:tr w14:paraId="076A3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3D5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4CF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582E5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40E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E50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🔵 滞后/确认信号</w:t>
            </w:r>
          </w:p>
        </w:tc>
      </w:tr>
    </w:tbl>
    <w:p w14:paraId="0441AEA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3.4 综合评分与操作建议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2642"/>
        <w:gridCol w:w="4922"/>
      </w:tblGrid>
      <w:tr w14:paraId="477EA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5B3D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评分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095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970F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操作建议</w:t>
            </w:r>
          </w:p>
        </w:tc>
      </w:tr>
      <w:tr w14:paraId="45CD88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703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0/3 ~ 0.5/3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C0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安全（</w:t>
            </w: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当前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E4F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维持AI仓位60–70%，跟踪S1</w:t>
            </w:r>
          </w:p>
        </w:tc>
      </w:tr>
      <w:tr w14:paraId="1139E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468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794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预警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707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减仓AI至30–40%</w:t>
            </w:r>
          </w:p>
        </w:tc>
      </w:tr>
      <w:tr w14:paraId="6560F7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CC2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CFA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危险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459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AI降至10–20%，转配债券/黄金</w:t>
            </w:r>
          </w:p>
        </w:tc>
      </w:tr>
      <w:tr w14:paraId="572BE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C3E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DAE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触发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DE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清仓风险资产，等待右侧机会</w:t>
            </w:r>
          </w:p>
        </w:tc>
      </w:tr>
    </w:tbl>
    <w:p w14:paraId="4A7A63D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当前评分：0/3 ~ 0.5/3（S1接近触发但未触发，S2/S3未触发）。</w:t>
      </w:r>
    </w:p>
    <w:p w14:paraId="5455724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3.5 关键监测日程（2026–2027）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2148"/>
        <w:gridCol w:w="2029"/>
        <w:gridCol w:w="1621"/>
        <w:gridCol w:w="1858"/>
      </w:tblGrid>
      <w:tr w14:paraId="7C6331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E87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ACF2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9F57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BB2F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CD56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S3</w:t>
            </w:r>
          </w:p>
        </w:tc>
      </w:tr>
      <w:tr w14:paraId="66E6E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528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FEF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Q2财报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E07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Capex增速拐点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A99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146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E2B3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9DE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C74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 IPO窗口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CC9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B7A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决定性观察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A19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0E10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23B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CB2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Q3财报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8B2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二阶导验证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7A3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20F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</w:t>
            </w:r>
          </w:p>
        </w:tc>
      </w:tr>
      <w:tr w14:paraId="0B9F6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998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8F5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HBM产能释放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0A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供给拐点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2E6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6EC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5778E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D30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2027年Q1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AB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Q4财报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F24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终极验证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FF9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1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</w:tr>
    </w:tbl>
    <w:p w14:paraId="5513ACA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顶部窗口预测：2026年下半年至2027年上半年。</w:t>
      </w:r>
    </w:p>
    <w:p w14:paraId="6ED44BD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附录A：三国货币政策指标不对称的方法论说明</w:t>
      </w:r>
    </w:p>
    <w:p w14:paraId="616DDBD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三国货币政策框架存在结构性差异，直接使用同一指标比较易产生误导。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3089"/>
        <w:gridCol w:w="2134"/>
        <w:gridCol w:w="3457"/>
      </w:tblGrid>
      <w:tr w14:paraId="02101E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74FB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A41C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央行目标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A33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2D48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原因</w:t>
            </w:r>
          </w:p>
        </w:tc>
      </w:tr>
      <w:tr w14:paraId="7F58C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65E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2B87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充分就业+物价稳定（双目标制）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AED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A98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利率走廊机制，利率为直接工具</w:t>
            </w:r>
          </w:p>
        </w:tc>
      </w:tr>
      <w:tr w14:paraId="72AE9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70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B2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经济增长+货币供应（多目标制）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C58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M2增速+存贷款基准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91F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数量型工具+管制利率（2019年改革前）</w:t>
            </w:r>
          </w:p>
        </w:tc>
      </w:tr>
      <w:tr w14:paraId="6244A1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0B3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00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通胀+利率曲线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1E6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无担保隔夜利率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161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量化宽松后转向价格型</w:t>
            </w:r>
          </w:p>
        </w:tc>
      </w:tr>
    </w:tbl>
    <w:p w14:paraId="7DF0836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关键方法论修正：</w:t>
      </w:r>
    </w:p>
    <w:p w14:paraId="0EEE970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须使用同期限市场利率进行短长利差对比：不可将央行管制利率与市场化利率直接比较。</w:t>
      </w:r>
    </w:p>
    <w:p w14:paraId="7223FA5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须区分政策利率与市场利率：中国贷款基准为管制利率，国债为市场化利率。</w:t>
      </w:r>
    </w:p>
    <w:p w14:paraId="6948F5C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"管制利率倒挂"为2007年特有现象：存款基准4.14%高于1年期国债（年末约3.8%）。</w:t>
      </w:r>
    </w:p>
    <w:p w14:paraId="2F091F5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附录B：2005–2007年重大事件时间轴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3"/>
        <w:gridCol w:w="5006"/>
        <w:gridCol w:w="1293"/>
      </w:tblGrid>
      <w:tr w14:paraId="546B9F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537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6FD6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56DA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类型</w:t>
            </w:r>
          </w:p>
        </w:tc>
      </w:tr>
      <w:tr w14:paraId="6D74FD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BB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E6C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股改启动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ED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59D7A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6DA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7A4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人民币汇改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F8C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</w:t>
            </w:r>
          </w:p>
        </w:tc>
      </w:tr>
      <w:tr w14:paraId="3D427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81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0F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神华H股IPO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55A3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6A7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9E8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2006年4月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94E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4A4C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39B010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D9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4A6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LME铜8790美元/吨历史峰值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2C4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</w:t>
            </w:r>
          </w:p>
        </w:tc>
      </w:tr>
      <w:tr w14:paraId="5ED5CD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3DD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EC0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美联储加息见顶5.25%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35D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</w:t>
            </w:r>
          </w:p>
        </w:tc>
      </w:tr>
      <w:tr w14:paraId="53D5A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DA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2007年4月30日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FB1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中铝吸收合并山铝/兰铝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BFF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</w:t>
            </w:r>
          </w:p>
        </w:tc>
      </w:tr>
      <w:tr w14:paraId="670EC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8A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2007年5月30日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16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印花税1‰→3‰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A24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6664D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F4F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2007年7月12日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D6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西部矿业上市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EB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31A0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121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2007年9月25日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545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9A1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444EA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5D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2007年10月9日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134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CD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17B8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D15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FF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上证6124见顶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F85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  <w:tr w14:paraId="7D0C29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80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24E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B4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59E8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C75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2008年10月28日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E2A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上证1664金融危机底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09E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</w:tbl>
    <w:p w14:paraId="4A33A61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附录C：数据来源说明</w:t>
      </w:r>
    </w:p>
    <w:p w14:paraId="3A78126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核心数据文件清单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（</w:t>
      </w:r>
      <w:r>
        <w:rPr>
          <w:rStyle w:val="12"/>
          <w:rFonts w:ascii="Consolas" w:hAnsi="Consolas" w:eastAsia="Consolas" w:cs="Consolas"/>
          <w:color w:val="0F1115"/>
          <w:sz w:val="18"/>
          <w:szCs w:val="18"/>
          <w:shd w:val="clear" w:color="auto" w:fill="EBEEF2"/>
        </w:rPr>
        <w:t>TopicResearch/data/raw/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）如下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0"/>
        <w:gridCol w:w="4117"/>
        <w:gridCol w:w="2765"/>
      </w:tblGrid>
      <w:tr w14:paraId="1208BB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5F26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100C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6D3D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45C13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9AE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fedfunds_clean.json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0BD0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0FF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0758B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2EE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gs10_clean.json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088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美10年期国债收益率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7B9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647EA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09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mortgage30us_clean.json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46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美30年房贷利率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419C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5213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5A5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dtwx_clean.json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12A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51E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1619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E57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m2sl_clean.json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B91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美国M2货币供应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278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2AF10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370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china_macro_data.json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CE9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中国M2/外储/贸易/GDP/CPI/利率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76C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PBOC/海关/国家统计局</w:t>
            </w:r>
          </w:p>
        </w:tc>
      </w:tr>
      <w:tr w14:paraId="17E30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183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japan_macro_data.json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F0F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日本利率/JGB/汇率/外储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19A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BOJ/IMF</w:t>
            </w:r>
          </w:p>
        </w:tc>
      </w:tr>
      <w:tr w14:paraId="104DF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6B7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three_country_data.json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EBC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三国GDP/CPI/债务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F26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IMF/World Bank</w:t>
            </w:r>
          </w:p>
        </w:tc>
      </w:tr>
      <w:tr w14:paraId="75B1A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EF4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ai_sector_data.json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772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M7营收/Capex/NDX/Copilot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2A0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EDGAR/公司年报</w:t>
            </w:r>
          </w:p>
        </w:tc>
      </w:tr>
      <w:tr w14:paraId="772BD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A1A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ipo_data.json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442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 IPO数据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51E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公开市场信息</w:t>
            </w:r>
          </w:p>
        </w:tc>
      </w:tr>
      <w:tr w14:paraId="7B50B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B2C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metal_performance.json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8F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2005–2007金属涨幅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20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</w:tr>
      <w:tr w14:paraId="64D0E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174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event_timeline.json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0E8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重大事件时间轴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4BB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综合</w:t>
            </w:r>
          </w:p>
        </w:tc>
      </w:tr>
      <w:tr w14:paraId="001D9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7CE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expectations_data.json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A4B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IMF/卖方预期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CC4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</w:t>
            </w:r>
          </w:p>
        </w:tc>
      </w:tr>
    </w:tbl>
    <w:p w14:paraId="0AD5724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数据源机构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398D91C4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071DE61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FRED（美联储经济数据）</w:t>
      </w:r>
    </w:p>
    <w:p w14:paraId="21118987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38D5D337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PBOC（中国人民银行）</w:t>
      </w:r>
    </w:p>
    <w:p w14:paraId="7E14B048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ABBA90C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BOJ（日本银行）</w:t>
      </w:r>
    </w:p>
    <w:p w14:paraId="0C512AF9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20EA3E7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IMF（国际货币基金组织）</w:t>
      </w:r>
    </w:p>
    <w:p w14:paraId="556A406D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68368B75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World Bank（世界银行）</w:t>
      </w:r>
    </w:p>
    <w:p w14:paraId="0F90FCF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8466EEB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SEC EDGAR（美国证券交易委员会）</w:t>
      </w:r>
    </w:p>
    <w:p w14:paraId="511A149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095FD2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LME（伦敦金属交易所）</w:t>
      </w:r>
    </w:p>
    <w:p w14:paraId="451D1EB3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092FA3F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中国国家统计局</w:t>
      </w:r>
    </w:p>
    <w:p w14:paraId="03B182D7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BF51240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中国海关总署</w:t>
      </w:r>
    </w:p>
    <w:p w14:paraId="13C9F82B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6425812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公司年报（江西铜业、云南铜业、中国铝业、紫金矿业等）</w:t>
      </w:r>
    </w:p>
    <w:p w14:paraId="7A398B3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修正说明</w:t>
      </w:r>
    </w:p>
    <w:p w14:paraId="0C9DE32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v2.4版本在前序版本基础上进一步优化了语言表达。相较于v2.1版本的事实核查，核心数据修正如下：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2151"/>
        <w:gridCol w:w="1716"/>
        <w:gridCol w:w="2270"/>
        <w:gridCol w:w="2584"/>
      </w:tblGrid>
      <w:tr w14:paraId="3F411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FBE2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EFBD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F615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6D79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8CB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修正依据</w:t>
            </w:r>
          </w:p>
        </w:tc>
      </w:tr>
      <w:tr w14:paraId="22293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89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AC3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日本2005年GDP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7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D4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AE4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926B2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9F6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88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日本2006年GDP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A2D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610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1E5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1E94B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57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E98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日本2007年GDP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BC9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75F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D7D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HYPERLINK "https://www.stats.gov.cn/sj/ndsj/2008/html/Z2603e.htm"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BFDD9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30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47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1Y国债2.79%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FC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误为国债收益率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D3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实为1Y存款基准利率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5D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人民银行公告</w:t>
            </w:r>
          </w:p>
        </w:tc>
      </w:tr>
      <w:tr w14:paraId="2CB64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985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144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LME铜见顶时间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F26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F94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2006年5月11日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18C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LME公开数据</w:t>
            </w:r>
          </w:p>
        </w:tc>
      </w:tr>
      <w:tr w14:paraId="2A667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D78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A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中国铝业2007营收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B5F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430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761.80亿元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2E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78C76D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153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75E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中国铝业2006营收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EBB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750亿元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EE9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648.27亿元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F3E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64B5A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8FB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D8D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紫金矿业2006营收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DF2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F38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约106–108亿元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417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公司公告</w:t>
            </w:r>
          </w:p>
        </w:tc>
      </w:tr>
      <w:tr w14:paraId="41045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7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34F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2025市场规模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5F6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393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E2E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3E12E4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DA5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05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2026E市场规模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405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9A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692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674CB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44C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F42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Copilot渗透率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D27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157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D83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微软数据</w:t>
            </w:r>
          </w:p>
        </w:tc>
      </w:tr>
      <w:tr w14:paraId="5D2BD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826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F3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美国财政赤字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B22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AC6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联邦约1.0–1.2%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3D8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美国财政部（口径说明已补充）</w:t>
            </w:r>
          </w:p>
        </w:tc>
      </w:tr>
    </w:tbl>
    <w:p w14:paraId="752770B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估算值与模型假设（已在正文相应位置标注）：</w:t>
      </w:r>
    </w:p>
    <w:p w14:paraId="051C8E81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339392F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日元套利规模（$500B+）：业内估算</w:t>
      </w:r>
    </w:p>
    <w:p w14:paraId="3F7954EF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2CBC3AC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外汇占款增量：基于央行资产负债表的近似估算</w:t>
      </w:r>
    </w:p>
    <w:p w14:paraId="4C28AC7A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4F6DB4A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M7 Capex/Rev阈值35%：基于历史固投增速见顶经验的模型假设</w:t>
      </w:r>
    </w:p>
    <w:p w14:paraId="3EB7B5C5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28C5174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S1/S2/S3量化阈值：基于历史类比推导的监测阈值</w:t>
      </w:r>
    </w:p>
    <w:p w14:paraId="2C1A573B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09914FD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免责声明：本报告基于历史类比与公开数据构建分析框架，不构成任何投资建议。AI板块具有真实盈利支撑，"此次不同"可能使信号延迟而非消失。建议组合运用三项信号，避免单一依赖。报告作者不对数据准确性、完整性或时效性作任何保证。投资者应依据自身风险承受能力与投资目标独立判断，自担风险。</w:t>
      </w:r>
    </w:p>
    <w:p w14:paraId="26B1E4E5"/>
    <w:p w14:paraId="11A6F897">
      <w:pPr>
        <w:widowControl/>
        <w:shd w:val="clear" w:color="auto" w:fill="FFFFFF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以下为报告中所引用核心数据的来源链接及说明。所有链接均来自权威数据源（FRED、国家统计局、中国人民银行等）或主流财经媒体的一手报道。</w:t>
      </w:r>
    </w:p>
    <w:p w14:paraId="4D9B72B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一、宏观经济数据</w:t>
      </w:r>
    </w:p>
    <w:p w14:paraId="5F8C1F8E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 美国GDP增速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420"/>
        <w:gridCol w:w="6836"/>
      </w:tblGrid>
      <w:tr w14:paraId="1A87E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3855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E627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575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17B69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279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2B5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6EA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美国经济分析局（BEA）数据，引自国家统计局国际统计年鉴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37502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BF64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49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6FE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E24E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F0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78C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0EC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85DA2D8">
      <w:pPr>
        <w:widowControl/>
        <w:numPr>
          <w:ilvl w:val="0"/>
          <w:numId w:val="4"/>
        </w:numPr>
        <w:spacing w:beforeAutospacing="1" w:afterAutospacing="1"/>
        <w:ind w:left="0" w:firstLine="440"/>
      </w:pPr>
    </w:p>
    <w:p w14:paraId="0B3CE46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3A1221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 中国GDP增速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441"/>
        <w:gridCol w:w="5056"/>
      </w:tblGrid>
      <w:tr w14:paraId="422BB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1B0E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D42D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A550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2C238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4E3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FF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AAE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E67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4A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6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1AC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F19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F4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F2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94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74CF6873">
      <w:pPr>
        <w:widowControl/>
        <w:numPr>
          <w:ilvl w:val="0"/>
          <w:numId w:val="5"/>
        </w:numPr>
        <w:spacing w:beforeAutospacing="1" w:afterAutospacing="1"/>
        <w:ind w:left="0" w:firstLine="440"/>
      </w:pPr>
    </w:p>
    <w:p w14:paraId="53E7054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60C163A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 日本GDP增速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3355"/>
        <w:gridCol w:w="4557"/>
      </w:tblGrid>
      <w:tr w14:paraId="6F8E49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9041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EBA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报告数值（修正后）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6D8F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3968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C8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4C1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207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IMF数据库，引自国家统计局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5E8A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D27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78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F1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D744E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4E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2E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42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1E230FF">
      <w:pPr>
        <w:widowControl/>
        <w:numPr>
          <w:ilvl w:val="0"/>
          <w:numId w:val="6"/>
        </w:numPr>
        <w:spacing w:beforeAutospacing="1" w:afterAutospacing="1"/>
        <w:ind w:left="0" w:firstLine="440"/>
      </w:pPr>
    </w:p>
    <w:p w14:paraId="7D7E610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；日本内阁府2006年经济预测调整报道 </w:t>
      </w:r>
      <w:r>
        <w:fldChar w:fldCharType="begin"/>
      </w:r>
      <w:r>
        <w:instrText xml:space="preserve"> HYPERLINK "https://www.cei.cn/"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745C504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二、货币政策</w:t>
      </w:r>
    </w:p>
    <w:p w14:paraId="1481C4B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4. 美联储联邦基金利率（2007年5.25%）</w:t>
      </w:r>
    </w:p>
    <w:p w14:paraId="516538A3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333AA4F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：美联储自2006年6月起将联邦基金利率维持在5.25%，2007年连续多次维持不变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</w:p>
    <w:p w14:paraId="6BD7C38A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4F75723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：北方网2007年5月11日报道 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；全景网2007年8月8日报道 </w:t>
      </w:r>
      <w:r>
        <w:fldChar w:fldCharType="begin"/>
      </w:r>
      <w:r>
        <w:instrText xml:space="preserve"> HYPERLINK "https://www.p5w.net/"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AC06E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5. 美国10年期国债收益率（2007年）</w:t>
      </w:r>
    </w:p>
    <w:p w14:paraId="4D914147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5882229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：2007年6月一度触及5.25-5.30%；11月初约4.625%；12月回落至约4.04%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3753CD1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13AAE87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：FRED美联储10年期通胀指数国债数据 </w:t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；中国经济网2007年12月21日报道 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EA5864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6. 中国1年期贷款基准利率（2007年12月7.47%）</w:t>
      </w:r>
    </w:p>
    <w:p w14:paraId="4F1C6812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0FD1491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：中国人民银行2007年12月21日调整，一年期贷款基准利率由7.29%上调至7.47%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6AECD270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1A51F48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：新浪财经转载央行公告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；中国人民银行南京分行公告 </w:t>
      </w:r>
      <w:r>
        <w:fldChar w:fldCharType="begin"/>
      </w:r>
      <w:r>
        <w:instrText xml:space="preserve"> HYPERLINK "http://nanjing.pbc.gov.cn/"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51F5B07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7. 中国1年期存款基准利率（2007年12月4.14%）</w:t>
      </w:r>
    </w:p>
    <w:p w14:paraId="2EF3EFEA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5F47AB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：中国人民银行2007年12月21日调整，一年期存款基准利率由3.87%上调至4.14%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5B935ECD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3FA8B7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：同上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469CA7C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8. 中国1年期存款基准利率（2007年3月2.79%）</w:t>
      </w:r>
    </w:p>
    <w:p w14:paraId="02DD0491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7404D38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：中国人民银行2007年3月18日调整，一年期存款基准利率由2.25%提高到2.79%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78343D0F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071756D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说明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报告原将2.79%误记为1年期国债收益率，实为存款基准利率</w:t>
      </w:r>
    </w:p>
    <w:p w14:paraId="256A7F32">
      <w:pPr>
        <w:widowControl/>
        <w:numPr>
          <w:ilvl w:val="0"/>
          <w:numId w:val="11"/>
        </w:numPr>
        <w:spacing w:before="90" w:afterAutospacing="1"/>
        <w:ind w:left="0" w:firstLine="440"/>
      </w:pPr>
    </w:p>
    <w:p w14:paraId="019E70E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：新浪财经央行利率调整示意图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365D987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9. 中国1年期国债收益率（2007年）</w:t>
      </w:r>
    </w:p>
    <w:p w14:paraId="3FB0066C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EF32AB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：2007年1月初上交所约2.46%；1月末约1.86%；9月新发国债票面利率2.95%；12月新发国债中标利率3.66%</w:t>
      </w:r>
    </w:p>
    <w:p w14:paraId="31BA5AEA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53E91D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：中国经济网2007年1月8日报道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；中国经济网2007年9月13日报道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C6D758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三、汇率</w:t>
      </w:r>
    </w:p>
    <w:p w14:paraId="6E421A5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10. 美元指数（2005年约92 → 2007年约80）</w:t>
      </w:r>
    </w:p>
    <w:p w14:paraId="78F8C607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7AD1FFB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：美元指数2004年底曾跌至80.4低点；2005-2008年持续下跌，2008年7月创71.25历史低点</w:t>
      </w:r>
    </w:p>
    <w:p w14:paraId="654AFA99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087C9C92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：上海证券报2007年8月9日报道 </w:t>
      </w:r>
      <w:r>
        <w:fldChar w:fldCharType="begin"/>
      </w:r>
      <w:r>
        <w:instrText xml:space="preserve"> HYPERLINK "http://paper.cnstock.com/"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F8F507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11. 人民币汇率（2007年7月突破7.61）</w:t>
      </w:r>
    </w:p>
    <w:p w14:paraId="280F1E15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6701C33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：2007年7月2日人民币对美元中间价突破7.61关口，报7.6075</w:t>
      </w:r>
    </w:p>
    <w:p w14:paraId="49AB595E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4D90480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：新浪财经2007年7月3日报道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3294A48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四、外汇储备</w:t>
      </w:r>
    </w:p>
    <w:p w14:paraId="5213760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12. 中国外汇储备（2005年8,189亿 → 2007年15,282亿）</w:t>
      </w:r>
    </w:p>
    <w:p w14:paraId="4FA414DB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64C0EA6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：2005年8,188.72亿美元，2006年10,663.44亿美元，2007年15,282.49亿美元</w:t>
      </w:r>
    </w:p>
    <w:p w14:paraId="57EC5664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20BB1B4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：新浪财经2013年报道（引用国家外汇管理局数据）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45129B0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五、财政政策</w:t>
      </w:r>
    </w:p>
    <w:p w14:paraId="75D16D3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13. 美国2007财年财政赤字（占GDP约1.2%）</w:t>
      </w:r>
    </w:p>
    <w:p w14:paraId="7E58FBB3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6BCFEE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：美国财政部公布2007财年联邦赤字1,628亿美元，占GDP约1.2%</w:t>
      </w:r>
    </w:p>
    <w:p w14:paraId="0B8CE8E0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7CE88E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：新浪财经2007年10月12日报道 </w:t>
      </w:r>
      <w:r>
        <w:fldChar w:fldCharType="begin"/>
      </w:r>
      <w:r>
        <w:instrText xml:space="preserve"> HYPERLINK "https://finance.sina.cn/"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0965FFB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六、资本市场</w:t>
      </w:r>
    </w:p>
    <w:p w14:paraId="291029D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14. 上证指数2005-2007涨幅（513%）</w:t>
      </w:r>
    </w:p>
    <w:p w14:paraId="6C21B11C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63946C1E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：上证指数从2005年6月998点涨至2007年10月6124点，涨幅513%</w:t>
      </w:r>
    </w:p>
    <w:p w14:paraId="500498EF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5B6BE117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：凤凰网2022年报道 </w:t>
      </w:r>
      <w:r>
        <w:fldChar w:fldCharType="begin"/>
      </w:r>
      <w:r>
        <w:instrText xml:space="preserve"> HYPERLINK "https://i.ifeng.com/"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；证券时报2014年报道 </w:t>
      </w:r>
      <w:r>
        <w:fldChar w:fldCharType="begin"/>
      </w:r>
      <w:r>
        <w:instrText xml:space="preserve"> HYPERLINK "http://epaper.stcn.com/"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4A70825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七、大宗商品</w:t>
      </w:r>
    </w:p>
    <w:p w14:paraId="26F056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15. LME铜价2006年5月见顶8,790美元/吨</w:t>
      </w:r>
    </w:p>
    <w:p w14:paraId="6D38E4A9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3AA916BD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：伦敦金属交易所(LME)三月期铜2006年5月11日达8,790美元/吨历史新高</w:t>
      </w:r>
    </w:p>
    <w:p w14:paraId="03DA2782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632A47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：中国证券报2006年5月25日报道 </w:t>
      </w:r>
      <w:r>
        <w:fldChar w:fldCharType="begin"/>
      </w:r>
      <w:r>
        <w:instrText xml:space="preserve"> HYPERLINK "http://epaper.cs.com.cn/"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FFDFBF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八、公司财务数据</w:t>
      </w:r>
    </w:p>
    <w:p w14:paraId="5E3787F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16. 江西铜业2005年营收133.4亿元</w:t>
      </w:r>
    </w:p>
    <w:p w14:paraId="1368DA71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3890D93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：江西铜业2005年年报显示主营业务收入1,334,069.24万元</w:t>
      </w:r>
    </w:p>
    <w:p w14:paraId="27EB2892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038024F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：新浪财经2006年4月28日报道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6179702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17. 中国铝业2007年营收761.80亿元</w:t>
      </w:r>
    </w:p>
    <w:p w14:paraId="320922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2370511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：中国铝业2007年年报显示营业收入761.80亿元，净利润102.25亿元</w:t>
      </w:r>
    </w:p>
    <w:p w14:paraId="26E3C3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0AC2D3A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：北方网2008年3月18日报道 </w:t>
      </w:r>
      <w:r>
        <w:fldChar w:fldCharType="begin"/>
      </w:r>
      <w:r>
        <w:instrText xml:space="preserve"> HYPERLINK "http://economy.enorth.com.cn/"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F3DE296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九、IPO数据</w:t>
      </w:r>
    </w:p>
    <w:p w14:paraId="342A948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18. 中国石油2007年IPO（募资668亿元，冻结3.3万亿）</w:t>
      </w:r>
    </w:p>
    <w:p w14:paraId="609182AB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494EC2B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：中国石油A股发行价16.7元，融资规模668亿元；冻结资金3.3万亿元</w:t>
      </w:r>
    </w:p>
    <w:p w14:paraId="6D90FC8F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6E35F37B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：中国新闻网2007年10月30日报道 </w:t>
      </w:r>
      <w:r>
        <w:fldChar w:fldCharType="begin"/>
      </w:r>
      <w:r>
        <w:instrText xml:space="preserve"> HYPERLINK "https://www.chinanews.com.cn/"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；财新网2007年11月12日报道 </w:t>
      </w:r>
      <w:r>
        <w:fldChar w:fldCharType="begin"/>
      </w:r>
      <w:r>
        <w:instrText xml:space="preserve"> HYPERLINK "http://magazine.caixin.com/"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6CAA780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十、AI板块数据</w:t>
      </w:r>
    </w:p>
    <w:p w14:paraId="4788B00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19.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8"/>
        <w:gridCol w:w="3434"/>
        <w:gridCol w:w="3390"/>
      </w:tblGrid>
      <w:tr w14:paraId="21D1B5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667F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F63F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BEB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49C7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C60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534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D03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7340B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F693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22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58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1EDD7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C68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426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F44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491CDD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BA5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699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A07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</w:tbl>
    <w:p w14:paraId="737557CF">
      <w:pPr>
        <w:widowControl/>
        <w:numPr>
          <w:ilvl w:val="0"/>
          <w:numId w:val="22"/>
        </w:numPr>
        <w:spacing w:beforeAutospacing="1" w:afterAutospacing="1"/>
        <w:ind w:left="0" w:firstLine="440"/>
      </w:pPr>
    </w:p>
    <w:p w14:paraId="77B6A0B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：网易2026年2月行业分析 </w:t>
      </w:r>
      <w:r>
        <w:fldChar w:fldCharType="begin"/>
      </w:r>
      <w:r>
        <w:instrText xml:space="preserve"> HYPERLINK "https://m.163.com/"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43FE0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20. Microsoft Copilot付费渗透率（约3.3%）</w:t>
      </w:r>
    </w:p>
    <w:p w14:paraId="119A1042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5E6E602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：Microsoft 365拥有约4.5亿商业用户，Copilot付费席位约1,500万个，渗透率约3.3%</w:t>
      </w:r>
    </w:p>
    <w:p w14:paraId="4B6CCB5B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27C24B8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：199IT 2026年5月报道 </w:t>
      </w:r>
      <w:r>
        <w:fldChar w:fldCharType="begin"/>
      </w:r>
      <w:r>
        <w:instrText xml:space="preserve"> HYPERLINK "https://www.199it.com/"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3D97D3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数据来源汇总表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3445"/>
        <w:gridCol w:w="3515"/>
      </w:tblGrid>
      <w:tr w14:paraId="07FAF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4D5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3917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首选来源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093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备用来源</w:t>
            </w:r>
          </w:p>
        </w:tc>
      </w:tr>
      <w:tr w14:paraId="675A1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4A1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73E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美国经济分析局(BEA)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A1B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</w:p>
        </w:tc>
      </w:tr>
      <w:tr w14:paraId="4D42D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4D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0D0E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B03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7A6147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EC5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5F8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日本内阁府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9CA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20557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C2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D3B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美联储(FED)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C4D7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FRED数据库</w:t>
            </w:r>
          </w:p>
        </w:tc>
      </w:tr>
      <w:tr w14:paraId="691DEC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C50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6FC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338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4762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195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2C0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中国人民银行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3C3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9A5C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D2CC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B23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财政部/中债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6B6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076F9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A7D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外汇储备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FC1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国家外汇管理局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AF4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54B36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E0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A6C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各国财政部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624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1D5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6EA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股市数据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B5D8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交易所公开数据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055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45BE5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CF1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B81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E2A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64F78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F7C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公司财务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278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公司年报(SEC/巨潮)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78F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C97E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F4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D1C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71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A32F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D5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HBM市场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8A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Yole Group/行业研究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218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3A1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E4F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E47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微软财报/公开报道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921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行业分析</w:t>
            </w:r>
          </w:p>
        </w:tc>
      </w:tr>
    </w:tbl>
    <w:p w14:paraId="46EEC78A"/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08" w:lineRule="auto"/>
      </w:pPr>
      <w:r>
        <w:separator/>
      </w:r>
    </w:p>
  </w:footnote>
  <w:footnote w:type="continuationSeparator" w:id="1">
    <w:p>
      <w:pPr>
        <w:spacing w:before="0" w:after="0" w:line="40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4527"/>
    <w:multiLevelType w:val="multilevel"/>
    <w:tmpl w:val="803E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9BCEA"/>
    <w:multiLevelType w:val="multilevel"/>
    <w:tmpl w:val="8509B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5ED857"/>
    <w:multiLevelType w:val="multilevel"/>
    <w:tmpl w:val="8F5ED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15B776"/>
    <w:multiLevelType w:val="multilevel"/>
    <w:tmpl w:val="A115B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FF5872"/>
    <w:multiLevelType w:val="multilevel"/>
    <w:tmpl w:val="A2FF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FBDC29"/>
    <w:multiLevelType w:val="multilevel"/>
    <w:tmpl w:val="ACFBD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43F2C5"/>
    <w:multiLevelType w:val="multilevel"/>
    <w:tmpl w:val="B043F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B6C14C"/>
    <w:multiLevelType w:val="multilevel"/>
    <w:tmpl w:val="D4B6C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244DA0"/>
    <w:multiLevelType w:val="singleLevel"/>
    <w:tmpl w:val="FA244DA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CBC04EE"/>
    <w:multiLevelType w:val="multilevel"/>
    <w:tmpl w:val="FCBC0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12BE53"/>
    <w:multiLevelType w:val="multilevel"/>
    <w:tmpl w:val="FE12B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8D549F0"/>
    <w:multiLevelType w:val="multilevel"/>
    <w:tmpl w:val="08D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DE409B2"/>
    <w:multiLevelType w:val="multilevel"/>
    <w:tmpl w:val="1DE40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095189"/>
    <w:multiLevelType w:val="multilevel"/>
    <w:tmpl w:val="1F095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6D918A"/>
    <w:multiLevelType w:val="multilevel"/>
    <w:tmpl w:val="226D9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C50DAA0"/>
    <w:multiLevelType w:val="multilevel"/>
    <w:tmpl w:val="4C50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2E8A944"/>
    <w:multiLevelType w:val="multilevel"/>
    <w:tmpl w:val="52E8A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4CBA048"/>
    <w:multiLevelType w:val="multilevel"/>
    <w:tmpl w:val="54CBA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92DFA1A"/>
    <w:multiLevelType w:val="multilevel"/>
    <w:tmpl w:val="592DF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F26540E"/>
    <w:multiLevelType w:val="multilevel"/>
    <w:tmpl w:val="6F26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3F55918"/>
    <w:multiLevelType w:val="multilevel"/>
    <w:tmpl w:val="73F55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376586"/>
    <w:multiLevelType w:val="multilevel"/>
    <w:tmpl w:val="7737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DC4BDDD"/>
    <w:multiLevelType w:val="multilevel"/>
    <w:tmpl w:val="7DC4B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20"/>
  </w:num>
  <w:num w:numId="3">
    <w:abstractNumId w:val="1"/>
  </w:num>
  <w:num w:numId="4">
    <w:abstractNumId w:val="2"/>
  </w:num>
  <w:num w:numId="5">
    <w:abstractNumId w:val="18"/>
  </w:num>
  <w:num w:numId="6">
    <w:abstractNumId w:val="7"/>
  </w:num>
  <w:num w:numId="7">
    <w:abstractNumId w:val="14"/>
  </w:num>
  <w:num w:numId="8">
    <w:abstractNumId w:val="0"/>
  </w:num>
  <w:num w:numId="9">
    <w:abstractNumId w:val="19"/>
  </w:num>
  <w:num w:numId="10">
    <w:abstractNumId w:val="9"/>
  </w:num>
  <w:num w:numId="11">
    <w:abstractNumId w:val="13"/>
  </w:num>
  <w:num w:numId="12">
    <w:abstractNumId w:val="22"/>
  </w:num>
  <w:num w:numId="13">
    <w:abstractNumId w:val="12"/>
  </w:num>
  <w:num w:numId="14">
    <w:abstractNumId w:val="4"/>
  </w:num>
  <w:num w:numId="15">
    <w:abstractNumId w:val="17"/>
  </w:num>
  <w:num w:numId="16">
    <w:abstractNumId w:val="3"/>
  </w:num>
  <w:num w:numId="17">
    <w:abstractNumId w:val="15"/>
  </w:num>
  <w:num w:numId="18">
    <w:abstractNumId w:val="6"/>
  </w:num>
  <w:num w:numId="19">
    <w:abstractNumId w:val="16"/>
  </w:num>
  <w:num w:numId="20">
    <w:abstractNumId w:val="5"/>
  </w:num>
  <w:num w:numId="21">
    <w:abstractNumId w:val="11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32615"/>
    <w:rsid w:val="00181D45"/>
    <w:rsid w:val="0050731D"/>
    <w:rsid w:val="00714AA3"/>
    <w:rsid w:val="009D0C94"/>
    <w:rsid w:val="00AF0367"/>
    <w:rsid w:val="00CE0F85"/>
    <w:rsid w:val="06460B11"/>
    <w:rsid w:val="4F932615"/>
    <w:rsid w:val="585F4F12"/>
    <w:rsid w:val="78CD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408" w:lineRule="auto"/>
      <w:ind w:firstLine="440"/>
      <w:jc w:val="both"/>
    </w:pPr>
    <w:rPr>
      <w:rFonts w:asciiTheme="minorHAnsi" w:hAnsiTheme="minorHAnsi" w:eastAsiaTheme="minorEastAsia" w:cstheme="minorBidi"/>
      <w:color w:val="1E293B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480" w:beforeAutospacing="1" w:after="320" w:afterAutospacing="1" w:line="312" w:lineRule="auto"/>
      <w:ind w:firstLine="0"/>
      <w:jc w:val="left"/>
      <w:outlineLvl w:val="0"/>
    </w:pPr>
    <w:rPr>
      <w:rFonts w:hint="eastAsia" w:ascii="Times New Roman" w:hAnsi="Times New Roman" w:eastAsia="宋体" w:cs="Times New Roman"/>
      <w:b/>
      <w:bCs/>
      <w:color w:val="1E3A5F"/>
      <w:kern w:val="44"/>
      <w:sz w:val="36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1" w:after="240" w:afterAutospacing="1" w:line="312" w:lineRule="auto"/>
      <w:ind w:firstLine="0"/>
      <w:jc w:val="left"/>
      <w:outlineLvl w:val="1"/>
    </w:pPr>
    <w:rPr>
      <w:rFonts w:hint="eastAsia" w:ascii="Times New Roman" w:hAnsi="Times New Roman" w:eastAsia="宋体" w:cs="Times New Roman"/>
      <w:b/>
      <w:bCs/>
      <w:color w:val="1E3A5F"/>
      <w:kern w:val="0"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1" w:after="160" w:afterAutospacing="1" w:line="312" w:lineRule="auto"/>
      <w:ind w:firstLine="0"/>
      <w:jc w:val="left"/>
      <w:outlineLvl w:val="2"/>
    </w:pPr>
    <w:rPr>
      <w:rFonts w:hint="eastAsia" w:ascii="Times New Roman" w:hAnsi="Times New Roman" w:eastAsia="宋体" w:cs="Times New Roman"/>
      <w:b/>
      <w:bCs/>
      <w:color w:val="1E3A5F"/>
      <w:kern w:val="0"/>
      <w:sz w:val="24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60" w:beforeAutospacing="1" w:afterAutospacing="1" w:line="312" w:lineRule="auto"/>
      <w:ind w:firstLine="0"/>
      <w:jc w:val="left"/>
      <w:outlineLvl w:val="3"/>
    </w:pPr>
    <w:rPr>
      <w:rFonts w:hint="eastAsia" w:ascii="Times New Roman" w:hAnsi="Times New Roman" w:eastAsia="宋体" w:cs="Times New Roman"/>
      <w:b/>
      <w:bCs/>
      <w:color w:val="475569"/>
      <w:kern w:val="0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  <w:style w:type="character" w:customStyle="1" w:styleId="14">
    <w:name w:val="页脚 字符"/>
    <w:basedOn w:val="10"/>
    <w:link w:val="6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1742</Words>
  <Characters>2134</Characters>
  <Lines>170</Lines>
  <Paragraphs>48</Paragraphs>
  <TotalTime>249</TotalTime>
  <ScaleCrop>false</ScaleCrop>
  <LinksUpToDate>false</LinksUpToDate>
  <CharactersWithSpaces>2140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2026-06-29T05:00:00Z</dcterms:created>
  <dc:creator>ll</dc:creator>
  <cp:lastModifiedBy>ll</cp:lastModifiedBy>
  <dcterms:modified xsi:type="dcterms:W3CDTF">2026-06-29T10:16:26Z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4D9ACDD3ED5848A081CB6B19EF5F5FE7_13</vt:lpwstr>
  </property>
  <property fmtid="{D5CDD505-2E9C-101B-9397-08002B2CF9AE}" pid="4" name="KSOTemplateDocerSaveRecord">
    <vt:lpwstr>eyJoZGlkIjoiNDgyODI5MTk1ZjlmNzMzNmJlOWU1NjhjYmFmYWM4MDciLCJ1c2VySWQiOiI1Njg1OTIyOTkifQ==</vt:lpwstr>
  </property>
</Properties>
</file>