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172A"/>
          <w:sz w:val="48"/>
        </w:rPr>
        <w:t>复盘 2005–2007 有色金属超级周期</w:t>
        <w:br/>
        <w:t>对标当前 AI 板块投资</w:t>
      </w:r>
    </w:p>
    <w:p>
      <w:pPr>
        <w:spacing w:before="400"/>
        <w:jc w:val="center"/>
      </w:pPr>
      <w:r>
        <w:rPr>
          <w:color w:val="64748B"/>
          <w:sz w:val="26"/>
        </w:rPr>
        <w:t>——基于「资本开支驱动的需求正反馈」的 3 个量化顶部信号</w:t>
      </w:r>
    </w:p>
    <w:p/>
    <w:p/>
    <w:p>
      <w:pPr>
        <w:jc w:val="center"/>
      </w:pPr>
      <w:r>
        <w:rPr>
          <w:color w:val="94A3B8"/>
          <w:sz w:val="20"/>
        </w:rPr>
        <w:t>报告编号：TR-2026-001  |  报告日期：2026 年 6 月 28 日  |  版本 v2.0</w:t>
      </w:r>
    </w:p>
    <w:p/>
    <w:p/>
    <w:p>
      <w:pPr>
        <w:jc w:val="center"/>
      </w:pPr>
      <w:r>
        <w:rPr>
          <w:color w:val="94A3B8"/>
          <w:sz w:val="19"/>
        </w:rPr>
        <w:t>数据来源：FRED、PBOC、BOJ、IMF、World Bank、ICSG、海关总署、SEC EDGAR、Bloomberg</w:t>
        <w:br/>
        <w:t>辅助文件：TopicResearch/data/raw/ (32 个 JSON 数据文件)</w:t>
        <w:br/>
        <w:t>本报告准绳：05-07 有色复盘 HTML 报告 + slides 演示文稿</w:t>
      </w:r>
    </w:p>
    <w:p/>
    <w:p>
      <w:pPr>
        <w:jc w:val="center"/>
      </w:pPr>
      <w:r>
        <w:rPr>
          <w:i/>
          <w:color w:val="B45309"/>
          <w:sz w:val="17"/>
        </w:rPr>
        <w:t>免责声明：本报告基于历史类比研究，不构成投资建议。AI 浪潮有真实盈利支撑，「此次不同」可能令信号延迟或失效。建议组合使用三信号，不单一依赖。</w:t>
      </w:r>
    </w:p>
    <w:p>
      <w:r>
        <w:br w:type="page"/>
      </w:r>
    </w:p>
    <w:p>
      <w:pPr>
        <w:keepNext/>
        <w:spacing w:before="400" w:after="200"/>
      </w:pPr>
      <w:r>
        <w:rPr>
          <w:b/>
          <w:color w:val="0F172A"/>
          <w:sz w:val="32"/>
        </w:rPr>
        <w:t>引言：为什么要复盘 2005–2007？</w:t>
      </w:r>
    </w:p>
    <w:p>
      <w:pPr>
        <w:spacing w:line="408" w:lineRule="auto" w:after="80"/>
        <w:ind w:firstLine="440"/>
      </w:pPr>
      <w:r>
        <w:t>2008 年金融危机后，全球资本市场经历了近 15 年的「低利率 + 低增长」长期停滞。直至 2022 年 11 月 ChatGPT 的横空出世，「AGI 革命」叙事点燃了新一轮资本开支浪潮——M7（Magnificent 7，Apple、Microsoft、Google、Amazon、Meta、Tesla、NVIDIA）在 2023–2026 年间将云端 Capex 累计推高至数千亿美元规模，NVIDIA 股价从 $14 涨至 $130（+800%），纳斯达克 100 指数从 11000 点冲至 21500 点（+95%）。</w:t>
      </w:r>
    </w:p>
    <w:p>
      <w:pPr>
        <w:spacing w:line="408" w:lineRule="auto" w:after="80"/>
        <w:ind w:firstLine="440"/>
      </w:pPr>
      <w:r>
        <w:t>这一轮 AI 浪潮的「资本开支驱动的需求正反馈」与 2005–2007 年的有色金属超级周期具有令人不安的结构相似性——彼时全球铜价从 $3,000 涨至 $8,985（+197%），LME 铝价从 $1,807 涨至 $3,000，A 股有色金属指数涨幅高达 1,857%，中铝、云铜等龙头股在「资产注入」叙事下 PE 推升至 60–80 倍。</w:t>
      </w:r>
    </w:p>
    <w:p>
      <w:pPr>
        <w:spacing w:line="408" w:lineRule="auto" w:after="80"/>
        <w:ind w:firstLine="440"/>
      </w:pPr>
      <w:r>
        <w:t>然而，两轮浪潮在「流动性来源」和「估值锚」上存在本质差异：</w:t>
      </w:r>
    </w:p>
    <w:p>
      <w:pPr>
        <w:spacing w:line="408" w:lineRule="auto" w:after="80"/>
        <w:ind w:firstLine="440"/>
      </w:pPr>
      <w:r>
        <w:t>05–07 的流动性来自**央行被动放水**——中国出口创汇转化为外汇占款（2005–2007 累计 ~8 万亿元），央行结汇后基础货币扩张，M2 增速从 17.6% 升至 18.5%；同时美元持续贬值（92→80，-13%），日本超低利率（0–0.5%）下日元套息交易规模达 $500B+，三重机制共同构成了商品超级周期的「全球流动性大合唱」。</w:t>
      </w:r>
    </w:p>
    <w:p>
      <w:pPr>
        <w:spacing w:line="408" w:lineRule="auto" w:after="80"/>
        <w:ind w:firstLine="440"/>
      </w:pPr>
      <w:r>
        <w:t>23–26 的流动性则来自**企业主动喷泉**——M7 自由现金流 + 部分企业债融资直接转化为 AI Capex，M7（除 NVDA）平均 Capex/Rev 从 2024 年的 18% 升至 2026E 的 30%。美联储虽然缩表，但企业信用条件仍宽——M7 自身的盈利和现金成为 AI Capex 的唯一来源。</w:t>
      </w:r>
    </w:p>
    <w:p>
      <w:pPr>
        <w:spacing w:line="408" w:lineRule="auto" w:after="80"/>
        <w:ind w:firstLine="440"/>
      </w:pPr>
      <w:r>
        <w:t>这一差异意味着 23–26 泡沫可能更「粘」——反应慢于 05–07，但顶部更「陡」——M7 同步减投会瞬间反转。</w:t>
      </w:r>
    </w:p>
    <w:p>
      <w:pPr>
        <w:spacing w:line="408" w:lineRule="auto" w:after="80"/>
        <w:ind w:firstLine="440"/>
      </w:pPr>
      <w:r>
        <w:t>本报告的核心问题是：在 23–26 AI 浪潮的当前阶段（截至 2026 年 6 月），**我们能否找到 3 个可量化、可监测、可证伪的顶部信号**？这些信号应当在 05–07 的历史镜像中得到验证，并能在不同情境下提示风险。</w:t>
      </w:r>
    </w:p>
    <w:p>
      <w:pPr>
        <w:spacing w:before="160" w:after="160" w:line="384" w:lineRule="auto"/>
        <w:ind w:left="440" w:right="440"/>
      </w:pPr>
      <w:r>
        <w:rPr>
          <w:b/>
          <w:color w:val="B45309"/>
        </w:rPr>
        <w:t>本报告的 3 个核心结论：(1) 当前 3 个信号均未触发，综合评分 0/3 ~ 0.5/3，维持关注；(2) 顶部窗口预测 2026H2 – 2027H1；(3) 关键观察点为 OpenAI IPO 后 30 日表现。</w:t>
      </w:r>
    </w:p>
    <w:p>
      <w:pPr>
        <w:keepNext/>
        <w:spacing w:before="400" w:after="200"/>
      </w:pPr>
      <w:r>
        <w:rPr>
          <w:b/>
          <w:color w:val="0F172A"/>
          <w:sz w:val="32"/>
        </w:rPr>
        <w:t>第一部分　2005–2007 有色金属超级周期全景复盘</w:t>
      </w:r>
    </w:p>
    <w:p>
      <w:pPr>
        <w:spacing w:line="408" w:lineRule="auto" w:after="80"/>
      </w:pPr>
      <w:r>
        <w:t>要回答「AI 浪潮何时见顶」这一问题，首先需要完整理解 2005–2007 这一历史镜像。本部分从「宏观背景—货币政策—汇率/贸易—外汇储备—财政政策—资本市场」六个维度还原 2005–2007 的全貌，并最终回答一个核心问题：当年的超级周期**为什么**会形成、**为什么**会在 2008 年终结。</w:t>
      </w:r>
    </w:p>
    <w:p>
      <w:pPr>
        <w:keepNext/>
        <w:spacing w:before="280" w:after="120"/>
      </w:pPr>
      <w:r>
        <w:rPr>
          <w:b/>
          <w:color w:val="1E3A5F"/>
          <w:sz w:val="26"/>
        </w:rPr>
        <w:t>§1.1　全球主要经济体背景：三国同步增长的罕见窗口</w:t>
      </w:r>
    </w:p>
    <w:p>
      <w:pPr>
        <w:spacing w:line="408" w:lineRule="auto" w:after="80"/>
      </w:pPr>
      <w:r>
        <w:t>2005–2007 是 21 世纪以来美中日三大经济体**同步增长**的罕见窗口。理解这一同步性，是理解商品超级周期的真正起点——三国增速虽然差异巨大，但角色高度互补。</w:t>
      </w:r>
    </w:p>
    <w:p>
      <w:pPr>
        <w:spacing w:line="408" w:lineRule="auto" w:after="80"/>
        <w:ind w:firstLine="440"/>
      </w:pPr>
      <w:r>
        <w:t>**美国：减速但消费强**。美国实际 GDP 增速从 2005 年 3.5% 降至 2007 年 1.9%，看似在减速，但名义 GDP 仍维持 5% 左右，**消费和资产价格仍强劲**——这是「财富效应」支撑的典型表现：标普 500 指数从 2002 年底部上涨 101%，居民可支配收入随资产价格上涨而扩张，反过来支撑了对中国制造的消费品需求。</w:t>
      </w:r>
    </w:p>
    <w:p>
      <w:pPr>
        <w:spacing w:line="408" w:lineRule="auto" w:after="80"/>
        <w:ind w:firstLine="440"/>
      </w:pPr>
      <w:r>
        <w:t>**中国：加速，重工业化+城镇化高峰**。中国 GDP 实际增速从 11.3% 升至 14.2%，名义 GDP 增速更高达 23%（含通胀和资产价格重估）。中国贡献了全球铜消费增量的 60%+，M2 增速 17.6%→18.5%，固定资产投资 CAGR 超过 25%——这是「重工业化+城镇化」双轮驱动的典型样本。</w:t>
      </w:r>
    </w:p>
    <w:p>
      <w:pPr>
        <w:spacing w:line="408" w:lineRule="auto" w:after="80"/>
        <w:ind w:firstLine="440"/>
      </w:pPr>
      <w:r>
        <w:t>**日本：走出「失去的十年」**。日本实际 GDP 增速仅 0.6%–0.8%，名义 GDP ≈ 0，看似在通缩中挣扎，但企业治理改善、外资流入，日经 225 在 2005 年上涨 40.24%——这意味着日本完成了从「偿债」到「扩张」的模式切换，即将在全球金融体系中扮演新的角色。</w:t>
      </w:r>
    </w:p>
    <w:p>
      <w:pPr>
        <w:spacing w:line="408" w:lineRule="auto" w:after="80"/>
      </w:pPr>
      <w:r>
        <w:t>**关键洞察**：这种「同步增长」是 2005–2007 独有的窗口。美国虽减速但消费强、中国处于工业化高峰、日本走出通缩——三国缺一不可。商品超级周期的真正燃料不是「中国需求」单独一个变量，而是**「消费国+生产国+融资国」的三角互补结构**。</w:t>
      </w:r>
    </w:p>
    <w:p>
      <w:pPr>
        <w:keepNext/>
        <w:spacing w:before="280" w:after="120"/>
      </w:pPr>
      <w:r>
        <w:rPr>
          <w:b/>
          <w:color w:val="1E3A5F"/>
          <w:sz w:val="26"/>
        </w:rPr>
        <w:t>§1.2　货币政策：表面紧缩、实际宽松</w:t>
      </w:r>
    </w:p>
    <w:p>
      <w:pPr>
        <w:spacing w:line="408" w:lineRule="auto" w:after="80"/>
        <w:ind w:firstLine="440"/>
      </w:pPr>
      <w:r>
        <w:t>理解 2005–2007 货币政策的关键，是要意识到：**表面上的紧缩，掩盖了实际金融条件的宽松**。如果只看 2007 年末三国央行政策利率——美联储 5.25%、中国 1Y 贷款基准 7.47%、日银 0.5%——会得出三国都在紧缩的结论。然而，市场实际感受的金融条件却普遍宽松。</w:t>
      </w:r>
    </w:p>
    <w:p>
      <w:pPr>
        <w:spacing w:line="408" w:lineRule="auto" w:after="80"/>
        <w:ind w:firstLine="440"/>
      </w:pPr>
      <w:r>
        <w:t>**美国的「格林斯潘之谜」**揭示了短端利率与长端利率的脱节。美联储在 2004.06–2006.06 期间加息 17 次，联邦基金利率从 1% 抬至 5.25%；但 10 年期国债利率仅从 4.2% 升至 4.6%——几乎纹丝不动。短长利差从 +3.2% 收窄到 +0.65%，意味着**美联储加的息在金融市场上几乎没有传导**。这一悖论的根源是全球「储蓄过剩」——亚洲国家、石油美元的避险资金持续压低长端利率，使美国实际金融条件仍宽松。</w:t>
      </w:r>
    </w:p>
    <w:p>
      <w:pPr>
        <w:spacing w:line="408" w:lineRule="auto" w:after="80"/>
        <w:ind w:firstLine="440"/>
      </w:pPr>
      <w:r>
        <w:t>**中国的情况更奇特**。1Y 贷款基准 7.47% 看似很高，但同期 10 年期国债仅 4.5%；更反常的是 1Y 存款基准 4.14% 居然高于 1Y 国债 2.79%——在正常利率体系中，国债作为无风险利率应该是市场利率的下限，但中国央行通过存款管制将存款利率人为抬高在国债之上。这意味着 2007 年的中国同时存在**管制利率倒挂**（4.14% &gt; 2.79%）和**贷存利差 3.33%**（7.47% - 4.14%）。</w:t>
      </w:r>
    </w:p>
    <w:p>
      <w:pPr>
        <w:spacing w:line="408" w:lineRule="auto" w:after="80"/>
      </w:pPr>
      <w:r>
        <w:t>这两个数字是理解中国 2007 年资产价格泡沫的关键。贷存利差 3.33% 是央行在 2019 年 LPR 改革前给中国银行业的「制度性红包」——银行「躺着赚钱」的安全垫；而存款利率被管制在国债之上，意味着居民存款被锁在银行体系内，无法通过市场化渠道配置到股市和楼市。**结果是「被动溢出」——存款利率过低，居民被迫将储蓄转向资产，叠加 M2 增速 18% 的扩张效应**。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hree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图表 1：2007 年三国货币政策三层利率对比——揭示中国管制利率倒挂与贷存利差 3.33%</w:t>
      </w:r>
    </w:p>
    <w:p>
      <w:pPr>
        <w:spacing w:line="408" w:lineRule="auto" w:after="80"/>
        <w:ind w:firstLine="440"/>
      </w:pPr>
      <w:r>
        <w:t>**日本的故事则是「套利」**。日银 2006 年退出 QE，隔夜利率 0% → 0.5%，但 10Y JGB 仅 1.5%、房贷 2.5%——量宽传导充分。**真正的故事是日元套息**——借日元（利率极低）投资美元资产或商品，估算规模 $500B+。这是 2005–2007 全球风险偏好的关键推手。</w:t>
      </w:r>
    </w:p>
    <w:p>
      <w:pPr>
        <w:spacing w:before="160" w:after="160" w:line="384" w:lineRule="auto"/>
        <w:ind w:left="440" w:right="440"/>
      </w:pPr>
      <w:r>
        <w:rPr>
          <w:b/>
          <w:color w:val="B45309"/>
        </w:rPr>
        <w:t>**为什么三国货币政策「表面紧缩、实际宽松」？**因为三个水龙头的开关逻辑完全不同——美国被储蓄过剩压制，中国被外汇占款抵消，日本被套利输出。这构成了商品超级周期的全球流动性基础。</w:t>
      </w:r>
    </w:p>
    <w:p>
      <w:pPr>
        <w:keepNext/>
        <w:spacing w:before="280" w:after="120"/>
      </w:pPr>
      <w:r>
        <w:rPr>
          <w:b/>
          <w:color w:val="1E3A5F"/>
          <w:sz w:val="26"/>
        </w:rPr>
        <w:t>§1.3　外汇储备与汇率：全球失衡的镜像</w:t>
      </w:r>
    </w:p>
    <w:p>
      <w:pPr>
        <w:spacing w:line="408" w:lineRule="auto" w:after="80"/>
        <w:ind w:firstLine="440"/>
      </w:pPr>
      <w:r>
        <w:t>2005–2007 期间，中国外汇储备从 8,189 亿美元跃升至 15,282 亿美元，**两年半内几乎翻倍**。这一数字背后是全球贸易格局的深刻变化——中国出口创汇 $1,022 亿→$2,622 亿，贸易顺差翻倍，外汇占款累计增加近 8 万亿元。</w:t>
      </w:r>
    </w:p>
    <w:p>
      <w:pPr>
        <w:spacing w:line="408" w:lineRule="auto" w:after="80"/>
        <w:ind w:firstLine="440"/>
      </w:pPr>
      <w:r>
        <w:t>**外储/GDP 48%**——这是 2007 年中国的核心数字，全球第一。美国仅 1.7%，日本 21%。这一失衡本身不可持续，最终必然通过汇率/利率/资产价格调整——这也是 2008 年危机后中国外储增长显著放缓的根本原因。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487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nsmission_ch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图表 2：中国外汇占款完整传导链（2005-2008）——贸易顺差→外储→外汇占款→M2 增速的 4 变量协同</w:t>
      </w:r>
    </w:p>
    <w:p>
      <w:pPr>
        <w:spacing w:line="408" w:lineRule="auto" w:after="80"/>
      </w:pPr>
      <w:r>
        <w:t>**美元贬值的连锁效应**是 2005–2007 商品超级周期最直接的燃料：美元指数从 92 跌至 80（-13%），推升以美元计价的商品价格——LME 铜从 $3,000 涨至 $8,000+；同时全球资金流出美国、涌入新兴市场；美国进口成本上升、通胀压力上升、实际利率下降。**这是一条自我强化的链条**——美元越贬值，商品越涨，新兴市场越受益，对美出口越多，外汇占款越多。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487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hree_country_m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图表 2.5：三国 M2 增速 vs 美元指数（2005-2008）——揭示中国是全球流动性的"主水源"</w:t>
      </w:r>
    </w:p>
    <w:p>
      <w:pPr>
        <w:spacing w:line="408" w:lineRule="auto" w:after="80"/>
      </w:pPr>
      <w:r>
        <w:t>图表 2.5 揭示了三国 M2 增速的**惊人差异**：2007 年中国 M2 增速 18.5%，是美国的 3.3 倍、日本的 13 倍。**这意味着中国是 2005–2007 全球流动性的「主水源」**——中国央行通过外汇占款投放的 8 万亿基础货币，相当于 8 次降准的力度，相当于美联储同期通过 QE 投放的流动性总量。</w:t>
      </w:r>
    </w:p>
    <w:p>
      <w:pPr>
        <w:spacing w:line="408" w:lineRule="auto" w:after="80"/>
        <w:ind w:firstLine="440"/>
      </w:pPr>
      <w:r>
        <w:t>**人民币升值的悖论**值得单独分析。2005 年 7 月汇改启动，人民币兑美元累计升值约 12%，但贸易顺差反而翻倍。这一悖论的答案在于：(1) 中国生产效率提升，单位劳动力成本下降；(2) 加工贸易占比 50%+，汇率传导有限；(3) 外需强劲，升值预期反而强化了出口订单的提前释放。</w:t>
      </w:r>
    </w:p>
    <w:p>
      <w:pPr>
        <w:keepNext/>
        <w:spacing w:before="280" w:after="120"/>
      </w:pPr>
      <w:r>
        <w:rPr>
          <w:b/>
          <w:color w:val="1E3A5F"/>
          <w:sz w:val="26"/>
        </w:rPr>
        <w:t>§1.4　资本市场与巨型 IPO：见顶的三重信号</w:t>
      </w:r>
    </w:p>
    <w:p>
      <w:pPr>
        <w:spacing w:line="408" w:lineRule="auto" w:after="80"/>
      </w:pPr>
      <w:r>
        <w:t>三国股市的涨幅差异不是估值差异，而是**经济结构差异**的反映。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351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🇺🇸 美国（标普 500）</w:t>
            </w:r>
          </w:p>
        </w:tc>
        <w:tc>
          <w:tcPr>
            <w:tcW w:type="dxa" w:w="2351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🇨🇳 中国（上证综指）</w:t>
            </w:r>
          </w:p>
        </w:tc>
        <w:tc>
          <w:tcPr>
            <w:tcW w:type="dxa" w:w="2351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🇯🇵 日本（日经 225）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2005-2007 涨幅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+101%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+514%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+50%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起点背景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2002 科网泡沫后底部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2005 股改后起步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2003 摆脱通缩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PE 估值变化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16x → 22x（扩张 1.4 倍）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14x → 50x（扩张 3.5 倍）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18x → 20x（基本稳定）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总市值/GDP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130% → 150%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35% → 120%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70% → 95%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核心驱动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消费+地产+金融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投资+散户+资产注入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通缩挣扎+企业治理</w:t>
            </w:r>
          </w:p>
        </w:tc>
      </w:tr>
    </w:tbl>
    <w:p>
      <w:pPr>
        <w:spacing w:line="408" w:lineRule="auto" w:after="80"/>
      </w:pPr>
      <w:r>
        <w:t>**中国 PE 14x → 50x 是 2005–2007 最极端的估值扩张**。这一扩张的驱动是「资产注入」叙事——把矿的储量直接乘以现货价格算市值，把未来盈利一次性贴现到现在。当 2007 年下半年市场已经「不再讨论风险，只看注入多少矿」时，这种「梦想定价」就达到了极限。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442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pper_ph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4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图表 3：LME 铜价走势与三大阶段（2005-2008）——三阶段叙事可视化</w:t>
      </w:r>
    </w:p>
    <w:p>
      <w:pPr>
        <w:spacing w:line="408" w:lineRule="auto" w:after="80"/>
      </w:pPr>
      <w:r>
        <w:t>图表 3 清晰呈现了 2005-2007 行情的三段式演进：**价值发现（2005.06-2006.12）**——美元贬值 + 中国需求爆发，铜价跟随商品定价；**资产注入狂潮（2007.01-2007.07）**——脱离商品价格，靠「注矿」叙事提估值；**流动性癫狂（2007.08-2007.10）**——巨型 IPO 抽血 + 边缘股补涨。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4871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图表 4：LME 铜价 vs 上证综指 归一化对比（2005-06=100）——揭示 17 个月顶背离</w:t>
      </w:r>
    </w:p>
    <w:p>
      <w:pPr>
        <w:spacing w:line="408" w:lineRule="auto" w:after="80"/>
      </w:pPr>
      <w:r>
        <w:t>图表 4 揭示了一个被市场广泛忽视的细节——**LME 铜价早在 2006 年 5 月就已见顶（$8,800），而上证综指直到 2007 年 10 月才见顶（6,124）**。17 个月的「顶背离」是典型的「叙事溢价」阶段——股价不再锚定商品现货，而是锚定「未来注入矿」的无限承诺。</w:t>
      </w:r>
    </w:p>
    <w:p>
      <w:pPr>
        <w:spacing w:line="408" w:lineRule="auto" w:after="80"/>
      </w:pPr>
      <w:r>
        <w:t>**这意味着一个可操作的洞察**：当商品价格已经见顶、但股价仍在创新高时，往往是「顶部确认」的最强信号——05-07 的 17 个月背离就是经典案例。23-26 中我们需要密切关注 HBM/CoWoS 现货价 vs NVDA 股价的背离。**如果出现 HBM 见顶而 NVDA 创新高，**就要启动 S3 信号预警。</w:t>
      </w:r>
    </w:p>
    <w:p>
      <w:pPr>
        <w:spacing w:line="408" w:lineRule="auto" w:after="80"/>
      </w:pPr>
      <w:r>
        <w:t>**2007 年下半年的「IPO 洪峰」是政策调控工具**。中石油、神华、建行等巨型 IPO 密集发行，通过大规模发行吸收市场过剩流动性。中石油 A 股 IPO 冻结资金 3.3 万亿元，**相当于当时 A 股流通市值的 40%**——这是 07 年顶部的关键触发因素。</w:t>
      </w:r>
    </w:p>
    <w:p>
      <w:pPr>
        <w:spacing w:line="408" w:lineRule="auto" w:after="80"/>
      </w:pPr>
      <w:r>
        <w:t>下表清晰呈现了 2007 年 4 月至 11 月的「IPO 洪峰」：4 月中铝（¥100 亿）、9 月建行（¥580 亿）、10 月神华（¥666 亿，冻结 2.7 万亿）、11 月中石油（¥668 亿，冻结 3.3 万亿）。**这些 IPO 不是巧合**——监管层明确知道市场过热，通过「市场化的流动性收紧」（IPO 抽水）来抑制资产价格泡沫。**这是一个教科书级的「政策窗口指导」**——监管从未明令禁止新基金发行，但通过 IPO 节奏控制，实现了对资金面的精准调控。</w:t>
      </w:r>
    </w:p>
    <w:p>
      <w:pPr>
        <w:keepNext/>
        <w:spacing w:before="280" w:after="120"/>
      </w:pPr>
      <w:r>
        <w:rPr>
          <w:b/>
          <w:color w:val="1E3A5F"/>
          <w:sz w:val="26"/>
        </w:rPr>
        <w:t>§1.5　三角闭环：超级周期的真正终结机制</w:t>
      </w:r>
    </w:p>
    <w:p>
      <w:pPr>
        <w:spacing w:line="408" w:lineRule="auto" w:after="80"/>
      </w:pPr>
      <w:r>
        <w:t>理解 2005–2007 终结机制的关键，是要理解「三角闭环」的结构。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048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iangle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图表 5：三角闭环机制示意图——美国-中国-日本「消费-生产-融资」闭环</w:t>
      </w:r>
    </w:p>
    <w:p>
      <w:pPr>
        <w:spacing w:line="408" w:lineRule="auto" w:after="80"/>
      </w:pPr>
      <w:r>
        <w:t>这一闭环的运作机制是：美国（消费+地产+金融杠杆）→ 美元流向中国出口创汇 → 央行结汇形成外汇占款 → M2 扩张推升投资需求；与此同时日本（低成本资金）→ 借日元投资美元资产/商品 → 全球风险偏好 → 资源需求 → 商品价格。这是一条**自洽的正反馈链**。</w:t>
      </w:r>
    </w:p>
    <w:p>
      <w:pPr>
        <w:spacing w:line="408" w:lineRule="auto" w:after="80"/>
      </w:pPr>
      <w:r>
        <w:t>**闭环破裂的三个条件**——任一发生即可能终结：</w:t>
      </w:r>
    </w:p>
    <w:p>
      <w:pPr>
        <w:pStyle w:val="ListNumber"/>
        <w:ind w:left="800"/>
      </w:pPr>
      <w:r>
        <w:t>**美国消费崩盘**（次贷危机）→ 终端需求消失</w:t>
      </w:r>
    </w:p>
    <w:p>
      <w:pPr>
        <w:pStyle w:val="ListNumber"/>
        <w:ind w:left="800"/>
      </w:pPr>
      <w:r>
        <w:t>**中国生产停滞**（固投见顶）→ 资源需求消失</w:t>
      </w:r>
    </w:p>
    <w:p>
      <w:pPr>
        <w:pStyle w:val="ListNumber"/>
        <w:ind w:left="800"/>
      </w:pPr>
      <w:r>
        <w:t>**日本融资收紧**（日银加息）→ 套利逆转，全球流动性收缩</w:t>
      </w:r>
    </w:p>
    <w:p>
      <w:pPr>
        <w:spacing w:line="408" w:lineRule="auto" w:after="80"/>
      </w:pPr>
      <w:r>
        <w:t>**2008 年的实际情况是条件 1 和条件 2 同时触发**——次贷危机导致美国消费崩盘（汽车业、零售业、消费电子全线下滑），中国出口骤降（2009 年 1 月出口同比 -17.5%）。三角闭环彻底破裂。商品价格在 6 个月内跌 50%+，日本套利交易逆转，日元升值 20%+。</w:t>
      </w:r>
    </w:p>
    <w:p>
      <w:pPr>
        <w:spacing w:line="408" w:lineRule="auto" w:after="80"/>
      </w:pPr>
      <w:r>
        <w:t>这一历史经验对 23–26 AI 浪潮的启示是：需要关注 M7 企业的「同步性」——如果 M7 7 家公司同时减投 AI Capex，整个 AI 板块的「自洽链」将瞬间断裂。**这是 23–26 三角闭环的「脆弱性」所在**——风险集中在 7 家公司，而非整个信贷体系。</w:t>
      </w:r>
    </w:p>
    <w:p>
      <w:pPr>
        <w:keepNext/>
        <w:spacing w:before="400" w:after="200"/>
      </w:pPr>
      <w:r>
        <w:rPr>
          <w:b/>
          <w:color w:val="0F172A"/>
          <w:sz w:val="32"/>
        </w:rPr>
        <w:t>第二部分　对标 AI 板块：结构相似性与本质差异</w:t>
      </w:r>
    </w:p>
    <w:p>
      <w:pPr>
        <w:spacing w:line="408" w:lineRule="auto" w:after="80"/>
      </w:pPr>
      <w:r>
        <w:t>基于第一部分的 6 维度复盘，本部分将逐一映射到 2023–2026 的 AI 板块投资浪潮。我们关心的核心问题是：**哪些维度高度相似？哪些维度本质不同？这些差异如何影响信号的设计**？</w:t>
      </w:r>
    </w:p>
    <w:p>
      <w:pPr>
        <w:keepNext/>
        <w:spacing w:before="280" w:after="120"/>
      </w:pPr>
      <w:r>
        <w:rPr>
          <w:b/>
          <w:color w:val="1E3A5F"/>
          <w:sz w:val="26"/>
        </w:rPr>
        <w:t>§2.1　10 维度对标：结构对照</w:t>
      </w:r>
    </w:p>
    <w:p>
      <w:pPr>
        <w:spacing w:line="408" w:lineRule="auto" w:after="80"/>
      </w:pPr>
      <w:r>
        <w:t>下表呈现了 2005–2007 与 2023–2026 的 10 维度对标。同维度内，用「共同本质」列提炼两轮行情的内在相似性，这有助于识别哪些信号是「模式可复制」的，哪些是「此次不同」的。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969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2005-2007 有色</w:t>
            </w:r>
          </w:p>
        </w:tc>
        <w:tc>
          <w:tcPr>
            <w:tcW w:type="dxa" w:w="3969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2023-2026 AI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驱动叙事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中国城镇化+工业化+WTO 红利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AGI 革命+算力军备竞赛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前三大经济体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美(消费)+中(生产)+日(融资)三角互补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美(AI创新)+中(追赶) 中美竞争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流动性来源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央行被动放水+外汇占款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M7 主动喷泉+企业自驱 Capex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债务特征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美国居民杠杆 99% 见顶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美国政府债务 127% + M7 现金充裕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产业政策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中国限制出口+美国无干预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中国大基金+美国芯片管制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市场共识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怀疑→接受→狂热 (3 年)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怀疑→接受→部分狂热 (4 年)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龙头涨幅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有色 +1,857% / 云铜 +1,122%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NVDA +800% / NDX +95%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估值扩张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PE 14x→50x (3.5 倍)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NVDA P/S 10x→30x (3 倍)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巨型 IPO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中石油冻结 3.3 万亿 (流通 40%)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OpenAI 待 IPO ($1,000 亿规模)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终结模式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政策+IPO+商品见顶 三重共振</w:t>
            </w:r>
          </w:p>
        </w:tc>
        <w:tc>
          <w:tcPr>
            <w:tcW w:type="dxa" w:w="3969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Capex 回撤+应用证伪+IPO 抽血</w:t>
            </w:r>
          </w:p>
        </w:tc>
      </w:tr>
    </w:tbl>
    <w:p>
      <w:pPr>
        <w:spacing w:line="408" w:lineRule="auto" w:after="80"/>
        <w:ind w:firstLine="440"/>
      </w:pPr>
      <w:r>
        <w:t>**关键差异点 1：流动性来源**。05-07 是「央行被动放水」——外汇占款、储蓄过剩、日元套息形成全球流动性大合唱；23-26 是「M7 主动喷泉」——企业自筹 Capex，自主决策节奏。</w:t>
      </w:r>
    </w:p>
    <w:p>
      <w:pPr>
        <w:spacing w:line="408" w:lineRule="auto" w:after="80"/>
        <w:ind w:firstLine="440"/>
      </w:pPr>
      <w:r>
        <w:t>**关键差异点 2：债务结构**。05-07 的脆弱性是「美国居民 99% 杠杆 + 中国企业 125% 杠杆」——整个信贷体系的风险；23-26 的脆弱性是「M7 集中度过高 + 美国政府 127% 债务」——风险集中在 7 家公司。</w:t>
      </w:r>
    </w:p>
    <w:p>
      <w:pPr>
        <w:spacing w:line="408" w:lineRule="auto" w:after="80"/>
        <w:ind w:firstLine="440"/>
      </w:pPr>
      <w:r>
        <w:t>**关键差异点 3：估值锚**。05-07 的 PE 60-80x 完全脱离当期盈利，是「梦想定价」；23-26 的 NVDA P/S 30x 仍有真实业绩支撑（EPS 增速 147%），是「业绩+梦想」双驱动。这意味着 23-26 的「梦想→残值」切换可能比 05-07 晚 6-12 个月发生。</w:t>
      </w:r>
    </w:p>
    <w:p>
      <w:pPr>
        <w:keepNext/>
        <w:spacing w:before="280" w:after="120"/>
      </w:pPr>
      <w:r>
        <w:rPr>
          <w:b/>
          <w:color w:val="1E3A5F"/>
          <w:sz w:val="26"/>
        </w:rPr>
        <w:t>§2.2　AI 板块现状：截至 2026 年 6 月</w:t>
      </w:r>
    </w:p>
    <w:p>
      <w:pPr>
        <w:keepNext/>
        <w:spacing w:before="160" w:after="80"/>
      </w:pPr>
      <w:r>
        <w:rPr>
          <w:b/>
          <w:color w:val="475569"/>
          <w:sz w:val="23"/>
        </w:rPr>
        <w:t>M7 云厂商 Capex：S1 信号的核心观测点</w:t>
      </w:r>
    </w:p>
    <w:p>
      <w:pPr>
        <w:spacing w:line="408" w:lineRule="auto" w:after="80"/>
      </w:pPr>
      <w:r>
        <w:t>M7 云厂商（Microsoft、Google、Amazon、Meta）的 AI Capex 是 23-26 浪潮的核心。与 2005-2007 的中国固投增速类似，**M7 Capex/Rev 比率**反映了「资本开支扩张速度」，是算力需求「真实性」的最强信号。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7_cape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图表 6：M7 云厂商 Capex/Rev 趋势（2024-2026E）——35% 阈值线即 S1 信号触发线</w:t>
      </w:r>
    </w:p>
    <w:p>
      <w:pPr>
        <w:spacing w:line="408" w:lineRule="auto" w:after="80"/>
      </w:pPr>
      <w:r>
        <w:t>图表 6 呈现了 4 家云厂商的 Capex/Rev 趋势。可以观察到三个关键事实：</w:t>
      </w:r>
    </w:p>
    <w:p>
      <w:pPr>
        <w:spacing w:line="408" w:lineRule="auto" w:after="80"/>
        <w:ind w:firstLine="440"/>
      </w:pPr>
      <w:r>
        <w:t>**第一，2024-2026 期间所有 4 家云厂商的 Capex/Rev 都在快速攀升**。Microsoft 从 22% 升至 35%，Google 从 15% 升至 25%，Amazon 从 11% 升至 18%，Meta 从 25% 升至 39%。M7 平均（除 NVDA）从 18% 升至 30%——距 35% 阈值仅 5 个百分点。</w:t>
      </w:r>
    </w:p>
    <w:p>
      <w:pPr>
        <w:spacing w:line="408" w:lineRule="auto" w:after="80"/>
        <w:ind w:firstLine="440"/>
      </w:pPr>
      <w:r>
        <w:t>**第二，Meta 是 S1 信号的「前沿观测点」**。Meta 的 Capex/Rev 在 2026E 已达 39%，超过 35% 阈值——如果 Meta 在 2026Q4 或 2027Q1 财报中给出「Capex 增长放缓」的指引，**这将是 S1 信号最早可能触发的节点**。</w:t>
      </w:r>
    </w:p>
    <w:p>
      <w:pPr>
        <w:spacing w:line="408" w:lineRule="auto" w:after="80"/>
        <w:ind w:firstLine="440"/>
      </w:pPr>
      <w:r>
        <w:t>**第三，5% 阈值的逻辑**与 2007 年中国固投增速见顶的历史经验直接相关。中国固投增速从 25% 跌到 20%（5 个百分点）用了 1 个季度，引发了 2008 年的需求坍塌。M7 Capex/Rev 从 30% 跌到 25%（5 个百分点）可能同样剧烈——**关键观察点是 M7 CFO 在季报电话会中的「措辞变化」**。如果从「加大投资」变为「审慎评估」或「优化效率」，意味着拐点临近。</w:t>
      </w:r>
    </w:p>
    <w:p>
      <w:pPr>
        <w:keepNext/>
        <w:spacing w:before="160" w:after="80"/>
      </w:pPr>
      <w:r>
        <w:rPr>
          <w:b/>
          <w:color w:val="475569"/>
          <w:sz w:val="23"/>
        </w:rPr>
        <w:t>NDX vs NVDA 归一化对比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dx_nv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图表 7：NDX vs NVDA 归一化对比（2022-11=100）——NVDA 涨幅 8 倍于 NDX</w:t>
      </w:r>
    </w:p>
    <w:p>
      <w:pPr>
        <w:spacing w:line="408" w:lineRule="auto" w:after="80"/>
      </w:pPr>
      <w:r>
        <w:t>图表 7 揭示了 23-26 浪潮的一个关键特征：**NVDA 涨幅 800% 远超 NDX 整体 95%**——这是 2005-2007 没有的现象（彼时云铜 +1,122%，但有色指数整体 +1,857%，板块涨幅大于单股），这意味着 AI 浪潮的「龙头集中度」远高于 2005-2007。</w:t>
      </w:r>
    </w:p>
    <w:p>
      <w:pPr>
        <w:spacing w:line="408" w:lineRule="auto" w:after="80"/>
      </w:pPr>
      <w:r>
        <w:t>这一集中度带来的影响是双面的：一方面，NVDA 的 P/S 估值（~20x）是整个 AI 板块的「锚」——如果 NVDA 估值崩溃，整个板块将连锁反应；另一方面，NVDA 2025-2026 业绩的高增长（EPS +147%）正在「消化」高估值，**S3 信号的触发需要看到「业绩增长放缓 + 估值高位」的双重确认**。</w:t>
      </w:r>
    </w:p>
    <w:p>
      <w:pPr>
        <w:keepNext/>
        <w:spacing w:before="400" w:after="200"/>
      </w:pPr>
      <w:r>
        <w:rPr>
          <w:b/>
          <w:color w:val="0F172A"/>
          <w:sz w:val="32"/>
        </w:rPr>
        <w:t>第三部分　三大量化顶部信号与操作框架</w:t>
      </w:r>
    </w:p>
    <w:p>
      <w:pPr>
        <w:spacing w:line="408" w:lineRule="auto" w:after="80"/>
      </w:pPr>
      <w:r>
        <w:t>基于第一部分的 6 维度复盘和第二部分的 10 维度对标，我们提出 3 个可量化、可监测、可证伪的顶部信号。每个信号对应一种「终结机制」，组合使用可在不同情境下提示风险。</w:t>
      </w:r>
    </w:p>
    <w:p>
      <w:pPr>
        <w:spacing w:line="408" w:lineRule="auto" w:after="80"/>
      </w:pPr>
      <w:r>
        <w:t>**信号设计原则**：</w:t>
      </w:r>
    </w:p>
    <w:p>
      <w:pPr>
        <w:pStyle w:val="ListBullet"/>
        <w:ind w:left="800"/>
      </w:pPr>
      <w:r>
        <w:t>**可量化**：每个信号有明确的数值阈值（如 Capex/Rev 35%）</w:t>
      </w:r>
    </w:p>
    <w:p>
      <w:pPr>
        <w:pStyle w:val="ListBullet"/>
        <w:ind w:left="800"/>
      </w:pPr>
      <w:r>
        <w:t>**可监测**：每个信号有明确的观测事件和数据来源</w:t>
      </w:r>
    </w:p>
    <w:p>
      <w:pPr>
        <w:pStyle w:val="ListBullet"/>
        <w:ind w:left="800"/>
      </w:pPr>
      <w:r>
        <w:t>**可证伪**：每个信号有清晰的失效场景</w:t>
      </w:r>
    </w:p>
    <w:p>
      <w:pPr>
        <w:pStyle w:val="ListBullet"/>
        <w:ind w:left="800"/>
      </w:pPr>
      <w:r>
        <w:t>**领先性**：尽量选择领先指标，而非同步或滞后指标</w:t>
      </w:r>
    </w:p>
    <w:p>
      <w:pPr>
        <w:pStyle w:val="ListBullet"/>
        <w:ind w:left="800"/>
      </w:pPr>
      <w:r>
        <w:t>**互补性**：3 个信号对应 3 种不同的终结机制，互不重叠</w:t>
      </w:r>
    </w:p>
    <w:p>
      <w:pPr>
        <w:keepNext/>
        <w:spacing w:before="280" w:after="120"/>
      </w:pPr>
      <w:r>
        <w:rPr>
          <w:b/>
          <w:color w:val="1E3A5F"/>
          <w:sz w:val="26"/>
        </w:rPr>
        <w:t>§3.1　S1：云厂商 Capex 增速二阶导转负</w:t>
      </w:r>
    </w:p>
    <w:p>
      <w:pPr>
        <w:keepNext/>
        <w:spacing w:before="160" w:after="80"/>
      </w:pPr>
      <w:r>
        <w:rPr>
          <w:b/>
          <w:color w:val="475569"/>
          <w:sz w:val="23"/>
        </w:rPr>
        <w:t>信号定义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核心逻辑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算力需求的唯一「真金」指标瓦解；证伪永续高增长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历史对标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2007.11 中国固定资产投资增速见顶 → 2008 铜真实需求断崖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阈值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M7 Capex 同比增速连续两季 &lt;20% 或环比负增长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当前状态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**未触发**（M7 Capex/Rev 30%，增速仍高，距 35% 阈值 5pct）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性质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⏱ 领先指标（领先 1-2 季度）</w:t>
            </w:r>
          </w:p>
        </w:tc>
      </w:tr>
    </w:tbl>
    <w:p>
      <w:pPr>
        <w:keepNext/>
        <w:spacing w:before="160" w:after="80"/>
      </w:pPr>
      <w:r>
        <w:rPr>
          <w:b/>
          <w:color w:val="475569"/>
          <w:sz w:val="23"/>
        </w:rPr>
        <w:t>观测事件与数据来源</w:t>
      </w:r>
    </w:p>
    <w:p>
      <w:pPr>
        <w:spacing w:line="408" w:lineRule="auto" w:after="80"/>
      </w:pPr>
      <w:r>
        <w:t>**S1 信号的观测依赖两个核心事件**：</w:t>
      </w:r>
    </w:p>
    <w:p>
      <w:pPr>
        <w:spacing w:line="408" w:lineRule="auto" w:after="80"/>
        <w:ind w:firstLine="440"/>
      </w:pPr>
      <w:r>
        <w:t>**(1) M7 季度财报中的 Capex 指引**。重点关注 Microsoft CFO Amy Hood、Google CFO Ruth Porat、Amazon CFO Brian Olsavsky、Meta CFO Susan Li 的表述变化。如果从「加大投资」转向「审慎评估」或「优化效率」，意味着拐点临近。</w:t>
      </w:r>
    </w:p>
    <w:p>
      <w:pPr>
        <w:spacing w:line="408" w:lineRule="auto" w:after="80"/>
        <w:ind w:firstLine="440"/>
      </w:pPr>
      <w:r>
        <w:t>**(2) 台积电 CoWoS 先进封装订单变化**。CoWoS 是 AI GPU 的关键封装工艺，台积电的 CoWoS 订单数据是 M7 Capex 的「先行指标」——M7 下单后 1-2 个季度才体现在 CoWoS 产能上。如果 CoWoS 订单出现「环比下滑」，意味着 M7 Capex 增速已实质放缓。</w:t>
      </w:r>
    </w:p>
    <w:p>
      <w:pPr>
        <w:spacing w:line="408" w:lineRule="auto" w:after="80"/>
      </w:pPr>
      <w:r>
        <w:t>**数据来源**：SEC 10-Q/10-K 公开披露；台积电月度营收公告；</w:t>
      </w:r>
    </w:p>
    <w:p>
      <w:pPr>
        <w:spacing w:line="408" w:lineRule="auto" w:after="80"/>
      </w:pPr>
      <w:r>
        <w:t>**更新频率**：季度（财报季）+ 月度（台积电营收）</w:t>
      </w:r>
    </w:p>
    <w:p>
      <w:pPr>
        <w:keepNext/>
        <w:spacing w:before="280" w:after="120"/>
      </w:pPr>
      <w:r>
        <w:rPr>
          <w:b/>
          <w:color w:val="1E3A5F"/>
          <w:sz w:val="26"/>
        </w:rPr>
        <w:t>§3.2　S2：标志性 AI 独角兽巨型 IPO 首日即巅峰</w:t>
      </w:r>
    </w:p>
    <w:p>
      <w:pPr>
        <w:keepNext/>
        <w:spacing w:before="160" w:after="80"/>
      </w:pPr>
      <w:r>
        <w:rPr>
          <w:b/>
          <w:color w:val="475569"/>
          <w:sz w:val="23"/>
        </w:rPr>
        <w:t>信号定义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核心逻辑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市场流动性已无法支撑「梦想变现」；信心与比价崩塌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历史对标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2007.11.05 中石油上市高开低走 → 上证指数大顶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阈值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 首日高开 &gt;50% 后收长阴线（收盘价 &lt; 开盘价）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当前状态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**未触发**（OpenAI 未上市）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性质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🔴 同步确认信号</w:t>
            </w:r>
          </w:p>
        </w:tc>
      </w:tr>
    </w:tbl>
    <w:p>
      <w:pPr>
        <w:keepNext/>
        <w:spacing w:before="160" w:after="80"/>
      </w:pPr>
      <w:r>
        <w:rPr>
          <w:b/>
          <w:color w:val="475569"/>
          <w:sz w:val="23"/>
        </w:rPr>
        <w:t>OpenAI 拟 IPO 估值变化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估值</w:t>
            </w:r>
          </w:p>
        </w:tc>
        <w:tc>
          <w:tcPr>
            <w:tcW w:type="dxa" w:w="3135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事件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2025-10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$500B（要约收购）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tender offer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2026-03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$850B（内部估值）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估值快速攀升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2026-06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拟 IPO $100B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预计 2026Q4-2027Q1</w:t>
            </w:r>
          </w:p>
        </w:tc>
      </w:tr>
    </w:tbl>
    <w:p>
      <w:pPr>
        <w:keepNext/>
        <w:spacing w:before="160" w:after="80"/>
      </w:pPr>
      <w:r>
        <w:rPr>
          <w:b/>
          <w:color w:val="475569"/>
          <w:sz w:val="23"/>
        </w:rPr>
        <w:t>S2 触发后的市场反应预判</w:t>
      </w:r>
    </w:p>
    <w:p>
      <w:pPr>
        <w:spacing w:line="408" w:lineRule="auto" w:after="80"/>
      </w:pPr>
      <w:r>
        <w:t>OpenAI 上市后 30 日的表现是**决定性观察点**。</w:t>
      </w:r>
    </w:p>
    <w:p>
      <w:pPr>
        <w:spacing w:line="408" w:lineRule="auto" w:after="80"/>
        <w:ind w:firstLine="440"/>
      </w:pPr>
      <w:r>
        <w:t>**情景 A：上市首日高开 +20% 以内，收盘稳定**。这是健康的市场表现，说明市场对 AI 估值仍有支撑。S2 信号**未触发**。</w:t>
      </w:r>
    </w:p>
    <w:p>
      <w:pPr>
        <w:spacing w:line="408" w:lineRule="auto" w:after="80"/>
        <w:ind w:firstLine="440"/>
      </w:pPr>
      <w:r>
        <w:t>**情景 B：上市首日高开 +30-50%，收盘稳定**。这是偏热但不极端的表现，需要继续观察 30 日内的「二次发行」情况。S2 信号**预警但未触发**。</w:t>
      </w:r>
    </w:p>
    <w:p>
      <w:pPr>
        <w:spacing w:line="408" w:lineRule="auto" w:after="80"/>
        <w:ind w:firstLine="440"/>
      </w:pPr>
      <w:r>
        <w:t>**情景 C：上市首日高开 +50% 以上，收盘低于开盘价（长阴线）**。这是 S2 信号**触发**的场景。意味着市场已无法承接「梦想变现」的体量，原始股东和风投的抛售压力将引发连锁反应——所有 AI 独角兽的估值需重新定价。</w:t>
      </w:r>
    </w:p>
    <w:p>
      <w:pPr>
        <w:spacing w:line="408" w:lineRule="auto" w:after="80"/>
      </w:pPr>
      <w:r>
        <w:t>**与中石油 IPO 的对比**：2007-11-05 中石油 A 股首日 +191%，随后 -22%（30 日）、-65%（1 年）。如果 OpenAI 重现这一模式，AI 板块的顶部将得到「同步确认」。</w:t>
      </w:r>
    </w:p>
    <w:p>
      <w:pPr>
        <w:keepNext/>
        <w:spacing w:before="280" w:after="120"/>
      </w:pPr>
      <w:r>
        <w:rPr>
          <w:b/>
          <w:color w:val="1E3A5F"/>
          <w:sz w:val="26"/>
        </w:rPr>
        <w:t>§3.3　S3：龙头估值框架崩溃 + 应用端收入证伪</w:t>
      </w:r>
    </w:p>
    <w:p>
      <w:pPr>
        <w:keepNext/>
        <w:spacing w:before="160" w:after="80"/>
      </w:pPr>
      <w:r>
        <w:rPr>
          <w:b/>
          <w:color w:val="475569"/>
          <w:sz w:val="23"/>
        </w:rPr>
        <w:t>信号定义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核心逻辑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估值从「梦想定价」瞬间切换为「残值定价」；应用端不产生真金白银增量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历史对标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2007.10 中铝 PE 65x，靠「注矿」故事；2008 年业绩暴跌，股价跌超 90%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阈值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① 英伟达跌破 200 日均线 ② 微软 Copilot 付费渗透率停滞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当前状态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**未触发**（NVDA P/S ~20，Copilot 渗透率 15% 接近阈值）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性质</w:t>
            </w:r>
          </w:p>
        </w:tc>
        <w:tc>
          <w:tcPr>
            <w:tcW w:type="dxa" w:w="4703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🔵 滞后/确认信号</w:t>
            </w:r>
          </w:p>
        </w:tc>
      </w:tr>
    </w:tbl>
    <w:p>
      <w:pPr>
        <w:keepNext/>
        <w:spacing w:before="160" w:after="80"/>
      </w:pPr>
      <w:r>
        <w:rPr>
          <w:b/>
          <w:color w:val="475569"/>
          <w:sz w:val="23"/>
        </w:rPr>
        <w:t>S3 双重阈值的逻辑</w:t>
      </w:r>
    </w:p>
    <w:p>
      <w:pPr>
        <w:spacing w:line="408" w:lineRule="auto" w:after="80"/>
      </w:pPr>
      <w:r>
        <w:t>**S3 信号需要看到「估值崩溃」+「收入证伪」的双重确认**，理由如下：</w:t>
      </w:r>
    </w:p>
    <w:p>
      <w:pPr>
        <w:spacing w:line="408" w:lineRule="auto" w:after="80"/>
        <w:ind w:firstLine="440"/>
      </w:pPr>
      <w:r>
        <w:t>**单独看 NVDA 估值**可能产生误判。NVDA 当前 P/S ~20x，处于历史 60% 分位。如果仅看估值，NVDA 似乎仍有上涨空间。但 P/S 的「合理」是建立在「营收持续高增长」前提上的。**如果营收增速降至个位数，20x P/S 就会显得过高**——估值切换可能在一个月内完成。</w:t>
      </w:r>
    </w:p>
    <w:p>
      <w:pPr>
        <w:spacing w:line="408" w:lineRule="auto" w:after="80"/>
        <w:ind w:firstLine="440"/>
      </w:pPr>
      <w:r>
        <w:t>**单独看 Copilot 渗透率**也不足以触发 S3。Copilot 当前 15%，距离 25-30% 的「成熟期」还有翻倍空间。**真正的证伪是「渗透率停滞」而非「渗透率低」**——如果连续 2 个季度停滞在 15%，意味着 AI 应用端的「故事」已被证伪。</w:t>
      </w:r>
    </w:p>
    <w:p>
      <w:pPr>
        <w:spacing w:line="408" w:lineRule="auto" w:after="80"/>
      </w:pPr>
      <w:r>
        <w:t>**双重确认的机制**：当 NVDA 估值与 Copilot 渗透率同时出现问题时，市场会意识到「算力侧和应用侧」同时见顶——这是 AI 浪潮的系统性顶部信号。</w:t>
      </w:r>
    </w:p>
    <w:p>
      <w:pPr>
        <w:keepNext/>
        <w:spacing w:before="280" w:after="120"/>
      </w:pPr>
      <w:r>
        <w:rPr>
          <w:b/>
          <w:color w:val="1E3A5F"/>
          <w:sz w:val="26"/>
        </w:rPr>
        <w:t>§3.4　综合评分与操作框架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343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ignal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图表 8：三大量化顶部信号当前状态仪表盘（2026-06）</w:t>
      </w:r>
    </w:p>
    <w:p>
      <w:pPr>
        <w:spacing w:line="408" w:lineRule="auto" w:after="80"/>
      </w:pPr>
      <w:r>
        <w:t>图表 8 以仪表盘形式呈现了 3 个信号的当前状态。**综合评分 0/3 ~ 0.5/3**——S1 接近触发但未触发（Capex/Rev 30% 距阈值 5pct），S2/S3 距离触发仍有空间。</w:t>
      </w:r>
    </w:p>
    <w:p>
      <w:pPr>
        <w:spacing w:line="408" w:lineRule="auto" w:after="80"/>
      </w:pPr>
      <w:r>
        <w:t>**操作框架与评分对应**：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综合评分</w:t>
            </w:r>
          </w:p>
        </w:tc>
        <w:tc>
          <w:tcPr>
            <w:tcW w:type="dxa" w:w="3135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135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操作建议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0/3 ~ 0.5/3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**安全**（当前）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维持 AI 仓位 60-70%，跟踪 S1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1/3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**预警**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减仓 AI 至 30-40%，提现金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2/3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**危险**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AI 降至 10-20%，转配债券/黄金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3/3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**触发**</w:t>
            </w:r>
          </w:p>
        </w:tc>
        <w:tc>
          <w:tcPr>
            <w:tcW w:type="dxa" w:w="3135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清仓风险资产，等右侧</w:t>
            </w:r>
          </w:p>
        </w:tc>
      </w:tr>
    </w:tbl>
    <w:p>
      <w:pPr>
        <w:spacing w:line="408" w:lineRule="auto" w:after="80"/>
      </w:pPr>
      <w:r>
        <w:t>**关键观察点**：OpenAI IPO 后 30 日 = 决定性窗口。</w:t>
      </w:r>
    </w:p>
    <w:p>
      <w:r>
        <w:br w:type="page"/>
      </w:r>
    </w:p>
    <w:p>
      <w:pPr>
        <w:keepNext/>
        <w:spacing w:before="400" w:after="200"/>
      </w:pPr>
      <w:r>
        <w:rPr>
          <w:b/>
          <w:color w:val="0F172A"/>
          <w:sz w:val="32"/>
        </w:rPr>
        <w:t>附录 A　三国货币政策指标不对称的方法论说明</w:t>
      </w:r>
    </w:p>
    <w:p>
      <w:pPr>
        <w:spacing w:line="408" w:lineRule="auto" w:after="80"/>
      </w:pPr>
      <w:r>
        <w:t>本附录系统说明三国货币政策指标不对称的根源、修正方法。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国家</w:t>
            </w:r>
          </w:p>
        </w:tc>
        <w:tc>
          <w:tcPr>
            <w:tcW w:type="dxa" w:w="2351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央行目标</w:t>
            </w:r>
          </w:p>
        </w:tc>
        <w:tc>
          <w:tcPr>
            <w:tcW w:type="dxa" w:w="2351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关键指标</w:t>
            </w:r>
          </w:p>
        </w:tc>
        <w:tc>
          <w:tcPr>
            <w:tcW w:type="dxa" w:w="2351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🇺🇸 美国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充分就业 + 物价稳定（双目标制）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联邦基金利率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利率走廊机制（IORB + ON RRP）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🇨🇳 中国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经济增长 + 货币供应（多目标制）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M2 + 1Y 贷款/存款基准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数量型工具 + 管制利率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🇯🇵 日本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通胀 + 利率曲线（量宽后转价格型）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无担保隔夜利率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量化宽松后转向价格型</w:t>
            </w:r>
          </w:p>
        </w:tc>
      </w:tr>
    </w:tbl>
    <w:p>
      <w:pPr>
        <w:keepNext/>
        <w:spacing w:before="280" w:after="120"/>
      </w:pPr>
      <w:r>
        <w:rPr>
          <w:b/>
          <w:color w:val="1E3A5F"/>
          <w:sz w:val="26"/>
        </w:rPr>
        <w:t>A.1　4 项方法论修正</w:t>
      </w:r>
    </w:p>
    <w:p>
      <w:pPr>
        <w:spacing w:line="408" w:lineRule="auto" w:after="80"/>
      </w:pPr>
      <w:r>
        <w:t>**修正 1：必须用「同期限市场利率」做「短长利差」对比**</w:t>
      </w:r>
    </w:p>
    <w:p>
      <w:pPr>
        <w:spacing w:line="408" w:lineRule="auto" w:after="80"/>
        <w:ind w:firstLine="440"/>
      </w:pPr>
      <w:r>
        <w:t>原版报告曾出现「中国 1Y 贷款基准 7.47% vs 10Y 国债 4.5%，短长利差 -3.0%」的错误对比——贷款基准是央行管制利率（非市场化），国债是市场化利率，两者本质不同，不能直接比较「短长利差」。正确做法是用同期限的市场利率做对比：1Y 国债 2.79% vs 10Y 国债 4.5% → 市场短长利差 +1.71%（正常）。</w:t>
      </w:r>
    </w:p>
    <w:p>
      <w:pPr>
        <w:spacing w:line="408" w:lineRule="auto" w:after="80"/>
      </w:pPr>
      <w:r>
        <w:t>**修正 2：必须区分「政策利率」和「市场利率」**</w:t>
      </w:r>
    </w:p>
    <w:p>
      <w:pPr>
        <w:spacing w:line="408" w:lineRule="auto" w:after="80"/>
        <w:ind w:firstLine="440"/>
      </w:pPr>
      <w:r>
        <w:t>政策利率是央行直接规定的利率（如中国 1Y 贷款基准 7.47% / 1Y 存款基准 4.14%），市场利率是金融市场交易形成的利率（如中国 1Y 国债 2.79% / 10Y 国债 4.5%）。两者的关系是「政策利率影响市场利率，但市场利率反映真实金融条件」。</w:t>
      </w:r>
    </w:p>
    <w:p>
      <w:pPr>
        <w:spacing w:line="408" w:lineRule="auto" w:after="80"/>
      </w:pPr>
      <w:r>
        <w:t>**修正 3：中国「管制利率倒挂」是 2007 年特有现象**</w:t>
      </w:r>
    </w:p>
    <w:p>
      <w:pPr>
        <w:spacing w:line="408" w:lineRule="auto" w:after="80"/>
        <w:ind w:firstLine="440"/>
      </w:pPr>
      <w:r>
        <w:t>1Y 存款基准 4.14% &gt; 1Y 国债 2.79%——在正常利率体系中，国债作为无风险利率应该是市场利率的下限，但中国央行通过存款管制将存款利率人为抬高在国债之上。这一倒挂在 2015 年存款利率上限取消后逐步消失。</w:t>
      </w:r>
    </w:p>
    <w:p>
      <w:pPr>
        <w:spacing w:line="408" w:lineRule="auto" w:after="80"/>
      </w:pPr>
      <w:r>
        <w:t>**修正 4：贷存利差 3.33% = 银行业「制度性红包」**</w:t>
      </w:r>
    </w:p>
    <w:p>
      <w:pPr>
        <w:spacing w:line="408" w:lineRule="auto" w:after="80"/>
        <w:ind w:firstLine="440"/>
      </w:pPr>
      <w:r>
        <w:t>1Y 贷款基准 7.47% - 1Y 存款基准 4.14% = 3.33%。在 2019 年 LPR 改革前，这是央行给中国银行业的制度性保护——3.33% 的安全垫是银行利润的核心来源。2019 年 LPR 改革后，贷存利差收窄至 1.5%。</w:t>
      </w:r>
    </w:p>
    <w:p>
      <w:pPr>
        <w:spacing w:before="160" w:after="160" w:line="384" w:lineRule="auto"/>
        <w:ind w:left="440" w:right="440"/>
      </w:pPr>
      <w:r>
        <w:rPr>
          <w:b/>
          <w:color w:val="B45309"/>
        </w:rPr>
        <w:t>**结论**：中国货币政策是「数量型 + 管制利率」二元体系。需用「政策利率 + 市场利率 + 贷存利差 + 外汇占款」四维度才能完整刻画。</w:t>
      </w:r>
    </w:p>
    <w:p>
      <w:pPr>
        <w:keepNext/>
        <w:spacing w:before="400" w:after="200"/>
      </w:pPr>
      <w:r>
        <w:rPr>
          <w:b/>
          <w:color w:val="0F172A"/>
          <w:sz w:val="32"/>
        </w:rPr>
        <w:t>附录 B　05-07 重大事件时间轴</w:t>
      </w:r>
    </w:p>
    <w:p>
      <w:pPr>
        <w:spacing w:line="408" w:lineRule="auto" w:after="80"/>
      </w:pPr>
      <w:r>
        <w:t>本附录以时间顺序列出 2005-2007 期间对市场产生重大影响的 16 个事件，供读者对照图表 3、图表 4 的事件标注查阅。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351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2351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51"/>
            <w:shd w:fill="1E3A5F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b/>
                <w:color w:val="FFFFFF"/>
                <w:sz w:val="20"/>
              </w:rPr>
              <w:t>影响维度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2005.06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股改启动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政策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资本市场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2005.07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人民币汇改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汇率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汇率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2005.11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神华 H 股 IPO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2006.04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中铝 A 股 IPO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2006.05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LME 铜 $8,800 历史新高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商品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行业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2006.06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美联储加息见顶 5.25%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货币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货币政策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2007.04.30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中铝吸收合并山铝/兰铝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公司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公司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2007.05.30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印花税 1‰→3‰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政策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政策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2007.07.12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西部矿业上市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2007.09.25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建设银行 A 股 IPO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2007.10.09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中国神华 A 股 IPO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2007.10.16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上证 6124 见顶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市场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资本市场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2007.11.05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中石油 A 股 IPO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IPO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2008.07.03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LME 铜 $8,985 见顶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商品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行业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2008.10.28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上证 1664 金融危机底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市场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资本市场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2008.12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雷曼效应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宏观</w:t>
            </w:r>
          </w:p>
        </w:tc>
        <w:tc>
          <w:tcPr>
            <w:tcW w:type="dxa" w:w="2351"/>
            <w:vAlign w:val="center"/>
          </w:tcPr>
          <w:p>
            <w:pPr>
              <w:spacing w:after="40" w:line="312" w:lineRule="auto"/>
              <w:ind w:firstLine="0"/>
            </w:pPr>
            <w:r>
              <w:rPr>
                <w:sz w:val="19"/>
              </w:rPr>
              <w:t>危机</w:t>
            </w:r>
          </w:p>
        </w:tc>
      </w:tr>
    </w:tbl>
    <w:p>
      <w:pPr>
        <w:keepNext/>
        <w:spacing w:before="400" w:after="200"/>
      </w:pPr>
      <w:r>
        <w:rPr>
          <w:b/>
          <w:color w:val="0F172A"/>
          <w:sz w:val="32"/>
        </w:rPr>
        <w:t>附录 C　数据来源</w:t>
      </w:r>
    </w:p>
    <w:p>
      <w:pPr>
        <w:spacing w:line="408" w:lineRule="auto" w:after="80"/>
      </w:pPr>
      <w:r>
        <w:t>本报告数据来源说明：</w:t>
      </w:r>
    </w:p>
    <w:p>
      <w:pPr>
        <w:pStyle w:val="ListBullet"/>
      </w:pPr>
      <w:r>
        <w:t>**FRED** (Federal Reserve Economic Data)：美联储官方经济数据</w:t>
      </w:r>
    </w:p>
    <w:p>
      <w:pPr>
        <w:pStyle w:val="ListBullet"/>
      </w:pPr>
      <w:r>
        <w:t>**PBOC** (People's Bank of China)：中国人民银行</w:t>
      </w:r>
    </w:p>
    <w:p>
      <w:pPr>
        <w:pStyle w:val="ListBullet"/>
      </w:pPr>
      <w:r>
        <w:t>**BOJ** (Bank of Japan)：日本银行</w:t>
      </w:r>
    </w:p>
    <w:p>
      <w:pPr>
        <w:pStyle w:val="ListBullet"/>
      </w:pPr>
      <w:r>
        <w:t>**IMF** (International Monetary Fund)：国际货币基金组织</w:t>
      </w:r>
    </w:p>
    <w:p>
      <w:pPr>
        <w:pStyle w:val="ListBullet"/>
      </w:pPr>
      <w:r>
        <w:t>**World Bank**：世界银行</w:t>
      </w:r>
    </w:p>
    <w:p>
      <w:pPr>
        <w:pStyle w:val="ListBullet"/>
      </w:pPr>
      <w:r>
        <w:t>**SEC EDGAR**：美国证券交易委员会公开数据</w:t>
      </w:r>
    </w:p>
    <w:p>
      <w:pPr>
        <w:pStyle w:val="ListBullet"/>
      </w:pPr>
      <w:r>
        <w:t>**LME** (London Metal Exchange)：伦敦金属交易所</w:t>
      </w:r>
    </w:p>
    <w:p>
      <w:pPr>
        <w:pStyle w:val="ListBullet"/>
      </w:pPr>
      <w:r>
        <w:t>**ICSG** (International Copper Study Group)：国际铜业研究组</w:t>
      </w:r>
    </w:p>
    <w:p>
      <w:pPr>
        <w:pStyle w:val="ListBullet"/>
      </w:pPr>
      <w:r>
        <w:t>**海关总署**：中国海关</w:t>
      </w:r>
    </w:p>
    <w:p>
      <w:pPr>
        <w:pStyle w:val="ListBullet"/>
      </w:pPr>
      <w:r>
        <w:t>**Bloomberg**：金融数据终端</w:t>
      </w:r>
    </w:p>
    <w:p>
      <w:pPr>
        <w:spacing w:line="408" w:lineRule="auto" w:after="80"/>
      </w:pPr>
      <w:r>
        <w:t>**核心数据文件清单**（TopicResearch/data/raw/）：</w:t>
      </w:r>
    </w:p>
    <w:p>
      <w:pPr>
        <w:spacing w:line="408" w:lineRule="auto" w:after="80"/>
        <w:ind w:firstLine="440"/>
      </w:pPr>
      <w:r>
        <w:t>本报告使用了 32 个 JSON 数据文件，包括 LME 铜铝日级数据、上证综指日级数据、FRED 联邦基金利率/10Y 国债/30Y 房贷/美元指数/M2/企业债利差、PBOC 中国 M2/外储/利率/贸易顺差、BOJ 日本利率/JGB/汇率/外储、AI 板块 M7 营收/Capex/NDX/Copilot、05-07 IPO 数据、金属涨幅数据、重大事件时间轴、IMF/卖方预期、中国大盘数据等。</w:t>
      </w:r>
    </w:p>
    <w:p/>
    <w:p>
      <w:pPr>
        <w:jc w:val="center"/>
      </w:pPr>
      <w:r>
        <w:rPr>
          <w:i/>
          <w:color w:val="94A3B8"/>
          <w:sz w:val="22"/>
        </w:rPr>
        <w:t>—— 报告结束 ——</w:t>
      </w:r>
    </w:p>
    <w:sectPr w:rsidR="00FC693F" w:rsidRPr="0006063C" w:rsidSect="00034616">
      <w:pgSz w:w="12240" w:h="15840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