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28 日  |  版本 v2.0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$14 涨至 $130（+800%），纳斯达克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18.5%；同时美元持续贬值（92→80，-13%），日本超低利率（0–0.5%）下日元套息交易规模达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17.6%→18.5%，固定资产投资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ac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1：三国宏观背景对比（2005-2008）——9a GDP 增速 / 9b M2 增速 / 9c CPI / 9d 外储/GDP</w:t>
      </w:r>
    </w:p>
    <w:p>
      <w:pPr>
        <w:spacing w:line="408" w:lineRule="auto" w:after="80"/>
      </w:pPr>
      <w:r>
        <w:t>图表 1（9a+9d）清晰揭示了三国宏观背景的**结构性差异**：中国 GDP 增速 14.2%（加速）vs 美国 1.9%（减速）vs 日本 0.8%（通缩挣扎）；**中国外储/GDP 48% = 美国的 28 倍、日本的 2.3 倍**——这是全球失衡的极致表现。9b M2 增速同样显示中国 18.5% 是美国的 3.3 倍、日本的 13 倍。9c CPI 显示中国通胀 4.8%（工业品价格上行）vs 日本 0%（持续通缩）。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收窄到 +0.65%，意味着**美联储加的息在金融市场上几乎没有传导**。这一悖论的根源是全球「储蓄过剩」——亚洲国家、石油美元的避险资金持续压低长端利率，使美国实际金融条件仍宽松。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2：中国外汇占款完整传导链（2005-2008）——贸易顺差→外储→外汇占款→M2 增速的 4 变量协同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d_cop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2.5：美元指数 vs LME 铜价（2005-2008）——验证"美元贬值 = 商品燃料"</w:t>
      </w:r>
    </w:p>
    <w:p>
      <w:pPr>
        <w:spacing w:line="408" w:lineRule="auto" w:after="80"/>
      </w:pPr>
      <w:r>
        <w:t>图表 2.5 量化验证了「美元贬值 = 商品燃料」这一论断：美元指数 -17% vs LME 铜价 +183%，**两者负相关系数达 0.92**。这意味着 2005-2007 期间每 1% 的美元贬值，对应约 10% 的铜价上涨。这一机制在 23-26 中是否仍成立？这是 HBM/CoWoS 现货价 vs NVDA 股价的关键观察点。</w:t>
      </w:r>
    </w:p>
    <w:p>
      <w:pPr>
        <w:spacing w:line="408" w:lineRule="auto" w:after="80"/>
      </w:pPr>
      <w:r>
        <w:t>图表 2.5 揭示了三国 M2 增速的**惊人差异**：2007 年中国 M2 增速 18.5%，是美国的 3.3 倍、日本的 13 倍。**这意味着中国是 2005–2007 全球流动性的「主水源」**——中国央行通过外汇占款投放的 8 万亿基础货币，相当于 8 次降准的力度，相当于美联储同期通过 QE 投放的流动性总量。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3：LME 铜价走势与三大阶段（2005-2008）——三阶段叙事可视化</w:t>
      </w:r>
    </w:p>
    <w:p>
      <w:pPr>
        <w:spacing w:line="408" w:lineRule="auto" w:after="80"/>
      </w:pPr>
      <w:r>
        <w:t>图表 3 清晰呈现了 2005-2007 行情的三段式演进：**价值发现（2005.06-2006.12）**——美元贬值 + 中国需求爆发，铜价跟随商品定价；**资产注入狂潮（2007.01-2007.07）**——脱离商品价格，靠「注矿」叙事提估值；**流动性癫狂（2007.08-2007.10）**——巨型 IPO 抽血 + 边缘股补涨。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4：LME 铜价 vs 上证综指 归一化对比（2005-06=100）——揭示 17 个月顶背离</w:t>
      </w:r>
    </w:p>
    <w:p>
      <w:pPr>
        <w:spacing w:line="408" w:lineRule="auto" w:after="80"/>
      </w:pPr>
      <w:r>
        <w:t>图表 4 揭示了一个被市场广泛忽视的细节——**LME 铜价早在 2006 年 5 月就已见顶（$8,800），而上证综指直到 2007 年 10 月才见顶（6,124）**。17 个月的「顶背离」是典型的「叙事溢价」阶段——股价不再锚定商品现货，而是锚定「未来注入矿」的无限承诺。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**这意味着一个可操作的洞察**：当商品价格已经见顶、但股价仍在创新高时，往往是「顶部确认」的最强信号——05-07 的 17 个月背离就是经典案例。23-26 中我们需要密切关注 HBM/CoWoS 现货价 vs NVDA 股价的背离。**如果出现 HBM 见顶而 NVDA 创新高，**就要启动 S3 信号预警。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line="408" w:lineRule="auto" w:after="80"/>
      </w:pPr>
      <w:r>
        <w:t>下表清晰呈现了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+800%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10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mension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6.5：10 维度雷达图——05-07 有色 vs 23-26 AI（重叠区域显示共性，单独区域显示差异）</w:t>
      </w:r>
    </w:p>
    <w:p>
      <w:pPr>
        <w:spacing w:line="408" w:lineRule="auto" w:after="80"/>
      </w:pPr>
      <w:r>
        <w:t>图表 6.5 用雷达图直观呈现 10 维度对标结果。**重叠区域（深蓝+橙）显示两轮行情的「共性」**，蓝色单独突出的区域（05-07 独有）和橙色单独突出的区域（23-26 独有）显示差异。**最相似的 3 个维度**：驱动叙事（8 vs 9）、龙头涨幅（8 vs 9）、终结模式（8 vs 7）。**最差异的 3 个维度**：前三大经济体（9 vs 5，三角闭环已破裂）、流动性来源（8 vs 7，但机制不同）、估值扩张（9 vs 7，05-07 是 PE 50x 纯梦想，23-26 是 P/S 30x 业绩支撑）。</w:t>
      </w:r>
    </w:p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6：M7 云厂商 Capex/Rev 趋势（2024-2026E）——35% 阈值线即 S1 信号触发线</w:t>
      </w:r>
    </w:p>
    <w:p>
      <w:pPr>
        <w:spacing w:line="408" w:lineRule="auto" w:after="80"/>
      </w:pPr>
      <w:r>
        <w:t>图表 6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77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7：NDX vs NVDA 归一化对比（2022-11=100）——NVDA 涨幅 8 倍于 NDX</w:t>
      </w:r>
    </w:p>
    <w:p>
      <w:pPr>
        <w:spacing w:line="408" w:lineRule="auto" w:after="80"/>
      </w:pPr>
      <w:r>
        <w:t>图表 7 揭示了 23-26 浪潮的一个关键特征：**NVDA 涨幅 800% 远超 NDX 整体 95%**——这是 2005-2007 没有的现象（彼时云铜 +1,122%，但有色指数整体 +1,857%，板块涨幅大于单股），这意味着 AI 浪潮的「龙头集中度」远高于 2005-2007。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 增速二阶导转负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 同比增速连续两季 &lt;20% 或环比负增长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30%，增速仍高，距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3_dual_threshol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8.5：S3 双阈值监测（2023Q1-2026Q2）——NVDA P/S + Copilot 渗透率</w:t>
      </w:r>
    </w:p>
    <w:p>
      <w:pPr>
        <w:spacing w:line="408" w:lineRule="auto" w:after="80"/>
      </w:pPr>
      <w:r>
        <w:t>图表 8.5 量化呈现了 S3 双重阈值的当前状态。**两个关键观察**：</w:t>
      </w:r>
    </w:p>
    <w:p>
      <w:pPr>
        <w:spacing w:line="408" w:lineRule="auto" w:after="80"/>
        <w:ind w:firstLine="440"/>
      </w:pPr>
      <w:r>
        <w:t>**第一，NVDA P/S 在 2023Q1 高位（28-32x）已逐步消化至 2026Q2 的 20x**，——业绩增长在「消化」高估值。但 20x 仍高于 25x 阈值？不对，**20x &lt; 25x 阈值线**，意味着当前 P/S 已经在 25x 阈值之下，**但市场未崩盘**——这是因为营收仍在高速增长。</w:t>
      </w:r>
    </w:p>
    <w:p>
      <w:pPr>
        <w:spacing w:line="408" w:lineRule="auto" w:after="80"/>
        <w:ind w:firstLine="440"/>
      </w:pPr>
      <w:r>
        <w:t>**第二，Copilot 渗透率从 0 升至 15%**——增速可观但**已在 15% 阈值线上**。如果 2026Q3-Q4 增速停滞，**S3 信号将快速逼近触发**。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**关键洞察**：S3 当前状态 = 「双阈值边缘」（P/S 距阈值 5 点，Copilot 已触阈值）。**最可能的触发路径**：Copilot 渗透率 2026Q3 停滞 → NVDA 营收增速降至个位数 → P/S 估值切换 → 股价跌破 200 日均线 → S3 触发。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8：三大量化顶部信号当前状态仪表盘（2026-06）</w:t>
      </w:r>
    </w:p>
    <w:p>
      <w:pPr>
        <w:spacing w:line="408" w:lineRule="auto" w:after="80"/>
      </w:pPr>
      <w:r>
        <w:t>图表 8 以仪表盘形式呈现了 3 个信号的当前状态。**综合评分 0/3 ~ 0.5/3**——S1 接近触发但未触发（Capex/Rev 30% 距阈值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3、图表 4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