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E7171" w14:textId="77777777" w:rsidR="002A747D" w:rsidRPr="006218AF" w:rsidRDefault="00910311" w:rsidP="00910311">
      <w:pPr>
        <w:spacing w:line="480" w:lineRule="auto"/>
        <w:jc w:val="center"/>
        <w:rPr>
          <w:rFonts w:ascii="Arial" w:hAnsi="Arial" w:cs="Arial"/>
          <w:b/>
        </w:rPr>
      </w:pPr>
      <w:r w:rsidRPr="006218AF">
        <w:rPr>
          <w:rFonts w:ascii="Arial" w:hAnsi="Arial" w:cs="Arial"/>
          <w:b/>
        </w:rPr>
        <w:t>Part 2 Supplementary Material</w:t>
      </w:r>
    </w:p>
    <w:p w14:paraId="11F2C5B5" w14:textId="77777777" w:rsidR="00910311" w:rsidRPr="006218AF" w:rsidRDefault="00910311" w:rsidP="00910311">
      <w:pPr>
        <w:spacing w:line="480" w:lineRule="auto"/>
        <w:rPr>
          <w:rFonts w:ascii="Arial" w:hAnsi="Arial" w:cs="Arial"/>
        </w:rPr>
      </w:pPr>
      <w:r w:rsidRPr="006218AF">
        <w:rPr>
          <w:rFonts w:ascii="Arial" w:hAnsi="Arial" w:cs="Arial"/>
        </w:rPr>
        <w:t xml:space="preserve">Main Article – A dynamic quantitative systems pharmacology model of inflammatory bowel disease: Part 2 – application to current therapies in Crohn’s disease </w:t>
      </w:r>
    </w:p>
    <w:p w14:paraId="29977970" w14:textId="77777777" w:rsidR="00841267" w:rsidRPr="006218AF" w:rsidRDefault="00841267" w:rsidP="00910311">
      <w:pPr>
        <w:spacing w:line="480" w:lineRule="auto"/>
        <w:rPr>
          <w:rFonts w:ascii="Arial" w:hAnsi="Arial" w:cs="Arial"/>
        </w:rPr>
      </w:pPr>
      <w:r w:rsidRPr="006218AF">
        <w:rPr>
          <w:rFonts w:ascii="Arial" w:hAnsi="Arial" w:cs="Arial"/>
        </w:rPr>
        <w:t xml:space="preserve">The supplementary material enclosed herewith contains the following: </w:t>
      </w:r>
    </w:p>
    <w:p w14:paraId="331A7882" w14:textId="77777777" w:rsidR="00841267" w:rsidRPr="006218AF" w:rsidRDefault="00841267" w:rsidP="00841267">
      <w:pPr>
        <w:pStyle w:val="ListParagraph"/>
        <w:numPr>
          <w:ilvl w:val="0"/>
          <w:numId w:val="1"/>
        </w:numPr>
        <w:spacing w:line="480" w:lineRule="auto"/>
        <w:rPr>
          <w:rFonts w:ascii="Arial" w:hAnsi="Arial" w:cs="Arial"/>
        </w:rPr>
      </w:pPr>
      <w:r w:rsidRPr="006218AF">
        <w:rPr>
          <w:rFonts w:ascii="Arial" w:hAnsi="Arial" w:cs="Arial"/>
        </w:rPr>
        <w:t xml:space="preserve">Table </w:t>
      </w:r>
      <w:r w:rsidR="009D2F1E" w:rsidRPr="006218AF">
        <w:rPr>
          <w:rFonts w:ascii="Arial" w:hAnsi="Arial" w:cs="Arial"/>
        </w:rPr>
        <w:t>S</w:t>
      </w:r>
      <w:r w:rsidRPr="006218AF">
        <w:rPr>
          <w:rFonts w:ascii="Arial" w:hAnsi="Arial" w:cs="Arial"/>
        </w:rPr>
        <w:t>1 – A table of the clinical</w:t>
      </w:r>
      <w:r w:rsidR="000A10FA" w:rsidRPr="006218AF">
        <w:rPr>
          <w:rFonts w:ascii="Arial" w:hAnsi="Arial" w:cs="Arial"/>
        </w:rPr>
        <w:t xml:space="preserve"> trial</w:t>
      </w:r>
      <w:r w:rsidR="00D843D3" w:rsidRPr="006218AF">
        <w:rPr>
          <w:rFonts w:ascii="Arial" w:hAnsi="Arial" w:cs="Arial"/>
        </w:rPr>
        <w:t xml:space="preserve">s </w:t>
      </w:r>
      <w:r w:rsidRPr="006218AF">
        <w:rPr>
          <w:rFonts w:ascii="Arial" w:hAnsi="Arial" w:cs="Arial"/>
        </w:rPr>
        <w:t xml:space="preserve">used for the manuscript. </w:t>
      </w:r>
    </w:p>
    <w:p w14:paraId="726DF222" w14:textId="77777777" w:rsidR="00841267" w:rsidRPr="006218AF" w:rsidRDefault="00841267" w:rsidP="00841267">
      <w:pPr>
        <w:pStyle w:val="ListParagraph"/>
        <w:numPr>
          <w:ilvl w:val="0"/>
          <w:numId w:val="1"/>
        </w:numPr>
        <w:spacing w:line="480" w:lineRule="auto"/>
        <w:rPr>
          <w:rFonts w:ascii="Arial" w:hAnsi="Arial" w:cs="Arial"/>
        </w:rPr>
      </w:pPr>
      <w:r w:rsidRPr="006218AF">
        <w:rPr>
          <w:rFonts w:ascii="Arial" w:hAnsi="Arial" w:cs="Arial"/>
        </w:rPr>
        <w:t xml:space="preserve">Figure S1 shows concentration time profiles (CRP, FCP, </w:t>
      </w:r>
      <w:proofErr w:type="spellStart"/>
      <w:r w:rsidRPr="006218AF">
        <w:rPr>
          <w:rFonts w:ascii="Arial" w:hAnsi="Arial" w:cs="Arial"/>
        </w:rPr>
        <w:t>ustekinumab</w:t>
      </w:r>
      <w:proofErr w:type="spellEnd"/>
      <w:r w:rsidRPr="006218AF">
        <w:rPr>
          <w:rFonts w:ascii="Arial" w:hAnsi="Arial" w:cs="Arial"/>
        </w:rPr>
        <w:t xml:space="preserve">) in response to a dose of </w:t>
      </w:r>
      <w:proofErr w:type="spellStart"/>
      <w:r w:rsidRPr="006218AF">
        <w:rPr>
          <w:rFonts w:ascii="Arial" w:hAnsi="Arial" w:cs="Arial"/>
        </w:rPr>
        <w:t>ustekinumab</w:t>
      </w:r>
      <w:proofErr w:type="spellEnd"/>
      <w:r w:rsidRPr="006218AF">
        <w:rPr>
          <w:rFonts w:ascii="Arial" w:hAnsi="Arial" w:cs="Arial"/>
        </w:rPr>
        <w:t xml:space="preserve"> (130 mg).</w:t>
      </w:r>
    </w:p>
    <w:p w14:paraId="7EEEF54A" w14:textId="77777777" w:rsidR="00841267" w:rsidRPr="006218AF" w:rsidRDefault="00841267" w:rsidP="00841267">
      <w:pPr>
        <w:pStyle w:val="ListParagraph"/>
        <w:numPr>
          <w:ilvl w:val="0"/>
          <w:numId w:val="1"/>
        </w:numPr>
        <w:spacing w:line="480" w:lineRule="auto"/>
        <w:rPr>
          <w:rFonts w:ascii="Arial" w:hAnsi="Arial" w:cs="Arial"/>
        </w:rPr>
      </w:pPr>
      <w:r w:rsidRPr="006218AF">
        <w:rPr>
          <w:rFonts w:ascii="Arial" w:hAnsi="Arial" w:cs="Arial"/>
        </w:rPr>
        <w:t xml:space="preserve">Figure S2 shows concentration time profiles (CRP, FCP, IL22, </w:t>
      </w:r>
      <w:proofErr w:type="spellStart"/>
      <w:r w:rsidRPr="006218AF">
        <w:rPr>
          <w:rFonts w:ascii="Arial" w:hAnsi="Arial" w:cs="Arial"/>
        </w:rPr>
        <w:t>risankizumab</w:t>
      </w:r>
      <w:proofErr w:type="spellEnd"/>
      <w:r w:rsidRPr="006218AF">
        <w:rPr>
          <w:rFonts w:ascii="Arial" w:hAnsi="Arial" w:cs="Arial"/>
        </w:rPr>
        <w:t xml:space="preserve">) in response to a dose of </w:t>
      </w:r>
      <w:proofErr w:type="spellStart"/>
      <w:r w:rsidRPr="006218AF">
        <w:rPr>
          <w:rFonts w:ascii="Arial" w:hAnsi="Arial" w:cs="Arial"/>
        </w:rPr>
        <w:t>risankizumab</w:t>
      </w:r>
      <w:proofErr w:type="spellEnd"/>
      <w:r w:rsidRPr="006218AF">
        <w:rPr>
          <w:rFonts w:ascii="Arial" w:hAnsi="Arial" w:cs="Arial"/>
        </w:rPr>
        <w:t xml:space="preserve"> (600 mg).</w:t>
      </w:r>
    </w:p>
    <w:p w14:paraId="30450A4D" w14:textId="77777777" w:rsidR="00841267" w:rsidRPr="006218AF" w:rsidRDefault="00841267" w:rsidP="00841267">
      <w:pPr>
        <w:pStyle w:val="ListParagraph"/>
        <w:numPr>
          <w:ilvl w:val="0"/>
          <w:numId w:val="1"/>
        </w:numPr>
        <w:spacing w:line="480" w:lineRule="auto"/>
        <w:rPr>
          <w:rFonts w:ascii="Arial" w:hAnsi="Arial" w:cs="Arial"/>
        </w:rPr>
      </w:pPr>
      <w:r w:rsidRPr="006218AF">
        <w:rPr>
          <w:rFonts w:ascii="Arial" w:hAnsi="Arial" w:cs="Arial"/>
        </w:rPr>
        <w:t xml:space="preserve">Figure S3 </w:t>
      </w:r>
      <w:r w:rsidR="00E978D3" w:rsidRPr="006218AF">
        <w:rPr>
          <w:rFonts w:ascii="Arial" w:hAnsi="Arial" w:cs="Arial"/>
        </w:rPr>
        <w:t>- C</w:t>
      </w:r>
      <w:r w:rsidRPr="006218AF">
        <w:rPr>
          <w:rFonts w:ascii="Arial" w:hAnsi="Arial" w:cs="Arial"/>
        </w:rPr>
        <w:t>oncentra</w:t>
      </w:r>
      <w:r w:rsidR="00E978D3" w:rsidRPr="006218AF">
        <w:rPr>
          <w:rFonts w:ascii="Arial" w:hAnsi="Arial" w:cs="Arial"/>
        </w:rPr>
        <w:t>tion time profile</w:t>
      </w:r>
      <w:r w:rsidRPr="006218AF">
        <w:rPr>
          <w:rFonts w:ascii="Arial" w:hAnsi="Arial" w:cs="Arial"/>
        </w:rPr>
        <w:t xml:space="preserve"> for 5 mg/kg infliximab given IV at 0 and 8 weeks. </w:t>
      </w:r>
    </w:p>
    <w:p w14:paraId="63A8ED88" w14:textId="77777777" w:rsidR="00841267" w:rsidRPr="006218AF" w:rsidRDefault="00D545BD" w:rsidP="00841267">
      <w:pPr>
        <w:pStyle w:val="ListParagraph"/>
        <w:numPr>
          <w:ilvl w:val="0"/>
          <w:numId w:val="1"/>
        </w:numPr>
        <w:spacing w:line="480" w:lineRule="auto"/>
        <w:rPr>
          <w:rFonts w:ascii="Arial" w:hAnsi="Arial" w:cs="Arial"/>
        </w:rPr>
      </w:pPr>
      <w:r w:rsidRPr="006218AF">
        <w:rPr>
          <w:rFonts w:ascii="Arial" w:hAnsi="Arial" w:cs="Arial"/>
        </w:rPr>
        <w:t xml:space="preserve">Figure S4 </w:t>
      </w:r>
      <w:r w:rsidR="00E978D3" w:rsidRPr="006218AF">
        <w:rPr>
          <w:rFonts w:ascii="Arial" w:hAnsi="Arial" w:cs="Arial"/>
        </w:rPr>
        <w:t xml:space="preserve">– Boxplot of different </w:t>
      </w:r>
      <w:r w:rsidR="005A3391" w:rsidRPr="006218AF">
        <w:rPr>
          <w:rFonts w:ascii="Arial" w:hAnsi="Arial" w:cs="Arial"/>
        </w:rPr>
        <w:t xml:space="preserve">CRP </w:t>
      </w:r>
      <w:r w:rsidR="00E978D3" w:rsidRPr="006218AF">
        <w:rPr>
          <w:rFonts w:ascii="Arial" w:hAnsi="Arial" w:cs="Arial"/>
        </w:rPr>
        <w:t xml:space="preserve">responder groups when response is considered as an absolute cutoff of 3 mg/L CRP. </w:t>
      </w:r>
    </w:p>
    <w:p w14:paraId="62AD7822" w14:textId="77777777" w:rsidR="005A3391" w:rsidRPr="006218AF" w:rsidRDefault="00E978D3" w:rsidP="00841267">
      <w:pPr>
        <w:pStyle w:val="ListParagraph"/>
        <w:numPr>
          <w:ilvl w:val="0"/>
          <w:numId w:val="1"/>
        </w:numPr>
        <w:spacing w:line="480" w:lineRule="auto"/>
        <w:rPr>
          <w:rFonts w:ascii="Arial" w:hAnsi="Arial" w:cs="Arial"/>
        </w:rPr>
      </w:pPr>
      <w:r w:rsidRPr="006218AF">
        <w:rPr>
          <w:rFonts w:ascii="Arial" w:hAnsi="Arial" w:cs="Arial"/>
        </w:rPr>
        <w:t xml:space="preserve">Figure S5 </w:t>
      </w:r>
      <w:r w:rsidR="005A3391" w:rsidRPr="006218AF">
        <w:rPr>
          <w:rFonts w:ascii="Arial" w:hAnsi="Arial" w:cs="Arial"/>
        </w:rPr>
        <w:t>–</w:t>
      </w:r>
      <w:r w:rsidRPr="006218AF">
        <w:rPr>
          <w:rFonts w:ascii="Arial" w:hAnsi="Arial" w:cs="Arial"/>
        </w:rPr>
        <w:t xml:space="preserve"> </w:t>
      </w:r>
      <w:r w:rsidR="005A3391" w:rsidRPr="006218AF">
        <w:rPr>
          <w:rFonts w:ascii="Arial" w:hAnsi="Arial" w:cs="Arial"/>
        </w:rPr>
        <w:t xml:space="preserve">Subject level CRP response to infliximab or </w:t>
      </w:r>
      <w:proofErr w:type="spellStart"/>
      <w:r w:rsidR="005A3391" w:rsidRPr="006218AF">
        <w:rPr>
          <w:rFonts w:ascii="Arial" w:hAnsi="Arial" w:cs="Arial"/>
        </w:rPr>
        <w:t>ustekinumab</w:t>
      </w:r>
      <w:proofErr w:type="spellEnd"/>
      <w:r w:rsidR="005A3391" w:rsidRPr="006218AF">
        <w:rPr>
          <w:rFonts w:ascii="Arial" w:hAnsi="Arial" w:cs="Arial"/>
        </w:rPr>
        <w:t xml:space="preserve"> using a 5 mg/L CRP cutoff.</w:t>
      </w:r>
    </w:p>
    <w:p w14:paraId="33E6A89D" w14:textId="77777777" w:rsidR="00E978D3" w:rsidRPr="006218AF" w:rsidRDefault="005A3391" w:rsidP="00841267">
      <w:pPr>
        <w:pStyle w:val="ListParagraph"/>
        <w:numPr>
          <w:ilvl w:val="0"/>
          <w:numId w:val="1"/>
        </w:numPr>
        <w:spacing w:line="480" w:lineRule="auto"/>
        <w:rPr>
          <w:rFonts w:ascii="Arial" w:hAnsi="Arial" w:cs="Arial"/>
        </w:rPr>
      </w:pPr>
      <w:r w:rsidRPr="006218AF">
        <w:rPr>
          <w:rFonts w:ascii="Arial" w:hAnsi="Arial" w:cs="Arial"/>
        </w:rPr>
        <w:t xml:space="preserve">Figure S6 - Subject level FCP response to infliximab </w:t>
      </w:r>
      <w:r w:rsidR="006E3A9D" w:rsidRPr="006218AF">
        <w:rPr>
          <w:rFonts w:ascii="Arial" w:hAnsi="Arial" w:cs="Arial"/>
        </w:rPr>
        <w:t xml:space="preserve">or </w:t>
      </w:r>
      <w:proofErr w:type="spellStart"/>
      <w:r w:rsidR="006E3A9D" w:rsidRPr="006218AF">
        <w:rPr>
          <w:rFonts w:ascii="Arial" w:hAnsi="Arial" w:cs="Arial"/>
        </w:rPr>
        <w:t>ustekinumab</w:t>
      </w:r>
      <w:proofErr w:type="spellEnd"/>
      <w:r w:rsidR="006E3A9D" w:rsidRPr="006218AF">
        <w:rPr>
          <w:rFonts w:ascii="Arial" w:hAnsi="Arial" w:cs="Arial"/>
        </w:rPr>
        <w:t>.</w:t>
      </w:r>
    </w:p>
    <w:p w14:paraId="32DF56F8" w14:textId="77777777" w:rsidR="005A3391" w:rsidRPr="006218AF" w:rsidRDefault="005A3391" w:rsidP="00841267">
      <w:pPr>
        <w:pStyle w:val="ListParagraph"/>
        <w:numPr>
          <w:ilvl w:val="0"/>
          <w:numId w:val="1"/>
        </w:numPr>
        <w:spacing w:line="480" w:lineRule="auto"/>
        <w:rPr>
          <w:rFonts w:ascii="Arial" w:hAnsi="Arial" w:cs="Arial"/>
        </w:rPr>
      </w:pPr>
      <w:r w:rsidRPr="006218AF">
        <w:rPr>
          <w:rFonts w:ascii="Arial" w:hAnsi="Arial" w:cs="Arial"/>
        </w:rPr>
        <w:t xml:space="preserve">Figure S7 </w:t>
      </w:r>
      <w:r w:rsidR="0090458E" w:rsidRPr="006218AF">
        <w:rPr>
          <w:rFonts w:ascii="Arial" w:hAnsi="Arial" w:cs="Arial"/>
        </w:rPr>
        <w:t>–</w:t>
      </w:r>
      <w:r w:rsidRPr="006218AF">
        <w:rPr>
          <w:rFonts w:ascii="Arial" w:hAnsi="Arial" w:cs="Arial"/>
        </w:rPr>
        <w:t xml:space="preserve"> </w:t>
      </w:r>
      <w:r w:rsidR="0090458E" w:rsidRPr="006218AF">
        <w:rPr>
          <w:rFonts w:ascii="Arial" w:hAnsi="Arial" w:cs="Arial"/>
        </w:rPr>
        <w:t xml:space="preserve">Prediction of mean CRP </w:t>
      </w:r>
      <w:r w:rsidR="008529C3" w:rsidRPr="006218AF">
        <w:rPr>
          <w:rFonts w:ascii="Arial" w:hAnsi="Arial" w:cs="Arial"/>
        </w:rPr>
        <w:t>profiles following</w:t>
      </w:r>
      <w:r w:rsidR="0090458E" w:rsidRPr="006218AF">
        <w:rPr>
          <w:rFonts w:ascii="Arial" w:hAnsi="Arial" w:cs="Arial"/>
        </w:rPr>
        <w:t xml:space="preserve"> either </w:t>
      </w:r>
      <w:proofErr w:type="spellStart"/>
      <w:r w:rsidR="0090458E" w:rsidRPr="006218AF">
        <w:rPr>
          <w:rFonts w:ascii="Arial" w:hAnsi="Arial" w:cs="Arial"/>
        </w:rPr>
        <w:t>ustekinumab</w:t>
      </w:r>
      <w:proofErr w:type="spellEnd"/>
      <w:r w:rsidR="0090458E" w:rsidRPr="006218AF">
        <w:rPr>
          <w:rFonts w:ascii="Arial" w:hAnsi="Arial" w:cs="Arial"/>
        </w:rPr>
        <w:t xml:space="preserve"> or MEDI2070 using the same virtual population.</w:t>
      </w:r>
    </w:p>
    <w:p w14:paraId="3D1829F5" w14:textId="77777777" w:rsidR="0090458E" w:rsidRPr="006218AF" w:rsidRDefault="002E7C73" w:rsidP="00841267">
      <w:pPr>
        <w:pStyle w:val="ListParagraph"/>
        <w:numPr>
          <w:ilvl w:val="0"/>
          <w:numId w:val="1"/>
        </w:numPr>
        <w:spacing w:line="480" w:lineRule="auto"/>
        <w:rPr>
          <w:rFonts w:ascii="Arial" w:hAnsi="Arial" w:cs="Arial"/>
        </w:rPr>
      </w:pPr>
      <w:r w:rsidRPr="006218AF">
        <w:rPr>
          <w:rFonts w:ascii="Arial" w:hAnsi="Arial" w:cs="Arial"/>
        </w:rPr>
        <w:t xml:space="preserve">Figure S8 – </w:t>
      </w:r>
      <w:r w:rsidR="0079146A" w:rsidRPr="006218AF">
        <w:rPr>
          <w:rFonts w:ascii="Arial" w:hAnsi="Arial" w:cs="Arial"/>
        </w:rPr>
        <w:t xml:space="preserve">Subject level CRP response to infliximab </w:t>
      </w:r>
      <w:r w:rsidR="008E4D08" w:rsidRPr="006218AF">
        <w:rPr>
          <w:rFonts w:ascii="Arial" w:hAnsi="Arial" w:cs="Arial"/>
        </w:rPr>
        <w:t xml:space="preserve">or </w:t>
      </w:r>
      <w:proofErr w:type="spellStart"/>
      <w:r w:rsidR="008E4D08" w:rsidRPr="006218AF">
        <w:rPr>
          <w:rFonts w:ascii="Arial" w:hAnsi="Arial" w:cs="Arial"/>
        </w:rPr>
        <w:t>ustekinumab</w:t>
      </w:r>
      <w:proofErr w:type="spellEnd"/>
      <w:r w:rsidR="008E4D08" w:rsidRPr="006218AF">
        <w:rPr>
          <w:rFonts w:ascii="Arial" w:hAnsi="Arial" w:cs="Arial"/>
        </w:rPr>
        <w:t xml:space="preserve"> </w:t>
      </w:r>
      <w:r w:rsidR="0079146A" w:rsidRPr="006218AF">
        <w:rPr>
          <w:rFonts w:ascii="Arial" w:hAnsi="Arial" w:cs="Arial"/>
        </w:rPr>
        <w:t>+ infliximab using a 5 mg/L CRP cutoff.</w:t>
      </w:r>
    </w:p>
    <w:p w14:paraId="630E68E1" w14:textId="77777777" w:rsidR="003C733C" w:rsidRPr="006218AF" w:rsidRDefault="003C733C" w:rsidP="00841267">
      <w:pPr>
        <w:pStyle w:val="ListParagraph"/>
        <w:numPr>
          <w:ilvl w:val="0"/>
          <w:numId w:val="1"/>
        </w:numPr>
        <w:spacing w:line="480" w:lineRule="auto"/>
        <w:rPr>
          <w:rFonts w:ascii="Arial" w:hAnsi="Arial" w:cs="Arial"/>
        </w:rPr>
      </w:pPr>
      <w:r w:rsidRPr="006218AF">
        <w:rPr>
          <w:rFonts w:ascii="Arial" w:hAnsi="Arial" w:cs="Arial"/>
        </w:rPr>
        <w:t xml:space="preserve">Figure S9 - Selection of baseline </w:t>
      </w:r>
      <w:proofErr w:type="spellStart"/>
      <w:r w:rsidRPr="006218AF">
        <w:rPr>
          <w:rFonts w:ascii="Arial" w:hAnsi="Arial" w:cs="Arial"/>
        </w:rPr>
        <w:t>ustekinumab</w:t>
      </w:r>
      <w:proofErr w:type="spellEnd"/>
      <w:r w:rsidRPr="006218AF">
        <w:rPr>
          <w:rFonts w:ascii="Arial" w:hAnsi="Arial" w:cs="Arial"/>
        </w:rPr>
        <w:t xml:space="preserve"> virtual population.</w:t>
      </w:r>
    </w:p>
    <w:p w14:paraId="3ADA6784" w14:textId="77777777" w:rsidR="00752ED4" w:rsidRPr="006218AF" w:rsidRDefault="00752ED4" w:rsidP="00841267">
      <w:pPr>
        <w:pStyle w:val="ListParagraph"/>
        <w:numPr>
          <w:ilvl w:val="0"/>
          <w:numId w:val="1"/>
        </w:numPr>
        <w:spacing w:line="480" w:lineRule="auto"/>
        <w:rPr>
          <w:rFonts w:ascii="Arial" w:hAnsi="Arial" w:cs="Arial"/>
        </w:rPr>
      </w:pPr>
      <w:r w:rsidRPr="006218AF">
        <w:rPr>
          <w:rFonts w:ascii="Arial" w:hAnsi="Arial" w:cs="Arial"/>
        </w:rPr>
        <w:t xml:space="preserve">Figure S10 - Model prediction of infliximab and </w:t>
      </w:r>
      <w:proofErr w:type="spellStart"/>
      <w:r w:rsidRPr="006218AF">
        <w:rPr>
          <w:rFonts w:ascii="Arial" w:hAnsi="Arial" w:cs="Arial"/>
        </w:rPr>
        <w:t>ustekinumab</w:t>
      </w:r>
      <w:proofErr w:type="spellEnd"/>
      <w:r w:rsidRPr="006218AF">
        <w:rPr>
          <w:rFonts w:ascii="Arial" w:hAnsi="Arial" w:cs="Arial"/>
        </w:rPr>
        <w:t xml:space="preserve"> combination treatment in CD patients with variability.</w:t>
      </w:r>
    </w:p>
    <w:p w14:paraId="67C1FC61" w14:textId="77777777" w:rsidR="00D737E0" w:rsidRPr="006218AF" w:rsidRDefault="00D737E0" w:rsidP="00907E32">
      <w:pPr>
        <w:spacing w:line="480" w:lineRule="auto"/>
        <w:rPr>
          <w:rFonts w:ascii="Arial" w:hAnsi="Arial" w:cs="Arial"/>
          <w:b/>
        </w:rPr>
      </w:pPr>
    </w:p>
    <w:p w14:paraId="17FC15BE" w14:textId="77777777" w:rsidR="00F35A47" w:rsidRPr="006218AF" w:rsidRDefault="00F35A47" w:rsidP="00907E32">
      <w:pPr>
        <w:spacing w:line="480" w:lineRule="auto"/>
        <w:rPr>
          <w:rFonts w:ascii="Arial" w:hAnsi="Arial" w:cs="Arial"/>
        </w:rPr>
      </w:pPr>
      <w:r w:rsidRPr="006218AF">
        <w:rPr>
          <w:rFonts w:ascii="Arial" w:hAnsi="Arial" w:cs="Arial"/>
          <w:b/>
        </w:rPr>
        <w:lastRenderedPageBreak/>
        <w:t>Table 1:</w:t>
      </w:r>
      <w:r w:rsidRPr="006218AF">
        <w:rPr>
          <w:rFonts w:ascii="Arial" w:hAnsi="Arial" w:cs="Arial"/>
        </w:rPr>
        <w:t xml:space="preserve"> ClinicalTrialsTable.xlsx – contains drug, dose, type, trial number, number of subjects</w:t>
      </w:r>
      <w:r w:rsidR="00067817" w:rsidRPr="006218AF">
        <w:rPr>
          <w:rFonts w:ascii="Arial" w:hAnsi="Arial" w:cs="Arial"/>
        </w:rPr>
        <w:t xml:space="preserve"> from trial</w:t>
      </w:r>
      <w:r w:rsidRPr="006218AF">
        <w:rPr>
          <w:rFonts w:ascii="Arial" w:hAnsi="Arial" w:cs="Arial"/>
        </w:rPr>
        <w:t>,</w:t>
      </w:r>
      <w:r w:rsidR="00067817" w:rsidRPr="006218AF">
        <w:rPr>
          <w:rFonts w:ascii="Arial" w:hAnsi="Arial" w:cs="Arial"/>
        </w:rPr>
        <w:t xml:space="preserve"> number of subjects for virtual population,</w:t>
      </w:r>
      <w:r w:rsidR="00B93108" w:rsidRPr="006218AF">
        <w:rPr>
          <w:rFonts w:ascii="Arial" w:hAnsi="Arial" w:cs="Arial"/>
        </w:rPr>
        <w:t xml:space="preserve"> inclusion criteria and PubM</w:t>
      </w:r>
      <w:r w:rsidRPr="006218AF">
        <w:rPr>
          <w:rFonts w:ascii="Arial" w:hAnsi="Arial" w:cs="Arial"/>
        </w:rPr>
        <w:t>ed ID</w:t>
      </w:r>
    </w:p>
    <w:p w14:paraId="3CDAE135" w14:textId="77777777" w:rsidR="006B270D" w:rsidRPr="006218AF" w:rsidRDefault="006B270D" w:rsidP="00907E32">
      <w:pPr>
        <w:spacing w:line="480" w:lineRule="auto"/>
        <w:rPr>
          <w:rFonts w:ascii="Arial" w:hAnsi="Arial" w:cs="Arial"/>
        </w:rPr>
      </w:pPr>
      <w:r w:rsidRPr="006218AF">
        <w:rPr>
          <w:rFonts w:ascii="Arial" w:hAnsi="Arial" w:cs="Arial"/>
          <w:b/>
        </w:rPr>
        <w:t>Supplementary Figure 1:</w:t>
      </w:r>
      <w:r w:rsidRPr="006218AF">
        <w:rPr>
          <w:rFonts w:ascii="Arial" w:hAnsi="Arial" w:cs="Arial"/>
        </w:rPr>
        <w:t xml:space="preserve"> </w:t>
      </w:r>
      <w:r w:rsidR="007A4A91" w:rsidRPr="006218AF">
        <w:rPr>
          <w:rFonts w:ascii="Arial" w:hAnsi="Arial" w:cs="Arial"/>
        </w:rPr>
        <w:t xml:space="preserve">Biomarker profiles for </w:t>
      </w:r>
      <w:proofErr w:type="spellStart"/>
      <w:r w:rsidR="007D3E40" w:rsidRPr="006218AF">
        <w:rPr>
          <w:rFonts w:ascii="Arial" w:hAnsi="Arial" w:cs="Arial"/>
        </w:rPr>
        <w:t>ustekinumab</w:t>
      </w:r>
      <w:proofErr w:type="spellEnd"/>
      <w:r w:rsidR="007D3E40" w:rsidRPr="006218AF">
        <w:rPr>
          <w:rFonts w:ascii="Arial" w:hAnsi="Arial" w:cs="Arial"/>
        </w:rPr>
        <w:t xml:space="preserve"> 130 mg dosing arm. Shown is m</w:t>
      </w:r>
      <w:r w:rsidR="007A4A91" w:rsidRPr="006218AF">
        <w:rPr>
          <w:rFonts w:ascii="Arial" w:hAnsi="Arial" w:cs="Arial"/>
        </w:rPr>
        <w:t>e</w:t>
      </w:r>
      <w:r w:rsidR="000409FE" w:rsidRPr="006218AF">
        <w:rPr>
          <w:rFonts w:ascii="Arial" w:hAnsi="Arial" w:cs="Arial"/>
        </w:rPr>
        <w:t xml:space="preserve">dian change from baseline of </w:t>
      </w:r>
      <w:r w:rsidR="007D3E40" w:rsidRPr="006218AF">
        <w:rPr>
          <w:rFonts w:ascii="Arial" w:hAnsi="Arial" w:cs="Arial"/>
        </w:rPr>
        <w:t xml:space="preserve">(A) </w:t>
      </w:r>
      <w:r w:rsidR="000409FE" w:rsidRPr="006218AF">
        <w:rPr>
          <w:rFonts w:ascii="Arial" w:hAnsi="Arial" w:cs="Arial"/>
        </w:rPr>
        <w:t xml:space="preserve">CRP and </w:t>
      </w:r>
      <w:r w:rsidR="007D3E40" w:rsidRPr="006218AF">
        <w:rPr>
          <w:rFonts w:ascii="Arial" w:hAnsi="Arial" w:cs="Arial"/>
        </w:rPr>
        <w:t xml:space="preserve">(B) </w:t>
      </w:r>
      <w:r w:rsidR="000409FE" w:rsidRPr="006218AF">
        <w:rPr>
          <w:rFonts w:ascii="Arial" w:hAnsi="Arial" w:cs="Arial"/>
        </w:rPr>
        <w:t>FCP following a single 1</w:t>
      </w:r>
      <w:r w:rsidR="007D3E40" w:rsidRPr="006218AF">
        <w:rPr>
          <w:rFonts w:ascii="Arial" w:hAnsi="Arial" w:cs="Arial"/>
        </w:rPr>
        <w:t xml:space="preserve">30 mg IV dose of </w:t>
      </w:r>
      <w:proofErr w:type="spellStart"/>
      <w:r w:rsidR="007D3E40" w:rsidRPr="006218AF">
        <w:rPr>
          <w:rFonts w:ascii="Arial" w:hAnsi="Arial" w:cs="Arial"/>
        </w:rPr>
        <w:t>ustekinumab</w:t>
      </w:r>
      <w:proofErr w:type="spellEnd"/>
      <w:r w:rsidR="007D3E40" w:rsidRPr="006218AF">
        <w:rPr>
          <w:rFonts w:ascii="Arial" w:hAnsi="Arial" w:cs="Arial"/>
        </w:rPr>
        <w:t>. (C</w:t>
      </w:r>
      <w:r w:rsidR="000409FE" w:rsidRPr="006218AF">
        <w:rPr>
          <w:rFonts w:ascii="Arial" w:hAnsi="Arial" w:cs="Arial"/>
        </w:rPr>
        <w:t xml:space="preserve">) Model simulation versus observed </w:t>
      </w:r>
      <w:proofErr w:type="spellStart"/>
      <w:r w:rsidR="000409FE" w:rsidRPr="006218AF">
        <w:rPr>
          <w:rFonts w:ascii="Arial" w:hAnsi="Arial" w:cs="Arial"/>
        </w:rPr>
        <w:t>ustekinumab</w:t>
      </w:r>
      <w:proofErr w:type="spellEnd"/>
      <w:r w:rsidR="000409FE" w:rsidRPr="006218AF">
        <w:rPr>
          <w:rFonts w:ascii="Arial" w:hAnsi="Arial" w:cs="Arial"/>
        </w:rPr>
        <w:t xml:space="preserve"> concentration</w:t>
      </w:r>
      <w:r w:rsidR="00E2414F" w:rsidRPr="006218AF">
        <w:rPr>
          <w:rFonts w:ascii="Arial" w:hAnsi="Arial" w:cs="Arial"/>
        </w:rPr>
        <w:t xml:space="preserve"> time pro</w:t>
      </w:r>
      <w:r w:rsidR="007D3E40" w:rsidRPr="006218AF">
        <w:rPr>
          <w:rFonts w:ascii="Arial" w:hAnsi="Arial" w:cs="Arial"/>
        </w:rPr>
        <w:t>files</w:t>
      </w:r>
      <w:r w:rsidR="002D4DD3" w:rsidRPr="006218AF">
        <w:rPr>
          <w:rFonts w:ascii="Arial" w:hAnsi="Arial" w:cs="Arial"/>
        </w:rPr>
        <w:t xml:space="preserve">. </w:t>
      </w:r>
      <w:r w:rsidR="00060F13" w:rsidRPr="006218AF">
        <w:rPr>
          <w:rFonts w:ascii="Arial" w:hAnsi="Arial" w:cs="Arial"/>
        </w:rPr>
        <w:t>Median and interquartile range of b</w:t>
      </w:r>
      <w:r w:rsidR="000409FE" w:rsidRPr="006218AF">
        <w:rPr>
          <w:rFonts w:ascii="Arial" w:hAnsi="Arial" w:cs="Arial"/>
        </w:rPr>
        <w:t xml:space="preserve">aseline values for </w:t>
      </w:r>
      <w:r w:rsidR="002D4DD3" w:rsidRPr="006218AF">
        <w:rPr>
          <w:rFonts w:ascii="Arial" w:hAnsi="Arial" w:cs="Arial"/>
        </w:rPr>
        <w:t xml:space="preserve">(D) </w:t>
      </w:r>
      <w:r w:rsidR="000409FE" w:rsidRPr="006218AF">
        <w:rPr>
          <w:rFonts w:ascii="Arial" w:hAnsi="Arial" w:cs="Arial"/>
        </w:rPr>
        <w:t xml:space="preserve">CRP and </w:t>
      </w:r>
      <w:r w:rsidR="002D4DD3" w:rsidRPr="006218AF">
        <w:rPr>
          <w:rFonts w:ascii="Arial" w:hAnsi="Arial" w:cs="Arial"/>
        </w:rPr>
        <w:t xml:space="preserve">(E) </w:t>
      </w:r>
      <w:r w:rsidR="000409FE" w:rsidRPr="006218AF">
        <w:rPr>
          <w:rFonts w:ascii="Arial" w:hAnsi="Arial" w:cs="Arial"/>
        </w:rPr>
        <w:t>FCP in the model virtual patient population</w:t>
      </w:r>
      <w:r w:rsidR="002D4DD3" w:rsidRPr="006218AF">
        <w:rPr>
          <w:rFonts w:ascii="Arial" w:hAnsi="Arial" w:cs="Arial"/>
        </w:rPr>
        <w:t xml:space="preserve"> (green)</w:t>
      </w:r>
      <w:r w:rsidR="000409FE" w:rsidRPr="006218AF">
        <w:rPr>
          <w:rFonts w:ascii="Arial" w:hAnsi="Arial" w:cs="Arial"/>
        </w:rPr>
        <w:t xml:space="preserve"> and obs</w:t>
      </w:r>
      <w:r w:rsidR="00DE06C8" w:rsidRPr="006218AF">
        <w:rPr>
          <w:rFonts w:ascii="Arial" w:hAnsi="Arial" w:cs="Arial"/>
        </w:rPr>
        <w:t>erved population</w:t>
      </w:r>
      <w:r w:rsidR="002D4DD3" w:rsidRPr="006218AF">
        <w:rPr>
          <w:rFonts w:ascii="Arial" w:hAnsi="Arial" w:cs="Arial"/>
        </w:rPr>
        <w:t xml:space="preserve"> (grey)</w:t>
      </w:r>
      <w:r w:rsidR="00DE06C8" w:rsidRPr="006218AF">
        <w:rPr>
          <w:rFonts w:ascii="Arial" w:hAnsi="Arial" w:cs="Arial"/>
        </w:rPr>
        <w:t xml:space="preserve"> for the UNITI-2</w:t>
      </w:r>
      <w:r w:rsidR="000409FE" w:rsidRPr="006218AF">
        <w:rPr>
          <w:rFonts w:ascii="Arial" w:hAnsi="Arial" w:cs="Arial"/>
        </w:rPr>
        <w:t xml:space="preserve"> trial.</w:t>
      </w:r>
      <w:r w:rsidR="00AA0E3C" w:rsidRPr="006218AF">
        <w:rPr>
          <w:rFonts w:ascii="Arial" w:hAnsi="Arial" w:cs="Arial"/>
        </w:rPr>
        <w:t xml:space="preserve"> Solid lines indicate median and shaded area indicates interquartile range </w:t>
      </w:r>
      <w:r w:rsidR="0083584C" w:rsidRPr="006218AF">
        <w:rPr>
          <w:rFonts w:ascii="Arial" w:hAnsi="Arial" w:cs="Arial"/>
        </w:rPr>
        <w:t xml:space="preserve">for the simulation population </w:t>
      </w:r>
      <w:r w:rsidR="00990532" w:rsidRPr="006218AF">
        <w:rPr>
          <w:rFonts w:ascii="Arial" w:hAnsi="Arial" w:cs="Arial"/>
        </w:rPr>
        <w:t>(N</w:t>
      </w:r>
      <w:r w:rsidR="00AA0E3C" w:rsidRPr="006218AF">
        <w:rPr>
          <w:rFonts w:ascii="Arial" w:hAnsi="Arial" w:cs="Arial"/>
        </w:rPr>
        <w:t xml:space="preserve"> = 1127). Virtual population is the same as in the </w:t>
      </w:r>
      <w:r w:rsidR="00164BA3" w:rsidRPr="006218AF">
        <w:rPr>
          <w:rFonts w:ascii="Arial" w:hAnsi="Arial" w:cs="Arial"/>
        </w:rPr>
        <w:t xml:space="preserve">previous </w:t>
      </w:r>
      <w:r w:rsidR="00AA0E3C" w:rsidRPr="006218AF">
        <w:rPr>
          <w:rFonts w:ascii="Arial" w:hAnsi="Arial" w:cs="Arial"/>
        </w:rPr>
        <w:t xml:space="preserve">6 mg/kg </w:t>
      </w:r>
      <w:proofErr w:type="spellStart"/>
      <w:r w:rsidR="00AA0E3C" w:rsidRPr="006218AF">
        <w:rPr>
          <w:rFonts w:ascii="Arial" w:hAnsi="Arial" w:cs="Arial"/>
        </w:rPr>
        <w:t>ustekinumab</w:t>
      </w:r>
      <w:proofErr w:type="spellEnd"/>
      <w:r w:rsidR="00AA0E3C" w:rsidRPr="006218AF">
        <w:rPr>
          <w:rFonts w:ascii="Arial" w:hAnsi="Arial" w:cs="Arial"/>
        </w:rPr>
        <w:t xml:space="preserve"> case. </w:t>
      </w:r>
    </w:p>
    <w:p w14:paraId="33FE7729" w14:textId="77777777" w:rsidR="006B270D" w:rsidRPr="006218AF" w:rsidRDefault="006B270D" w:rsidP="00907E32">
      <w:pPr>
        <w:spacing w:line="480" w:lineRule="auto"/>
        <w:rPr>
          <w:rFonts w:ascii="Arial" w:hAnsi="Arial" w:cs="Arial"/>
        </w:rPr>
      </w:pPr>
      <w:r w:rsidRPr="006218AF">
        <w:rPr>
          <w:rFonts w:ascii="Arial" w:hAnsi="Arial" w:cs="Arial"/>
          <w:b/>
        </w:rPr>
        <w:t>Supplementary Figure 2:</w:t>
      </w:r>
      <w:r w:rsidRPr="006218AF">
        <w:rPr>
          <w:rFonts w:ascii="Arial" w:hAnsi="Arial" w:cs="Arial"/>
        </w:rPr>
        <w:t xml:space="preserve"> </w:t>
      </w:r>
      <w:r w:rsidR="000462AE" w:rsidRPr="006218AF">
        <w:rPr>
          <w:rFonts w:ascii="Arial" w:hAnsi="Arial" w:cs="Arial"/>
        </w:rPr>
        <w:t xml:space="preserve">Biomarker profiles for the </w:t>
      </w:r>
      <w:proofErr w:type="spellStart"/>
      <w:r w:rsidR="000462AE" w:rsidRPr="006218AF">
        <w:rPr>
          <w:rFonts w:ascii="Arial" w:hAnsi="Arial" w:cs="Arial"/>
        </w:rPr>
        <w:t>ri</w:t>
      </w:r>
      <w:r w:rsidR="00651906" w:rsidRPr="006218AF">
        <w:rPr>
          <w:rFonts w:ascii="Arial" w:hAnsi="Arial" w:cs="Arial"/>
        </w:rPr>
        <w:t>sankizumab</w:t>
      </w:r>
      <w:proofErr w:type="spellEnd"/>
      <w:r w:rsidR="00651906" w:rsidRPr="006218AF">
        <w:rPr>
          <w:rFonts w:ascii="Arial" w:hAnsi="Arial" w:cs="Arial"/>
        </w:rPr>
        <w:t xml:space="preserve"> 600 mg dosing arm. (A</w:t>
      </w:r>
      <w:r w:rsidR="005C2224" w:rsidRPr="006218AF">
        <w:rPr>
          <w:rFonts w:ascii="Arial" w:hAnsi="Arial" w:cs="Arial"/>
        </w:rPr>
        <w:t xml:space="preserve">) Predicted absolute median and interquartile range CRP concentration profile for virtual population compared to observed. Median percent change in </w:t>
      </w:r>
      <w:r w:rsidR="00651906" w:rsidRPr="006218AF">
        <w:rPr>
          <w:rFonts w:ascii="Arial" w:hAnsi="Arial" w:cs="Arial"/>
        </w:rPr>
        <w:t xml:space="preserve">(B) </w:t>
      </w:r>
      <w:r w:rsidR="005C2224" w:rsidRPr="006218AF">
        <w:rPr>
          <w:rFonts w:ascii="Arial" w:hAnsi="Arial" w:cs="Arial"/>
        </w:rPr>
        <w:t xml:space="preserve">FCP and </w:t>
      </w:r>
      <w:r w:rsidR="00651906" w:rsidRPr="006218AF">
        <w:rPr>
          <w:rFonts w:ascii="Arial" w:hAnsi="Arial" w:cs="Arial"/>
        </w:rPr>
        <w:t xml:space="preserve">(C) </w:t>
      </w:r>
      <w:r w:rsidR="005C2224" w:rsidRPr="006218AF">
        <w:rPr>
          <w:rFonts w:ascii="Arial" w:hAnsi="Arial" w:cs="Arial"/>
        </w:rPr>
        <w:t xml:space="preserve">IL22 following </w:t>
      </w:r>
      <w:proofErr w:type="spellStart"/>
      <w:r w:rsidR="005C2224" w:rsidRPr="006218AF">
        <w:rPr>
          <w:rFonts w:ascii="Arial" w:hAnsi="Arial" w:cs="Arial"/>
        </w:rPr>
        <w:t>risankizumab</w:t>
      </w:r>
      <w:proofErr w:type="spellEnd"/>
      <w:r w:rsidR="00123EFA" w:rsidRPr="006218AF">
        <w:rPr>
          <w:rFonts w:ascii="Arial" w:hAnsi="Arial" w:cs="Arial"/>
        </w:rPr>
        <w:t>. (D</w:t>
      </w:r>
      <w:r w:rsidR="005C2224" w:rsidRPr="006218AF">
        <w:rPr>
          <w:rFonts w:ascii="Arial" w:hAnsi="Arial" w:cs="Arial"/>
        </w:rPr>
        <w:t xml:space="preserve">) Simulated </w:t>
      </w:r>
      <w:proofErr w:type="spellStart"/>
      <w:r w:rsidR="005C2224" w:rsidRPr="006218AF">
        <w:rPr>
          <w:rFonts w:ascii="Arial" w:hAnsi="Arial" w:cs="Arial"/>
        </w:rPr>
        <w:t>risankizumab</w:t>
      </w:r>
      <w:proofErr w:type="spellEnd"/>
      <w:r w:rsidR="005C2224" w:rsidRPr="006218AF">
        <w:rPr>
          <w:rFonts w:ascii="Arial" w:hAnsi="Arial" w:cs="Arial"/>
        </w:rPr>
        <w:t xml:space="preserve"> concentration </w:t>
      </w:r>
      <w:r w:rsidR="00123EFA" w:rsidRPr="006218AF">
        <w:rPr>
          <w:rFonts w:ascii="Arial" w:hAnsi="Arial" w:cs="Arial"/>
        </w:rPr>
        <w:t xml:space="preserve">time </w:t>
      </w:r>
      <w:r w:rsidR="005C2224" w:rsidRPr="006218AF">
        <w:rPr>
          <w:rFonts w:ascii="Arial" w:hAnsi="Arial" w:cs="Arial"/>
        </w:rPr>
        <w:t>profile</w:t>
      </w:r>
      <w:r w:rsidR="00123EFA" w:rsidRPr="006218AF">
        <w:rPr>
          <w:rFonts w:ascii="Arial" w:hAnsi="Arial" w:cs="Arial"/>
        </w:rPr>
        <w:t xml:space="preserve"> of 600 mg dose IV at 0, 4, and 8 weeks. (</w:t>
      </w:r>
      <w:proofErr w:type="gramStart"/>
      <w:r w:rsidR="00123EFA" w:rsidRPr="006218AF">
        <w:rPr>
          <w:rFonts w:ascii="Arial" w:hAnsi="Arial" w:cs="Arial"/>
        </w:rPr>
        <w:t>E,F</w:t>
      </w:r>
      <w:proofErr w:type="gramEnd"/>
      <w:r w:rsidR="005C2224" w:rsidRPr="006218AF">
        <w:rPr>
          <w:rFonts w:ascii="Arial" w:hAnsi="Arial" w:cs="Arial"/>
        </w:rPr>
        <w:t xml:space="preserve">) </w:t>
      </w:r>
      <w:r w:rsidR="00EE5B09" w:rsidRPr="006218AF">
        <w:rPr>
          <w:rFonts w:ascii="Arial" w:hAnsi="Arial" w:cs="Arial"/>
        </w:rPr>
        <w:t>Comparison of baseline biomarker values for virtual population</w:t>
      </w:r>
      <w:r w:rsidR="00123EFA" w:rsidRPr="006218AF">
        <w:rPr>
          <w:rFonts w:ascii="Arial" w:hAnsi="Arial" w:cs="Arial"/>
        </w:rPr>
        <w:t xml:space="preserve"> (green)</w:t>
      </w:r>
      <w:r w:rsidR="00EE5B09" w:rsidRPr="006218AF">
        <w:rPr>
          <w:rFonts w:ascii="Arial" w:hAnsi="Arial" w:cs="Arial"/>
        </w:rPr>
        <w:t xml:space="preserve"> versus observed clinical trial population</w:t>
      </w:r>
      <w:r w:rsidR="00123EFA" w:rsidRPr="006218AF">
        <w:rPr>
          <w:rFonts w:ascii="Arial" w:hAnsi="Arial" w:cs="Arial"/>
        </w:rPr>
        <w:t xml:space="preserve"> (grey)</w:t>
      </w:r>
      <w:r w:rsidR="00EE5B09" w:rsidRPr="006218AF">
        <w:rPr>
          <w:rFonts w:ascii="Arial" w:hAnsi="Arial" w:cs="Arial"/>
        </w:rPr>
        <w:t xml:space="preserve"> for the 600 mg dose.</w:t>
      </w:r>
      <w:r w:rsidR="00B743FD" w:rsidRPr="006218AF">
        <w:rPr>
          <w:rFonts w:ascii="Arial" w:hAnsi="Arial" w:cs="Arial"/>
        </w:rPr>
        <w:t xml:space="preserve"> Solid lines indicate median and shaded area indicates interquartile range for the simulation population </w:t>
      </w:r>
      <w:r w:rsidR="00990532" w:rsidRPr="006218AF">
        <w:rPr>
          <w:rFonts w:ascii="Arial" w:hAnsi="Arial" w:cs="Arial"/>
        </w:rPr>
        <w:t>(N</w:t>
      </w:r>
      <w:r w:rsidR="00B743FD" w:rsidRPr="006218AF">
        <w:rPr>
          <w:rFonts w:ascii="Arial" w:hAnsi="Arial" w:cs="Arial"/>
        </w:rPr>
        <w:t xml:space="preserve"> = 236). </w:t>
      </w:r>
      <w:r w:rsidR="00EE5B09" w:rsidRPr="006218AF">
        <w:rPr>
          <w:rFonts w:ascii="Arial" w:hAnsi="Arial" w:cs="Arial"/>
        </w:rPr>
        <w:t xml:space="preserve">  </w:t>
      </w:r>
    </w:p>
    <w:p w14:paraId="442E2F9E" w14:textId="77777777" w:rsidR="006B270D" w:rsidRPr="006218AF" w:rsidRDefault="006B270D" w:rsidP="00907E32">
      <w:pPr>
        <w:spacing w:line="480" w:lineRule="auto"/>
        <w:rPr>
          <w:rFonts w:ascii="Arial" w:hAnsi="Arial" w:cs="Arial"/>
        </w:rPr>
      </w:pPr>
      <w:r w:rsidRPr="006218AF">
        <w:rPr>
          <w:rFonts w:ascii="Arial" w:hAnsi="Arial" w:cs="Arial"/>
          <w:b/>
        </w:rPr>
        <w:t>Supplementary Figure 3:</w:t>
      </w:r>
      <w:r w:rsidRPr="006218AF">
        <w:rPr>
          <w:rFonts w:ascii="Arial" w:hAnsi="Arial" w:cs="Arial"/>
        </w:rPr>
        <w:t xml:space="preserve"> </w:t>
      </w:r>
      <w:r w:rsidR="008A1768" w:rsidRPr="006218AF">
        <w:rPr>
          <w:rFonts w:ascii="Arial" w:hAnsi="Arial" w:cs="Arial"/>
        </w:rPr>
        <w:t>Alternati</w:t>
      </w:r>
      <w:r w:rsidR="00627AE7" w:rsidRPr="006218AF">
        <w:rPr>
          <w:rFonts w:ascii="Arial" w:hAnsi="Arial" w:cs="Arial"/>
        </w:rPr>
        <w:t>ve infliximab dosing schedule. Shown is the s</w:t>
      </w:r>
      <w:r w:rsidR="008A1768" w:rsidRPr="006218AF">
        <w:rPr>
          <w:rFonts w:ascii="Arial" w:hAnsi="Arial" w:cs="Arial"/>
        </w:rPr>
        <w:t>imulated median infliximab concentration</w:t>
      </w:r>
      <w:r w:rsidR="00D6645E" w:rsidRPr="006218AF">
        <w:rPr>
          <w:rFonts w:ascii="Arial" w:hAnsi="Arial" w:cs="Arial"/>
        </w:rPr>
        <w:t xml:space="preserve"> time profile</w:t>
      </w:r>
      <w:r w:rsidR="008A1768" w:rsidRPr="006218AF">
        <w:rPr>
          <w:rFonts w:ascii="Arial" w:hAnsi="Arial" w:cs="Arial"/>
        </w:rPr>
        <w:t xml:space="preserve"> for two 5 mg/kg doses given IV at weeks 0 and 8. Weight assumed as 70 kg. </w:t>
      </w:r>
    </w:p>
    <w:p w14:paraId="3AE5A46E" w14:textId="77777777" w:rsidR="00907E32" w:rsidRPr="006218AF" w:rsidRDefault="006B270D" w:rsidP="00907E32">
      <w:pPr>
        <w:spacing w:line="480" w:lineRule="auto"/>
        <w:rPr>
          <w:rFonts w:ascii="Arial" w:hAnsi="Arial" w:cs="Arial"/>
        </w:rPr>
      </w:pPr>
      <w:r w:rsidRPr="006218AF">
        <w:rPr>
          <w:rFonts w:ascii="Arial" w:hAnsi="Arial" w:cs="Arial"/>
          <w:b/>
        </w:rPr>
        <w:t>Supplementary Figure 4</w:t>
      </w:r>
      <w:r w:rsidR="008E3871" w:rsidRPr="006218AF">
        <w:rPr>
          <w:rFonts w:ascii="Arial" w:hAnsi="Arial" w:cs="Arial"/>
          <w:b/>
        </w:rPr>
        <w:t>:</w:t>
      </w:r>
      <w:r w:rsidR="008E3871" w:rsidRPr="006218AF">
        <w:rPr>
          <w:rFonts w:ascii="Arial" w:hAnsi="Arial" w:cs="Arial"/>
        </w:rPr>
        <w:t xml:space="preserve"> Differences between groups using </w:t>
      </w:r>
      <w:r w:rsidR="00907E32" w:rsidRPr="006218AF">
        <w:rPr>
          <w:rFonts w:ascii="Arial" w:hAnsi="Arial" w:cs="Arial"/>
        </w:rPr>
        <w:t>absolute c</w:t>
      </w:r>
      <w:r w:rsidR="008E3871" w:rsidRPr="006218AF">
        <w:rPr>
          <w:rFonts w:ascii="Arial" w:hAnsi="Arial" w:cs="Arial"/>
        </w:rPr>
        <w:t>utoff</w:t>
      </w:r>
      <w:r w:rsidR="00907E32" w:rsidRPr="006218AF">
        <w:rPr>
          <w:rFonts w:ascii="Arial" w:hAnsi="Arial" w:cs="Arial"/>
        </w:rPr>
        <w:t xml:space="preserve"> of</w:t>
      </w:r>
      <w:r w:rsidR="008E3871" w:rsidRPr="006218AF">
        <w:rPr>
          <w:rFonts w:ascii="Arial" w:hAnsi="Arial" w:cs="Arial"/>
        </w:rPr>
        <w:t xml:space="preserve"> 3 mg/L </w:t>
      </w:r>
      <w:r w:rsidR="00907E32" w:rsidRPr="006218AF">
        <w:rPr>
          <w:rFonts w:ascii="Arial" w:hAnsi="Arial" w:cs="Arial"/>
        </w:rPr>
        <w:t xml:space="preserve">CRP at 6 weeks. </w:t>
      </w:r>
      <w:r w:rsidR="00174648" w:rsidRPr="006218AF">
        <w:rPr>
          <w:rFonts w:ascii="Arial" w:hAnsi="Arial" w:cs="Arial"/>
        </w:rPr>
        <w:t>Shown are b</w:t>
      </w:r>
      <w:r w:rsidR="00907E32" w:rsidRPr="006218AF">
        <w:rPr>
          <w:rFonts w:ascii="Arial" w:hAnsi="Arial" w:cs="Arial"/>
        </w:rPr>
        <w:t xml:space="preserve">aseline protein levels and parameter values for the 4 groups of percent CRP response. The groups are </w:t>
      </w:r>
      <w:r w:rsidR="00174648" w:rsidRPr="006218AF">
        <w:rPr>
          <w:rFonts w:ascii="Arial" w:hAnsi="Arial" w:cs="Arial"/>
        </w:rPr>
        <w:t xml:space="preserve">CRP </w:t>
      </w:r>
      <w:r w:rsidR="00907E32" w:rsidRPr="006218AF">
        <w:rPr>
          <w:rFonts w:ascii="Arial" w:hAnsi="Arial" w:cs="Arial"/>
        </w:rPr>
        <w:t xml:space="preserve">responders to both drugs (green), responders to infliximab (blue), responders to </w:t>
      </w:r>
      <w:proofErr w:type="spellStart"/>
      <w:r w:rsidR="00907E32" w:rsidRPr="006218AF">
        <w:rPr>
          <w:rFonts w:ascii="Arial" w:hAnsi="Arial" w:cs="Arial"/>
        </w:rPr>
        <w:t>ustekinumab</w:t>
      </w:r>
      <w:proofErr w:type="spellEnd"/>
      <w:r w:rsidR="00907E32" w:rsidRPr="006218AF">
        <w:rPr>
          <w:rFonts w:ascii="Arial" w:hAnsi="Arial" w:cs="Arial"/>
        </w:rPr>
        <w:t xml:space="preserve"> (orange), and non-responders (red). </w:t>
      </w:r>
    </w:p>
    <w:p w14:paraId="16E1D63F" w14:textId="77777777" w:rsidR="008E3871" w:rsidRPr="006218AF" w:rsidRDefault="008E3871" w:rsidP="00907E32">
      <w:pPr>
        <w:spacing w:line="480" w:lineRule="auto"/>
        <w:rPr>
          <w:rFonts w:ascii="Arial" w:hAnsi="Arial" w:cs="Arial"/>
        </w:rPr>
      </w:pPr>
    </w:p>
    <w:p w14:paraId="70E4F0E5" w14:textId="77777777" w:rsidR="0019715A" w:rsidRPr="006218AF" w:rsidRDefault="006B270D" w:rsidP="0019715A">
      <w:pPr>
        <w:spacing w:line="480" w:lineRule="auto"/>
        <w:rPr>
          <w:rFonts w:ascii="Arial" w:hAnsi="Arial" w:cs="Arial"/>
        </w:rPr>
      </w:pPr>
      <w:r w:rsidRPr="006218AF">
        <w:rPr>
          <w:rFonts w:ascii="Arial" w:hAnsi="Arial" w:cs="Arial"/>
          <w:b/>
        </w:rPr>
        <w:lastRenderedPageBreak/>
        <w:t>Supplementary Figure 5</w:t>
      </w:r>
      <w:r w:rsidR="009A4F16" w:rsidRPr="006218AF">
        <w:rPr>
          <w:rFonts w:ascii="Arial" w:hAnsi="Arial" w:cs="Arial"/>
          <w:b/>
        </w:rPr>
        <w:t>:</w:t>
      </w:r>
      <w:r w:rsidR="009A4F16" w:rsidRPr="006218AF">
        <w:rPr>
          <w:rFonts w:ascii="Arial" w:hAnsi="Arial" w:cs="Arial"/>
        </w:rPr>
        <w:t xml:space="preserve"> </w:t>
      </w:r>
      <w:r w:rsidR="009A6E66" w:rsidRPr="006218AF">
        <w:rPr>
          <w:rFonts w:ascii="Arial" w:hAnsi="Arial" w:cs="Arial"/>
        </w:rPr>
        <w:t>Subject</w:t>
      </w:r>
      <w:r w:rsidR="0019715A" w:rsidRPr="006218AF">
        <w:rPr>
          <w:rFonts w:ascii="Arial" w:hAnsi="Arial" w:cs="Arial"/>
        </w:rPr>
        <w:t xml:space="preserve"> level response to infliximab (5 mg/kg) and </w:t>
      </w:r>
      <w:proofErr w:type="spellStart"/>
      <w:r w:rsidR="0019715A" w:rsidRPr="006218AF">
        <w:rPr>
          <w:rFonts w:ascii="Arial" w:hAnsi="Arial" w:cs="Arial"/>
        </w:rPr>
        <w:t>ustekinumab</w:t>
      </w:r>
      <w:proofErr w:type="spellEnd"/>
      <w:r w:rsidR="0019715A" w:rsidRPr="006218AF">
        <w:rPr>
          <w:rFonts w:ascii="Arial" w:hAnsi="Arial" w:cs="Arial"/>
        </w:rPr>
        <w:t xml:space="preserve"> (6 mg/kg) at 6 weeks using a 5 mg/L CRP cutoff. </w:t>
      </w:r>
      <w:r w:rsidR="00C61D7A" w:rsidRPr="006218AF">
        <w:rPr>
          <w:rFonts w:ascii="Arial" w:hAnsi="Arial" w:cs="Arial"/>
        </w:rPr>
        <w:t>Shown is a</w:t>
      </w:r>
      <w:r w:rsidR="0019715A" w:rsidRPr="006218AF">
        <w:rPr>
          <w:rFonts w:ascii="Arial" w:hAnsi="Arial" w:cs="Arial"/>
        </w:rPr>
        <w:t xml:space="preserve">bsolute CRP concentration </w:t>
      </w:r>
      <w:r w:rsidR="00D95A0A" w:rsidRPr="006218AF">
        <w:rPr>
          <w:rFonts w:ascii="Arial" w:hAnsi="Arial" w:cs="Arial"/>
        </w:rPr>
        <w:t xml:space="preserve">at week 6 following either infliximab (IV at 0, 2, and 6 weeks) or </w:t>
      </w:r>
      <w:proofErr w:type="spellStart"/>
      <w:r w:rsidR="00D95A0A" w:rsidRPr="006218AF">
        <w:rPr>
          <w:rFonts w:ascii="Arial" w:hAnsi="Arial" w:cs="Arial"/>
        </w:rPr>
        <w:t>ustekinumab</w:t>
      </w:r>
      <w:proofErr w:type="spellEnd"/>
      <w:r w:rsidR="00D95A0A" w:rsidRPr="006218AF">
        <w:rPr>
          <w:rFonts w:ascii="Arial" w:hAnsi="Arial" w:cs="Arial"/>
        </w:rPr>
        <w:t xml:space="preserve"> (IV at time 0) administration</w:t>
      </w:r>
      <w:r w:rsidR="0019715A" w:rsidRPr="006218AF">
        <w:rPr>
          <w:rFonts w:ascii="Arial" w:hAnsi="Arial" w:cs="Arial"/>
        </w:rPr>
        <w:t xml:space="preserve"> for each individual virtual patient</w:t>
      </w:r>
      <w:r w:rsidR="00C61D7A" w:rsidRPr="006218AF">
        <w:rPr>
          <w:rFonts w:ascii="Arial" w:hAnsi="Arial" w:cs="Arial"/>
        </w:rPr>
        <w:t xml:space="preserve"> with va</w:t>
      </w:r>
      <w:r w:rsidR="00990532" w:rsidRPr="006218AF">
        <w:rPr>
          <w:rFonts w:ascii="Arial" w:hAnsi="Arial" w:cs="Arial"/>
        </w:rPr>
        <w:t>lues above 5 mg/L at baseline (N</w:t>
      </w:r>
      <w:r w:rsidR="00C61D7A" w:rsidRPr="006218AF">
        <w:rPr>
          <w:rFonts w:ascii="Arial" w:hAnsi="Arial" w:cs="Arial"/>
        </w:rPr>
        <w:t xml:space="preserve"> = 205)</w:t>
      </w:r>
      <w:r w:rsidR="0019715A" w:rsidRPr="006218AF">
        <w:rPr>
          <w:rFonts w:ascii="Arial" w:hAnsi="Arial" w:cs="Arial"/>
        </w:rPr>
        <w:t xml:space="preserve">. Each dot represents a virtual patient from the virtual population and is the same as in the infliximab </w:t>
      </w:r>
      <w:r w:rsidR="005D20C2" w:rsidRPr="006218AF">
        <w:rPr>
          <w:rFonts w:ascii="Arial" w:hAnsi="Arial" w:cs="Arial"/>
        </w:rPr>
        <w:t xml:space="preserve">only case. </w:t>
      </w:r>
    </w:p>
    <w:p w14:paraId="19FA825F" w14:textId="77777777" w:rsidR="00286D6F" w:rsidRPr="006218AF" w:rsidRDefault="006B270D" w:rsidP="00907E32">
      <w:pPr>
        <w:spacing w:line="480" w:lineRule="auto"/>
        <w:rPr>
          <w:rFonts w:ascii="Arial" w:hAnsi="Arial" w:cs="Arial"/>
        </w:rPr>
      </w:pPr>
      <w:r w:rsidRPr="006218AF">
        <w:rPr>
          <w:rFonts w:ascii="Arial" w:hAnsi="Arial" w:cs="Arial"/>
          <w:b/>
        </w:rPr>
        <w:t>Supplementary Figure 6</w:t>
      </w:r>
      <w:r w:rsidR="00286D6F" w:rsidRPr="006218AF">
        <w:rPr>
          <w:rFonts w:ascii="Arial" w:hAnsi="Arial" w:cs="Arial"/>
          <w:b/>
        </w:rPr>
        <w:t>:</w:t>
      </w:r>
      <w:r w:rsidR="00286D6F" w:rsidRPr="006218AF">
        <w:rPr>
          <w:rFonts w:ascii="Arial" w:hAnsi="Arial" w:cs="Arial"/>
        </w:rPr>
        <w:t xml:space="preserve"> </w:t>
      </w:r>
      <w:r w:rsidR="00042ED1" w:rsidRPr="006218AF">
        <w:rPr>
          <w:rFonts w:ascii="Arial" w:hAnsi="Arial" w:cs="Arial"/>
        </w:rPr>
        <w:t xml:space="preserve">Subject level FCP response to infliximab (5 mg/kg IV at week 0, 2, and 6) and </w:t>
      </w:r>
      <w:proofErr w:type="spellStart"/>
      <w:r w:rsidR="00042ED1" w:rsidRPr="006218AF">
        <w:rPr>
          <w:rFonts w:ascii="Arial" w:hAnsi="Arial" w:cs="Arial"/>
        </w:rPr>
        <w:t>ustekinumab</w:t>
      </w:r>
      <w:proofErr w:type="spellEnd"/>
      <w:r w:rsidR="00042ED1" w:rsidRPr="006218AF">
        <w:rPr>
          <w:rFonts w:ascii="Arial" w:hAnsi="Arial" w:cs="Arial"/>
        </w:rPr>
        <w:t xml:space="preserve"> (single does 6 mg/kg IV) at week 6 in CD patient. Panel A shows the absolute FCP levels at week </w:t>
      </w:r>
      <w:proofErr w:type="gramStart"/>
      <w:r w:rsidR="00042ED1" w:rsidRPr="006218AF">
        <w:rPr>
          <w:rFonts w:ascii="Arial" w:hAnsi="Arial" w:cs="Arial"/>
        </w:rPr>
        <w:t>6  and</w:t>
      </w:r>
      <w:proofErr w:type="gramEnd"/>
      <w:r w:rsidR="00042ED1" w:rsidRPr="006218AF">
        <w:rPr>
          <w:rFonts w:ascii="Arial" w:hAnsi="Arial" w:cs="Arial"/>
        </w:rPr>
        <w:t xml:space="preserve"> Panel B shows the percent change from baseline FCP following either infliximab  or </w:t>
      </w:r>
      <w:proofErr w:type="spellStart"/>
      <w:r w:rsidR="00042ED1" w:rsidRPr="006218AF">
        <w:rPr>
          <w:rFonts w:ascii="Arial" w:hAnsi="Arial" w:cs="Arial"/>
        </w:rPr>
        <w:t>ustekinumab</w:t>
      </w:r>
      <w:proofErr w:type="spellEnd"/>
      <w:r w:rsidR="00042ED1" w:rsidRPr="006218AF">
        <w:rPr>
          <w:rFonts w:ascii="Arial" w:hAnsi="Arial" w:cs="Arial"/>
        </w:rPr>
        <w:t xml:space="preserve"> administration to each individual virtual patient</w:t>
      </w:r>
      <w:r w:rsidR="000232DE" w:rsidRPr="006218AF">
        <w:rPr>
          <w:rFonts w:ascii="Arial" w:hAnsi="Arial" w:cs="Arial"/>
        </w:rPr>
        <w:t xml:space="preserve"> </w:t>
      </w:r>
      <w:r w:rsidR="00042ED1" w:rsidRPr="006218AF">
        <w:rPr>
          <w:rFonts w:ascii="Arial" w:hAnsi="Arial" w:cs="Arial"/>
        </w:rPr>
        <w:t>(N = 286). In Panel A only patients whose baseline FCP level was above 250 mg/kg (N = 248) were included.</w:t>
      </w:r>
      <w:r w:rsidR="00042ED1" w:rsidRPr="006218AF">
        <w:rPr>
          <w:rFonts w:ascii="Arial" w:hAnsi="Arial" w:cs="Arial"/>
          <w:sz w:val="27"/>
          <w:szCs w:val="27"/>
        </w:rPr>
        <w:t xml:space="preserve"> </w:t>
      </w:r>
      <w:r w:rsidR="00042ED1" w:rsidRPr="006218AF">
        <w:rPr>
          <w:rFonts w:ascii="Arial" w:hAnsi="Arial" w:cs="Arial"/>
        </w:rPr>
        <w:t xml:space="preserve"> Each dot represents a virtual patient and are colored depending </w:t>
      </w:r>
      <w:r w:rsidR="000232DE" w:rsidRPr="006218AF">
        <w:rPr>
          <w:rFonts w:ascii="Arial" w:hAnsi="Arial" w:cs="Arial"/>
        </w:rPr>
        <w:t xml:space="preserve">upon if they were </w:t>
      </w:r>
      <w:proofErr w:type="gramStart"/>
      <w:r w:rsidR="000232DE" w:rsidRPr="006218AF">
        <w:rPr>
          <w:rFonts w:ascii="Arial" w:hAnsi="Arial" w:cs="Arial"/>
        </w:rPr>
        <w:t>a</w:t>
      </w:r>
      <w:proofErr w:type="gramEnd"/>
      <w:r w:rsidR="000232DE" w:rsidRPr="006218AF">
        <w:rPr>
          <w:rFonts w:ascii="Arial" w:hAnsi="Arial" w:cs="Arial"/>
        </w:rPr>
        <w:t xml:space="preserve"> FCP</w:t>
      </w:r>
      <w:r w:rsidR="00042ED1" w:rsidRPr="006218AF">
        <w:rPr>
          <w:rFonts w:ascii="Arial" w:hAnsi="Arial" w:cs="Arial"/>
        </w:rPr>
        <w:t xml:space="preserve"> responder to both drugs (green), responders to infliximab (blue), responders to </w:t>
      </w:r>
      <w:proofErr w:type="spellStart"/>
      <w:r w:rsidR="00042ED1" w:rsidRPr="006218AF">
        <w:rPr>
          <w:rFonts w:ascii="Arial" w:hAnsi="Arial" w:cs="Arial"/>
        </w:rPr>
        <w:t>ustekinumab</w:t>
      </w:r>
      <w:proofErr w:type="spellEnd"/>
      <w:r w:rsidR="00042ED1" w:rsidRPr="006218AF">
        <w:rPr>
          <w:rFonts w:ascii="Arial" w:hAnsi="Arial" w:cs="Arial"/>
        </w:rPr>
        <w:t xml:space="preserve"> (orange), and non-responders (red). Response is defined as &gt; 50% change from baseline in</w:t>
      </w:r>
      <w:r w:rsidR="000232DE" w:rsidRPr="006218AF">
        <w:rPr>
          <w:rFonts w:ascii="Arial" w:hAnsi="Arial" w:cs="Arial"/>
        </w:rPr>
        <w:t xml:space="preserve"> the percent change case and &lt; 250 mg/kg</w:t>
      </w:r>
      <w:r w:rsidR="00042ED1" w:rsidRPr="006218AF">
        <w:rPr>
          <w:rFonts w:ascii="Arial" w:hAnsi="Arial" w:cs="Arial"/>
        </w:rPr>
        <w:t xml:space="preserve"> in the absolute value case. Panel C shows bar charts of baseline values for various biomarkers according to the subjects response to infliximab or </w:t>
      </w:r>
      <w:proofErr w:type="spellStart"/>
      <w:r w:rsidR="00042ED1" w:rsidRPr="006218AF">
        <w:rPr>
          <w:rFonts w:ascii="Arial" w:hAnsi="Arial" w:cs="Arial"/>
        </w:rPr>
        <w:t>ustekinumab</w:t>
      </w:r>
      <w:proofErr w:type="spellEnd"/>
      <w:r w:rsidR="00042ED1" w:rsidRPr="006218AF">
        <w:rPr>
          <w:rFonts w:ascii="Arial" w:hAnsi="Arial" w:cs="Arial"/>
        </w:rPr>
        <w:t xml:space="preserve"> treatment based on </w:t>
      </w:r>
      <w:r w:rsidR="000232DE" w:rsidRPr="006218AF">
        <w:rPr>
          <w:rFonts w:ascii="Arial" w:hAnsi="Arial" w:cs="Arial"/>
        </w:rPr>
        <w:t>achiever an absolute value of &lt; 250 mg/kg</w:t>
      </w:r>
      <w:r w:rsidR="00042ED1" w:rsidRPr="006218AF">
        <w:rPr>
          <w:rFonts w:ascii="Arial" w:hAnsi="Arial" w:cs="Arial"/>
        </w:rPr>
        <w:t xml:space="preserve"> </w:t>
      </w:r>
      <w:r w:rsidR="000232DE" w:rsidRPr="006218AF">
        <w:rPr>
          <w:rFonts w:ascii="Arial" w:hAnsi="Arial" w:cs="Arial"/>
        </w:rPr>
        <w:t>FCP</w:t>
      </w:r>
      <w:r w:rsidR="00042ED1" w:rsidRPr="006218AF">
        <w:rPr>
          <w:rFonts w:ascii="Arial" w:hAnsi="Arial" w:cs="Arial"/>
        </w:rPr>
        <w:t xml:space="preserve"> at week 6.</w:t>
      </w:r>
      <w:r w:rsidR="007164BF" w:rsidRPr="006218AF">
        <w:rPr>
          <w:rFonts w:ascii="Arial" w:hAnsi="Arial" w:cs="Arial"/>
        </w:rPr>
        <w:t xml:space="preserve">Ustekinumab only group </w:t>
      </w:r>
      <w:r w:rsidR="000232DE" w:rsidRPr="006218AF">
        <w:rPr>
          <w:rFonts w:ascii="Arial" w:hAnsi="Arial" w:cs="Arial"/>
        </w:rPr>
        <w:t xml:space="preserve">was </w:t>
      </w:r>
      <w:r w:rsidR="007164BF" w:rsidRPr="006218AF">
        <w:rPr>
          <w:rFonts w:ascii="Arial" w:hAnsi="Arial" w:cs="Arial"/>
        </w:rPr>
        <w:t xml:space="preserve">excluded from </w:t>
      </w:r>
      <w:r w:rsidR="007C42CA" w:rsidRPr="006218AF">
        <w:rPr>
          <w:rFonts w:ascii="Arial" w:hAnsi="Arial" w:cs="Arial"/>
        </w:rPr>
        <w:t>boxplot because N</w:t>
      </w:r>
      <w:r w:rsidR="007164BF" w:rsidRPr="006218AF">
        <w:rPr>
          <w:rFonts w:ascii="Arial" w:hAnsi="Arial" w:cs="Arial"/>
        </w:rPr>
        <w:t xml:space="preserve"> = 1. </w:t>
      </w:r>
    </w:p>
    <w:p w14:paraId="3A682FAF" w14:textId="77777777" w:rsidR="006B270D" w:rsidRPr="006218AF" w:rsidRDefault="006B270D" w:rsidP="00907E32">
      <w:pPr>
        <w:spacing w:line="480" w:lineRule="auto"/>
        <w:rPr>
          <w:rFonts w:ascii="Arial" w:hAnsi="Arial" w:cs="Arial"/>
        </w:rPr>
      </w:pPr>
      <w:r w:rsidRPr="006218AF">
        <w:rPr>
          <w:rFonts w:ascii="Arial" w:hAnsi="Arial" w:cs="Arial"/>
          <w:b/>
        </w:rPr>
        <w:t>Supplementary Figure 7:</w:t>
      </w:r>
      <w:r w:rsidRPr="006218AF">
        <w:rPr>
          <w:rFonts w:ascii="Arial" w:hAnsi="Arial" w:cs="Arial"/>
        </w:rPr>
        <w:t xml:space="preserve"> </w:t>
      </w:r>
      <w:r w:rsidR="00AD13D9" w:rsidRPr="006218AF">
        <w:rPr>
          <w:rFonts w:ascii="Arial" w:hAnsi="Arial" w:cs="Arial"/>
        </w:rPr>
        <w:t xml:space="preserve">Prediction of </w:t>
      </w:r>
      <w:r w:rsidR="00EE5C81" w:rsidRPr="006218AF">
        <w:rPr>
          <w:rFonts w:ascii="Arial" w:hAnsi="Arial" w:cs="Arial"/>
        </w:rPr>
        <w:t>me</w:t>
      </w:r>
      <w:r w:rsidR="009D0019" w:rsidRPr="006218AF">
        <w:rPr>
          <w:rFonts w:ascii="Arial" w:hAnsi="Arial" w:cs="Arial"/>
        </w:rPr>
        <w:t>an</w:t>
      </w:r>
      <w:r w:rsidR="00AD13D9" w:rsidRPr="006218AF">
        <w:rPr>
          <w:rFonts w:ascii="Arial" w:hAnsi="Arial" w:cs="Arial"/>
        </w:rPr>
        <w:t xml:space="preserve"> CRP profiles following treatment with </w:t>
      </w:r>
      <w:proofErr w:type="spellStart"/>
      <w:r w:rsidR="00AD13D9" w:rsidRPr="006218AF">
        <w:rPr>
          <w:rFonts w:ascii="Arial" w:hAnsi="Arial" w:cs="Arial"/>
        </w:rPr>
        <w:t>u</w:t>
      </w:r>
      <w:r w:rsidRPr="006218AF">
        <w:rPr>
          <w:rFonts w:ascii="Arial" w:hAnsi="Arial" w:cs="Arial"/>
        </w:rPr>
        <w:t>stekinumab</w:t>
      </w:r>
      <w:proofErr w:type="spellEnd"/>
      <w:r w:rsidRPr="006218AF">
        <w:rPr>
          <w:rFonts w:ascii="Arial" w:hAnsi="Arial" w:cs="Arial"/>
        </w:rPr>
        <w:t xml:space="preserve"> </w:t>
      </w:r>
      <w:r w:rsidR="00AD13D9" w:rsidRPr="006218AF">
        <w:rPr>
          <w:rFonts w:ascii="Arial" w:hAnsi="Arial" w:cs="Arial"/>
        </w:rPr>
        <w:t>or</w:t>
      </w:r>
      <w:r w:rsidRPr="006218AF">
        <w:rPr>
          <w:rFonts w:ascii="Arial" w:hAnsi="Arial" w:cs="Arial"/>
        </w:rPr>
        <w:t xml:space="preserve"> MEDI2070</w:t>
      </w:r>
      <w:r w:rsidR="00AD13D9" w:rsidRPr="006218AF">
        <w:rPr>
          <w:rFonts w:ascii="Arial" w:hAnsi="Arial" w:cs="Arial"/>
        </w:rPr>
        <w:t xml:space="preserve">. The mean CRP response following single induction dose of </w:t>
      </w:r>
      <w:proofErr w:type="spellStart"/>
      <w:r w:rsidR="00AD13D9" w:rsidRPr="006218AF">
        <w:rPr>
          <w:rFonts w:ascii="Arial" w:hAnsi="Arial" w:cs="Arial"/>
        </w:rPr>
        <w:t>ustekinumab</w:t>
      </w:r>
      <w:proofErr w:type="spellEnd"/>
      <w:r w:rsidR="00AD13D9" w:rsidRPr="006218AF">
        <w:rPr>
          <w:rFonts w:ascii="Arial" w:hAnsi="Arial" w:cs="Arial"/>
        </w:rPr>
        <w:t xml:space="preserve"> (6 mg/kg) or induction and maintenance treatment of MEDI2070 (700 mg/210 mg) fo</w:t>
      </w:r>
      <w:r w:rsidR="00990532" w:rsidRPr="006218AF">
        <w:rPr>
          <w:rFonts w:ascii="Arial" w:hAnsi="Arial" w:cs="Arial"/>
        </w:rPr>
        <w:t>r the same virtual population (N</w:t>
      </w:r>
      <w:r w:rsidR="00AD13D9" w:rsidRPr="006218AF">
        <w:rPr>
          <w:rFonts w:ascii="Arial" w:hAnsi="Arial" w:cs="Arial"/>
        </w:rPr>
        <w:t xml:space="preserve"> = 1127). </w:t>
      </w:r>
    </w:p>
    <w:p w14:paraId="49FA16C1" w14:textId="77777777" w:rsidR="006B270D" w:rsidRPr="006218AF" w:rsidRDefault="006B270D" w:rsidP="00907E32">
      <w:pPr>
        <w:spacing w:line="480" w:lineRule="auto"/>
        <w:rPr>
          <w:rFonts w:ascii="Arial" w:hAnsi="Arial" w:cs="Arial"/>
        </w:rPr>
      </w:pPr>
      <w:r w:rsidRPr="006218AF">
        <w:rPr>
          <w:rFonts w:ascii="Arial" w:hAnsi="Arial" w:cs="Arial"/>
          <w:b/>
        </w:rPr>
        <w:t>Supplementary Figure 8:</w:t>
      </w:r>
      <w:r w:rsidRPr="006218AF">
        <w:rPr>
          <w:rFonts w:ascii="Arial" w:hAnsi="Arial" w:cs="Arial"/>
        </w:rPr>
        <w:t xml:space="preserve">  </w:t>
      </w:r>
      <w:r w:rsidR="002E7C73" w:rsidRPr="006218AF">
        <w:rPr>
          <w:rFonts w:ascii="Arial" w:hAnsi="Arial" w:cs="Arial"/>
        </w:rPr>
        <w:t>Subject</w:t>
      </w:r>
      <w:r w:rsidR="00FC4E76" w:rsidRPr="006218AF">
        <w:rPr>
          <w:rFonts w:ascii="Arial" w:hAnsi="Arial" w:cs="Arial"/>
        </w:rPr>
        <w:t xml:space="preserve"> level CRP response to infliximab (5 mg/kg) and </w:t>
      </w:r>
      <w:proofErr w:type="spellStart"/>
      <w:r w:rsidR="00FC4E76" w:rsidRPr="006218AF">
        <w:rPr>
          <w:rFonts w:ascii="Arial" w:hAnsi="Arial" w:cs="Arial"/>
        </w:rPr>
        <w:t>ustekinumab</w:t>
      </w:r>
      <w:proofErr w:type="spellEnd"/>
      <w:r w:rsidR="002E7C73" w:rsidRPr="006218AF">
        <w:rPr>
          <w:rFonts w:ascii="Arial" w:hAnsi="Arial" w:cs="Arial"/>
        </w:rPr>
        <w:t xml:space="preserve"> (6 mg/kg)</w:t>
      </w:r>
      <w:r w:rsidR="00FC4E76" w:rsidRPr="006218AF">
        <w:rPr>
          <w:rFonts w:ascii="Arial" w:hAnsi="Arial" w:cs="Arial"/>
        </w:rPr>
        <w:t xml:space="preserve"> plus infliximab combination at 6 weeks. Absolute CRP concentration </w:t>
      </w:r>
      <w:r w:rsidR="00FC4E76" w:rsidRPr="006218AF">
        <w:rPr>
          <w:rFonts w:ascii="Arial" w:hAnsi="Arial" w:cs="Arial"/>
        </w:rPr>
        <w:lastRenderedPageBreak/>
        <w:t xml:space="preserve">after 6 weeks of treatment for each individual virtual patient where baseline CRP </w:t>
      </w:r>
      <w:r w:rsidR="00990532" w:rsidRPr="006218AF">
        <w:rPr>
          <w:rFonts w:ascii="Arial" w:hAnsi="Arial" w:cs="Arial"/>
        </w:rPr>
        <w:t>level is above 5 mg/L (N</w:t>
      </w:r>
      <w:r w:rsidR="00FC4E76" w:rsidRPr="006218AF">
        <w:rPr>
          <w:rFonts w:ascii="Arial" w:hAnsi="Arial" w:cs="Arial"/>
        </w:rPr>
        <w:t xml:space="preserve"> = 205). </w:t>
      </w:r>
      <w:r w:rsidR="001D365D" w:rsidRPr="006218AF">
        <w:rPr>
          <w:rFonts w:ascii="Arial" w:hAnsi="Arial" w:cs="Arial"/>
        </w:rPr>
        <w:t xml:space="preserve">Each dot represents a virtual patient from the virtual population and is the same as in the infliximab only case. </w:t>
      </w:r>
      <w:r w:rsidR="00FC4E76" w:rsidRPr="006218AF">
        <w:rPr>
          <w:rFonts w:ascii="Arial" w:hAnsi="Arial" w:cs="Arial"/>
        </w:rPr>
        <w:t xml:space="preserve"> </w:t>
      </w:r>
    </w:p>
    <w:p w14:paraId="1A47BD36" w14:textId="77777777" w:rsidR="001D365D" w:rsidRPr="006218AF" w:rsidRDefault="00D12A1E" w:rsidP="001D365D">
      <w:pPr>
        <w:spacing w:line="480" w:lineRule="auto"/>
        <w:rPr>
          <w:rFonts w:ascii="Arial" w:hAnsi="Arial" w:cs="Arial"/>
        </w:rPr>
      </w:pPr>
      <w:r w:rsidRPr="006218AF">
        <w:rPr>
          <w:rFonts w:ascii="Arial" w:hAnsi="Arial" w:cs="Arial"/>
          <w:b/>
        </w:rPr>
        <w:t>Supplementary Figure 9:</w:t>
      </w:r>
      <w:r w:rsidRPr="006218AF">
        <w:rPr>
          <w:rFonts w:ascii="Arial" w:hAnsi="Arial" w:cs="Arial"/>
        </w:rPr>
        <w:t xml:space="preserve"> </w:t>
      </w:r>
      <w:r w:rsidR="001D365D" w:rsidRPr="006218AF">
        <w:rPr>
          <w:rFonts w:ascii="Arial" w:hAnsi="Arial" w:cs="Arial"/>
        </w:rPr>
        <w:t xml:space="preserve">Selection of Baseline </w:t>
      </w:r>
      <w:proofErr w:type="spellStart"/>
      <w:r w:rsidR="001D365D" w:rsidRPr="006218AF">
        <w:rPr>
          <w:rFonts w:ascii="Arial" w:hAnsi="Arial" w:cs="Arial"/>
        </w:rPr>
        <w:t>Ustekinumab</w:t>
      </w:r>
      <w:proofErr w:type="spellEnd"/>
      <w:r w:rsidR="001D365D" w:rsidRPr="006218AF">
        <w:rPr>
          <w:rFonts w:ascii="Arial" w:hAnsi="Arial" w:cs="Arial"/>
        </w:rPr>
        <w:t xml:space="preserve"> Population. Comparison of the plausible population (N = 40,000) with (a-b) multivariate distribution of CRP and FCP from </w:t>
      </w:r>
      <w:r w:rsidR="003D3702" w:rsidRPr="006218AF">
        <w:rPr>
          <w:rFonts w:ascii="Arial" w:hAnsi="Arial" w:cs="Arial"/>
        </w:rPr>
        <w:t>the UNITI-2</w:t>
      </w:r>
      <w:r w:rsidR="00D545E8" w:rsidRPr="006218AF">
        <w:rPr>
          <w:rFonts w:ascii="Arial" w:hAnsi="Arial" w:cs="Arial"/>
        </w:rPr>
        <w:t xml:space="preserve"> 6 mg/kg arm </w:t>
      </w:r>
      <w:r w:rsidR="001D365D" w:rsidRPr="006218AF">
        <w:rPr>
          <w:rFonts w:ascii="Arial" w:hAnsi="Arial" w:cs="Arial"/>
        </w:rPr>
        <w:t>(covariance was assumed similar to all internal data) and (c)</w:t>
      </w:r>
      <w:r w:rsidR="00F5189F" w:rsidRPr="006218AF">
        <w:rPr>
          <w:rFonts w:ascii="Arial" w:hAnsi="Arial" w:cs="Arial"/>
        </w:rPr>
        <w:t xml:space="preserve"> </w:t>
      </w:r>
      <w:r w:rsidR="001D365D" w:rsidRPr="006218AF">
        <w:rPr>
          <w:rFonts w:ascii="Arial" w:hAnsi="Arial" w:cs="Arial"/>
        </w:rPr>
        <w:t xml:space="preserve">2D projection of the 95% confidence surface of the estimated probability density function. Comparison of the virtual population subset (N = 1127) with (d-e) multivariate distribution of CRP and FCP from </w:t>
      </w:r>
      <w:r w:rsidR="00D545E8" w:rsidRPr="006218AF">
        <w:rPr>
          <w:rFonts w:ascii="Arial" w:hAnsi="Arial" w:cs="Arial"/>
        </w:rPr>
        <w:t>the study</w:t>
      </w:r>
      <w:r w:rsidR="001D365D" w:rsidRPr="006218AF">
        <w:rPr>
          <w:rFonts w:ascii="Arial" w:hAnsi="Arial" w:cs="Arial"/>
        </w:rPr>
        <w:t xml:space="preserve"> (covariance was assumed similar to all internal data) and (f)</w:t>
      </w:r>
      <w:r w:rsidR="00F5189F" w:rsidRPr="006218AF">
        <w:rPr>
          <w:rFonts w:ascii="Arial" w:hAnsi="Arial" w:cs="Arial"/>
        </w:rPr>
        <w:t xml:space="preserve"> </w:t>
      </w:r>
      <w:r w:rsidR="001D365D" w:rsidRPr="006218AF">
        <w:rPr>
          <w:rFonts w:ascii="Arial" w:hAnsi="Arial" w:cs="Arial"/>
        </w:rPr>
        <w:t>2D projection of the 95% confidence surface of the estimated probability densi</w:t>
      </w:r>
      <w:r w:rsidR="00F5189F" w:rsidRPr="006218AF">
        <w:rPr>
          <w:rFonts w:ascii="Arial" w:hAnsi="Arial" w:cs="Arial"/>
        </w:rPr>
        <w:t>ty function. (g)</w:t>
      </w:r>
      <w:r w:rsidR="001D365D" w:rsidRPr="006218AF">
        <w:rPr>
          <w:rFonts w:ascii="Arial" w:hAnsi="Arial" w:cs="Arial"/>
        </w:rPr>
        <w:t xml:space="preserve"> Histogram of the plausible population (PP) selection probability, where red is the virtual population (</w:t>
      </w:r>
      <w:proofErr w:type="spellStart"/>
      <w:r w:rsidR="001D365D" w:rsidRPr="006218AF">
        <w:rPr>
          <w:rFonts w:ascii="Arial" w:hAnsi="Arial" w:cs="Arial"/>
        </w:rPr>
        <w:t>Vpop</w:t>
      </w:r>
      <w:proofErr w:type="spellEnd"/>
      <w:r w:rsidR="001D365D" w:rsidRPr="006218AF">
        <w:rPr>
          <w:rFonts w:ascii="Arial" w:hAnsi="Arial" w:cs="Arial"/>
        </w:rPr>
        <w:t xml:space="preserve">) selected. </w:t>
      </w:r>
    </w:p>
    <w:p w14:paraId="4D3284F4" w14:textId="77777777" w:rsidR="00190781" w:rsidRPr="006218AF" w:rsidRDefault="00962594" w:rsidP="00190781">
      <w:pPr>
        <w:spacing w:line="480" w:lineRule="auto"/>
        <w:rPr>
          <w:rFonts w:ascii="Arial" w:hAnsi="Arial" w:cs="Arial"/>
        </w:rPr>
      </w:pPr>
      <w:r w:rsidRPr="006218AF">
        <w:rPr>
          <w:rFonts w:ascii="Arial" w:hAnsi="Arial" w:cs="Arial"/>
          <w:b/>
        </w:rPr>
        <w:t xml:space="preserve">Supplementary Figure 10: </w:t>
      </w:r>
      <w:r w:rsidR="00190781" w:rsidRPr="006218AF">
        <w:rPr>
          <w:rFonts w:ascii="Arial" w:hAnsi="Arial" w:cs="Arial"/>
        </w:rPr>
        <w:t xml:space="preserve">Model prediction of infliximab and </w:t>
      </w:r>
      <w:proofErr w:type="spellStart"/>
      <w:r w:rsidR="00190781" w:rsidRPr="006218AF">
        <w:rPr>
          <w:rFonts w:ascii="Arial" w:hAnsi="Arial" w:cs="Arial"/>
        </w:rPr>
        <w:t>ustekinumab</w:t>
      </w:r>
      <w:proofErr w:type="spellEnd"/>
      <w:r w:rsidR="00190781" w:rsidRPr="006218AF">
        <w:rPr>
          <w:rFonts w:ascii="Arial" w:hAnsi="Arial" w:cs="Arial"/>
        </w:rPr>
        <w:t xml:space="preserve"> combination treatment in CD patients with variability. Mean CRP, FCP, IL17, IL8, IL6, and </w:t>
      </w:r>
      <w:proofErr w:type="spellStart"/>
      <w:r w:rsidR="00190781" w:rsidRPr="006218AF">
        <w:rPr>
          <w:rFonts w:ascii="Arial" w:hAnsi="Arial" w:cs="Arial"/>
        </w:rPr>
        <w:t>Treg</w:t>
      </w:r>
      <w:proofErr w:type="spellEnd"/>
      <w:r w:rsidR="00190781" w:rsidRPr="006218AF">
        <w:rPr>
          <w:rFonts w:ascii="Arial" w:hAnsi="Arial" w:cs="Arial"/>
        </w:rPr>
        <w:t xml:space="preserve"> response to the combination (blue), infliximab only (green), or </w:t>
      </w:r>
      <w:proofErr w:type="spellStart"/>
      <w:r w:rsidR="00190781" w:rsidRPr="006218AF">
        <w:rPr>
          <w:rFonts w:ascii="Arial" w:hAnsi="Arial" w:cs="Arial"/>
        </w:rPr>
        <w:t>ustekinumab</w:t>
      </w:r>
      <w:proofErr w:type="spellEnd"/>
      <w:r w:rsidR="00190781" w:rsidRPr="006218AF">
        <w:rPr>
          <w:rFonts w:ascii="Arial" w:hAnsi="Arial" w:cs="Arial"/>
        </w:rPr>
        <w:t xml:space="preserve"> only (red). Virtual population size is 286 and is the same as in the infliximab only case. Solid lines denote mean response and shaded area denotes standard deviation. Arrows and dotted lines denote dosing of infliximab (green) and </w:t>
      </w:r>
      <w:proofErr w:type="spellStart"/>
      <w:r w:rsidR="00190781" w:rsidRPr="006218AF">
        <w:rPr>
          <w:rFonts w:ascii="Arial" w:hAnsi="Arial" w:cs="Arial"/>
        </w:rPr>
        <w:t>ustekinumab</w:t>
      </w:r>
      <w:proofErr w:type="spellEnd"/>
      <w:r w:rsidR="00190781" w:rsidRPr="006218AF">
        <w:rPr>
          <w:rFonts w:ascii="Arial" w:hAnsi="Arial" w:cs="Arial"/>
        </w:rPr>
        <w:t xml:space="preserve"> (red).  </w:t>
      </w:r>
    </w:p>
    <w:p w14:paraId="64DF5BBD" w14:textId="77777777" w:rsidR="006218AF" w:rsidRPr="006218AF" w:rsidRDefault="006218AF" w:rsidP="00190781">
      <w:pPr>
        <w:spacing w:line="480" w:lineRule="auto"/>
        <w:rPr>
          <w:rFonts w:ascii="Arial" w:hAnsi="Arial" w:cs="Arial"/>
          <w:b/>
        </w:rPr>
      </w:pPr>
    </w:p>
    <w:p w14:paraId="144FCD7E" w14:textId="77777777" w:rsidR="006218AF" w:rsidRPr="006218AF" w:rsidRDefault="006218AF" w:rsidP="00190781">
      <w:pPr>
        <w:spacing w:line="480" w:lineRule="auto"/>
        <w:rPr>
          <w:rFonts w:ascii="Arial" w:hAnsi="Arial" w:cs="Arial"/>
          <w:b/>
        </w:rPr>
      </w:pPr>
    </w:p>
    <w:p w14:paraId="791577BC" w14:textId="77777777" w:rsidR="006218AF" w:rsidRPr="006218AF" w:rsidRDefault="006218AF" w:rsidP="00190781">
      <w:pPr>
        <w:spacing w:line="480" w:lineRule="auto"/>
        <w:rPr>
          <w:rFonts w:ascii="Arial" w:hAnsi="Arial" w:cs="Arial"/>
          <w:b/>
        </w:rPr>
      </w:pPr>
    </w:p>
    <w:p w14:paraId="4619704A" w14:textId="77777777" w:rsidR="006218AF" w:rsidRPr="006218AF" w:rsidRDefault="006218AF" w:rsidP="00190781">
      <w:pPr>
        <w:spacing w:line="480" w:lineRule="auto"/>
        <w:rPr>
          <w:rFonts w:ascii="Arial" w:hAnsi="Arial" w:cs="Arial"/>
          <w:b/>
        </w:rPr>
      </w:pPr>
    </w:p>
    <w:p w14:paraId="04642DDA" w14:textId="77777777" w:rsidR="00C96A4A" w:rsidRDefault="00C96A4A" w:rsidP="00190781">
      <w:pPr>
        <w:spacing w:line="480" w:lineRule="auto"/>
        <w:rPr>
          <w:rFonts w:ascii="Arial" w:hAnsi="Arial" w:cs="Arial"/>
          <w:b/>
        </w:rPr>
      </w:pPr>
    </w:p>
    <w:p w14:paraId="2623514B" w14:textId="77B8B77D" w:rsidR="00F35C98" w:rsidRPr="006218AF" w:rsidRDefault="00F35C98" w:rsidP="00190781">
      <w:pPr>
        <w:spacing w:line="480" w:lineRule="auto"/>
        <w:rPr>
          <w:rFonts w:ascii="Arial" w:hAnsi="Arial" w:cs="Arial"/>
          <w:b/>
        </w:rPr>
      </w:pPr>
      <w:r w:rsidRPr="006218AF">
        <w:rPr>
          <w:rFonts w:ascii="Arial" w:hAnsi="Arial" w:cs="Arial"/>
          <w:b/>
        </w:rPr>
        <w:lastRenderedPageBreak/>
        <w:t xml:space="preserve">Drug Interactions Included in the Model: </w:t>
      </w:r>
    </w:p>
    <w:p w14:paraId="33F27D1E" w14:textId="7A1A3DC9" w:rsidR="00F35C98" w:rsidRPr="00FC5CBC" w:rsidRDefault="00F35C98" w:rsidP="00190781">
      <w:pPr>
        <w:spacing w:line="480" w:lineRule="auto"/>
        <w:rPr>
          <w:rFonts w:ascii="Arial" w:hAnsi="Arial" w:cs="Arial"/>
          <w:b/>
          <w:highlight w:val="yellow"/>
        </w:rPr>
      </w:pPr>
      <w:r w:rsidRPr="00FC5CBC">
        <w:rPr>
          <w:rFonts w:ascii="Arial" w:hAnsi="Arial" w:cs="Arial"/>
          <w:b/>
          <w:highlight w:val="yellow"/>
        </w:rPr>
        <w:t xml:space="preserve">All drugs included bind to the soluble ligand and therefore were modeled using the following differential equations for the complex.  </w:t>
      </w:r>
    </w:p>
    <w:p w14:paraId="78B6BDB0" w14:textId="2B41FF94" w:rsidR="00F35C98" w:rsidRPr="00FC5CBC" w:rsidRDefault="00F35C98" w:rsidP="00F35C98">
      <w:pPr>
        <w:widowControl w:val="0"/>
        <w:autoSpaceDE w:val="0"/>
        <w:autoSpaceDN w:val="0"/>
        <w:adjustRightInd w:val="0"/>
        <w:spacing w:line="360" w:lineRule="auto"/>
        <w:rPr>
          <w:rFonts w:ascii="Arial" w:eastAsiaTheme="minorEastAsia" w:hAnsi="Arial" w:cs="Arial"/>
          <w:highlight w:val="yellow"/>
        </w:rPr>
      </w:pPr>
      <w:r w:rsidRPr="00FC5CBC">
        <w:rPr>
          <w:rFonts w:ascii="Arial" w:eastAsiaTheme="minorEastAsia" w:hAnsi="Arial" w:cs="Arial"/>
          <w:highlight w:val="yellow"/>
        </w:rPr>
        <w:t>For anti-IL12p40</w:t>
      </w:r>
      <w:r w:rsidR="00A27CEF" w:rsidRPr="00FC5CBC">
        <w:rPr>
          <w:rFonts w:ascii="Arial" w:eastAsiaTheme="minorEastAsia" w:hAnsi="Arial" w:cs="Arial"/>
          <w:highlight w:val="yellow"/>
        </w:rPr>
        <w:t>:</w:t>
      </w:r>
    </w:p>
    <w:p w14:paraId="15980852" w14:textId="389C5F57" w:rsidR="00F35C98" w:rsidRPr="00FC5CBC" w:rsidRDefault="00FC5CBC" w:rsidP="00F35C98">
      <w:pPr>
        <w:widowControl w:val="0"/>
        <w:autoSpaceDE w:val="0"/>
        <w:autoSpaceDN w:val="0"/>
        <w:adjustRightInd w:val="0"/>
        <w:spacing w:line="360" w:lineRule="auto"/>
        <w:rPr>
          <w:rFonts w:ascii="Arial" w:eastAsiaTheme="minorEastAsia" w:hAnsi="Arial" w:cs="Arial"/>
          <w:sz w:val="20"/>
          <w:szCs w:val="20"/>
          <w:highlight w:val="yellow"/>
        </w:rPr>
      </w:pPr>
      <m:oMathPara>
        <m:oMath>
          <m:f>
            <m:fPr>
              <m:ctrlPr>
                <w:rPr>
                  <w:rFonts w:ascii="Cambria Math" w:hAnsi="Cambria Math" w:cs="Arial"/>
                  <w:i/>
                  <w:sz w:val="18"/>
                  <w:szCs w:val="18"/>
                  <w:highlight w:val="yellow"/>
                </w:rPr>
              </m:ctrlPr>
            </m:fPr>
            <m:num>
              <m:r>
                <w:rPr>
                  <w:rFonts w:ascii="Cambria Math" w:hAnsi="Cambria Math" w:cs="Arial"/>
                  <w:sz w:val="18"/>
                  <w:szCs w:val="18"/>
                  <w:highlight w:val="yellow"/>
                </w:rPr>
                <m:t>dIL12_antiIL12p40</m:t>
              </m:r>
            </m:num>
            <m:den>
              <m:r>
                <w:rPr>
                  <w:rFonts w:ascii="Cambria Math" w:hAnsi="Cambria Math" w:cs="Arial"/>
                  <w:sz w:val="18"/>
                  <w:szCs w:val="18"/>
                  <w:highlight w:val="yellow"/>
                </w:rPr>
                <m:t>dt</m:t>
              </m:r>
            </m:den>
          </m:f>
          <m:r>
            <w:rPr>
              <w:rFonts w:ascii="Cambria Math" w:hAnsi="Cambria Math" w:cs="Arial"/>
              <w:sz w:val="18"/>
              <w:szCs w:val="18"/>
              <w:highlight w:val="yellow"/>
            </w:rPr>
            <m:t>=</m:t>
          </m:r>
          <m:sSub>
            <m:sSubPr>
              <m:ctrlPr>
                <w:rPr>
                  <w:rFonts w:ascii="Cambria Math" w:hAnsi="Cambria Math" w:cs="Arial"/>
                  <w:i/>
                  <w:sz w:val="18"/>
                  <w:szCs w:val="18"/>
                  <w:highlight w:val="yellow"/>
                </w:rPr>
              </m:ctrlPr>
            </m:sSubPr>
            <m:e>
              <m:r>
                <w:rPr>
                  <w:rFonts w:ascii="Cambria Math" w:hAnsi="Cambria Math" w:cs="Arial"/>
                  <w:sz w:val="18"/>
                  <w:szCs w:val="18"/>
                  <w:highlight w:val="yellow"/>
                </w:rPr>
                <m:t>k</m:t>
              </m:r>
            </m:e>
            <m:sub>
              <m:r>
                <w:rPr>
                  <w:rFonts w:ascii="Cambria Math" w:hAnsi="Cambria Math" w:cs="Arial"/>
                  <w:sz w:val="18"/>
                  <w:szCs w:val="18"/>
                  <w:highlight w:val="yellow"/>
                </w:rPr>
                <m:t>o</m:t>
              </m:r>
              <m:sSub>
                <m:sSubPr>
                  <m:ctrlPr>
                    <w:rPr>
                      <w:rFonts w:ascii="Cambria Math" w:hAnsi="Cambria Math" w:cs="Arial"/>
                      <w:i/>
                      <w:sz w:val="18"/>
                      <w:szCs w:val="18"/>
                      <w:highlight w:val="yellow"/>
                    </w:rPr>
                  </m:ctrlPr>
                </m:sSubPr>
                <m:e>
                  <m:r>
                    <w:rPr>
                      <w:rFonts w:ascii="Cambria Math" w:hAnsi="Cambria Math" w:cs="Arial"/>
                      <w:sz w:val="18"/>
                      <w:szCs w:val="18"/>
                      <w:highlight w:val="yellow"/>
                    </w:rPr>
                    <m:t>n</m:t>
                  </m:r>
                </m:e>
                <m:sub>
                  <m:r>
                    <w:rPr>
                      <w:rFonts w:ascii="Cambria Math" w:hAnsi="Cambria Math" w:cs="Arial"/>
                      <w:sz w:val="18"/>
                      <w:szCs w:val="18"/>
                      <w:highlight w:val="yellow"/>
                    </w:rPr>
                    <m:t>IL12</m:t>
                  </m:r>
                </m:sub>
              </m:sSub>
            </m:sub>
          </m:sSub>
          <m:r>
            <w:rPr>
              <w:rFonts w:ascii="Cambria Math" w:hAnsi="Cambria Math" w:cs="Arial"/>
              <w:sz w:val="18"/>
              <w:szCs w:val="18"/>
              <w:highlight w:val="yellow"/>
            </w:rPr>
            <m:t>*IL12*antiIL12p40-</m:t>
          </m:r>
          <m:sSub>
            <m:sSubPr>
              <m:ctrlPr>
                <w:rPr>
                  <w:rFonts w:ascii="Cambria Math" w:hAnsi="Cambria Math" w:cs="Arial"/>
                  <w:i/>
                  <w:sz w:val="18"/>
                  <w:szCs w:val="18"/>
                  <w:highlight w:val="yellow"/>
                </w:rPr>
              </m:ctrlPr>
            </m:sSubPr>
            <m:e>
              <m:r>
                <w:rPr>
                  <w:rFonts w:ascii="Cambria Math" w:hAnsi="Cambria Math" w:cs="Arial"/>
                  <w:sz w:val="18"/>
                  <w:szCs w:val="18"/>
                  <w:highlight w:val="yellow"/>
                </w:rPr>
                <m:t>k</m:t>
              </m:r>
            </m:e>
            <m:sub>
              <m:r>
                <w:rPr>
                  <w:rFonts w:ascii="Cambria Math" w:hAnsi="Cambria Math" w:cs="Arial"/>
                  <w:sz w:val="18"/>
                  <w:szCs w:val="18"/>
                  <w:highlight w:val="yellow"/>
                </w:rPr>
                <m:t>of</m:t>
              </m:r>
              <m:sSub>
                <m:sSubPr>
                  <m:ctrlPr>
                    <w:rPr>
                      <w:rFonts w:ascii="Cambria Math" w:hAnsi="Cambria Math" w:cs="Arial"/>
                      <w:i/>
                      <w:sz w:val="18"/>
                      <w:szCs w:val="18"/>
                      <w:highlight w:val="yellow"/>
                    </w:rPr>
                  </m:ctrlPr>
                </m:sSubPr>
                <m:e>
                  <m:r>
                    <w:rPr>
                      <w:rFonts w:ascii="Cambria Math" w:hAnsi="Cambria Math" w:cs="Arial"/>
                      <w:sz w:val="18"/>
                      <w:szCs w:val="18"/>
                      <w:highlight w:val="yellow"/>
                    </w:rPr>
                    <m:t>f</m:t>
                  </m:r>
                </m:e>
                <m:sub>
                  <m:r>
                    <w:rPr>
                      <w:rFonts w:ascii="Cambria Math" w:hAnsi="Cambria Math" w:cs="Arial"/>
                      <w:sz w:val="18"/>
                      <w:szCs w:val="18"/>
                      <w:highlight w:val="yellow"/>
                    </w:rPr>
                    <m:t>IL12</m:t>
                  </m:r>
                </m:sub>
              </m:sSub>
            </m:sub>
          </m:sSub>
          <m:r>
            <w:rPr>
              <w:rFonts w:ascii="Cambria Math" w:hAnsi="Cambria Math" w:cs="Arial"/>
              <w:sz w:val="18"/>
              <w:szCs w:val="18"/>
              <w:highlight w:val="yellow"/>
            </w:rPr>
            <m:t>*</m:t>
          </m:r>
          <m:d>
            <m:dPr>
              <m:begChr m:val="["/>
              <m:endChr m:val="]"/>
              <m:ctrlPr>
                <w:rPr>
                  <w:rFonts w:ascii="Cambria Math" w:hAnsi="Cambria Math" w:cs="Arial"/>
                  <w:i/>
                  <w:sz w:val="18"/>
                  <w:szCs w:val="18"/>
                  <w:highlight w:val="yellow"/>
                </w:rPr>
              </m:ctrlPr>
            </m:dPr>
            <m:e>
              <m:r>
                <w:rPr>
                  <w:rFonts w:ascii="Cambria Math" w:hAnsi="Cambria Math" w:cs="Arial"/>
                  <w:sz w:val="18"/>
                  <w:szCs w:val="18"/>
                  <w:highlight w:val="yellow"/>
                </w:rPr>
                <m:t>IL12_antiIL12p40</m:t>
              </m:r>
            </m:e>
          </m:d>
          <m:r>
            <w:rPr>
              <w:rFonts w:ascii="Cambria Math" w:eastAsiaTheme="minorEastAsia" w:hAnsi="Cambria Math" w:cs="Arial"/>
              <w:sz w:val="18"/>
              <w:szCs w:val="18"/>
              <w:highlight w:val="yellow"/>
            </w:rPr>
            <m:t>-</m:t>
          </m:r>
          <m:sSub>
            <m:sSubPr>
              <m:ctrlPr>
                <w:rPr>
                  <w:rFonts w:ascii="Cambria Math" w:hAnsi="Cambria Math" w:cs="Arial"/>
                  <w:i/>
                  <w:sz w:val="18"/>
                  <w:szCs w:val="18"/>
                  <w:highlight w:val="yellow"/>
                </w:rPr>
              </m:ctrlPr>
            </m:sSubPr>
            <m:e>
              <m:r>
                <w:rPr>
                  <w:rFonts w:ascii="Cambria Math" w:hAnsi="Cambria Math" w:cs="Arial"/>
                  <w:sz w:val="18"/>
                  <w:szCs w:val="18"/>
                  <w:highlight w:val="yellow"/>
                </w:rPr>
                <m:t>k</m:t>
              </m:r>
            </m:e>
            <m:sub>
              <m:r>
                <w:rPr>
                  <w:rFonts w:ascii="Cambria Math" w:hAnsi="Cambria Math" w:cs="Arial"/>
                  <w:sz w:val="18"/>
                  <w:szCs w:val="18"/>
                  <w:highlight w:val="yellow"/>
                </w:rPr>
                <m:t>e</m:t>
              </m:r>
              <m:sSub>
                <m:sSubPr>
                  <m:ctrlPr>
                    <w:rPr>
                      <w:rFonts w:ascii="Cambria Math" w:hAnsi="Cambria Math" w:cs="Arial"/>
                      <w:i/>
                      <w:sz w:val="18"/>
                      <w:szCs w:val="18"/>
                      <w:highlight w:val="yellow"/>
                    </w:rPr>
                  </m:ctrlPr>
                </m:sSubPr>
                <m:e>
                  <m:r>
                    <w:rPr>
                      <w:rFonts w:ascii="Cambria Math" w:hAnsi="Cambria Math" w:cs="Arial"/>
                      <w:sz w:val="18"/>
                      <w:szCs w:val="18"/>
                      <w:highlight w:val="yellow"/>
                    </w:rPr>
                    <m:t>l</m:t>
                  </m:r>
                </m:e>
                <m:sub>
                  <m:r>
                    <w:rPr>
                      <w:rFonts w:ascii="Cambria Math" w:hAnsi="Cambria Math" w:cs="Arial"/>
                      <w:sz w:val="18"/>
                      <w:szCs w:val="18"/>
                      <w:highlight w:val="yellow"/>
                    </w:rPr>
                    <m:t>complex</m:t>
                  </m:r>
                </m:sub>
              </m:sSub>
            </m:sub>
          </m:sSub>
          <m:d>
            <m:dPr>
              <m:begChr m:val="["/>
              <m:endChr m:val="]"/>
              <m:ctrlPr>
                <w:rPr>
                  <w:rFonts w:ascii="Cambria Math" w:hAnsi="Cambria Math" w:cs="Arial"/>
                  <w:i/>
                  <w:sz w:val="18"/>
                  <w:szCs w:val="18"/>
                  <w:highlight w:val="yellow"/>
                </w:rPr>
              </m:ctrlPr>
            </m:dPr>
            <m:e>
              <m:r>
                <w:rPr>
                  <w:rFonts w:ascii="Cambria Math" w:hAnsi="Cambria Math" w:cs="Arial"/>
                  <w:sz w:val="18"/>
                  <w:szCs w:val="18"/>
                  <w:highlight w:val="yellow"/>
                </w:rPr>
                <m:t>IL12_antiIL12p40</m:t>
              </m:r>
            </m:e>
          </m:d>
        </m:oMath>
      </m:oMathPara>
    </w:p>
    <w:p w14:paraId="0483DD2D" w14:textId="72CBE820" w:rsidR="00F35C98" w:rsidRPr="00FC5CBC" w:rsidRDefault="00FC5CBC" w:rsidP="00F35C98">
      <w:pPr>
        <w:widowControl w:val="0"/>
        <w:autoSpaceDE w:val="0"/>
        <w:autoSpaceDN w:val="0"/>
        <w:adjustRightInd w:val="0"/>
        <w:spacing w:line="360" w:lineRule="auto"/>
        <w:rPr>
          <w:rFonts w:ascii="Arial" w:eastAsiaTheme="minorEastAsia" w:hAnsi="Arial" w:cs="Arial"/>
          <w:sz w:val="18"/>
          <w:szCs w:val="18"/>
          <w:highlight w:val="yellow"/>
        </w:rPr>
      </w:pPr>
      <m:oMathPara>
        <m:oMath>
          <m:f>
            <m:fPr>
              <m:ctrlPr>
                <w:rPr>
                  <w:rFonts w:ascii="Cambria Math" w:hAnsi="Cambria Math" w:cs="Arial"/>
                  <w:i/>
                  <w:sz w:val="18"/>
                  <w:szCs w:val="18"/>
                  <w:highlight w:val="yellow"/>
                </w:rPr>
              </m:ctrlPr>
            </m:fPr>
            <m:num>
              <m:r>
                <w:rPr>
                  <w:rFonts w:ascii="Cambria Math" w:hAnsi="Cambria Math" w:cs="Arial"/>
                  <w:sz w:val="18"/>
                  <w:szCs w:val="18"/>
                  <w:highlight w:val="yellow"/>
                </w:rPr>
                <m:t>dIL23_antiIL12p40</m:t>
              </m:r>
            </m:num>
            <m:den>
              <m:r>
                <w:rPr>
                  <w:rFonts w:ascii="Cambria Math" w:hAnsi="Cambria Math" w:cs="Arial"/>
                  <w:sz w:val="18"/>
                  <w:szCs w:val="18"/>
                  <w:highlight w:val="yellow"/>
                </w:rPr>
                <m:t>dt</m:t>
              </m:r>
            </m:den>
          </m:f>
          <m:r>
            <w:rPr>
              <w:rFonts w:ascii="Cambria Math" w:hAnsi="Cambria Math" w:cs="Arial"/>
              <w:sz w:val="18"/>
              <w:szCs w:val="18"/>
              <w:highlight w:val="yellow"/>
            </w:rPr>
            <m:t>=</m:t>
          </m:r>
          <m:sSub>
            <m:sSubPr>
              <m:ctrlPr>
                <w:rPr>
                  <w:rFonts w:ascii="Cambria Math" w:hAnsi="Cambria Math" w:cs="Arial"/>
                  <w:i/>
                  <w:sz w:val="18"/>
                  <w:szCs w:val="18"/>
                  <w:highlight w:val="yellow"/>
                </w:rPr>
              </m:ctrlPr>
            </m:sSubPr>
            <m:e>
              <m:r>
                <w:rPr>
                  <w:rFonts w:ascii="Cambria Math" w:hAnsi="Cambria Math" w:cs="Arial"/>
                  <w:sz w:val="18"/>
                  <w:szCs w:val="18"/>
                  <w:highlight w:val="yellow"/>
                </w:rPr>
                <m:t>k</m:t>
              </m:r>
            </m:e>
            <m:sub>
              <m:r>
                <w:rPr>
                  <w:rFonts w:ascii="Cambria Math" w:hAnsi="Cambria Math" w:cs="Arial"/>
                  <w:sz w:val="18"/>
                  <w:szCs w:val="18"/>
                  <w:highlight w:val="yellow"/>
                </w:rPr>
                <m:t>o</m:t>
              </m:r>
              <m:sSub>
                <m:sSubPr>
                  <m:ctrlPr>
                    <w:rPr>
                      <w:rFonts w:ascii="Cambria Math" w:hAnsi="Cambria Math" w:cs="Arial"/>
                      <w:i/>
                      <w:sz w:val="18"/>
                      <w:szCs w:val="18"/>
                      <w:highlight w:val="yellow"/>
                    </w:rPr>
                  </m:ctrlPr>
                </m:sSubPr>
                <m:e>
                  <m:r>
                    <w:rPr>
                      <w:rFonts w:ascii="Cambria Math" w:hAnsi="Cambria Math" w:cs="Arial"/>
                      <w:sz w:val="18"/>
                      <w:szCs w:val="18"/>
                      <w:highlight w:val="yellow"/>
                    </w:rPr>
                    <m:t>n</m:t>
                  </m:r>
                </m:e>
                <m:sub>
                  <m:r>
                    <w:rPr>
                      <w:rFonts w:ascii="Cambria Math" w:hAnsi="Cambria Math" w:cs="Arial"/>
                      <w:sz w:val="18"/>
                      <w:szCs w:val="18"/>
                      <w:highlight w:val="yellow"/>
                    </w:rPr>
                    <m:t>IL12</m:t>
                  </m:r>
                </m:sub>
              </m:sSub>
            </m:sub>
          </m:sSub>
          <m:r>
            <w:rPr>
              <w:rFonts w:ascii="Cambria Math" w:hAnsi="Cambria Math" w:cs="Arial"/>
              <w:sz w:val="18"/>
              <w:szCs w:val="18"/>
              <w:highlight w:val="yellow"/>
            </w:rPr>
            <m:t>*IL23*antiIL12p40-</m:t>
          </m:r>
          <m:sSub>
            <m:sSubPr>
              <m:ctrlPr>
                <w:rPr>
                  <w:rFonts w:ascii="Cambria Math" w:hAnsi="Cambria Math" w:cs="Arial"/>
                  <w:i/>
                  <w:sz w:val="18"/>
                  <w:szCs w:val="18"/>
                  <w:highlight w:val="yellow"/>
                </w:rPr>
              </m:ctrlPr>
            </m:sSubPr>
            <m:e>
              <m:r>
                <w:rPr>
                  <w:rFonts w:ascii="Cambria Math" w:hAnsi="Cambria Math" w:cs="Arial"/>
                  <w:sz w:val="18"/>
                  <w:szCs w:val="18"/>
                  <w:highlight w:val="yellow"/>
                </w:rPr>
                <m:t>k</m:t>
              </m:r>
            </m:e>
            <m:sub>
              <m:r>
                <w:rPr>
                  <w:rFonts w:ascii="Cambria Math" w:hAnsi="Cambria Math" w:cs="Arial"/>
                  <w:sz w:val="18"/>
                  <w:szCs w:val="18"/>
                  <w:highlight w:val="yellow"/>
                </w:rPr>
                <m:t>of</m:t>
              </m:r>
              <m:sSub>
                <m:sSubPr>
                  <m:ctrlPr>
                    <w:rPr>
                      <w:rFonts w:ascii="Cambria Math" w:hAnsi="Cambria Math" w:cs="Arial"/>
                      <w:i/>
                      <w:sz w:val="18"/>
                      <w:szCs w:val="18"/>
                      <w:highlight w:val="yellow"/>
                    </w:rPr>
                  </m:ctrlPr>
                </m:sSubPr>
                <m:e>
                  <m:r>
                    <w:rPr>
                      <w:rFonts w:ascii="Cambria Math" w:hAnsi="Cambria Math" w:cs="Arial"/>
                      <w:sz w:val="18"/>
                      <w:szCs w:val="18"/>
                      <w:highlight w:val="yellow"/>
                    </w:rPr>
                    <m:t>f</m:t>
                  </m:r>
                </m:e>
                <m:sub>
                  <m:r>
                    <w:rPr>
                      <w:rFonts w:ascii="Cambria Math" w:hAnsi="Cambria Math" w:cs="Arial"/>
                      <w:sz w:val="18"/>
                      <w:szCs w:val="18"/>
                      <w:highlight w:val="yellow"/>
                    </w:rPr>
                    <m:t>IL12</m:t>
                  </m:r>
                </m:sub>
              </m:sSub>
            </m:sub>
          </m:sSub>
          <m:r>
            <w:rPr>
              <w:rFonts w:ascii="Cambria Math" w:hAnsi="Cambria Math" w:cs="Arial"/>
              <w:sz w:val="18"/>
              <w:szCs w:val="18"/>
              <w:highlight w:val="yellow"/>
            </w:rPr>
            <m:t>*</m:t>
          </m:r>
          <m:d>
            <m:dPr>
              <m:begChr m:val="["/>
              <m:endChr m:val="]"/>
              <m:ctrlPr>
                <w:rPr>
                  <w:rFonts w:ascii="Cambria Math" w:hAnsi="Cambria Math" w:cs="Arial"/>
                  <w:i/>
                  <w:sz w:val="18"/>
                  <w:szCs w:val="18"/>
                  <w:highlight w:val="yellow"/>
                </w:rPr>
              </m:ctrlPr>
            </m:dPr>
            <m:e>
              <m:r>
                <w:rPr>
                  <w:rFonts w:ascii="Cambria Math" w:hAnsi="Cambria Math" w:cs="Arial"/>
                  <w:sz w:val="18"/>
                  <w:szCs w:val="18"/>
                  <w:highlight w:val="yellow"/>
                </w:rPr>
                <m:t>IL23_antiIL12p40</m:t>
              </m:r>
            </m:e>
          </m:d>
          <m:r>
            <w:rPr>
              <w:rFonts w:ascii="Cambria Math" w:eastAsiaTheme="minorEastAsia" w:hAnsi="Cambria Math" w:cs="Arial"/>
              <w:sz w:val="18"/>
              <w:szCs w:val="18"/>
              <w:highlight w:val="yellow"/>
            </w:rPr>
            <m:t>-</m:t>
          </m:r>
          <m:sSub>
            <m:sSubPr>
              <m:ctrlPr>
                <w:rPr>
                  <w:rFonts w:ascii="Cambria Math" w:hAnsi="Cambria Math" w:cs="Arial"/>
                  <w:i/>
                  <w:sz w:val="18"/>
                  <w:szCs w:val="18"/>
                  <w:highlight w:val="yellow"/>
                </w:rPr>
              </m:ctrlPr>
            </m:sSubPr>
            <m:e>
              <m:r>
                <w:rPr>
                  <w:rFonts w:ascii="Cambria Math" w:hAnsi="Cambria Math" w:cs="Arial"/>
                  <w:sz w:val="18"/>
                  <w:szCs w:val="18"/>
                  <w:highlight w:val="yellow"/>
                </w:rPr>
                <m:t>k</m:t>
              </m:r>
            </m:e>
            <m:sub>
              <m:r>
                <w:rPr>
                  <w:rFonts w:ascii="Cambria Math" w:hAnsi="Cambria Math" w:cs="Arial"/>
                  <w:sz w:val="18"/>
                  <w:szCs w:val="18"/>
                  <w:highlight w:val="yellow"/>
                </w:rPr>
                <m:t>e</m:t>
              </m:r>
              <m:sSub>
                <m:sSubPr>
                  <m:ctrlPr>
                    <w:rPr>
                      <w:rFonts w:ascii="Cambria Math" w:hAnsi="Cambria Math" w:cs="Arial"/>
                      <w:i/>
                      <w:sz w:val="18"/>
                      <w:szCs w:val="18"/>
                      <w:highlight w:val="yellow"/>
                    </w:rPr>
                  </m:ctrlPr>
                </m:sSubPr>
                <m:e>
                  <m:r>
                    <w:rPr>
                      <w:rFonts w:ascii="Cambria Math" w:hAnsi="Cambria Math" w:cs="Arial"/>
                      <w:sz w:val="18"/>
                      <w:szCs w:val="18"/>
                      <w:highlight w:val="yellow"/>
                    </w:rPr>
                    <m:t>l</m:t>
                  </m:r>
                </m:e>
                <m:sub>
                  <m:r>
                    <w:rPr>
                      <w:rFonts w:ascii="Cambria Math" w:hAnsi="Cambria Math" w:cs="Arial"/>
                      <w:sz w:val="18"/>
                      <w:szCs w:val="18"/>
                      <w:highlight w:val="yellow"/>
                    </w:rPr>
                    <m:t>complex</m:t>
                  </m:r>
                </m:sub>
              </m:sSub>
            </m:sub>
          </m:sSub>
          <m:d>
            <m:dPr>
              <m:begChr m:val="["/>
              <m:endChr m:val="]"/>
              <m:ctrlPr>
                <w:rPr>
                  <w:rFonts w:ascii="Cambria Math" w:hAnsi="Cambria Math" w:cs="Arial"/>
                  <w:i/>
                  <w:sz w:val="18"/>
                  <w:szCs w:val="18"/>
                  <w:highlight w:val="yellow"/>
                </w:rPr>
              </m:ctrlPr>
            </m:dPr>
            <m:e>
              <m:r>
                <w:rPr>
                  <w:rFonts w:ascii="Cambria Math" w:hAnsi="Cambria Math" w:cs="Arial"/>
                  <w:sz w:val="18"/>
                  <w:szCs w:val="18"/>
                  <w:highlight w:val="yellow"/>
                </w:rPr>
                <m:t>IL23_antiIL12p40</m:t>
              </m:r>
            </m:e>
          </m:d>
        </m:oMath>
      </m:oMathPara>
    </w:p>
    <w:p w14:paraId="51C8C157" w14:textId="726C8367" w:rsidR="00F35C98" w:rsidRPr="00FC5CBC" w:rsidRDefault="00F35C98" w:rsidP="00F35C98">
      <w:pPr>
        <w:widowControl w:val="0"/>
        <w:autoSpaceDE w:val="0"/>
        <w:autoSpaceDN w:val="0"/>
        <w:adjustRightInd w:val="0"/>
        <w:spacing w:line="360" w:lineRule="auto"/>
        <w:rPr>
          <w:rFonts w:ascii="Arial" w:eastAsiaTheme="minorEastAsia" w:hAnsi="Arial" w:cs="Arial"/>
          <w:highlight w:val="yellow"/>
        </w:rPr>
      </w:pPr>
      <w:r w:rsidRPr="00FC5CBC">
        <w:rPr>
          <w:rFonts w:ascii="Arial" w:eastAsiaTheme="minorEastAsia" w:hAnsi="Arial" w:cs="Arial"/>
          <w:highlight w:val="yellow"/>
        </w:rPr>
        <w:t>For anti-IL23</w:t>
      </w:r>
      <w:r w:rsidR="00A27CEF" w:rsidRPr="00FC5CBC">
        <w:rPr>
          <w:rFonts w:ascii="Arial" w:eastAsiaTheme="minorEastAsia" w:hAnsi="Arial" w:cs="Arial"/>
          <w:highlight w:val="yellow"/>
        </w:rPr>
        <w:t>:</w:t>
      </w:r>
    </w:p>
    <w:p w14:paraId="1DAE1713" w14:textId="5FA297BC" w:rsidR="00F35C98" w:rsidRPr="00FC5CBC" w:rsidRDefault="00FC5CBC" w:rsidP="00F35C98">
      <w:pPr>
        <w:widowControl w:val="0"/>
        <w:autoSpaceDE w:val="0"/>
        <w:autoSpaceDN w:val="0"/>
        <w:adjustRightInd w:val="0"/>
        <w:spacing w:line="360" w:lineRule="auto"/>
        <w:rPr>
          <w:rFonts w:ascii="Arial" w:eastAsiaTheme="minorEastAsia" w:hAnsi="Arial" w:cs="Arial"/>
          <w:sz w:val="18"/>
          <w:szCs w:val="18"/>
          <w:highlight w:val="yellow"/>
        </w:rPr>
      </w:pPr>
      <m:oMathPara>
        <m:oMath>
          <m:f>
            <m:fPr>
              <m:ctrlPr>
                <w:rPr>
                  <w:rFonts w:ascii="Cambria Math" w:hAnsi="Cambria Math" w:cs="Arial"/>
                  <w:i/>
                  <w:sz w:val="18"/>
                  <w:szCs w:val="18"/>
                  <w:highlight w:val="yellow"/>
                </w:rPr>
              </m:ctrlPr>
            </m:fPr>
            <m:num>
              <m:r>
                <w:rPr>
                  <w:rFonts w:ascii="Cambria Math" w:hAnsi="Cambria Math" w:cs="Arial"/>
                  <w:sz w:val="18"/>
                  <w:szCs w:val="18"/>
                  <w:highlight w:val="yellow"/>
                </w:rPr>
                <m:t>dIL23_antiIL23</m:t>
              </m:r>
            </m:num>
            <m:den>
              <m:r>
                <w:rPr>
                  <w:rFonts w:ascii="Cambria Math" w:hAnsi="Cambria Math" w:cs="Arial"/>
                  <w:sz w:val="18"/>
                  <w:szCs w:val="18"/>
                  <w:highlight w:val="yellow"/>
                </w:rPr>
                <m:t>dt</m:t>
              </m:r>
            </m:den>
          </m:f>
          <m:r>
            <w:rPr>
              <w:rFonts w:ascii="Cambria Math" w:hAnsi="Cambria Math" w:cs="Arial"/>
              <w:sz w:val="18"/>
              <w:szCs w:val="18"/>
              <w:highlight w:val="yellow"/>
            </w:rPr>
            <m:t>=</m:t>
          </m:r>
          <m:sSub>
            <m:sSubPr>
              <m:ctrlPr>
                <w:rPr>
                  <w:rFonts w:ascii="Cambria Math" w:hAnsi="Cambria Math" w:cs="Arial"/>
                  <w:i/>
                  <w:sz w:val="18"/>
                  <w:szCs w:val="18"/>
                  <w:highlight w:val="yellow"/>
                </w:rPr>
              </m:ctrlPr>
            </m:sSubPr>
            <m:e>
              <m:r>
                <w:rPr>
                  <w:rFonts w:ascii="Cambria Math" w:hAnsi="Cambria Math" w:cs="Arial"/>
                  <w:sz w:val="18"/>
                  <w:szCs w:val="18"/>
                  <w:highlight w:val="yellow"/>
                </w:rPr>
                <m:t>k</m:t>
              </m:r>
            </m:e>
            <m:sub>
              <m:r>
                <w:rPr>
                  <w:rFonts w:ascii="Cambria Math" w:hAnsi="Cambria Math" w:cs="Arial"/>
                  <w:sz w:val="18"/>
                  <w:szCs w:val="18"/>
                  <w:highlight w:val="yellow"/>
                </w:rPr>
                <m:t>o</m:t>
              </m:r>
              <m:sSub>
                <m:sSubPr>
                  <m:ctrlPr>
                    <w:rPr>
                      <w:rFonts w:ascii="Cambria Math" w:hAnsi="Cambria Math" w:cs="Arial"/>
                      <w:i/>
                      <w:sz w:val="18"/>
                      <w:szCs w:val="18"/>
                      <w:highlight w:val="yellow"/>
                    </w:rPr>
                  </m:ctrlPr>
                </m:sSubPr>
                <m:e>
                  <m:r>
                    <w:rPr>
                      <w:rFonts w:ascii="Cambria Math" w:hAnsi="Cambria Math" w:cs="Arial"/>
                      <w:sz w:val="18"/>
                      <w:szCs w:val="18"/>
                      <w:highlight w:val="yellow"/>
                    </w:rPr>
                    <m:t>n</m:t>
                  </m:r>
                </m:e>
                <m:sub>
                  <m:r>
                    <w:rPr>
                      <w:rFonts w:ascii="Cambria Math" w:hAnsi="Cambria Math" w:cs="Arial"/>
                      <w:sz w:val="18"/>
                      <w:szCs w:val="18"/>
                      <w:highlight w:val="yellow"/>
                    </w:rPr>
                    <m:t>IL23</m:t>
                  </m:r>
                </m:sub>
              </m:sSub>
            </m:sub>
          </m:sSub>
          <m:r>
            <w:rPr>
              <w:rFonts w:ascii="Cambria Math" w:hAnsi="Cambria Math" w:cs="Arial"/>
              <w:sz w:val="18"/>
              <w:szCs w:val="18"/>
              <w:highlight w:val="yellow"/>
            </w:rPr>
            <m:t>*IL23*antiIL23-</m:t>
          </m:r>
          <m:sSub>
            <m:sSubPr>
              <m:ctrlPr>
                <w:rPr>
                  <w:rFonts w:ascii="Cambria Math" w:hAnsi="Cambria Math" w:cs="Arial"/>
                  <w:i/>
                  <w:sz w:val="18"/>
                  <w:szCs w:val="18"/>
                  <w:highlight w:val="yellow"/>
                </w:rPr>
              </m:ctrlPr>
            </m:sSubPr>
            <m:e>
              <m:r>
                <w:rPr>
                  <w:rFonts w:ascii="Cambria Math" w:hAnsi="Cambria Math" w:cs="Arial"/>
                  <w:sz w:val="18"/>
                  <w:szCs w:val="18"/>
                  <w:highlight w:val="yellow"/>
                </w:rPr>
                <m:t>k</m:t>
              </m:r>
            </m:e>
            <m:sub>
              <m:r>
                <w:rPr>
                  <w:rFonts w:ascii="Cambria Math" w:hAnsi="Cambria Math" w:cs="Arial"/>
                  <w:sz w:val="18"/>
                  <w:szCs w:val="18"/>
                  <w:highlight w:val="yellow"/>
                </w:rPr>
                <m:t>of</m:t>
              </m:r>
              <m:sSub>
                <m:sSubPr>
                  <m:ctrlPr>
                    <w:rPr>
                      <w:rFonts w:ascii="Cambria Math" w:hAnsi="Cambria Math" w:cs="Arial"/>
                      <w:i/>
                      <w:sz w:val="18"/>
                      <w:szCs w:val="18"/>
                      <w:highlight w:val="yellow"/>
                    </w:rPr>
                  </m:ctrlPr>
                </m:sSubPr>
                <m:e>
                  <m:r>
                    <w:rPr>
                      <w:rFonts w:ascii="Cambria Math" w:hAnsi="Cambria Math" w:cs="Arial"/>
                      <w:sz w:val="18"/>
                      <w:szCs w:val="18"/>
                      <w:highlight w:val="yellow"/>
                    </w:rPr>
                    <m:t>f</m:t>
                  </m:r>
                </m:e>
                <m:sub>
                  <m:r>
                    <w:rPr>
                      <w:rFonts w:ascii="Cambria Math" w:hAnsi="Cambria Math" w:cs="Arial"/>
                      <w:sz w:val="18"/>
                      <w:szCs w:val="18"/>
                      <w:highlight w:val="yellow"/>
                    </w:rPr>
                    <m:t>IL23</m:t>
                  </m:r>
                </m:sub>
              </m:sSub>
            </m:sub>
          </m:sSub>
          <m:r>
            <w:rPr>
              <w:rFonts w:ascii="Cambria Math" w:hAnsi="Cambria Math" w:cs="Arial"/>
              <w:sz w:val="18"/>
              <w:szCs w:val="18"/>
              <w:highlight w:val="yellow"/>
            </w:rPr>
            <m:t>*[IL23_antiIL23]</m:t>
          </m:r>
          <m:r>
            <w:rPr>
              <w:rFonts w:ascii="Cambria Math" w:eastAsiaTheme="minorEastAsia" w:hAnsi="Cambria Math" w:cs="Arial"/>
              <w:sz w:val="18"/>
              <w:szCs w:val="18"/>
              <w:highlight w:val="yellow"/>
            </w:rPr>
            <m:t>-</m:t>
          </m:r>
          <m:sSub>
            <m:sSubPr>
              <m:ctrlPr>
                <w:rPr>
                  <w:rFonts w:ascii="Cambria Math" w:hAnsi="Cambria Math" w:cs="Arial"/>
                  <w:i/>
                  <w:sz w:val="18"/>
                  <w:szCs w:val="18"/>
                  <w:highlight w:val="yellow"/>
                </w:rPr>
              </m:ctrlPr>
            </m:sSubPr>
            <m:e>
              <m:r>
                <w:rPr>
                  <w:rFonts w:ascii="Cambria Math" w:hAnsi="Cambria Math" w:cs="Arial"/>
                  <w:sz w:val="18"/>
                  <w:szCs w:val="18"/>
                  <w:highlight w:val="yellow"/>
                </w:rPr>
                <m:t>k</m:t>
              </m:r>
            </m:e>
            <m:sub>
              <m:r>
                <w:rPr>
                  <w:rFonts w:ascii="Cambria Math" w:hAnsi="Cambria Math" w:cs="Arial"/>
                  <w:sz w:val="18"/>
                  <w:szCs w:val="18"/>
                  <w:highlight w:val="yellow"/>
                </w:rPr>
                <m:t>e</m:t>
              </m:r>
              <m:sSub>
                <m:sSubPr>
                  <m:ctrlPr>
                    <w:rPr>
                      <w:rFonts w:ascii="Cambria Math" w:hAnsi="Cambria Math" w:cs="Arial"/>
                      <w:i/>
                      <w:sz w:val="18"/>
                      <w:szCs w:val="18"/>
                      <w:highlight w:val="yellow"/>
                    </w:rPr>
                  </m:ctrlPr>
                </m:sSubPr>
                <m:e>
                  <m:r>
                    <w:rPr>
                      <w:rFonts w:ascii="Cambria Math" w:hAnsi="Cambria Math" w:cs="Arial"/>
                      <w:sz w:val="18"/>
                      <w:szCs w:val="18"/>
                      <w:highlight w:val="yellow"/>
                    </w:rPr>
                    <m:t>l</m:t>
                  </m:r>
                </m:e>
                <m:sub>
                  <m:r>
                    <w:rPr>
                      <w:rFonts w:ascii="Cambria Math" w:hAnsi="Cambria Math" w:cs="Arial"/>
                      <w:sz w:val="18"/>
                      <w:szCs w:val="18"/>
                      <w:highlight w:val="yellow"/>
                    </w:rPr>
                    <m:t>complex</m:t>
                  </m:r>
                </m:sub>
              </m:sSub>
            </m:sub>
          </m:sSub>
          <m:d>
            <m:dPr>
              <m:begChr m:val="["/>
              <m:endChr m:val="]"/>
              <m:ctrlPr>
                <w:rPr>
                  <w:rFonts w:ascii="Cambria Math" w:hAnsi="Cambria Math" w:cs="Arial"/>
                  <w:i/>
                  <w:sz w:val="18"/>
                  <w:szCs w:val="18"/>
                  <w:highlight w:val="yellow"/>
                </w:rPr>
              </m:ctrlPr>
            </m:dPr>
            <m:e>
              <m:r>
                <w:rPr>
                  <w:rFonts w:ascii="Cambria Math" w:hAnsi="Cambria Math" w:cs="Arial"/>
                  <w:sz w:val="18"/>
                  <w:szCs w:val="18"/>
                  <w:highlight w:val="yellow"/>
                </w:rPr>
                <m:t>IL23_antiIL23</m:t>
              </m:r>
            </m:e>
          </m:d>
        </m:oMath>
      </m:oMathPara>
    </w:p>
    <w:p w14:paraId="3AB80008" w14:textId="5ADB232B" w:rsidR="00F35C98" w:rsidRPr="00FC5CBC" w:rsidRDefault="00F35C98" w:rsidP="00F35C98">
      <w:pPr>
        <w:widowControl w:val="0"/>
        <w:autoSpaceDE w:val="0"/>
        <w:autoSpaceDN w:val="0"/>
        <w:adjustRightInd w:val="0"/>
        <w:spacing w:line="360" w:lineRule="auto"/>
        <w:rPr>
          <w:rFonts w:ascii="Arial" w:eastAsiaTheme="minorEastAsia" w:hAnsi="Arial" w:cs="Arial"/>
          <w:highlight w:val="yellow"/>
        </w:rPr>
      </w:pPr>
      <w:bookmarkStart w:id="0" w:name="_GoBack"/>
      <w:r w:rsidRPr="00FC5CBC">
        <w:rPr>
          <w:rFonts w:ascii="Arial" w:eastAsiaTheme="minorEastAsia" w:hAnsi="Arial" w:cs="Arial"/>
          <w:highlight w:val="yellow"/>
        </w:rPr>
        <w:t>For anti-</w:t>
      </w:r>
      <w:proofErr w:type="spellStart"/>
      <w:r w:rsidRPr="00FC5CBC">
        <w:rPr>
          <w:rFonts w:ascii="Arial" w:eastAsiaTheme="minorEastAsia" w:hAnsi="Arial" w:cs="Arial"/>
          <w:highlight w:val="yellow"/>
        </w:rPr>
        <w:t>TNFa</w:t>
      </w:r>
      <w:proofErr w:type="spellEnd"/>
      <w:r w:rsidR="00A27CEF" w:rsidRPr="00FC5CBC">
        <w:rPr>
          <w:rFonts w:ascii="Arial" w:eastAsiaTheme="minorEastAsia" w:hAnsi="Arial" w:cs="Arial"/>
          <w:highlight w:val="yellow"/>
        </w:rPr>
        <w:t>:</w:t>
      </w:r>
    </w:p>
    <w:bookmarkEnd w:id="0"/>
    <w:p w14:paraId="3FE5FB5D" w14:textId="17C5B091" w:rsidR="00F35C98" w:rsidRPr="00FC5CBC" w:rsidRDefault="00FC5CBC" w:rsidP="00F35C98">
      <w:pPr>
        <w:widowControl w:val="0"/>
        <w:autoSpaceDE w:val="0"/>
        <w:autoSpaceDN w:val="0"/>
        <w:adjustRightInd w:val="0"/>
        <w:spacing w:line="360" w:lineRule="auto"/>
        <w:rPr>
          <w:rFonts w:ascii="Arial" w:eastAsiaTheme="minorEastAsia" w:hAnsi="Arial" w:cs="Arial"/>
          <w:sz w:val="18"/>
          <w:szCs w:val="18"/>
          <w:highlight w:val="yellow"/>
        </w:rPr>
      </w:pPr>
      <m:oMathPara>
        <m:oMath>
          <m:f>
            <m:fPr>
              <m:ctrlPr>
                <w:rPr>
                  <w:rFonts w:ascii="Cambria Math" w:hAnsi="Cambria Math" w:cs="Arial"/>
                  <w:i/>
                  <w:sz w:val="18"/>
                  <w:szCs w:val="18"/>
                  <w:highlight w:val="yellow"/>
                </w:rPr>
              </m:ctrlPr>
            </m:fPr>
            <m:num>
              <m:r>
                <w:rPr>
                  <w:rFonts w:ascii="Cambria Math" w:hAnsi="Cambria Math" w:cs="Arial"/>
                  <w:sz w:val="18"/>
                  <w:szCs w:val="18"/>
                  <w:highlight w:val="yellow"/>
                </w:rPr>
                <m:t>dTNFa_antiTNFA</m:t>
              </m:r>
            </m:num>
            <m:den>
              <m:r>
                <w:rPr>
                  <w:rFonts w:ascii="Cambria Math" w:hAnsi="Cambria Math" w:cs="Arial"/>
                  <w:sz w:val="18"/>
                  <w:szCs w:val="18"/>
                  <w:highlight w:val="yellow"/>
                </w:rPr>
                <m:t>dt</m:t>
              </m:r>
            </m:den>
          </m:f>
          <m:r>
            <w:rPr>
              <w:rFonts w:ascii="Cambria Math" w:hAnsi="Cambria Math" w:cs="Arial"/>
              <w:sz w:val="18"/>
              <w:szCs w:val="18"/>
              <w:highlight w:val="yellow"/>
            </w:rPr>
            <m:t>=</m:t>
          </m:r>
          <m:sSub>
            <m:sSubPr>
              <m:ctrlPr>
                <w:rPr>
                  <w:rFonts w:ascii="Cambria Math" w:hAnsi="Cambria Math" w:cs="Arial"/>
                  <w:i/>
                  <w:sz w:val="18"/>
                  <w:szCs w:val="18"/>
                  <w:highlight w:val="yellow"/>
                </w:rPr>
              </m:ctrlPr>
            </m:sSubPr>
            <m:e>
              <m:r>
                <w:rPr>
                  <w:rFonts w:ascii="Cambria Math" w:hAnsi="Cambria Math" w:cs="Arial"/>
                  <w:sz w:val="18"/>
                  <w:szCs w:val="18"/>
                  <w:highlight w:val="yellow"/>
                </w:rPr>
                <m:t>k</m:t>
              </m:r>
            </m:e>
            <m:sub>
              <m:r>
                <w:rPr>
                  <w:rFonts w:ascii="Cambria Math" w:hAnsi="Cambria Math" w:cs="Arial"/>
                  <w:sz w:val="18"/>
                  <w:szCs w:val="18"/>
                  <w:highlight w:val="yellow"/>
                </w:rPr>
                <m:t>o</m:t>
              </m:r>
              <m:sSub>
                <m:sSubPr>
                  <m:ctrlPr>
                    <w:rPr>
                      <w:rFonts w:ascii="Cambria Math" w:hAnsi="Cambria Math" w:cs="Arial"/>
                      <w:i/>
                      <w:sz w:val="18"/>
                      <w:szCs w:val="18"/>
                      <w:highlight w:val="yellow"/>
                    </w:rPr>
                  </m:ctrlPr>
                </m:sSubPr>
                <m:e>
                  <m:r>
                    <w:rPr>
                      <w:rFonts w:ascii="Cambria Math" w:hAnsi="Cambria Math" w:cs="Arial"/>
                      <w:sz w:val="18"/>
                      <w:szCs w:val="18"/>
                      <w:highlight w:val="yellow"/>
                    </w:rPr>
                    <m:t>n</m:t>
                  </m:r>
                </m:e>
                <m:sub>
                  <m:r>
                    <w:rPr>
                      <w:rFonts w:ascii="Cambria Math" w:hAnsi="Cambria Math" w:cs="Arial"/>
                      <w:sz w:val="18"/>
                      <w:szCs w:val="18"/>
                      <w:highlight w:val="yellow"/>
                    </w:rPr>
                    <m:t>TNFa</m:t>
                  </m:r>
                </m:sub>
              </m:sSub>
            </m:sub>
          </m:sSub>
          <m:r>
            <w:rPr>
              <w:rFonts w:ascii="Cambria Math" w:hAnsi="Cambria Math" w:cs="Arial"/>
              <w:sz w:val="18"/>
              <w:szCs w:val="18"/>
              <w:highlight w:val="yellow"/>
            </w:rPr>
            <m:t>*TNFa*antTNFa-</m:t>
          </m:r>
          <m:sSub>
            <m:sSubPr>
              <m:ctrlPr>
                <w:rPr>
                  <w:rFonts w:ascii="Cambria Math" w:hAnsi="Cambria Math" w:cs="Arial"/>
                  <w:i/>
                  <w:sz w:val="18"/>
                  <w:szCs w:val="18"/>
                  <w:highlight w:val="yellow"/>
                </w:rPr>
              </m:ctrlPr>
            </m:sSubPr>
            <m:e>
              <m:r>
                <w:rPr>
                  <w:rFonts w:ascii="Cambria Math" w:hAnsi="Cambria Math" w:cs="Arial"/>
                  <w:sz w:val="18"/>
                  <w:szCs w:val="18"/>
                  <w:highlight w:val="yellow"/>
                </w:rPr>
                <m:t>k</m:t>
              </m:r>
            </m:e>
            <m:sub>
              <m:r>
                <w:rPr>
                  <w:rFonts w:ascii="Cambria Math" w:hAnsi="Cambria Math" w:cs="Arial"/>
                  <w:sz w:val="18"/>
                  <w:szCs w:val="18"/>
                  <w:highlight w:val="yellow"/>
                </w:rPr>
                <m:t>of</m:t>
              </m:r>
              <m:sSub>
                <m:sSubPr>
                  <m:ctrlPr>
                    <w:rPr>
                      <w:rFonts w:ascii="Cambria Math" w:hAnsi="Cambria Math" w:cs="Arial"/>
                      <w:i/>
                      <w:sz w:val="18"/>
                      <w:szCs w:val="18"/>
                      <w:highlight w:val="yellow"/>
                    </w:rPr>
                  </m:ctrlPr>
                </m:sSubPr>
                <m:e>
                  <m:r>
                    <w:rPr>
                      <w:rFonts w:ascii="Cambria Math" w:hAnsi="Cambria Math" w:cs="Arial"/>
                      <w:sz w:val="18"/>
                      <w:szCs w:val="18"/>
                      <w:highlight w:val="yellow"/>
                    </w:rPr>
                    <m:t>f</m:t>
                  </m:r>
                </m:e>
                <m:sub>
                  <m:r>
                    <w:rPr>
                      <w:rFonts w:ascii="Cambria Math" w:hAnsi="Cambria Math" w:cs="Arial"/>
                      <w:sz w:val="18"/>
                      <w:szCs w:val="18"/>
                      <w:highlight w:val="yellow"/>
                    </w:rPr>
                    <m:t>TNFa</m:t>
                  </m:r>
                </m:sub>
              </m:sSub>
            </m:sub>
          </m:sSub>
          <m:r>
            <w:rPr>
              <w:rFonts w:ascii="Cambria Math" w:hAnsi="Cambria Math" w:cs="Arial"/>
              <w:sz w:val="18"/>
              <w:szCs w:val="18"/>
              <w:highlight w:val="yellow"/>
            </w:rPr>
            <m:t>*[TNFa_antiTNFa]</m:t>
          </m:r>
          <m:r>
            <w:rPr>
              <w:rFonts w:ascii="Cambria Math" w:eastAsiaTheme="minorEastAsia" w:hAnsi="Cambria Math" w:cs="Arial"/>
              <w:sz w:val="18"/>
              <w:szCs w:val="18"/>
              <w:highlight w:val="yellow"/>
            </w:rPr>
            <m:t>-</m:t>
          </m:r>
          <m:sSub>
            <m:sSubPr>
              <m:ctrlPr>
                <w:rPr>
                  <w:rFonts w:ascii="Cambria Math" w:hAnsi="Cambria Math" w:cs="Arial"/>
                  <w:i/>
                  <w:sz w:val="18"/>
                  <w:szCs w:val="18"/>
                  <w:highlight w:val="yellow"/>
                </w:rPr>
              </m:ctrlPr>
            </m:sSubPr>
            <m:e>
              <m:r>
                <w:rPr>
                  <w:rFonts w:ascii="Cambria Math" w:hAnsi="Cambria Math" w:cs="Arial"/>
                  <w:sz w:val="18"/>
                  <w:szCs w:val="18"/>
                  <w:highlight w:val="yellow"/>
                </w:rPr>
                <m:t>k</m:t>
              </m:r>
            </m:e>
            <m:sub>
              <m:r>
                <w:rPr>
                  <w:rFonts w:ascii="Cambria Math" w:hAnsi="Cambria Math" w:cs="Arial"/>
                  <w:sz w:val="18"/>
                  <w:szCs w:val="18"/>
                  <w:highlight w:val="yellow"/>
                </w:rPr>
                <m:t>e</m:t>
              </m:r>
              <m:sSub>
                <m:sSubPr>
                  <m:ctrlPr>
                    <w:rPr>
                      <w:rFonts w:ascii="Cambria Math" w:hAnsi="Cambria Math" w:cs="Arial"/>
                      <w:i/>
                      <w:sz w:val="18"/>
                      <w:szCs w:val="18"/>
                      <w:highlight w:val="yellow"/>
                    </w:rPr>
                  </m:ctrlPr>
                </m:sSubPr>
                <m:e>
                  <m:r>
                    <w:rPr>
                      <w:rFonts w:ascii="Cambria Math" w:hAnsi="Cambria Math" w:cs="Arial"/>
                      <w:sz w:val="18"/>
                      <w:szCs w:val="18"/>
                      <w:highlight w:val="yellow"/>
                    </w:rPr>
                    <m:t>l</m:t>
                  </m:r>
                </m:e>
                <m:sub>
                  <m:r>
                    <w:rPr>
                      <w:rFonts w:ascii="Cambria Math" w:hAnsi="Cambria Math" w:cs="Arial"/>
                      <w:sz w:val="18"/>
                      <w:szCs w:val="18"/>
                      <w:highlight w:val="yellow"/>
                    </w:rPr>
                    <m:t>complex</m:t>
                  </m:r>
                </m:sub>
              </m:sSub>
            </m:sub>
          </m:sSub>
          <m:d>
            <m:dPr>
              <m:begChr m:val="["/>
              <m:endChr m:val="]"/>
              <m:ctrlPr>
                <w:rPr>
                  <w:rFonts w:ascii="Cambria Math" w:hAnsi="Cambria Math" w:cs="Arial"/>
                  <w:i/>
                  <w:sz w:val="18"/>
                  <w:szCs w:val="18"/>
                  <w:highlight w:val="yellow"/>
                </w:rPr>
              </m:ctrlPr>
            </m:dPr>
            <m:e>
              <m:r>
                <w:rPr>
                  <w:rFonts w:ascii="Cambria Math" w:hAnsi="Cambria Math" w:cs="Arial"/>
                  <w:sz w:val="18"/>
                  <w:szCs w:val="18"/>
                  <w:highlight w:val="yellow"/>
                </w:rPr>
                <m:t>TNFa_antiTNFa</m:t>
              </m:r>
            </m:e>
          </m:d>
        </m:oMath>
      </m:oMathPara>
    </w:p>
    <w:p w14:paraId="74E8EB0F" w14:textId="77777777" w:rsidR="00F35C98" w:rsidRPr="00FC5CBC" w:rsidRDefault="00F35C98" w:rsidP="00F35C98">
      <w:pPr>
        <w:spacing w:line="480" w:lineRule="auto"/>
        <w:rPr>
          <w:rFonts w:ascii="Arial" w:hAnsi="Arial" w:cs="Arial"/>
          <w:highlight w:val="yellow"/>
        </w:rPr>
      </w:pPr>
      <w:r w:rsidRPr="00FC5CBC">
        <w:rPr>
          <w:rFonts w:ascii="Arial" w:hAnsi="Arial" w:cs="Arial"/>
          <w:highlight w:val="yellow"/>
        </w:rPr>
        <w:t>For anti-IL6:</w:t>
      </w:r>
    </w:p>
    <w:p w14:paraId="268E9B35" w14:textId="3576E681" w:rsidR="00F35C98" w:rsidRPr="006218AF" w:rsidRDefault="00FC5CBC" w:rsidP="00F35C98">
      <w:pPr>
        <w:widowControl w:val="0"/>
        <w:autoSpaceDE w:val="0"/>
        <w:autoSpaceDN w:val="0"/>
        <w:adjustRightInd w:val="0"/>
        <w:spacing w:line="360" w:lineRule="auto"/>
        <w:rPr>
          <w:rFonts w:ascii="Arial" w:eastAsiaTheme="minorEastAsia" w:hAnsi="Arial" w:cs="Arial"/>
          <w:sz w:val="18"/>
          <w:szCs w:val="18"/>
        </w:rPr>
      </w:pPr>
      <m:oMathPara>
        <m:oMath>
          <m:f>
            <m:fPr>
              <m:ctrlPr>
                <w:rPr>
                  <w:rFonts w:ascii="Cambria Math" w:hAnsi="Cambria Math" w:cs="Arial"/>
                  <w:i/>
                  <w:sz w:val="18"/>
                  <w:szCs w:val="18"/>
                  <w:highlight w:val="yellow"/>
                </w:rPr>
              </m:ctrlPr>
            </m:fPr>
            <m:num>
              <m:r>
                <w:rPr>
                  <w:rFonts w:ascii="Cambria Math" w:hAnsi="Cambria Math" w:cs="Arial"/>
                  <w:sz w:val="18"/>
                  <w:szCs w:val="18"/>
                  <w:highlight w:val="yellow"/>
                </w:rPr>
                <m:t>dIL6_antiIL6</m:t>
              </m:r>
            </m:num>
            <m:den>
              <m:r>
                <w:rPr>
                  <w:rFonts w:ascii="Cambria Math" w:hAnsi="Cambria Math" w:cs="Arial"/>
                  <w:sz w:val="18"/>
                  <w:szCs w:val="18"/>
                  <w:highlight w:val="yellow"/>
                </w:rPr>
                <m:t>dt</m:t>
              </m:r>
            </m:den>
          </m:f>
          <m:r>
            <w:rPr>
              <w:rFonts w:ascii="Cambria Math" w:hAnsi="Cambria Math" w:cs="Arial"/>
              <w:sz w:val="18"/>
              <w:szCs w:val="18"/>
              <w:highlight w:val="yellow"/>
            </w:rPr>
            <m:t>=</m:t>
          </m:r>
          <m:sSub>
            <m:sSubPr>
              <m:ctrlPr>
                <w:rPr>
                  <w:rFonts w:ascii="Cambria Math" w:hAnsi="Cambria Math" w:cs="Arial"/>
                  <w:i/>
                  <w:sz w:val="18"/>
                  <w:szCs w:val="18"/>
                  <w:highlight w:val="yellow"/>
                </w:rPr>
              </m:ctrlPr>
            </m:sSubPr>
            <m:e>
              <m:r>
                <w:rPr>
                  <w:rFonts w:ascii="Cambria Math" w:hAnsi="Cambria Math" w:cs="Arial"/>
                  <w:sz w:val="18"/>
                  <w:szCs w:val="18"/>
                  <w:highlight w:val="yellow"/>
                </w:rPr>
                <m:t>k</m:t>
              </m:r>
            </m:e>
            <m:sub>
              <m:r>
                <w:rPr>
                  <w:rFonts w:ascii="Cambria Math" w:hAnsi="Cambria Math" w:cs="Arial"/>
                  <w:sz w:val="18"/>
                  <w:szCs w:val="18"/>
                  <w:highlight w:val="yellow"/>
                </w:rPr>
                <m:t>o</m:t>
              </m:r>
              <m:sSub>
                <m:sSubPr>
                  <m:ctrlPr>
                    <w:rPr>
                      <w:rFonts w:ascii="Cambria Math" w:hAnsi="Cambria Math" w:cs="Arial"/>
                      <w:i/>
                      <w:sz w:val="18"/>
                      <w:szCs w:val="18"/>
                      <w:highlight w:val="yellow"/>
                    </w:rPr>
                  </m:ctrlPr>
                </m:sSubPr>
                <m:e>
                  <m:r>
                    <w:rPr>
                      <w:rFonts w:ascii="Cambria Math" w:hAnsi="Cambria Math" w:cs="Arial"/>
                      <w:sz w:val="18"/>
                      <w:szCs w:val="18"/>
                      <w:highlight w:val="yellow"/>
                    </w:rPr>
                    <m:t>n</m:t>
                  </m:r>
                </m:e>
                <m:sub>
                  <m:r>
                    <w:rPr>
                      <w:rFonts w:ascii="Cambria Math" w:hAnsi="Cambria Math" w:cs="Arial"/>
                      <w:sz w:val="18"/>
                      <w:szCs w:val="18"/>
                      <w:highlight w:val="yellow"/>
                    </w:rPr>
                    <m:t>IL6</m:t>
                  </m:r>
                </m:sub>
              </m:sSub>
            </m:sub>
          </m:sSub>
          <m:r>
            <w:rPr>
              <w:rFonts w:ascii="Cambria Math" w:hAnsi="Cambria Math" w:cs="Arial"/>
              <w:sz w:val="18"/>
              <w:szCs w:val="18"/>
              <w:highlight w:val="yellow"/>
            </w:rPr>
            <m:t>*IL6*antiIL6-</m:t>
          </m:r>
          <m:sSub>
            <m:sSubPr>
              <m:ctrlPr>
                <w:rPr>
                  <w:rFonts w:ascii="Cambria Math" w:hAnsi="Cambria Math" w:cs="Arial"/>
                  <w:i/>
                  <w:sz w:val="18"/>
                  <w:szCs w:val="18"/>
                  <w:highlight w:val="yellow"/>
                </w:rPr>
              </m:ctrlPr>
            </m:sSubPr>
            <m:e>
              <m:r>
                <w:rPr>
                  <w:rFonts w:ascii="Cambria Math" w:hAnsi="Cambria Math" w:cs="Arial"/>
                  <w:sz w:val="18"/>
                  <w:szCs w:val="18"/>
                  <w:highlight w:val="yellow"/>
                </w:rPr>
                <m:t>k</m:t>
              </m:r>
            </m:e>
            <m:sub>
              <m:r>
                <w:rPr>
                  <w:rFonts w:ascii="Cambria Math" w:hAnsi="Cambria Math" w:cs="Arial"/>
                  <w:sz w:val="18"/>
                  <w:szCs w:val="18"/>
                  <w:highlight w:val="yellow"/>
                </w:rPr>
                <m:t>of</m:t>
              </m:r>
              <m:sSub>
                <m:sSubPr>
                  <m:ctrlPr>
                    <w:rPr>
                      <w:rFonts w:ascii="Cambria Math" w:hAnsi="Cambria Math" w:cs="Arial"/>
                      <w:i/>
                      <w:sz w:val="18"/>
                      <w:szCs w:val="18"/>
                      <w:highlight w:val="yellow"/>
                    </w:rPr>
                  </m:ctrlPr>
                </m:sSubPr>
                <m:e>
                  <m:r>
                    <w:rPr>
                      <w:rFonts w:ascii="Cambria Math" w:hAnsi="Cambria Math" w:cs="Arial"/>
                      <w:sz w:val="18"/>
                      <w:szCs w:val="18"/>
                      <w:highlight w:val="yellow"/>
                    </w:rPr>
                    <m:t>f</m:t>
                  </m:r>
                </m:e>
                <m:sub>
                  <m:r>
                    <w:rPr>
                      <w:rFonts w:ascii="Cambria Math" w:hAnsi="Cambria Math" w:cs="Arial"/>
                      <w:sz w:val="18"/>
                      <w:szCs w:val="18"/>
                      <w:highlight w:val="yellow"/>
                    </w:rPr>
                    <m:t>IL6</m:t>
                  </m:r>
                </m:sub>
              </m:sSub>
            </m:sub>
          </m:sSub>
          <m:r>
            <w:rPr>
              <w:rFonts w:ascii="Cambria Math" w:hAnsi="Cambria Math" w:cs="Arial"/>
              <w:sz w:val="18"/>
              <w:szCs w:val="18"/>
              <w:highlight w:val="yellow"/>
            </w:rPr>
            <m:t>*[IL6_antiIL6]</m:t>
          </m:r>
          <m:r>
            <w:rPr>
              <w:rFonts w:ascii="Cambria Math" w:eastAsiaTheme="minorEastAsia" w:hAnsi="Cambria Math" w:cs="Arial"/>
              <w:sz w:val="18"/>
              <w:szCs w:val="18"/>
              <w:highlight w:val="yellow"/>
            </w:rPr>
            <m:t xml:space="preserve"> -</m:t>
          </m:r>
          <m:sSub>
            <m:sSubPr>
              <m:ctrlPr>
                <w:rPr>
                  <w:rFonts w:ascii="Cambria Math" w:hAnsi="Cambria Math" w:cs="Arial"/>
                  <w:i/>
                  <w:sz w:val="18"/>
                  <w:szCs w:val="18"/>
                  <w:highlight w:val="yellow"/>
                </w:rPr>
              </m:ctrlPr>
            </m:sSubPr>
            <m:e>
              <m:r>
                <w:rPr>
                  <w:rFonts w:ascii="Cambria Math" w:hAnsi="Cambria Math" w:cs="Arial"/>
                  <w:sz w:val="18"/>
                  <w:szCs w:val="18"/>
                  <w:highlight w:val="yellow"/>
                </w:rPr>
                <m:t>k</m:t>
              </m:r>
            </m:e>
            <m:sub>
              <m:r>
                <w:rPr>
                  <w:rFonts w:ascii="Cambria Math" w:hAnsi="Cambria Math" w:cs="Arial"/>
                  <w:sz w:val="18"/>
                  <w:szCs w:val="18"/>
                  <w:highlight w:val="yellow"/>
                </w:rPr>
                <m:t>e</m:t>
              </m:r>
              <m:sSub>
                <m:sSubPr>
                  <m:ctrlPr>
                    <w:rPr>
                      <w:rFonts w:ascii="Cambria Math" w:hAnsi="Cambria Math" w:cs="Arial"/>
                      <w:i/>
                      <w:sz w:val="18"/>
                      <w:szCs w:val="18"/>
                      <w:highlight w:val="yellow"/>
                    </w:rPr>
                  </m:ctrlPr>
                </m:sSubPr>
                <m:e>
                  <m:r>
                    <w:rPr>
                      <w:rFonts w:ascii="Cambria Math" w:hAnsi="Cambria Math" w:cs="Arial"/>
                      <w:sz w:val="18"/>
                      <w:szCs w:val="18"/>
                      <w:highlight w:val="yellow"/>
                    </w:rPr>
                    <m:t>l</m:t>
                  </m:r>
                </m:e>
                <m:sub>
                  <m:r>
                    <w:rPr>
                      <w:rFonts w:ascii="Cambria Math" w:hAnsi="Cambria Math" w:cs="Arial"/>
                      <w:sz w:val="18"/>
                      <w:szCs w:val="18"/>
                      <w:highlight w:val="yellow"/>
                    </w:rPr>
                    <m:t>complex</m:t>
                  </m:r>
                </m:sub>
              </m:sSub>
            </m:sub>
          </m:sSub>
          <m:d>
            <m:dPr>
              <m:begChr m:val="["/>
              <m:endChr m:val="]"/>
              <m:ctrlPr>
                <w:rPr>
                  <w:rFonts w:ascii="Cambria Math" w:hAnsi="Cambria Math" w:cs="Arial"/>
                  <w:i/>
                  <w:sz w:val="18"/>
                  <w:szCs w:val="18"/>
                  <w:highlight w:val="yellow"/>
                </w:rPr>
              </m:ctrlPr>
            </m:dPr>
            <m:e>
              <m:r>
                <w:rPr>
                  <w:rFonts w:ascii="Cambria Math" w:hAnsi="Cambria Math" w:cs="Arial"/>
                  <w:sz w:val="18"/>
                  <w:szCs w:val="18"/>
                  <w:highlight w:val="yellow"/>
                </w:rPr>
                <m:t>IL6_antiIL6</m:t>
              </m:r>
            </m:e>
          </m:d>
        </m:oMath>
      </m:oMathPara>
    </w:p>
    <w:p w14:paraId="47E5045D" w14:textId="77777777" w:rsidR="00F35C98" w:rsidRPr="00BE0A4A" w:rsidRDefault="00F35C98" w:rsidP="00F35C98">
      <w:pPr>
        <w:widowControl w:val="0"/>
        <w:autoSpaceDE w:val="0"/>
        <w:autoSpaceDN w:val="0"/>
        <w:adjustRightInd w:val="0"/>
        <w:spacing w:line="360" w:lineRule="auto"/>
        <w:rPr>
          <w:rFonts w:ascii="Arial" w:hAnsi="Arial" w:cs="Arial"/>
          <w:color w:val="FF0000"/>
        </w:rPr>
      </w:pPr>
    </w:p>
    <w:p w14:paraId="37E541E5" w14:textId="77777777" w:rsidR="00F35C98" w:rsidRPr="00BE0A4A" w:rsidRDefault="00F35C98" w:rsidP="00F35C98">
      <w:pPr>
        <w:widowControl w:val="0"/>
        <w:autoSpaceDE w:val="0"/>
        <w:autoSpaceDN w:val="0"/>
        <w:adjustRightInd w:val="0"/>
        <w:spacing w:line="360" w:lineRule="auto"/>
        <w:rPr>
          <w:rFonts w:ascii="Arial" w:hAnsi="Arial" w:cs="Arial"/>
          <w:color w:val="FF0000"/>
        </w:rPr>
      </w:pPr>
    </w:p>
    <w:p w14:paraId="711DCD6C" w14:textId="77777777" w:rsidR="00F35C98" w:rsidRPr="00BE0A4A" w:rsidRDefault="00F35C98" w:rsidP="00F35C98">
      <w:pPr>
        <w:widowControl w:val="0"/>
        <w:autoSpaceDE w:val="0"/>
        <w:autoSpaceDN w:val="0"/>
        <w:adjustRightInd w:val="0"/>
        <w:spacing w:line="360" w:lineRule="auto"/>
        <w:rPr>
          <w:rFonts w:ascii="Arial" w:hAnsi="Arial" w:cs="Arial"/>
          <w:color w:val="FF0000"/>
        </w:rPr>
      </w:pPr>
    </w:p>
    <w:p w14:paraId="1F5EA345" w14:textId="77777777" w:rsidR="00F35C98" w:rsidRPr="00BE0A4A" w:rsidRDefault="00F35C98" w:rsidP="00F35C98">
      <w:pPr>
        <w:widowControl w:val="0"/>
        <w:autoSpaceDE w:val="0"/>
        <w:autoSpaceDN w:val="0"/>
        <w:adjustRightInd w:val="0"/>
        <w:spacing w:line="360" w:lineRule="auto"/>
        <w:rPr>
          <w:rFonts w:ascii="Arial" w:hAnsi="Arial" w:cs="Arial"/>
          <w:color w:val="FF0000"/>
        </w:rPr>
      </w:pPr>
    </w:p>
    <w:p w14:paraId="0CAA4B70" w14:textId="77777777" w:rsidR="00F35C98" w:rsidRPr="00BE0A4A" w:rsidRDefault="00F35C98" w:rsidP="00F35C98">
      <w:pPr>
        <w:widowControl w:val="0"/>
        <w:autoSpaceDE w:val="0"/>
        <w:autoSpaceDN w:val="0"/>
        <w:adjustRightInd w:val="0"/>
        <w:spacing w:line="360" w:lineRule="auto"/>
        <w:rPr>
          <w:rFonts w:ascii="Arial" w:hAnsi="Arial" w:cs="Arial"/>
          <w:color w:val="FF0000"/>
        </w:rPr>
      </w:pPr>
    </w:p>
    <w:p w14:paraId="7C1CB218" w14:textId="77777777" w:rsidR="00F35C98" w:rsidRPr="00A2385E" w:rsidRDefault="00F35C98" w:rsidP="00190781">
      <w:pPr>
        <w:spacing w:line="480" w:lineRule="auto"/>
        <w:rPr>
          <w:rFonts w:ascii="Arial" w:hAnsi="Arial" w:cs="Arial"/>
          <w:b/>
        </w:rPr>
      </w:pPr>
    </w:p>
    <w:p w14:paraId="73E93B93" w14:textId="77777777" w:rsidR="00D12A1E" w:rsidRPr="00907E32" w:rsidRDefault="00D12A1E" w:rsidP="00907E32">
      <w:pPr>
        <w:spacing w:line="480" w:lineRule="auto"/>
        <w:rPr>
          <w:rFonts w:ascii="Arial" w:hAnsi="Arial" w:cs="Arial"/>
        </w:rPr>
      </w:pPr>
    </w:p>
    <w:p w14:paraId="559F7627" w14:textId="77777777" w:rsidR="0051444C" w:rsidRPr="00907E32" w:rsidRDefault="0051444C" w:rsidP="00907E32">
      <w:pPr>
        <w:spacing w:line="480" w:lineRule="auto"/>
        <w:rPr>
          <w:rFonts w:ascii="Arial" w:hAnsi="Arial" w:cs="Arial"/>
        </w:rPr>
      </w:pPr>
    </w:p>
    <w:sectPr w:rsidR="0051444C" w:rsidRPr="0090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D2C78"/>
    <w:multiLevelType w:val="hybridMultilevel"/>
    <w:tmpl w:val="B7A02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7CD"/>
    <w:rsid w:val="000232DE"/>
    <w:rsid w:val="000409FE"/>
    <w:rsid w:val="00042ED1"/>
    <w:rsid w:val="000462AE"/>
    <w:rsid w:val="00060F13"/>
    <w:rsid w:val="00067817"/>
    <w:rsid w:val="00091241"/>
    <w:rsid w:val="000A10FA"/>
    <w:rsid w:val="00123EFA"/>
    <w:rsid w:val="00164BA3"/>
    <w:rsid w:val="00174648"/>
    <w:rsid w:val="00190781"/>
    <w:rsid w:val="0019715A"/>
    <w:rsid w:val="001D365D"/>
    <w:rsid w:val="001D52C1"/>
    <w:rsid w:val="00234874"/>
    <w:rsid w:val="00286D6F"/>
    <w:rsid w:val="002A747D"/>
    <w:rsid w:val="002D4DD3"/>
    <w:rsid w:val="002E7C73"/>
    <w:rsid w:val="003C733C"/>
    <w:rsid w:val="003D32E4"/>
    <w:rsid w:val="003D3702"/>
    <w:rsid w:val="00411813"/>
    <w:rsid w:val="004A1964"/>
    <w:rsid w:val="0051444C"/>
    <w:rsid w:val="005A3391"/>
    <w:rsid w:val="005C2224"/>
    <w:rsid w:val="005D20C2"/>
    <w:rsid w:val="00612765"/>
    <w:rsid w:val="0061649E"/>
    <w:rsid w:val="006218AF"/>
    <w:rsid w:val="00627AE7"/>
    <w:rsid w:val="00651906"/>
    <w:rsid w:val="006B1B84"/>
    <w:rsid w:val="006B270D"/>
    <w:rsid w:val="006E3A9D"/>
    <w:rsid w:val="006E47CD"/>
    <w:rsid w:val="007164BF"/>
    <w:rsid w:val="007433CD"/>
    <w:rsid w:val="00752ED4"/>
    <w:rsid w:val="0079146A"/>
    <w:rsid w:val="007A4A91"/>
    <w:rsid w:val="007C42CA"/>
    <w:rsid w:val="007D3E40"/>
    <w:rsid w:val="0083584C"/>
    <w:rsid w:val="00841267"/>
    <w:rsid w:val="008529C3"/>
    <w:rsid w:val="00855AB3"/>
    <w:rsid w:val="00874E05"/>
    <w:rsid w:val="008A1768"/>
    <w:rsid w:val="008B6AA3"/>
    <w:rsid w:val="008E3871"/>
    <w:rsid w:val="008E4D08"/>
    <w:rsid w:val="0090458E"/>
    <w:rsid w:val="00907E32"/>
    <w:rsid w:val="00910311"/>
    <w:rsid w:val="00962594"/>
    <w:rsid w:val="00990532"/>
    <w:rsid w:val="009A4F16"/>
    <w:rsid w:val="009A6E66"/>
    <w:rsid w:val="009B10BE"/>
    <w:rsid w:val="009D0019"/>
    <w:rsid w:val="009D2F1E"/>
    <w:rsid w:val="00A27CEF"/>
    <w:rsid w:val="00AA0E3C"/>
    <w:rsid w:val="00AD13D9"/>
    <w:rsid w:val="00B45C10"/>
    <w:rsid w:val="00B743FD"/>
    <w:rsid w:val="00B85D2E"/>
    <w:rsid w:val="00B93108"/>
    <w:rsid w:val="00BF7FAF"/>
    <w:rsid w:val="00C61D7A"/>
    <w:rsid w:val="00C96A4A"/>
    <w:rsid w:val="00D12A1E"/>
    <w:rsid w:val="00D137DA"/>
    <w:rsid w:val="00D545BD"/>
    <w:rsid w:val="00D545E8"/>
    <w:rsid w:val="00D6645E"/>
    <w:rsid w:val="00D737E0"/>
    <w:rsid w:val="00D843D3"/>
    <w:rsid w:val="00D950A3"/>
    <w:rsid w:val="00D95A0A"/>
    <w:rsid w:val="00DE06C8"/>
    <w:rsid w:val="00E2414F"/>
    <w:rsid w:val="00E978D3"/>
    <w:rsid w:val="00EE5B09"/>
    <w:rsid w:val="00EE5C81"/>
    <w:rsid w:val="00F35A47"/>
    <w:rsid w:val="00F35C98"/>
    <w:rsid w:val="00F5189F"/>
    <w:rsid w:val="00FB7942"/>
    <w:rsid w:val="00FC4E76"/>
    <w:rsid w:val="00FC5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9A801A"/>
  <w15:docId w15:val="{FDB2DF2B-191D-4C88-B7A9-37D29E4ED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267"/>
    <w:pPr>
      <w:ind w:left="720"/>
      <w:contextualSpacing/>
    </w:pPr>
  </w:style>
  <w:style w:type="paragraph" w:styleId="BalloonText">
    <w:name w:val="Balloon Text"/>
    <w:basedOn w:val="Normal"/>
    <w:link w:val="BalloonTextChar"/>
    <w:uiPriority w:val="99"/>
    <w:semiHidden/>
    <w:unhideWhenUsed/>
    <w:rsid w:val="00F35C9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C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Katharine</dc:creator>
  <cp:lastModifiedBy>Nayak, Satyaprakash</cp:lastModifiedBy>
  <cp:revision>11</cp:revision>
  <dcterms:created xsi:type="dcterms:W3CDTF">2019-02-08T14:57:00Z</dcterms:created>
  <dcterms:modified xsi:type="dcterms:W3CDTF">2020-04-26T20:41:00Z</dcterms:modified>
</cp:coreProperties>
</file>