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2022年</w:t>
      </w:r>
      <w:r>
        <w:rPr>
          <w:rFonts w:hint="eastAsia"/>
          <w:lang w:eastAsia="zh-CN"/>
        </w:rPr>
        <w:t>宋家庚终总</w:t>
      </w:r>
      <w:r>
        <w:t>结</w:t>
      </w:r>
      <w:bookmarkStart w:id="25" w:name="_GoBack"/>
      <w:bookmarkEnd w:id="25"/>
    </w:p>
    <w:p>
      <w:pPr>
        <w:pStyle w:val="2"/>
      </w:pPr>
      <w:bookmarkStart w:id="0" w:name="技术业绩贡献"/>
      <w:r>
        <w:t>1 技术&amp;业绩贡献</w:t>
      </w:r>
      <w:bookmarkEnd w:id="0"/>
    </w:p>
    <w:p>
      <w:pPr>
        <w:pStyle w:val="4"/>
      </w:pPr>
      <w:bookmarkStart w:id="1" w:name="广州科贸数据治理项目-后端开发与实施-10月份"/>
      <w:r>
        <w:t>1.1 「广州科贸数据治理项目」-后端开发与实施-10月份</w:t>
      </w:r>
      <w:bookmarkEnd w:id="1"/>
    </w:p>
    <w:p>
      <w:pPr>
        <w:pStyle w:val="5"/>
      </w:pPr>
      <w:bookmarkStart w:id="2" w:name="项目背景与目标"/>
      <w:r>
        <w:t>1.1.1 项目背景与目标</w:t>
      </w:r>
      <w:bookmarkEnd w:id="2"/>
    </w:p>
    <w:p>
      <w:pPr>
        <w:pStyle w:val="23"/>
      </w:pPr>
      <w:r>
        <w:t>项目内容是根据广州科技贸易职业学院的项目标书对数据治理进行新功能的开发，以及进入学校进行项目实施。</w:t>
      </w:r>
    </w:p>
    <w:p>
      <w:pPr>
        <w:pStyle w:val="5"/>
      </w:pPr>
      <w:bookmarkStart w:id="3" w:name="工作内容"/>
      <w:r>
        <w:t>1.1.2 工作内容</w:t>
      </w:r>
      <w:bookmarkEnd w:id="3"/>
    </w:p>
    <w:p>
      <w:pPr>
        <w:pStyle w:val="6"/>
      </w:pPr>
      <w:bookmarkStart w:id="4" w:name="需求开发"/>
      <w:r>
        <w:t>1.1.2.1 需求开发</w:t>
      </w:r>
      <w:bookmarkEnd w:id="4"/>
    </w:p>
    <w:p>
      <w:pPr>
        <w:pStyle w:val="24"/>
        <w:numPr>
          <w:ilvl w:val="0"/>
          <w:numId w:val="1"/>
        </w:numPr>
      </w:pPr>
      <w:r>
        <w:t>元数据采集支持DB2数据库</w:t>
      </w:r>
    </w:p>
    <w:p>
      <w:pPr>
        <w:pStyle w:val="24"/>
        <w:numPr>
          <w:ilvl w:val="0"/>
          <w:numId w:val="1"/>
        </w:numPr>
      </w:pPr>
      <w:r>
        <w:t>数据共享开放</w:t>
      </w:r>
    </w:p>
    <w:p>
      <w:pPr>
        <w:pStyle w:val="24"/>
        <w:numPr>
          <w:ilvl w:val="1"/>
          <w:numId w:val="1"/>
        </w:numPr>
      </w:pPr>
      <w:r>
        <w:t>数据共享模块迁移</w:t>
      </w:r>
    </w:p>
    <w:p>
      <w:pPr>
        <w:pStyle w:val="24"/>
        <w:numPr>
          <w:ilvl w:val="1"/>
          <w:numId w:val="1"/>
        </w:numPr>
      </w:pPr>
      <w:r>
        <w:t>数据共享api鉴权</w:t>
      </w:r>
    </w:p>
    <w:p>
      <w:pPr>
        <w:pStyle w:val="24"/>
        <w:numPr>
          <w:ilvl w:val="2"/>
          <w:numId w:val="1"/>
        </w:numPr>
      </w:pPr>
      <w:r>
        <w:t>ip白名单后端开发</w:t>
      </w:r>
    </w:p>
    <w:p>
      <w:pPr>
        <w:pStyle w:val="24"/>
        <w:numPr>
          <w:ilvl w:val="2"/>
          <w:numId w:val="1"/>
        </w:numPr>
      </w:pPr>
      <w:r>
        <w:t>用户名密码鉴权</w:t>
      </w:r>
    </w:p>
    <w:p>
      <w:pPr>
        <w:pStyle w:val="24"/>
        <w:numPr>
          <w:ilvl w:val="1"/>
          <w:numId w:val="1"/>
        </w:numPr>
      </w:pPr>
      <w:r>
        <w:t>数据共享api日志记录</w:t>
      </w:r>
    </w:p>
    <w:p>
      <w:pPr>
        <w:pStyle w:val="24"/>
        <w:numPr>
          <w:ilvl w:val="1"/>
          <w:numId w:val="1"/>
        </w:numPr>
      </w:pPr>
      <w:r>
        <w:t>实体上下架</w:t>
      </w:r>
    </w:p>
    <w:p>
      <w:pPr>
        <w:pStyle w:val="24"/>
        <w:numPr>
          <w:ilvl w:val="1"/>
          <w:numId w:val="1"/>
        </w:numPr>
      </w:pPr>
      <w:r>
        <w:t>数据共享-视图共享</w:t>
      </w:r>
    </w:p>
    <w:p>
      <w:pPr>
        <w:pStyle w:val="24"/>
        <w:numPr>
          <w:ilvl w:val="0"/>
          <w:numId w:val="1"/>
        </w:numPr>
      </w:pPr>
      <w:r>
        <w:t>数据归档</w:t>
      </w:r>
    </w:p>
    <w:p>
      <w:pPr>
        <w:pStyle w:val="24"/>
        <w:numPr>
          <w:ilvl w:val="1"/>
          <w:numId w:val="1"/>
        </w:numPr>
      </w:pPr>
      <w:r>
        <w:t>数据归档-还原功能</w:t>
      </w:r>
    </w:p>
    <w:p>
      <w:pPr>
        <w:pStyle w:val="24"/>
        <w:numPr>
          <w:ilvl w:val="0"/>
          <w:numId w:val="1"/>
        </w:numPr>
      </w:pPr>
      <w:r>
        <w:t>数据集成</w:t>
      </w:r>
    </w:p>
    <w:p>
      <w:pPr>
        <w:pStyle w:val="24"/>
        <w:numPr>
          <w:ilvl w:val="1"/>
          <w:numId w:val="1"/>
        </w:numPr>
      </w:pPr>
      <w:r>
        <w:t>自动生成值域转换规则</w:t>
      </w:r>
    </w:p>
    <w:p>
      <w:pPr>
        <w:pStyle w:val="24"/>
        <w:numPr>
          <w:ilvl w:val="0"/>
          <w:numId w:val="1"/>
        </w:numPr>
      </w:pPr>
      <w:r>
        <w:t>高基表数据展示应用后端开发</w:t>
      </w:r>
    </w:p>
    <w:p>
      <w:pPr>
        <w:pStyle w:val="6"/>
      </w:pPr>
      <w:bookmarkStart w:id="5" w:name="产品优化推动"/>
      <w:r>
        <w:t>1.1.2.2 产品优化推动</w:t>
      </w:r>
      <w:bookmarkEnd w:id="5"/>
    </w:p>
    <w:p>
      <w:pPr>
        <w:pStyle w:val="24"/>
        <w:numPr>
          <w:ilvl w:val="0"/>
          <w:numId w:val="1"/>
        </w:numPr>
      </w:pPr>
      <w:r>
        <w:rPr>
          <w:b/>
        </w:rPr>
        <w:t>元数据管理</w:t>
      </w:r>
    </w:p>
    <w:p>
      <w:pPr>
        <w:pStyle w:val="24"/>
        <w:numPr>
          <w:ilvl w:val="1"/>
          <w:numId w:val="1"/>
        </w:numPr>
      </w:pPr>
      <w:r>
        <w:t>元数据管理易用性改进</w:t>
      </w:r>
      <w:r>
        <w:br w:type="textWrapping"/>
      </w:r>
      <w:r>
        <w:t>原先的元数据管理界面对于操作太不友好，无法一眼看到可以理解的中文信息</w:t>
      </w:r>
    </w:p>
    <w:p>
      <w:pPr>
        <w:pStyle w:val="24"/>
        <w:numPr>
          <w:ilvl w:val="1"/>
          <w:numId w:val="1"/>
        </w:numPr>
      </w:pPr>
      <w:r>
        <w:t>修复库迁移无法迁移到来源库的注释的问题</w:t>
      </w:r>
    </w:p>
    <w:p>
      <w:pPr>
        <w:pStyle w:val="24"/>
        <w:numPr>
          <w:ilvl w:val="0"/>
          <w:numId w:val="1"/>
        </w:numPr>
      </w:pPr>
      <w:r>
        <w:rPr>
          <w:b/>
        </w:rPr>
        <w:t>数据集成</w:t>
      </w:r>
    </w:p>
    <w:p>
      <w:pPr>
        <w:pStyle w:val="24"/>
        <w:numPr>
          <w:ilvl w:val="1"/>
          <w:numId w:val="1"/>
        </w:numPr>
      </w:pPr>
      <w:r>
        <w:t>ETL流程-字段映射组件易用性改进</w:t>
      </w:r>
      <w:r>
        <w:br w:type="textWrapping"/>
      </w:r>
      <w:r>
        <w:t>原先的字段映射组件界面操作效率太低，需要在数据库管理工具、表结构文档、数据管理系统之间来回切换才能获得对应的操作信息。</w:t>
      </w:r>
    </w:p>
    <w:p>
      <w:pPr>
        <w:pStyle w:val="24"/>
        <w:numPr>
          <w:ilvl w:val="0"/>
          <w:numId w:val="1"/>
        </w:numPr>
      </w:pPr>
      <w:r>
        <w:rPr>
          <w:b/>
        </w:rPr>
        <w:t>数据共享</w:t>
      </w:r>
    </w:p>
    <w:p>
      <w:pPr>
        <w:pStyle w:val="24"/>
        <w:numPr>
          <w:ilvl w:val="1"/>
          <w:numId w:val="1"/>
        </w:numPr>
      </w:pPr>
      <w:r>
        <w:t>共享API文档导出功能</w:t>
      </w:r>
      <w:r>
        <w:br w:type="textWrapping"/>
      </w:r>
      <w:r>
        <w:t>配置出了API还需要手动写API文档，极为影响效率</w:t>
      </w:r>
    </w:p>
    <w:p>
      <w:pPr>
        <w:pStyle w:val="24"/>
        <w:numPr>
          <w:ilvl w:val="0"/>
          <w:numId w:val="1"/>
        </w:numPr>
      </w:pPr>
      <w:r>
        <w:rPr>
          <w:b/>
        </w:rPr>
        <w:t>元数据采集</w:t>
      </w:r>
    </w:p>
    <w:p>
      <w:pPr>
        <w:pStyle w:val="24"/>
        <w:numPr>
          <w:ilvl w:val="1"/>
          <w:numId w:val="1"/>
        </w:numPr>
      </w:pPr>
      <w:r>
        <w:t>元数据采集新增属性：字段数据量、字段示例值</w:t>
      </w:r>
      <w:r>
        <w:br w:type="textWrapping"/>
      </w:r>
      <w:r>
        <w:t>实际清洗采集标准数据时总是会关注</w:t>
      </w:r>
      <w:r>
        <w:rPr>
          <w:b/>
        </w:rPr>
        <w:t>字段数据量、字段示例值</w:t>
      </w:r>
      <w:r>
        <w:t>的信息，需要在数据库管理工具查询对应数据是否可用后，回到系统界面来进行配置操作，极为繁琐、对操作人员要求较高：需要懂得操作数据库。</w:t>
      </w:r>
    </w:p>
    <w:p>
      <w:pPr>
        <w:pStyle w:val="24"/>
        <w:numPr>
          <w:ilvl w:val="1"/>
          <w:numId w:val="1"/>
        </w:numPr>
      </w:pPr>
      <w:r>
        <w:t>修正无法采集Oracle数据库注释的问题</w:t>
      </w:r>
      <w:r>
        <w:br w:type="textWrapping"/>
      </w:r>
      <w:r>
        <w:t>原先系统无法采集到Oracle的数据库注释，导致采集Oracle数据库的时候，需要时刻对照表结构文档来配置流程。</w:t>
      </w:r>
    </w:p>
    <w:p>
      <w:pPr>
        <w:pStyle w:val="24"/>
        <w:numPr>
          <w:ilvl w:val="1"/>
          <w:numId w:val="1"/>
        </w:numPr>
      </w:pPr>
      <w:r>
        <w:t>修复数据中心在元数据重新采集后无法查看数据的问题</w:t>
      </w:r>
    </w:p>
    <w:p>
      <w:pPr>
        <w:pStyle w:val="24"/>
        <w:numPr>
          <w:ilvl w:val="1"/>
          <w:numId w:val="1"/>
        </w:numPr>
      </w:pPr>
      <w:r>
        <w:t>修复元数据采集无法同时执行多个任务的问题</w:t>
      </w:r>
      <w:r>
        <w:br w:type="textWrapping"/>
      </w:r>
      <w:r>
        <w:t>多个元数据采集任务同时执行时，只有一个能够执行成功，严重影响元数据采集的效率。</w:t>
      </w:r>
    </w:p>
    <w:p>
      <w:pPr>
        <w:pStyle w:val="24"/>
        <w:numPr>
          <w:ilvl w:val="0"/>
          <w:numId w:val="1"/>
        </w:numPr>
      </w:pPr>
      <w:r>
        <w:rPr>
          <w:b/>
        </w:rPr>
        <w:t>ETL任务</w:t>
      </w:r>
    </w:p>
    <w:p>
      <w:pPr>
        <w:pStyle w:val="24"/>
        <w:numPr>
          <w:ilvl w:val="1"/>
          <w:numId w:val="1"/>
        </w:numPr>
      </w:pPr>
      <w:r>
        <w:t>改进大量任务、大数据量采集时采集引擎宕机的问题</w:t>
      </w:r>
      <w:r>
        <w:br w:type="textWrapping"/>
      </w:r>
      <w:r>
        <w:t>原先数据量超过百万条的数据采集就会导致内存爆满，进而导致系统宕机，无法正常提供服务</w:t>
      </w:r>
    </w:p>
    <w:p>
      <w:pPr>
        <w:pStyle w:val="24"/>
        <w:numPr>
          <w:ilvl w:val="1"/>
          <w:numId w:val="1"/>
        </w:numPr>
      </w:pPr>
      <w:r>
        <w:t>修复etl任务执行失败无法再次执行的问题</w:t>
      </w:r>
    </w:p>
    <w:p>
      <w:pPr>
        <w:pStyle w:val="6"/>
      </w:pPr>
      <w:bookmarkStart w:id="6" w:name="实施"/>
      <w:r>
        <w:t>1.1.2.3 实施</w:t>
      </w:r>
      <w:bookmarkEnd w:id="6"/>
    </w:p>
    <w:p>
      <w:pPr>
        <w:pStyle w:val="24"/>
        <w:numPr>
          <w:ilvl w:val="0"/>
          <w:numId w:val="1"/>
        </w:numPr>
      </w:pPr>
      <w:r>
        <w:t>部署手册编写</w:t>
      </w:r>
    </w:p>
    <w:p>
      <w:pPr>
        <w:pStyle w:val="24"/>
        <w:numPr>
          <w:ilvl w:val="0"/>
          <w:numId w:val="1"/>
        </w:numPr>
      </w:pPr>
      <w:r>
        <w:t>部署脚本编写</w:t>
      </w:r>
    </w:p>
    <w:p>
      <w:pPr>
        <w:pStyle w:val="24"/>
        <w:numPr>
          <w:ilvl w:val="0"/>
          <w:numId w:val="1"/>
        </w:numPr>
      </w:pPr>
      <w:r>
        <w:t>搭建内网穿透实现远程运维</w:t>
      </w:r>
    </w:p>
    <w:p>
      <w:pPr>
        <w:pStyle w:val="6"/>
      </w:pPr>
      <w:bookmarkStart w:id="7" w:name="数据运维"/>
      <w:r>
        <w:t>1.1.2.4 数据运维</w:t>
      </w:r>
      <w:bookmarkEnd w:id="7"/>
    </w:p>
    <w:p>
      <w:pPr>
        <w:pStyle w:val="24"/>
        <w:numPr>
          <w:ilvl w:val="0"/>
          <w:numId w:val="1"/>
        </w:numPr>
      </w:pPr>
      <w:r>
        <w:t>数据摸排与权限申请</w:t>
      </w:r>
    </w:p>
    <w:p>
      <w:pPr>
        <w:pStyle w:val="24"/>
        <w:numPr>
          <w:ilvl w:val="1"/>
          <w:numId w:val="1"/>
        </w:numPr>
      </w:pPr>
      <w:r>
        <w:t>摸排到学校共有13个业务系统，总数据量达到6千万</w:t>
      </w:r>
    </w:p>
    <w:p>
      <w:pPr>
        <w:pStyle w:val="24"/>
        <w:numPr>
          <w:ilvl w:val="0"/>
          <w:numId w:val="1"/>
        </w:numPr>
      </w:pPr>
      <w:r>
        <w:t>原始库采集</w:t>
      </w:r>
    </w:p>
    <w:p>
      <w:pPr>
        <w:pStyle w:val="24"/>
        <w:numPr>
          <w:ilvl w:val="0"/>
          <w:numId w:val="1"/>
        </w:numPr>
      </w:pPr>
      <w:r>
        <w:t>标准库采集</w:t>
      </w:r>
    </w:p>
    <w:p>
      <w:pPr>
        <w:pStyle w:val="24"/>
        <w:numPr>
          <w:ilvl w:val="0"/>
          <w:numId w:val="1"/>
        </w:numPr>
      </w:pPr>
      <w:r>
        <w:t>高基表数据采集</w:t>
      </w:r>
    </w:p>
    <w:p>
      <w:pPr>
        <w:pStyle w:val="5"/>
      </w:pPr>
      <w:bookmarkStart w:id="8" w:name="产出和成果"/>
      <w:r>
        <w:t>1.1.3 产出和成果</w:t>
      </w:r>
      <w:bookmarkEnd w:id="8"/>
    </w:p>
    <w:p>
      <w:pPr>
        <w:pStyle w:val="24"/>
        <w:numPr>
          <w:ilvl w:val="0"/>
          <w:numId w:val="2"/>
        </w:numPr>
      </w:pPr>
      <w:r>
        <w:t>需求开发部分，按照计划排期准时进行了提测交付</w:t>
      </w:r>
    </w:p>
    <w:p>
      <w:pPr>
        <w:pStyle w:val="24"/>
        <w:numPr>
          <w:ilvl w:val="0"/>
          <w:numId w:val="2"/>
        </w:numPr>
      </w:pPr>
      <w:r>
        <w:t>产品优化推动</w:t>
      </w:r>
    </w:p>
    <w:p>
      <w:pPr>
        <w:pStyle w:val="24"/>
        <w:numPr>
          <w:ilvl w:val="1"/>
          <w:numId w:val="3"/>
        </w:numPr>
        <w:tabs>
          <w:tab w:val="left" w:pos="720"/>
        </w:tabs>
      </w:pPr>
      <w:r>
        <w:t>元数据管理、数据集成、元数据采集等模块的优化，提高了数据运维的效率，将原先需要两、三个界面切换才能获取足够信息进行数据采集配置的部分，简化为一个步骤，甚至扫一眼就能获得对应的信息；还降低了数据运维的门槛，使得非技术人员也能更加简易的使用系统进行数据运维。</w:t>
      </w:r>
    </w:p>
    <w:p>
      <w:pPr>
        <w:pStyle w:val="24"/>
        <w:numPr>
          <w:ilvl w:val="1"/>
          <w:numId w:val="3"/>
        </w:numPr>
        <w:tabs>
          <w:tab w:val="left" w:pos="720"/>
        </w:tabs>
      </w:pPr>
      <w:r>
        <w:t>元数据采集、ETL任务模块的优化解决了系统不稳定的问题，使的系统能够承担更加繁重的采集任务，优化后，采集系统可以承担数据量超过6千万而不会导致宕机的问题。</w:t>
      </w:r>
    </w:p>
    <w:p>
      <w:pPr>
        <w:pStyle w:val="24"/>
        <w:numPr>
          <w:ilvl w:val="0"/>
          <w:numId w:val="2"/>
        </w:numPr>
      </w:pPr>
      <w:r>
        <w:t>实施</w:t>
      </w:r>
    </w:p>
    <w:p>
      <w:pPr>
        <w:pStyle w:val="24"/>
        <w:numPr>
          <w:ilvl w:val="1"/>
          <w:numId w:val="4"/>
        </w:numPr>
        <w:tabs>
          <w:tab w:val="left" w:pos="720"/>
        </w:tabs>
      </w:pPr>
      <w:r>
        <w:t>实施手册与脚本的编写记录了部署系统的全部操作，可以完全按照手册快速部署出可以自动恢复运行的系统。</w:t>
      </w:r>
    </w:p>
    <w:p>
      <w:pPr>
        <w:pStyle w:val="24"/>
        <w:numPr>
          <w:ilvl w:val="1"/>
          <w:numId w:val="4"/>
        </w:numPr>
        <w:tabs>
          <w:tab w:val="left" w:pos="720"/>
        </w:tabs>
      </w:pPr>
      <w:r>
        <w:t>搭建的内网穿透实现了远程运维，节省了现场运维的人力成本，按照学校要求，所有运维、实施都需要到达现场，搭建了内网穿透后只需一位运维岗人员在现场，可以有更多其他开发岗同事同时远程到学校。</w:t>
      </w:r>
    </w:p>
    <w:p>
      <w:pPr>
        <w:pStyle w:val="4"/>
      </w:pPr>
      <w:bookmarkStart w:id="9" w:name="知彦官网-后端开发-8月份"/>
      <w:r>
        <w:t>1.2 「知彦官网」-后端开发-8月份</w:t>
      </w:r>
      <w:bookmarkEnd w:id="9"/>
    </w:p>
    <w:p>
      <w:pPr>
        <w:pStyle w:val="5"/>
      </w:pPr>
      <w:bookmarkStart w:id="10" w:name="项目背景与目标-1"/>
      <w:r>
        <w:t>1.2.1 项目背景与目标</w:t>
      </w:r>
      <w:bookmarkEnd w:id="10"/>
    </w:p>
    <w:p>
      <w:pPr>
        <w:pStyle w:val="23"/>
      </w:pPr>
      <w:r>
        <w:t>按照原型设计完成知彦官网的前台与后台开发</w:t>
      </w:r>
    </w:p>
    <w:p>
      <w:pPr>
        <w:pStyle w:val="5"/>
      </w:pPr>
      <w:bookmarkStart w:id="11" w:name="工作内容-1"/>
      <w:r>
        <w:t>1.2.2 工作内容</w:t>
      </w:r>
      <w:bookmarkEnd w:id="11"/>
    </w:p>
    <w:p>
      <w:pPr>
        <w:pStyle w:val="6"/>
      </w:pPr>
      <w:bookmarkStart w:id="12" w:name="时间排期"/>
      <w:r>
        <w:t>1.2.2.1 时间排期</w:t>
      </w:r>
      <w:bookmarkEnd w:id="12"/>
    </w:p>
    <w:p>
      <w:pPr>
        <w:pStyle w:val="23"/>
      </w:pPr>
      <w:r>
        <w:t>对项目进行需求梳理、分析需求，进行项目排期。</w:t>
      </w:r>
    </w:p>
    <w:p>
      <w:pPr>
        <w:pStyle w:val="6"/>
      </w:pPr>
      <w:bookmarkStart w:id="13" w:name="数据库设设计"/>
      <w:r>
        <w:t>1.2.2.1 数据库设设计</w:t>
      </w:r>
      <w:bookmarkEnd w:id="13"/>
    </w:p>
    <w:p>
      <w:pPr>
        <w:pStyle w:val="23"/>
      </w:pPr>
      <w:r>
        <w:t>按照原型设计中的首页、产品、解决方案、案例、留资表单等页面，设计相关的表结构，并进行数据库设计评审</w:t>
      </w:r>
    </w:p>
    <w:p>
      <w:pPr>
        <w:pStyle w:val="6"/>
      </w:pPr>
      <w:bookmarkStart w:id="14" w:name="整体设计与开发"/>
      <w:r>
        <w:t>1.2.2.1 整体设计与开发</w:t>
      </w:r>
      <w:bookmarkEnd w:id="14"/>
    </w:p>
    <w:p>
      <w:pPr>
        <w:pStyle w:val="23"/>
      </w:pPr>
      <w:r>
        <w:t>按照数据库设计，对相关代码结构进行整体设计，模块间互相协作，编写可复用、易维护的代码</w:t>
      </w:r>
    </w:p>
    <w:p>
      <w:pPr>
        <w:pStyle w:val="5"/>
      </w:pPr>
      <w:bookmarkStart w:id="15" w:name="产出和成果-1"/>
      <w:r>
        <w:t>1.2.3 产出和成果</w:t>
      </w:r>
      <w:bookmarkEnd w:id="15"/>
    </w:p>
    <w:p>
      <w:pPr>
        <w:pStyle w:val="23"/>
      </w:pPr>
      <w:r>
        <w:t>按照排期准时完成了知彦官网的开发</w:t>
      </w:r>
    </w:p>
    <w:p>
      <w:pPr>
        <w:pStyle w:val="2"/>
      </w:pPr>
      <w:bookmarkStart w:id="16" w:name="专业能力"/>
      <w:r>
        <w:t>2 专业能力</w:t>
      </w:r>
      <w:bookmarkEnd w:id="16"/>
    </w:p>
    <w:p>
      <w:pPr>
        <w:pStyle w:val="4"/>
      </w:pPr>
      <w:bookmarkStart w:id="17" w:name="架构设计能力"/>
      <w:r>
        <w:t>2.1 架构设计能力</w:t>
      </w:r>
      <w:bookmarkEnd w:id="17"/>
    </w:p>
    <w:p>
      <w:pPr>
        <w:pStyle w:val="24"/>
        <w:numPr>
          <w:ilvl w:val="0"/>
          <w:numId w:val="1"/>
        </w:numPr>
      </w:pPr>
      <w:r>
        <w:t>优化ETL任务的执行：原先ETL执行时，碰到大数据量的任务，会导致系统宕机，优化后使用拉数据的方式按需加载数据到内存，执行同样的任务，采集万条数据时减少90%的内存占用，采集十万条数据时减少99%的内存占用</w:t>
      </w:r>
    </w:p>
    <w:p>
      <w:pPr>
        <w:pStyle w:val="24"/>
        <w:numPr>
          <w:ilvl w:val="0"/>
          <w:numId w:val="1"/>
        </w:numPr>
      </w:pPr>
      <w:r>
        <w:t>对需求中相似部分抽象，做出整体设计，从而实现代码复用提高开发效率；例如知彦官网中多种内容相似、且需要互相关联页面的情况，对其在存储层进行抽象，实现代码复用，提高了开发效率与代码可维护性。</w:t>
      </w:r>
    </w:p>
    <w:p>
      <w:pPr>
        <w:pStyle w:val="4"/>
      </w:pPr>
      <w:bookmarkStart w:id="18" w:name="开发能力"/>
      <w:r>
        <w:t>2.2 开发能力</w:t>
      </w:r>
      <w:bookmarkEnd w:id="18"/>
    </w:p>
    <w:p>
      <w:pPr>
        <w:pStyle w:val="24"/>
        <w:numPr>
          <w:ilvl w:val="0"/>
          <w:numId w:val="1"/>
        </w:numPr>
      </w:pPr>
      <w:r>
        <w:t>产品思维能力：根据使用的体验提出并实现操作逻辑的优化，将原来三到五个步骤的操作简化为单个操作即可完成，例如：字段映射、API文档编写、元数据搜索、表搜索等（可参考1.1.2.2章节的内容）</w:t>
      </w:r>
    </w:p>
    <w:p>
      <w:pPr>
        <w:pStyle w:val="24"/>
        <w:numPr>
          <w:ilvl w:val="0"/>
          <w:numId w:val="1"/>
        </w:numPr>
      </w:pPr>
      <w:r>
        <w:t>发现原先有设定代码规范，但是大多项目都没有实际遵守，实现了项目中自动化代码质量检测后，对提交的代码自动的进行质量上的过滤，保证代码的规范性，降低后续的维护成本。</w:t>
      </w:r>
    </w:p>
    <w:p>
      <w:pPr>
        <w:pStyle w:val="4"/>
      </w:pPr>
      <w:bookmarkStart w:id="19" w:name="运维能力"/>
      <w:r>
        <w:t>2.3 运维能力</w:t>
      </w:r>
      <w:bookmarkEnd w:id="19"/>
    </w:p>
    <w:p>
      <w:pPr>
        <w:pStyle w:val="24"/>
        <w:numPr>
          <w:ilvl w:val="0"/>
          <w:numId w:val="1"/>
        </w:numPr>
      </w:pPr>
      <w:r>
        <w:t>能够熟练的进行服务器部署脚本的编写，例如：广州科贸项目的部署脚本</w:t>
      </w:r>
    </w:p>
    <w:p>
      <w:pPr>
        <w:pStyle w:val="24"/>
        <w:numPr>
          <w:ilvl w:val="0"/>
          <w:numId w:val="1"/>
        </w:numPr>
      </w:pPr>
      <w:r>
        <w:t>快速进行bug响应，开发阶段时的bug停留时间一般不超过1天。</w:t>
      </w:r>
    </w:p>
    <w:p>
      <w:pPr>
        <w:pStyle w:val="4"/>
      </w:pPr>
      <w:bookmarkStart w:id="20" w:name="团队沟通"/>
      <w:r>
        <w:t>2.4 团队沟通</w:t>
      </w:r>
      <w:bookmarkEnd w:id="20"/>
    </w:p>
    <w:p>
      <w:pPr>
        <w:pStyle w:val="23"/>
      </w:pPr>
      <w:r>
        <w:t>能够在同事遇到问题进行求助时及时相应，帮忙解决问题。</w:t>
      </w:r>
    </w:p>
    <w:p>
      <w:pPr>
        <w:pStyle w:val="2"/>
      </w:pPr>
      <w:bookmarkStart w:id="21" w:name="自我总结"/>
      <w:r>
        <w:t>3 自我总结</w:t>
      </w:r>
      <w:bookmarkEnd w:id="21"/>
    </w:p>
    <w:p>
      <w:pPr>
        <w:pStyle w:val="4"/>
      </w:pPr>
      <w:bookmarkStart w:id="22" w:name="自身的问题"/>
      <w:r>
        <w:t>3.1 自身的问题</w:t>
      </w:r>
      <w:bookmarkEnd w:id="22"/>
    </w:p>
    <w:p>
      <w:pPr>
        <w:pStyle w:val="23"/>
      </w:pPr>
      <w:r>
        <w:t>实施科贸项目以来，发觉自己的耐心还是不够，在清洗数据、配置采集流程时没法敏锐的发现相关的数据，导致效率对比熟练的同事偏低。</w:t>
      </w:r>
    </w:p>
    <w:p>
      <w:pPr>
        <w:pStyle w:val="4"/>
      </w:pPr>
      <w:bookmarkStart w:id="23" w:name="发现的问题"/>
      <w:r>
        <w:t>3.2 发现的问题</w:t>
      </w:r>
      <w:bookmarkEnd w:id="23"/>
    </w:p>
    <w:p>
      <w:pPr>
        <w:pStyle w:val="24"/>
        <w:numPr>
          <w:ilvl w:val="0"/>
          <w:numId w:val="1"/>
        </w:numPr>
      </w:pPr>
      <w:r>
        <w:t>发现公司没有没有统一管理提测版本相关信息，导致无法回溯可用的测试版本</w:t>
      </w:r>
    </w:p>
    <w:p>
      <w:pPr>
        <w:pStyle w:val="24"/>
        <w:numPr>
          <w:ilvl w:val="0"/>
          <w:numId w:val="1"/>
        </w:numPr>
      </w:pPr>
      <w:r>
        <w:t>发现公司没有统一的代码构建环境与应用包仓库，导致需要应用包时需要人为重新构建</w:t>
      </w:r>
    </w:p>
    <w:p>
      <w:pPr>
        <w:pStyle w:val="24"/>
        <w:numPr>
          <w:ilvl w:val="0"/>
          <w:numId w:val="1"/>
        </w:numPr>
      </w:pPr>
      <w:r>
        <w:t>部署项目时没有使用外部配置文件，导致改配置都需要重新打包</w:t>
      </w:r>
    </w:p>
    <w:p>
      <w:pPr>
        <w:pStyle w:val="4"/>
      </w:pPr>
      <w:bookmarkStart w:id="24" w:name="个人发展方向"/>
      <w:r>
        <w:t>3.3 个人发展方向</w:t>
      </w:r>
      <w:bookmarkEnd w:id="24"/>
    </w:p>
    <w:p>
      <w:pPr>
        <w:pStyle w:val="23"/>
      </w:pPr>
      <w:r>
        <w:t>个人希望在技术上有更多的探索，能够通过技术上探索提升业务上的优化，例如学习AKKA组件，提高数据治理采集数据的执行效率；探索业界的数据计算引擎flink，是否可以应用到数据治理，以提升产品的竞争力。</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Gubbi"/>
    <w:panose1 w:val="02040503050406030204"/>
    <w:charset w:val="86"/>
    <w:family w:val="auto"/>
    <w:pitch w:val="default"/>
    <w:sig w:usb0="00000000"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微软雅黑">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lowerLetter"/>
      <w:lvlText w:val="%2."/>
      <w:lvlJc w:val="left"/>
      <w:pPr>
        <w:tabs>
          <w:tab w:val="left" w:pos="720"/>
        </w:tabs>
        <w:ind w:left="1200" w:hanging="480"/>
      </w:pPr>
    </w:lvl>
    <w:lvl w:ilvl="2" w:tentative="0">
      <w:start w:val="1"/>
      <w:numFmt w:val="lowerRoman"/>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lowerLetter"/>
      <w:lvlText w:val="%5."/>
      <w:lvlJc w:val="left"/>
      <w:pPr>
        <w:tabs>
          <w:tab w:val="left" w:pos="2880"/>
        </w:tabs>
        <w:ind w:left="3360" w:hanging="480"/>
      </w:pPr>
    </w:lvl>
    <w:lvl w:ilvl="5" w:tentative="0">
      <w:start w:val="1"/>
      <w:numFmt w:val="lowerRoman"/>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lowerLetter"/>
      <w:lvlText w:val="%8."/>
      <w:lvlJc w:val="left"/>
      <w:pPr>
        <w:tabs>
          <w:tab w:val="left" w:pos="5040"/>
        </w:tabs>
        <w:ind w:left="5520" w:hanging="480"/>
      </w:pPr>
    </w:lvl>
    <w:lvl w:ilvl="8" w:tentative="0">
      <w:start w:val="1"/>
      <w:numFmt w:val="lowerRoman"/>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3B759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qFormat/>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2023-01-08T23:56:00Z</dcterms:created>
  <dc:creator>songjg</dc:creator>
  <cp:lastModifiedBy>songjg</cp:lastModifiedBy>
  <dcterms:modified xsi:type="dcterms:W3CDTF">2023-01-08T23:57:46Z</dcterms:modified>
  <dc:title>2022年总结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2052-11.1.0.10920</vt:lpwstr>
  </property>
</Properties>
</file>