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Machote de registro de estrategia — NTEXECG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Ficha que se llena manualmente al dar de alta cada estrategia</w:t>
      </w:r>
    </w:p>
    <w:p>
      <w:pPr>
        <w:pBdr>
          <w:left w:val="single" w:color="1F4E79" w:sz="18" w:space="8"/>
        </w:pBdr>
        <w:spacing w:after="160" w:before="80"/>
        <w:ind w:left="180"/>
      </w:pPr>
      <w:r>
        <w:rPr>
          <w:i/>
          <w:iCs/>
          <w:color w:val="444444"/>
          <w:sz w:val="20"/>
          <w:szCs w:val="20"/>
        </w:rPr>
        <w:t xml:space="preserve">Flujo: crear perfil en NTEXECG → NTEXECG genera la URL única (estado disabled) → pegar URL en la alerta de LuxAlgo → completar esta ficha → pasar a enabled.</w:t>
      </w:r>
    </w:p>
    <w:p>
      <w:pPr>
        <w:pBdr>
          <w:left w:val="single" w:color="1F4E79" w:sz="18" w:space="8"/>
        </w:pBdr>
        <w:spacing w:after="160" w:before="80"/>
        <w:ind w:left="180"/>
      </w:pPr>
      <w:r>
        <w:rPr>
          <w:i/>
          <w:iCs/>
          <w:color w:val="444444"/>
          <w:sz w:val="20"/>
          <w:szCs w:val="20"/>
        </w:rPr>
        <w:t xml:space="preserve">Regla de oro: el perfil permanece disabled (no reenvía a TradersPost) hasta que esté completo y validado.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Leyenda:  </w:t>
      </w:r>
      <w:r>
        <w:rPr>
          <w:sz w:val="20"/>
          <w:szCs w:val="20"/>
        </w:rPr>
        <w:t xml:space="preserve">🔒 lo genera/gestiona NTEXECG    </w:t>
      </w:r>
      <w:r>
        <w:rPr>
          <w:sz w:val="20"/>
          <w:szCs w:val="20"/>
        </w:rPr>
        <w:t xml:space="preserve">✍️ lo llenas tú    </w:t>
      </w:r>
      <w:r>
        <w:rPr>
          <w:sz w:val="20"/>
          <w:szCs w:val="20"/>
        </w:rPr>
        <w:t xml:space="preserve">✅ guardarraíl de validación</w:t>
      </w:r>
    </w:p>
    <w:p>
      <w:pPr>
        <w:pStyle w:val="Heading1"/>
      </w:pPr>
      <w:r>
        <w:t xml:space="preserve">1. Identidad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interno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autogenerado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corto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Descripción completa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única (webhook de entrada)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https://ntexecg.../hook/______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generada al crear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de la URL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aleatorio, largo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disabled / enabled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/ 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alta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</w:tbl>
    <w:p>
      <w:pPr>
        <w:pStyle w:val="Heading1"/>
      </w:pPr>
      <w:r>
        <w:t xml:space="preserve">2. Definición de la estrategia (LuxAlgo) y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Toolkit / categoría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Signals &amp; Overlays / PAC / Oscillator Matrix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Gatillo (trigger)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Filtro 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Filtro 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Condición de salida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builtin-exits / señal contraria / ninguna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Periodo de backtest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inicio ______ → fin 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 operaciones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Winrate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 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Beneficio neto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 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Periodicidad / frecuencia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p. ej. ~1 señal/día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Tamaño de orden usado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unitario por defecto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</w:tbl>
    <w:p>
      <w:pPr>
        <w:pStyle w:val="Heading1"/>
      </w:pPr>
      <w:r>
        <w:t xml:space="preserve">3. Instrumento y temporalidad (guardarraíles)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Símbolo esperado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p. ej. M6J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 ✅ vs ticker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de contrato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micro / mini / estándar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por tick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 mínimo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Temporalidad esperada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p. ej. 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 ✅ vs interval</w:t>
            </w:r>
          </w:p>
        </w:tc>
      </w:tr>
    </w:tbl>
    <w:p>
      <w:pPr>
        <w:pBdr>
          <w:left w:val="single" w:color="1F4E79" w:sz="18" w:space="8"/>
        </w:pBdr>
        <w:spacing w:after="160" w:before="80"/>
        <w:ind w:left="180"/>
      </w:pPr>
      <w:r>
        <w:rPr>
          <w:i/>
          <w:iCs/>
          <w:color w:val="444444"/>
          <w:sz w:val="20"/>
          <w:szCs w:val="20"/>
        </w:rPr>
        <w:t xml:space="preserve">Si el payload llega con un símbolo o temporalidad distintos a lo declarado → rechazo (atrapa el “me equivoqué de chart / pegué el JSON equivocado”).</w:t>
      </w:r>
    </w:p>
    <w:p>
      <w:pPr>
        <w:pStyle w:val="Heading1"/>
      </w:pPr>
      <w:r>
        <w:t xml:space="preserve">4. Ventana(s) de operación (propias de ESTA estrategia)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Timezone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America/New York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Días activos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 M X J V (marcar)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Ventana de entrada 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__:__ → __:__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Ventana de entrada 2 (opcional)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__:__ → __:__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¿Salidas permitidas siempre?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Sí / No (recomendado: Sí)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Cierre forzado EOD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__:__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</w:tbl>
    <w:p>
      <w:pPr>
        <w:pBdr>
          <w:left w:val="single" w:color="1F4E79" w:sz="18" w:space="8"/>
        </w:pBdr>
        <w:spacing w:after="160" w:before="80"/>
        <w:ind w:left="180"/>
      </w:pPr>
      <w:r>
        <w:rPr>
          <w:i/>
          <w:iCs/>
          <w:color w:val="444444"/>
          <w:sz w:val="20"/>
          <w:szCs w:val="20"/>
        </w:rPr>
        <w:t xml:space="preserve">Aquí aterriza lo que movimos a NTEXECG: cada estrategia define su propio horario (puede no coincidir con el de la estrategia B). TradersPost queda con un envelope amplio de respaldo, no con el gate fino.</w:t>
      </w:r>
    </w:p>
    <w:p>
      <w:pPr>
        <w:pStyle w:val="Heading1"/>
      </w:pPr>
      <w:r>
        <w:t xml:space="preserve">5. Filtros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Rechazo por antigüedad — entrada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 seg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 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Rechazo por antigüedad — salida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 seg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 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 (ignorar repetida en ventana)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 seg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 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Confirmaciones adicionales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</w:tbl>
    <w:p>
      <w:pPr>
        <w:pStyle w:val="Heading1"/>
      </w:pPr>
      <w:r>
        <w:t xml:space="preserve">6.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¿Stop obligatorio?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Sí / No (recomendado: Sí)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 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esperado (ticks)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riesgo_usd máx por operación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 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riesgo_usd máx por cuenta/día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 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Cantidad máxima de contratos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 ✅</w:t>
            </w:r>
          </w:p>
        </w:tc>
      </w:tr>
    </w:tbl>
    <w:p>
      <w:pPr>
        <w:pBdr>
          <w:left w:val="single" w:color="1F4E79" w:sz="18" w:space="8"/>
        </w:pBdr>
        <w:spacing w:after="160" w:before="80"/>
        <w:ind w:left="180"/>
      </w:pPr>
      <w:r>
        <w:rPr>
          <w:i/>
          <w:iCs/>
          <w:color w:val="444444"/>
          <w:sz w:val="20"/>
          <w:szCs w:val="20"/>
        </w:rPr>
        <w:t xml:space="preserve">Validación: cantidad × stop_ticks × valor_tick ≤ riesgo_usd máx. Si lo excede → rechazo.</w:t>
      </w:r>
    </w:p>
    <w:p>
      <w:pPr>
        <w:pStyle w:val="Heading1"/>
      </w:pPr>
      <w:r>
        <w:t xml:space="preserve">7. Ruteo de salida (hacia TradersPost)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destino TradersPost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https://webhooks.traderspost.io/trading/webhook/____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Cuenta / broker objetivo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p. ej. PAPER_FUTURES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Notas de ruteo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✍️</w:t>
            </w:r>
          </w:p>
        </w:tc>
      </w:tr>
    </w:tbl>
    <w:p>
      <w:pPr>
        <w:pStyle w:val="Heading1"/>
      </w:pPr>
      <w:r>
        <w:t xml:space="preserve">8. Checklist antes de pasar a enabled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URL única generada y pegada en la alerta de LuxAlgo.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Símbolo esperado y temporalidad declarados (sección 3).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Ventana(s) de operación definidas (sección 4).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Stop obligatorio y límites de riesgo definidos (sección 6).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Webhook destino de TradersPost configurado (sección 7).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Prueba en paper: una señal válida pasa; una con símbolo/temporalidad/antigüedad incorrecta es rechazada.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Estrategia marcada como enabled.</w:t>
      </w:r>
    </w:p>
    <w:p>
      <w:pPr>
        <w:pStyle w:val="Heading1"/>
      </w:pPr>
      <w:r>
        <w:t xml:space="preserve">Ejemplo lleno (referencia)</w:t>
      </w:r>
    </w:p>
    <w:p>
      <w:pPr>
        <w:pStyle w:val="Heading2"/>
      </w:pPr>
      <w:r>
        <w:t xml:space="preserve">1. Identidad</w:t>
      </w:r>
    </w:p>
    <w:p>
      <w:pPr>
        <w:spacing w:after="120"/>
      </w:pPr>
      <w:r>
        <w:rPr>
          <w:b/>
          <w:bCs/>
        </w:rPr>
        <w:t xml:space="preserve">Nombre: </w:t>
      </w:r>
      <w:r>
        <w:t xml:space="preserve">6J5m Confirmation Strong – Contrarian Uptrend – MF&gt;50. </w:t>
      </w:r>
      <w:r>
        <w:rPr>
          <w:b/>
          <w:bCs/>
        </w:rPr>
        <w:t xml:space="preserve">Descripción: </w:t>
      </w:r>
      <w:r>
        <w:t xml:space="preserve">Signals &amp; Overlays, reversión por confirmación. </w:t>
      </w:r>
      <w:r>
        <w:rPr>
          <w:b/>
          <w:bCs/>
        </w:rPr>
        <w:t xml:space="preserve">URL: </w:t>
      </w:r>
      <w:r>
        <w:rPr>
          <w:rFonts w:ascii="Consolas" w:cs="Consolas" w:eastAsia="Consolas" w:hAnsi="Consolas"/>
          <w:sz w:val="18"/>
          <w:szCs w:val="18"/>
        </w:rPr>
        <w:t xml:space="preserve">https://ntexecg.../hook/a1f9c2e7-... </w:t>
      </w:r>
      <w:r>
        <w:rPr>
          <w:b/>
          <w:bCs/>
        </w:rPr>
        <w:t xml:space="preserve">Estado: </w:t>
      </w:r>
      <w:r>
        <w:t xml:space="preserve">enabled.</w:t>
      </w:r>
    </w:p>
    <w:p>
      <w:pPr>
        <w:pStyle w:val="Heading2"/>
      </w:pPr>
      <w:r>
        <w:t xml:space="preserve">2. Definición / backtest</w:t>
      </w:r>
    </w:p>
    <w:p>
      <w:pPr>
        <w:spacing w:after="120"/>
      </w:pPr>
      <w:r>
        <w:t xml:space="preserve">Toolkit: Signals &amp; Overlays. Gatillo: Confirmation Strong Bearish (long) / Bullish (short). Filtro 1: Contrarian Uptrend/Downtrend. Filtro 2: Money Flow Above/Below 50. Salida: Confirmation Builtin-Exits. Backtest: 2026-02-13 → ~100 días. # ops: 81. Winrate: 91.35%. PF: 4.68. Neto: $6,006.25. Max DD: 6.83%. Frecuencia: ~1 señal/día. Tamaño: unitario.</w:t>
      </w:r>
    </w:p>
    <w:p>
      <w:pPr>
        <w:pStyle w:val="Heading2"/>
      </w:pPr>
      <w:r>
        <w:t xml:space="preserve">3. Instrumento</w:t>
      </w:r>
    </w:p>
    <w:p>
      <w:pPr>
        <w:spacing w:after="120"/>
      </w:pPr>
      <w:r>
        <w:t xml:space="preserve">Símbolo esperado: M6J. Tipo: micro. Valor/tick: $1.25. Tick mínimo: 0.000001. Temporalidad: 5.</w:t>
      </w:r>
    </w:p>
    <w:p>
      <w:pPr>
        <w:pStyle w:val="Heading2"/>
      </w:pPr>
      <w:r>
        <w:t xml:space="preserve">4. Ventana</w:t>
      </w:r>
    </w:p>
    <w:p>
      <w:pPr>
        <w:spacing w:after="120"/>
      </w:pPr>
      <w:r>
        <w:t xml:space="preserve">America/New York. L–V. Entrada 1: 09:30 → 11:30. Entrada 2: 13:30 → 15:45. Salidas siempre: Sí. EOD: 16:00.</w:t>
      </w:r>
    </w:p>
    <w:p>
      <w:pPr>
        <w:pStyle w:val="Heading2"/>
      </w:pPr>
      <w:r>
        <w:t xml:space="preserve">5. Filtros</w:t>
      </w:r>
    </w:p>
    <w:p>
      <w:pPr>
        <w:spacing w:after="120"/>
      </w:pPr>
      <w:r>
        <w:t xml:space="preserve">Antigüedad entrada: 120 seg. Antigüedad salida: 120 seg. Dedup: 5 seg.</w:t>
      </w:r>
    </w:p>
    <w:p>
      <w:pPr>
        <w:pStyle w:val="Heading2"/>
      </w:pPr>
      <w:r>
        <w:t xml:space="preserve">6. Riesgo</w:t>
      </w:r>
    </w:p>
    <w:p>
      <w:pPr>
        <w:spacing w:after="120"/>
      </w:pPr>
      <w:r>
        <w:t xml:space="preserve">Stop obligatorio: Sí. Stop: 40 ticks. riesgo/op: $50 (40 × $1.25 × 1). riesgo/día: $150. Máx contratos: 2.</w:t>
      </w:r>
    </w:p>
    <w:p>
      <w:pPr>
        <w:pStyle w:val="Heading2"/>
      </w:pPr>
      <w:r>
        <w:t xml:space="preserve">7. Ruteo</w:t>
      </w:r>
    </w:p>
    <w:p>
      <w:pPr>
        <w:spacing w:after="120"/>
      </w:pPr>
      <w:r>
        <w:t xml:space="preserve">Webhook: https://webhooks.traderspost.io/trading/webhook/... Broker: PAPER_FUTURES.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2026-06-19T15:58:56.514Z</dcterms:created>
  <dcterms:modified xsi:type="dcterms:W3CDTF">2026-06-19T15:58:56.514Z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