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16E21" w14:textId="3C6E36BC" w:rsidR="00F23B61" w:rsidRPr="00D7451B" w:rsidRDefault="00E109AA" w:rsidP="0091622A">
      <w:pPr>
        <w:spacing w:line="360" w:lineRule="auto"/>
        <w:jc w:val="right"/>
        <w:rPr>
          <w:rFonts w:ascii="Times New Roman" w:hAnsi="Times New Roman" w:cs="Times New Roman"/>
          <w:sz w:val="24"/>
          <w:szCs w:val="24"/>
        </w:rPr>
      </w:pPr>
      <w:r>
        <w:rPr>
          <w:rFonts w:ascii="Times New Roman" w:hAnsi="Times New Roman" w:cs="Times New Roman"/>
          <w:sz w:val="24"/>
          <w:szCs w:val="24"/>
        </w:rPr>
        <w:t>July</w:t>
      </w:r>
      <w:r w:rsidRPr="35C1C7C1">
        <w:rPr>
          <w:rFonts w:ascii="Times New Roman" w:hAnsi="Times New Roman" w:cs="Times New Roman"/>
          <w:sz w:val="24"/>
          <w:szCs w:val="24"/>
        </w:rPr>
        <w:t xml:space="preserve"> </w:t>
      </w:r>
      <w:r w:rsidR="35C1C7C1" w:rsidRPr="35C1C7C1">
        <w:rPr>
          <w:rFonts w:ascii="Times New Roman" w:hAnsi="Times New Roman" w:cs="Times New Roman"/>
          <w:sz w:val="24"/>
          <w:szCs w:val="24"/>
        </w:rPr>
        <w:t xml:space="preserve">2022 </w:t>
      </w:r>
    </w:p>
    <w:p w14:paraId="52411C20" w14:textId="751B59C9" w:rsidR="000A3AFA" w:rsidRPr="00530BF6" w:rsidRDefault="003E2BB9">
      <w:pPr>
        <w:pStyle w:val="BodyText"/>
        <w:ind w:left="349" w:right="297"/>
        <w:jc w:val="center"/>
        <w:rPr>
          <w:rFonts w:ascii="Times New Roman" w:hAnsi="Times New Roman" w:cs="Times New Roman"/>
          <w:b/>
          <w:bCs/>
          <w:color w:val="000000" w:themeColor="text1"/>
          <w:sz w:val="24"/>
          <w:szCs w:val="24"/>
        </w:rPr>
      </w:pPr>
      <w:r w:rsidRPr="00530BF6">
        <w:rPr>
          <w:rFonts w:ascii="Times New Roman" w:hAnsi="Times New Roman" w:cs="Times New Roman"/>
          <w:b/>
          <w:bCs/>
          <w:color w:val="000000" w:themeColor="text1"/>
          <w:sz w:val="24"/>
          <w:szCs w:val="24"/>
        </w:rPr>
        <w:t xml:space="preserve">Gaps </w:t>
      </w:r>
      <w:r w:rsidR="002C611C" w:rsidRPr="00530BF6">
        <w:rPr>
          <w:rFonts w:ascii="Times New Roman" w:hAnsi="Times New Roman" w:cs="Times New Roman"/>
          <w:b/>
          <w:bCs/>
          <w:color w:val="000000" w:themeColor="text1"/>
          <w:sz w:val="24"/>
          <w:szCs w:val="24"/>
        </w:rPr>
        <w:t>Between</w:t>
      </w:r>
      <w:r w:rsidRPr="00530BF6">
        <w:rPr>
          <w:rFonts w:ascii="Times New Roman" w:hAnsi="Times New Roman" w:cs="Times New Roman"/>
          <w:b/>
          <w:bCs/>
          <w:color w:val="000000" w:themeColor="text1"/>
          <w:sz w:val="24"/>
          <w:szCs w:val="24"/>
        </w:rPr>
        <w:t xml:space="preserve"> Official and Excess Covid-19 Mortality </w:t>
      </w:r>
      <w:r w:rsidR="00872BA0" w:rsidRPr="00530BF6">
        <w:rPr>
          <w:rFonts w:ascii="Times New Roman" w:hAnsi="Times New Roman" w:cs="Times New Roman"/>
          <w:b/>
          <w:bCs/>
          <w:color w:val="000000" w:themeColor="text1"/>
          <w:sz w:val="24"/>
          <w:szCs w:val="24"/>
        </w:rPr>
        <w:t xml:space="preserve">Measures: </w:t>
      </w:r>
    </w:p>
    <w:p w14:paraId="0AA405C0" w14:textId="443FF5EE" w:rsidR="003E2BB9" w:rsidRPr="00530BF6" w:rsidRDefault="00872BA0">
      <w:pPr>
        <w:pStyle w:val="BodyText"/>
        <w:ind w:left="349" w:right="297"/>
        <w:jc w:val="center"/>
        <w:rPr>
          <w:rFonts w:ascii="Times New Roman" w:hAnsi="Times New Roman" w:cs="Times New Roman"/>
          <w:b/>
          <w:bCs/>
          <w:color w:val="000000" w:themeColor="text1"/>
          <w:sz w:val="24"/>
          <w:szCs w:val="24"/>
        </w:rPr>
      </w:pPr>
      <w:r w:rsidRPr="00530BF6">
        <w:rPr>
          <w:rFonts w:ascii="Times New Roman" w:hAnsi="Times New Roman" w:cs="Times New Roman"/>
          <w:b/>
          <w:bCs/>
          <w:color w:val="000000" w:themeColor="text1"/>
          <w:sz w:val="24"/>
          <w:szCs w:val="24"/>
        </w:rPr>
        <w:t>The</w:t>
      </w:r>
      <w:r w:rsidR="003E2BB9" w:rsidRPr="00530BF6">
        <w:rPr>
          <w:rFonts w:ascii="Times New Roman" w:hAnsi="Times New Roman" w:cs="Times New Roman"/>
          <w:b/>
          <w:bCs/>
          <w:color w:val="000000" w:themeColor="text1"/>
          <w:sz w:val="24"/>
          <w:szCs w:val="24"/>
        </w:rPr>
        <w:t xml:space="preserve"> Effects of Institutional Quality and Vaccinations</w:t>
      </w:r>
    </w:p>
    <w:p w14:paraId="64CA7D6E" w14:textId="3F7F048B" w:rsidR="007B3F08" w:rsidRDefault="007E53FC">
      <w:pPr>
        <w:pStyle w:val="BodyText"/>
        <w:ind w:left="349" w:right="297"/>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b</w:t>
      </w:r>
      <w:r w:rsidR="007B3F08" w:rsidRPr="00C82A25">
        <w:rPr>
          <w:rFonts w:ascii="Times New Roman" w:hAnsi="Times New Roman" w:cs="Times New Roman"/>
          <w:bCs/>
          <w:color w:val="000000" w:themeColor="text1"/>
          <w:sz w:val="24"/>
          <w:szCs w:val="24"/>
        </w:rPr>
        <w:t>y</w:t>
      </w:r>
    </w:p>
    <w:p w14:paraId="4FC1F2CC" w14:textId="77777777" w:rsidR="007B3F08" w:rsidRPr="00C82A25" w:rsidRDefault="007B3F08" w:rsidP="00C82A25">
      <w:pPr>
        <w:pStyle w:val="BodyText"/>
        <w:ind w:left="349" w:right="297"/>
        <w:jc w:val="center"/>
        <w:rPr>
          <w:rFonts w:ascii="Times New Roman" w:hAnsi="Times New Roman" w:cs="Times New Roman"/>
          <w:bCs/>
          <w:color w:val="000000" w:themeColor="text1"/>
          <w:sz w:val="24"/>
          <w:szCs w:val="24"/>
        </w:rPr>
      </w:pPr>
    </w:p>
    <w:p w14:paraId="633EA954" w14:textId="1C45B514" w:rsidR="004E11E9" w:rsidRPr="00CC51CC" w:rsidRDefault="20F5E4B7" w:rsidP="0091622A">
      <w:pPr>
        <w:pStyle w:val="NoSpacing"/>
        <w:spacing w:line="360" w:lineRule="auto"/>
        <w:jc w:val="center"/>
      </w:pPr>
      <w:r w:rsidRPr="00D7451B">
        <w:rPr>
          <w:rFonts w:ascii="Times New Roman" w:hAnsi="Times New Roman" w:cs="Times New Roman"/>
          <w:sz w:val="24"/>
          <w:szCs w:val="24"/>
        </w:rPr>
        <w:t xml:space="preserve">Joshua </w:t>
      </w:r>
      <w:proofErr w:type="spellStart"/>
      <w:r w:rsidRPr="00D7451B">
        <w:rPr>
          <w:rFonts w:ascii="Times New Roman" w:hAnsi="Times New Roman" w:cs="Times New Roman"/>
          <w:sz w:val="24"/>
          <w:szCs w:val="24"/>
        </w:rPr>
        <w:t>Aizenman</w:t>
      </w:r>
      <w:proofErr w:type="spellEnd"/>
      <w:r w:rsidRPr="00D7451B">
        <w:rPr>
          <w:rFonts w:ascii="Times New Roman" w:hAnsi="Times New Roman" w:cs="Times New Roman"/>
          <w:sz w:val="24"/>
          <w:szCs w:val="24"/>
        </w:rPr>
        <w:t xml:space="preserve">, Alex Cukierman, </w:t>
      </w:r>
      <w:proofErr w:type="spellStart"/>
      <w:r w:rsidRPr="00D7451B">
        <w:rPr>
          <w:rFonts w:ascii="Times New Roman" w:hAnsi="Times New Roman" w:cs="Times New Roman"/>
          <w:sz w:val="24"/>
          <w:szCs w:val="24"/>
        </w:rPr>
        <w:t>Yothin</w:t>
      </w:r>
      <w:proofErr w:type="spellEnd"/>
      <w:r w:rsidRPr="00D7451B">
        <w:rPr>
          <w:rFonts w:ascii="Times New Roman" w:hAnsi="Times New Roman" w:cs="Times New Roman"/>
          <w:sz w:val="24"/>
          <w:szCs w:val="24"/>
        </w:rPr>
        <w:t xml:space="preserve"> </w:t>
      </w:r>
      <w:proofErr w:type="spellStart"/>
      <w:r w:rsidRPr="00D7451B">
        <w:rPr>
          <w:rFonts w:ascii="Times New Roman" w:hAnsi="Times New Roman" w:cs="Times New Roman"/>
          <w:sz w:val="24"/>
          <w:szCs w:val="24"/>
        </w:rPr>
        <w:t>Jinjarak</w:t>
      </w:r>
      <w:proofErr w:type="spellEnd"/>
      <w:r w:rsidR="00D10359" w:rsidRPr="00D7451B">
        <w:rPr>
          <w:rFonts w:ascii="Times New Roman" w:hAnsi="Times New Roman" w:cs="Times New Roman"/>
          <w:sz w:val="24"/>
          <w:szCs w:val="24"/>
        </w:rPr>
        <w:t>,</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Sameer </w:t>
      </w:r>
      <w:r w:rsidR="00540AD6" w:rsidRPr="00D7451B">
        <w:rPr>
          <w:rFonts w:ascii="Times New Roman" w:hAnsi="Times New Roman" w:cs="Times New Roman"/>
          <w:color w:val="202124"/>
          <w:sz w:val="24"/>
          <w:szCs w:val="24"/>
          <w:shd w:val="clear" w:color="auto" w:fill="FFFFFF"/>
        </w:rPr>
        <w:t>Nair-Desai,</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and </w:t>
      </w:r>
      <w:proofErr w:type="spellStart"/>
      <w:r w:rsidRPr="00D7451B">
        <w:rPr>
          <w:rFonts w:ascii="Times New Roman" w:hAnsi="Times New Roman" w:cs="Times New Roman"/>
          <w:sz w:val="24"/>
          <w:szCs w:val="24"/>
        </w:rPr>
        <w:t>Weining</w:t>
      </w:r>
      <w:proofErr w:type="spellEnd"/>
      <w:r w:rsidRPr="00D7451B">
        <w:rPr>
          <w:rFonts w:ascii="Times New Roman" w:hAnsi="Times New Roman" w:cs="Times New Roman"/>
          <w:sz w:val="24"/>
          <w:szCs w:val="24"/>
        </w:rPr>
        <w:t xml:space="preserve"> Xin</w:t>
      </w:r>
      <w:r w:rsidR="000038CE">
        <w:rPr>
          <w:rStyle w:val="FootnoteReference"/>
          <w:rFonts w:ascii="Times New Roman" w:hAnsi="Times New Roman" w:cs="Times New Roman"/>
          <w:sz w:val="24"/>
          <w:szCs w:val="24"/>
        </w:rPr>
        <w:footnoteReference w:customMarkFollows="1" w:id="1"/>
        <w:t>*</w:t>
      </w:r>
    </w:p>
    <w:p w14:paraId="4C94C263" w14:textId="5E982DF9" w:rsidR="000F1B9F" w:rsidRDefault="000F1B9F" w:rsidP="0091622A">
      <w:pPr>
        <w:pStyle w:val="NoSpacing"/>
        <w:spacing w:line="360" w:lineRule="auto"/>
        <w:jc w:val="center"/>
        <w:rPr>
          <w:rFonts w:ascii="Times New Roman" w:hAnsi="Times New Roman" w:cs="Times New Roman"/>
          <w:sz w:val="24"/>
          <w:szCs w:val="24"/>
        </w:rPr>
      </w:pPr>
      <w:r w:rsidRPr="00B27FD8">
        <w:rPr>
          <w:rFonts w:ascii="Times New Roman" w:hAnsi="Times New Roman" w:cs="Times New Roman"/>
          <w:sz w:val="24"/>
          <w:szCs w:val="24"/>
        </w:rPr>
        <w:t>Abstract</w:t>
      </w:r>
    </w:p>
    <w:p w14:paraId="0F289090" w14:textId="017FFD44" w:rsidR="00D31302" w:rsidRPr="007B3F08" w:rsidRDefault="00D31302" w:rsidP="00601CF2">
      <w:pPr>
        <w:autoSpaceDE w:val="0"/>
        <w:autoSpaceDN w:val="0"/>
        <w:adjustRightInd w:val="0"/>
        <w:spacing w:after="0" w:line="240" w:lineRule="auto"/>
        <w:jc w:val="both"/>
        <w:rPr>
          <w:rFonts w:ascii="Times New Roman" w:hAnsi="Times New Roman" w:cs="Times New Roman"/>
          <w:sz w:val="24"/>
          <w:szCs w:val="24"/>
        </w:rPr>
      </w:pPr>
      <w:bookmarkStart w:id="0" w:name="_Hlk107101488"/>
      <w:r w:rsidRPr="00DD1796">
        <w:rPr>
          <w:rFonts w:ascii="Times New Roman" w:hAnsi="Times New Roman" w:cs="Times New Roman"/>
          <w:sz w:val="24"/>
          <w:szCs w:val="24"/>
        </w:rPr>
        <w:t>We evaluate quartile ranking</w:t>
      </w:r>
      <w:r w:rsidR="00CD2BFD">
        <w:rPr>
          <w:rFonts w:ascii="Times New Roman" w:hAnsi="Times New Roman" w:cs="Times New Roman"/>
          <w:sz w:val="24"/>
          <w:szCs w:val="24"/>
        </w:rPr>
        <w:t>s</w:t>
      </w:r>
      <w:r w:rsidRPr="00DD1796">
        <w:rPr>
          <w:rFonts w:ascii="Times New Roman" w:hAnsi="Times New Roman" w:cs="Times New Roman"/>
          <w:sz w:val="24"/>
          <w:szCs w:val="24"/>
        </w:rPr>
        <w:t xml:space="preserve"> of countries during the Covid-19 pandemic using both official </w:t>
      </w:r>
      <w:r w:rsidR="00B91E91">
        <w:rPr>
          <w:rFonts w:ascii="Times New Roman" w:hAnsi="Times New Roman" w:cs="Times New Roman"/>
          <w:sz w:val="24"/>
          <w:szCs w:val="24"/>
        </w:rPr>
        <w:t>(</w:t>
      </w:r>
      <w:r w:rsidRPr="00DD1796">
        <w:rPr>
          <w:rFonts w:ascii="Times New Roman" w:hAnsi="Times New Roman" w:cs="Times New Roman"/>
          <w:sz w:val="24"/>
          <w:szCs w:val="24"/>
        </w:rPr>
        <w:t>confirmed</w:t>
      </w:r>
      <w:r w:rsidR="00B91E91">
        <w:rPr>
          <w:rFonts w:ascii="Times New Roman" w:hAnsi="Times New Roman" w:cs="Times New Roman"/>
          <w:sz w:val="24"/>
          <w:szCs w:val="24"/>
        </w:rPr>
        <w:t>)</w:t>
      </w:r>
      <w:r w:rsidRPr="00DD1796">
        <w:rPr>
          <w:rFonts w:ascii="Times New Roman" w:hAnsi="Times New Roman" w:cs="Times New Roman"/>
          <w:sz w:val="24"/>
          <w:szCs w:val="24"/>
        </w:rPr>
        <w:t xml:space="preserve"> and excess mortality data. </w:t>
      </w:r>
      <w:r w:rsidRPr="007B3F08">
        <w:rPr>
          <w:rFonts w:ascii="Times New Roman" w:hAnsi="Times New Roman" w:cs="Times New Roman"/>
          <w:sz w:val="24"/>
          <w:szCs w:val="24"/>
        </w:rPr>
        <w:t xml:space="preserve">By </w:t>
      </w:r>
      <w:r w:rsidR="00CD2BFD">
        <w:rPr>
          <w:rFonts w:ascii="Times New Roman" w:hAnsi="Times New Roman" w:cs="Times New Roman"/>
          <w:sz w:val="24"/>
          <w:szCs w:val="24"/>
        </w:rPr>
        <w:t>Dec</w:t>
      </w:r>
      <w:r w:rsidR="00D1682E">
        <w:rPr>
          <w:rFonts w:ascii="Times New Roman" w:hAnsi="Times New Roman" w:cs="Times New Roman"/>
          <w:sz w:val="24"/>
          <w:szCs w:val="24"/>
        </w:rPr>
        <w:t>e</w:t>
      </w:r>
      <w:r w:rsidR="00CD2BFD">
        <w:rPr>
          <w:rFonts w:ascii="Times New Roman" w:hAnsi="Times New Roman" w:cs="Times New Roman"/>
          <w:sz w:val="24"/>
          <w:szCs w:val="24"/>
        </w:rPr>
        <w:t>mber</w:t>
      </w:r>
      <w:r w:rsidRPr="007B3F08">
        <w:rPr>
          <w:rFonts w:ascii="Times New Roman" w:hAnsi="Times New Roman" w:cs="Times New Roman"/>
          <w:sz w:val="24"/>
          <w:szCs w:val="24"/>
        </w:rPr>
        <w:t xml:space="preserve"> 2021, the quartile rankings of three-fifths of the countries differ when ranked by excess vs. official mortality. </w:t>
      </w:r>
      <w:r w:rsidR="006661C0" w:rsidRPr="007B3F08">
        <w:rPr>
          <w:rFonts w:ascii="Times New Roman" w:hAnsi="Times New Roman" w:cs="Times New Roman"/>
          <w:sz w:val="24"/>
          <w:szCs w:val="24"/>
        </w:rPr>
        <w:t>C</w:t>
      </w:r>
      <w:r w:rsidRPr="007B3F08">
        <w:rPr>
          <w:rFonts w:ascii="Times New Roman" w:hAnsi="Times New Roman" w:cs="Times New Roman"/>
          <w:sz w:val="24"/>
          <w:szCs w:val="24"/>
        </w:rPr>
        <w:t xml:space="preserve">ountries that are ‘doing substantially better’ in the excess mortality are characterized by </w:t>
      </w:r>
      <w:r w:rsidR="00D00061" w:rsidRPr="007B3F08">
        <w:rPr>
          <w:rFonts w:ascii="Times New Roman" w:hAnsi="Times New Roman" w:cs="Times New Roman"/>
          <w:sz w:val="24"/>
          <w:szCs w:val="24"/>
        </w:rPr>
        <w:t>higher urban</w:t>
      </w:r>
      <w:r w:rsidRPr="007B3F08">
        <w:rPr>
          <w:rFonts w:ascii="Times New Roman" w:hAnsi="Times New Roman" w:cs="Times New Roman"/>
          <w:sz w:val="24"/>
          <w:szCs w:val="24"/>
        </w:rPr>
        <w:t xml:space="preserve"> population </w:t>
      </w:r>
      <w:r w:rsidR="00D00061" w:rsidRPr="007B3F08">
        <w:rPr>
          <w:rFonts w:ascii="Times New Roman" w:hAnsi="Times New Roman" w:cs="Times New Roman"/>
          <w:sz w:val="24"/>
          <w:szCs w:val="24"/>
        </w:rPr>
        <w:t>share</w:t>
      </w:r>
      <w:r w:rsidR="006841AE" w:rsidRPr="007B3F08">
        <w:rPr>
          <w:rFonts w:ascii="Times New Roman" w:hAnsi="Times New Roman" w:cs="Times New Roman"/>
          <w:sz w:val="24"/>
          <w:szCs w:val="24"/>
        </w:rPr>
        <w:t>s</w:t>
      </w:r>
      <w:r w:rsidRPr="007B3F08">
        <w:rPr>
          <w:rFonts w:ascii="Times New Roman" w:hAnsi="Times New Roman" w:cs="Times New Roman"/>
          <w:sz w:val="24"/>
          <w:szCs w:val="24"/>
        </w:rPr>
        <w:t>; higher GDP/Capita; and higher scores on institutional and policy</w:t>
      </w:r>
      <w:r w:rsidR="00A70AFF" w:rsidRPr="007B3F08">
        <w:rPr>
          <w:rFonts w:ascii="Times New Roman" w:hAnsi="Times New Roman" w:cs="Times New Roman"/>
          <w:sz w:val="24"/>
          <w:szCs w:val="24"/>
        </w:rPr>
        <w:t xml:space="preserve"> </w:t>
      </w:r>
      <w:r w:rsidRPr="007B3F08">
        <w:rPr>
          <w:rFonts w:ascii="Times New Roman" w:hAnsi="Times New Roman" w:cs="Times New Roman"/>
          <w:sz w:val="24"/>
          <w:szCs w:val="24"/>
        </w:rPr>
        <w:t xml:space="preserve">variables. </w:t>
      </w:r>
      <w:r w:rsidR="006661C0" w:rsidRPr="007B3F08">
        <w:rPr>
          <w:rFonts w:ascii="Times New Roman" w:hAnsi="Times New Roman" w:cs="Times New Roman"/>
          <w:sz w:val="24"/>
          <w:szCs w:val="24"/>
        </w:rPr>
        <w:t xml:space="preserve">We </w:t>
      </w:r>
      <w:r w:rsidRPr="007B3F08">
        <w:rPr>
          <w:rFonts w:ascii="Times New Roman" w:hAnsi="Times New Roman" w:cs="Times New Roman"/>
          <w:sz w:val="24"/>
          <w:szCs w:val="24"/>
        </w:rPr>
        <w:t xml:space="preserve">perform two regressions in which the ratio of Cumulative Excess to Official Covid-19 mortalities (E/O ratio) is regressed on covariates. In </w:t>
      </w:r>
      <w:r w:rsidR="00A670CE" w:rsidRPr="00C82A25">
        <w:rPr>
          <w:rFonts w:ascii="Times New Roman" w:hAnsi="Times New Roman" w:cs="Times New Roman"/>
          <w:sz w:val="24"/>
          <w:szCs w:val="24"/>
        </w:rPr>
        <w:t>a</w:t>
      </w:r>
      <w:r w:rsidRPr="00DD1796">
        <w:rPr>
          <w:rFonts w:ascii="Times New Roman" w:hAnsi="Times New Roman" w:cs="Times New Roman"/>
          <w:sz w:val="24"/>
          <w:szCs w:val="24"/>
        </w:rPr>
        <w:t xml:space="preserve"> narrow </w:t>
      </w:r>
      <w:r w:rsidR="000E14BA" w:rsidRPr="007B3F08">
        <w:rPr>
          <w:rFonts w:ascii="Times New Roman" w:hAnsi="Times New Roman" w:cs="Times New Roman"/>
          <w:sz w:val="24"/>
          <w:szCs w:val="24"/>
        </w:rPr>
        <w:t>study</w:t>
      </w:r>
      <w:r w:rsidRPr="007B3F08">
        <w:rPr>
          <w:rFonts w:ascii="Times New Roman" w:hAnsi="Times New Roman" w:cs="Times New Roman"/>
          <w:sz w:val="24"/>
          <w:szCs w:val="24"/>
        </w:rPr>
        <w:t xml:space="preserve">, </w:t>
      </w:r>
      <w:r w:rsidR="00872BA0" w:rsidRPr="00C82A25">
        <w:rPr>
          <w:rFonts w:ascii="Times New Roman" w:hAnsi="Times New Roman" w:cs="Times New Roman"/>
          <w:sz w:val="24"/>
          <w:szCs w:val="24"/>
        </w:rPr>
        <w:t>controlling</w:t>
      </w:r>
      <w:r w:rsidRPr="00DD1796">
        <w:rPr>
          <w:rFonts w:ascii="Times New Roman" w:hAnsi="Times New Roman" w:cs="Times New Roman"/>
          <w:sz w:val="24"/>
          <w:szCs w:val="24"/>
        </w:rPr>
        <w:t xml:space="preserve"> for GDP/Capita and vaccination rates</w:t>
      </w:r>
      <w:r w:rsidR="006661C0" w:rsidRPr="00DD1796">
        <w:rPr>
          <w:rFonts w:ascii="Times New Roman" w:hAnsi="Times New Roman" w:cs="Times New Roman"/>
          <w:sz w:val="24"/>
          <w:szCs w:val="24"/>
        </w:rPr>
        <w:t>, by December 2021 the E/O ratio was smaller in countries with higher vaccination rates</w:t>
      </w:r>
      <w:r w:rsidRPr="00DD1796">
        <w:rPr>
          <w:rFonts w:ascii="Times New Roman" w:hAnsi="Times New Roman" w:cs="Times New Roman"/>
          <w:sz w:val="24"/>
          <w:szCs w:val="24"/>
        </w:rPr>
        <w:t xml:space="preserve">. In </w:t>
      </w:r>
      <w:r w:rsidR="006661C0" w:rsidRPr="007B3F08">
        <w:rPr>
          <w:rFonts w:ascii="Times New Roman" w:hAnsi="Times New Roman" w:cs="Times New Roman"/>
          <w:sz w:val="24"/>
          <w:szCs w:val="24"/>
        </w:rPr>
        <w:t>a</w:t>
      </w:r>
      <w:r w:rsidRPr="007B3F08">
        <w:rPr>
          <w:rFonts w:ascii="Times New Roman" w:hAnsi="Times New Roman" w:cs="Times New Roman"/>
          <w:sz w:val="24"/>
          <w:szCs w:val="24"/>
        </w:rPr>
        <w:t xml:space="preserve"> broad </w:t>
      </w:r>
      <w:r w:rsidR="000E14BA" w:rsidRPr="007B3F08">
        <w:rPr>
          <w:rFonts w:ascii="Times New Roman" w:hAnsi="Times New Roman" w:cs="Times New Roman"/>
          <w:sz w:val="24"/>
          <w:szCs w:val="24"/>
        </w:rPr>
        <w:t>study</w:t>
      </w:r>
      <w:r w:rsidRPr="007B3F08">
        <w:rPr>
          <w:rFonts w:ascii="Times New Roman" w:hAnsi="Times New Roman" w:cs="Times New Roman"/>
          <w:sz w:val="24"/>
          <w:szCs w:val="24"/>
        </w:rPr>
        <w:t xml:space="preserve">, </w:t>
      </w:r>
      <w:r w:rsidRPr="00DD1796">
        <w:rPr>
          <w:rFonts w:ascii="Times New Roman" w:hAnsi="Times New Roman" w:cs="Times New Roman"/>
          <w:sz w:val="24"/>
          <w:szCs w:val="24"/>
        </w:rPr>
        <w:t>add</w:t>
      </w:r>
      <w:r w:rsidR="00D704E8" w:rsidRPr="00DD1796">
        <w:rPr>
          <w:rFonts w:ascii="Times New Roman" w:hAnsi="Times New Roman" w:cs="Times New Roman"/>
          <w:sz w:val="24"/>
          <w:szCs w:val="24"/>
        </w:rPr>
        <w:t>ing</w:t>
      </w:r>
      <w:r w:rsidRPr="00DD1796">
        <w:rPr>
          <w:rFonts w:ascii="Times New Roman" w:hAnsi="Times New Roman" w:cs="Times New Roman"/>
          <w:sz w:val="24"/>
          <w:szCs w:val="24"/>
        </w:rPr>
        <w:t xml:space="preserve"> </w:t>
      </w:r>
      <w:r w:rsidRPr="007B3F08">
        <w:rPr>
          <w:rFonts w:ascii="Times New Roman" w:hAnsi="Times New Roman" w:cs="Times New Roman"/>
          <w:sz w:val="24"/>
          <w:szCs w:val="24"/>
        </w:rPr>
        <w:t>institutional and policy variables</w:t>
      </w:r>
      <w:r w:rsidR="00D704E8" w:rsidRPr="007B3F08">
        <w:rPr>
          <w:rFonts w:ascii="Times New Roman" w:hAnsi="Times New Roman" w:cs="Times New Roman"/>
          <w:sz w:val="24"/>
          <w:szCs w:val="24"/>
        </w:rPr>
        <w:t xml:space="preserve">, </w:t>
      </w:r>
      <w:r w:rsidRPr="007B3F08">
        <w:rPr>
          <w:rFonts w:ascii="Times New Roman" w:hAnsi="Times New Roman" w:cs="Times New Roman"/>
          <w:sz w:val="24"/>
          <w:szCs w:val="24"/>
        </w:rPr>
        <w:t xml:space="preserve">the E/O ratio was smaller in countries with higher degree of voice and accountability. </w:t>
      </w:r>
      <w:r w:rsidR="00D704E8" w:rsidRPr="007B3F08">
        <w:rPr>
          <w:rFonts w:ascii="Times New Roman" w:hAnsi="Times New Roman" w:cs="Times New Roman"/>
          <w:sz w:val="24"/>
          <w:szCs w:val="24"/>
        </w:rPr>
        <w:t>The</w:t>
      </w:r>
      <w:r w:rsidRPr="007B3F08">
        <w:rPr>
          <w:rFonts w:ascii="Times New Roman" w:hAnsi="Times New Roman" w:cs="Times New Roman"/>
          <w:sz w:val="24"/>
          <w:szCs w:val="24"/>
        </w:rPr>
        <w:t xml:space="preserve"> arrival of vaccines in 2021 and voice and accountability had a discernible association </w:t>
      </w:r>
      <w:r w:rsidR="00D704E8" w:rsidRPr="007B3F08">
        <w:rPr>
          <w:rFonts w:ascii="Times New Roman" w:hAnsi="Times New Roman" w:cs="Times New Roman"/>
          <w:sz w:val="24"/>
          <w:szCs w:val="24"/>
        </w:rPr>
        <w:t>on the E/O ratio</w:t>
      </w:r>
      <w:r w:rsidRPr="007B3F08">
        <w:rPr>
          <w:rFonts w:ascii="Times New Roman" w:hAnsi="Times New Roman" w:cs="Times New Roman"/>
          <w:sz w:val="24"/>
          <w:szCs w:val="24"/>
        </w:rPr>
        <w:t>.</w:t>
      </w:r>
    </w:p>
    <w:bookmarkEnd w:id="0"/>
    <w:p w14:paraId="6BACD51D" w14:textId="429E11F2" w:rsidR="00CC51CC" w:rsidRPr="00810D7B" w:rsidRDefault="00ED05DD" w:rsidP="00CC51CC">
      <w:pPr>
        <w:spacing w:line="240" w:lineRule="auto"/>
        <w:rPr>
          <w:rFonts w:ascii="Times New Roman" w:hAnsi="Times New Roman" w:cs="Times New Roman"/>
        </w:rPr>
      </w:pPr>
      <w:r w:rsidRPr="00ED05DD">
        <w:rPr>
          <w:rFonts w:ascii="Times New Roman" w:hAnsi="Times New Roman" w:cs="Times New Roman"/>
        </w:rPr>
        <w:t xml:space="preserve">JEL No. </w:t>
      </w:r>
      <w:r w:rsidRPr="00810D7B">
        <w:rPr>
          <w:rFonts w:ascii="Times New Roman" w:hAnsi="Times New Roman" w:cs="Times New Roman"/>
        </w:rPr>
        <w:t>F5, F6, H12, H84</w:t>
      </w:r>
      <w:r w:rsidR="00810D7B" w:rsidRPr="00810D7B">
        <w:rPr>
          <w:rFonts w:ascii="Times New Roman" w:hAnsi="Times New Roman" w:cs="Times New Roman"/>
        </w:rPr>
        <w:t xml:space="preserve">, </w:t>
      </w:r>
      <w:r w:rsidR="00810D7B" w:rsidRPr="00810D7B">
        <w:rPr>
          <w:rFonts w:ascii="Times New Roman" w:hAnsi="Times New Roman" w:cs="Times New Roman"/>
          <w:color w:val="353C3F"/>
          <w:shd w:val="clear" w:color="auto" w:fill="FFFFFF"/>
        </w:rPr>
        <w:t>I18</w:t>
      </w:r>
    </w:p>
    <w:p w14:paraId="1A965D19" w14:textId="77777777" w:rsidR="003805BC" w:rsidRPr="0096013B" w:rsidRDefault="003805BC" w:rsidP="003805BC">
      <w:pPr>
        <w:pStyle w:val="NoSpacing"/>
        <w:numPr>
          <w:ilvl w:val="0"/>
          <w:numId w:val="17"/>
        </w:numPr>
        <w:rPr>
          <w:rFonts w:ascii="Times New Roman" w:hAnsi="Times New Roman" w:cs="Times New Roman"/>
          <w:b/>
          <w:sz w:val="24"/>
          <w:szCs w:val="24"/>
        </w:rPr>
      </w:pPr>
      <w:r w:rsidRPr="0096013B">
        <w:rPr>
          <w:rFonts w:ascii="Times New Roman" w:hAnsi="Times New Roman" w:cs="Times New Roman"/>
          <w:b/>
          <w:sz w:val="24"/>
          <w:szCs w:val="24"/>
        </w:rPr>
        <w:t xml:space="preserve">We study Excess Mortality/Official </w:t>
      </w:r>
      <w:proofErr w:type="spellStart"/>
      <w:r w:rsidRPr="0096013B">
        <w:rPr>
          <w:rFonts w:ascii="Times New Roman" w:hAnsi="Times New Roman" w:cs="Times New Roman"/>
          <w:b/>
          <w:sz w:val="24"/>
          <w:szCs w:val="24"/>
        </w:rPr>
        <w:t>Covid</w:t>
      </w:r>
      <w:proofErr w:type="spellEnd"/>
      <w:r w:rsidRPr="0096013B">
        <w:rPr>
          <w:rFonts w:ascii="Times New Roman" w:hAnsi="Times New Roman" w:cs="Times New Roman"/>
          <w:b/>
          <w:sz w:val="24"/>
          <w:szCs w:val="24"/>
        </w:rPr>
        <w:t xml:space="preserve"> Mortality, E/O ratio, Jan 2020-Dec 2021.</w:t>
      </w:r>
    </w:p>
    <w:p w14:paraId="157E41DB" w14:textId="77777777" w:rsidR="003805BC" w:rsidRPr="0096013B" w:rsidRDefault="003805BC" w:rsidP="003805BC">
      <w:pPr>
        <w:pStyle w:val="NoSpacing"/>
        <w:numPr>
          <w:ilvl w:val="0"/>
          <w:numId w:val="17"/>
        </w:numPr>
        <w:rPr>
          <w:rFonts w:ascii="Times New Roman" w:hAnsi="Times New Roman" w:cs="Times New Roman"/>
          <w:b/>
          <w:sz w:val="24"/>
          <w:szCs w:val="24"/>
        </w:rPr>
      </w:pPr>
      <w:r w:rsidRPr="0096013B">
        <w:rPr>
          <w:rFonts w:ascii="Times New Roman" w:hAnsi="Times New Roman" w:cs="Times New Roman"/>
          <w:b/>
          <w:sz w:val="24"/>
          <w:szCs w:val="24"/>
        </w:rPr>
        <w:t>The E/O ratio was smaller in countries with higher voice and accountability scores.</w:t>
      </w:r>
    </w:p>
    <w:p w14:paraId="27B123C2" w14:textId="77777777" w:rsidR="003805BC" w:rsidRPr="0096013B" w:rsidRDefault="003805BC" w:rsidP="003805BC">
      <w:pPr>
        <w:pStyle w:val="NoSpacing"/>
        <w:numPr>
          <w:ilvl w:val="0"/>
          <w:numId w:val="17"/>
        </w:numPr>
        <w:rPr>
          <w:rFonts w:ascii="Times New Roman" w:hAnsi="Times New Roman" w:cs="Times New Roman"/>
          <w:b/>
          <w:sz w:val="24"/>
          <w:szCs w:val="24"/>
        </w:rPr>
      </w:pPr>
      <w:r w:rsidRPr="0096013B">
        <w:rPr>
          <w:rFonts w:ascii="Times New Roman" w:hAnsi="Times New Roman" w:cs="Times New Roman"/>
          <w:b/>
          <w:sz w:val="24"/>
          <w:szCs w:val="24"/>
        </w:rPr>
        <w:t>Higher GDP/capita is associated on average with lower Excess Mortality ratio.</w:t>
      </w:r>
    </w:p>
    <w:p w14:paraId="51B5A1F7" w14:textId="77777777" w:rsidR="003805BC" w:rsidRPr="0096013B" w:rsidRDefault="003805BC" w:rsidP="003805BC">
      <w:pPr>
        <w:pStyle w:val="NoSpacing"/>
        <w:numPr>
          <w:ilvl w:val="0"/>
          <w:numId w:val="17"/>
        </w:numPr>
        <w:rPr>
          <w:rFonts w:ascii="Times New Roman" w:hAnsi="Times New Roman" w:cs="Times New Roman"/>
          <w:b/>
          <w:sz w:val="24"/>
          <w:szCs w:val="24"/>
        </w:rPr>
      </w:pPr>
      <w:r w:rsidRPr="0096013B">
        <w:rPr>
          <w:rFonts w:ascii="Times New Roman" w:hAnsi="Times New Roman" w:cs="Times New Roman"/>
          <w:b/>
          <w:sz w:val="24"/>
          <w:szCs w:val="24"/>
        </w:rPr>
        <w:t>Higher GDP/capita is associated on average with higher Official Mortality ratio.</w:t>
      </w:r>
    </w:p>
    <w:p w14:paraId="562B5B6E" w14:textId="60D9817C" w:rsidR="00861BDF" w:rsidRPr="0096013B" w:rsidRDefault="003805BC" w:rsidP="00861BDF">
      <w:pPr>
        <w:pStyle w:val="NoSpacing"/>
        <w:numPr>
          <w:ilvl w:val="0"/>
          <w:numId w:val="17"/>
        </w:numPr>
        <w:rPr>
          <w:rFonts w:ascii="Times New Roman" w:eastAsia="Calibri" w:hAnsi="Times New Roman" w:cs="Times New Roman"/>
          <w:b/>
          <w:color w:val="000000" w:themeColor="text1"/>
          <w:sz w:val="24"/>
          <w:szCs w:val="24"/>
        </w:rPr>
      </w:pPr>
      <w:r w:rsidRPr="0096013B">
        <w:rPr>
          <w:rFonts w:ascii="Times New Roman" w:hAnsi="Times New Roman" w:cs="Times New Roman"/>
          <w:b/>
          <w:sz w:val="24"/>
          <w:szCs w:val="24"/>
        </w:rPr>
        <w:t>The arrival of vaccines in 2021 was strongly associated with a lower E/O ratio.</w:t>
      </w:r>
    </w:p>
    <w:p w14:paraId="033F64A8" w14:textId="77777777" w:rsidR="0096013B" w:rsidRDefault="0096013B" w:rsidP="00CC51CC">
      <w:pPr>
        <w:spacing w:line="240" w:lineRule="auto"/>
        <w:rPr>
          <w:rFonts w:ascii="Times New Roman" w:hAnsi="Times New Roman" w:cs="Times New Roman"/>
          <w:b/>
          <w:sz w:val="24"/>
          <w:szCs w:val="24"/>
        </w:rPr>
      </w:pPr>
    </w:p>
    <w:p w14:paraId="521372E5" w14:textId="2623C623" w:rsidR="0096013B" w:rsidRPr="0096013B" w:rsidRDefault="0096013B" w:rsidP="00CC51CC">
      <w:pPr>
        <w:spacing w:line="240" w:lineRule="auto"/>
        <w:rPr>
          <w:rFonts w:ascii="Times New Roman" w:hAnsi="Times New Roman" w:cs="Times New Roman"/>
          <w:b/>
          <w:color w:val="000000" w:themeColor="text1"/>
          <w:sz w:val="28"/>
          <w:szCs w:val="24"/>
        </w:rPr>
      </w:pPr>
      <w:r w:rsidRPr="0096013B">
        <w:rPr>
          <w:rFonts w:ascii="Times New Roman" w:hAnsi="Times New Roman" w:cs="Times New Roman"/>
          <w:color w:val="000000" w:themeColor="text1"/>
          <w:sz w:val="28"/>
          <w:szCs w:val="24"/>
        </w:rPr>
        <w:t xml:space="preserve">The </w:t>
      </w:r>
      <w:r w:rsidRPr="0096013B">
        <w:rPr>
          <w:rFonts w:ascii="Times New Roman" w:hAnsi="Times New Roman" w:cs="Times New Roman"/>
          <w:b/>
          <w:color w:val="000000" w:themeColor="text1"/>
          <w:sz w:val="28"/>
          <w:szCs w:val="24"/>
        </w:rPr>
        <w:t xml:space="preserve">BOLD </w:t>
      </w:r>
      <w:r w:rsidRPr="0096013B">
        <w:rPr>
          <w:rFonts w:ascii="Times New Roman" w:hAnsi="Times New Roman" w:cs="Times New Roman"/>
          <w:color w:val="000000" w:themeColor="text1"/>
          <w:sz w:val="28"/>
          <w:szCs w:val="24"/>
        </w:rPr>
        <w:t>text on pages 1-</w:t>
      </w:r>
      <w:r>
        <w:rPr>
          <w:rFonts w:ascii="Times New Roman" w:hAnsi="Times New Roman" w:cs="Times New Roman"/>
          <w:color w:val="000000" w:themeColor="text1"/>
          <w:sz w:val="28"/>
          <w:szCs w:val="24"/>
        </w:rPr>
        <w:t xml:space="preserve"> </w:t>
      </w:r>
      <w:r w:rsidRPr="0096013B">
        <w:rPr>
          <w:rFonts w:ascii="Times New Roman" w:hAnsi="Times New Roman" w:cs="Times New Roman"/>
          <w:color w:val="000000" w:themeColor="text1"/>
          <w:sz w:val="28"/>
          <w:szCs w:val="24"/>
        </w:rPr>
        <w:t xml:space="preserve">6 and </w:t>
      </w:r>
      <w:r>
        <w:rPr>
          <w:rFonts w:ascii="Times New Roman" w:hAnsi="Times New Roman" w:cs="Times New Roman"/>
          <w:color w:val="000000" w:themeColor="text1"/>
          <w:sz w:val="28"/>
          <w:szCs w:val="24"/>
        </w:rPr>
        <w:t xml:space="preserve">9 </w:t>
      </w:r>
      <w:r w:rsidRPr="0096013B">
        <w:rPr>
          <w:rFonts w:ascii="Times New Roman" w:hAnsi="Times New Roman" w:cs="Times New Roman"/>
          <w:color w:val="000000" w:themeColor="text1"/>
          <w:sz w:val="28"/>
          <w:szCs w:val="24"/>
        </w:rPr>
        <w:t>-16 was added in the revision process</w:t>
      </w:r>
      <w:r w:rsidR="00D1682E">
        <w:rPr>
          <w:rFonts w:ascii="Times New Roman" w:hAnsi="Times New Roman" w:cs="Times New Roman"/>
          <w:color w:val="000000" w:themeColor="text1"/>
          <w:sz w:val="28"/>
          <w:szCs w:val="24"/>
        </w:rPr>
        <w:t>.</w:t>
      </w:r>
    </w:p>
    <w:p w14:paraId="76188752" w14:textId="77777777" w:rsidR="007E53FC" w:rsidRPr="00C82A25" w:rsidRDefault="007E53FC" w:rsidP="00C82A25">
      <w:pPr>
        <w:pStyle w:val="NoSpacing"/>
        <w:rPr>
          <w:rFonts w:ascii="Times New Roman" w:eastAsia="Calibri" w:hAnsi="Times New Roman" w:cs="Times New Roman"/>
          <w:b/>
          <w:color w:val="000000" w:themeColor="text1"/>
          <w:sz w:val="24"/>
          <w:szCs w:val="24"/>
        </w:rPr>
      </w:pPr>
    </w:p>
    <w:p w14:paraId="4D0C2822" w14:textId="77777777" w:rsidR="00951A0D" w:rsidRPr="002B0938" w:rsidRDefault="00951A0D" w:rsidP="00CC51CC">
      <w:pPr>
        <w:spacing w:line="240" w:lineRule="auto"/>
        <w:rPr>
          <w:rFonts w:ascii="Times New Roman" w:eastAsia="Calibri" w:hAnsi="Times New Roman" w:cs="Times New Roman"/>
          <w:color w:val="000000" w:themeColor="text1"/>
          <w:sz w:val="24"/>
          <w:szCs w:val="24"/>
        </w:rPr>
      </w:pPr>
    </w:p>
    <w:p w14:paraId="25F53F4B" w14:textId="036942D5" w:rsidR="000367CB" w:rsidRPr="00173569" w:rsidRDefault="000367CB" w:rsidP="00245CBF">
      <w:pPr>
        <w:pStyle w:val="ListParagraph"/>
        <w:numPr>
          <w:ilvl w:val="0"/>
          <w:numId w:val="15"/>
        </w:numPr>
        <w:rPr>
          <w:rFonts w:ascii="Times New Roman" w:hAnsi="Times New Roman" w:cs="Times New Roman"/>
          <w:b/>
          <w:sz w:val="24"/>
          <w:szCs w:val="24"/>
        </w:rPr>
      </w:pPr>
      <w:r w:rsidRPr="00173569">
        <w:rPr>
          <w:rFonts w:ascii="Times New Roman" w:hAnsi="Times New Roman" w:cs="Times New Roman"/>
          <w:b/>
          <w:sz w:val="24"/>
          <w:szCs w:val="24"/>
        </w:rPr>
        <w:t>Introduction</w:t>
      </w:r>
    </w:p>
    <w:p w14:paraId="0A7BC331" w14:textId="2C0392F4" w:rsidR="007D3334" w:rsidRDefault="000367CB" w:rsidP="00CA5A3C">
      <w:pPr>
        <w:autoSpaceDE w:val="0"/>
        <w:autoSpaceDN w:val="0"/>
        <w:adjustRightInd w:val="0"/>
        <w:spacing w:after="0" w:line="360" w:lineRule="auto"/>
        <w:ind w:firstLine="720"/>
        <w:rPr>
          <w:rFonts w:ascii="Times New Roman" w:hAnsi="Times New Roman" w:cs="Times New Roman"/>
          <w:color w:val="333333"/>
          <w:sz w:val="24"/>
          <w:szCs w:val="24"/>
          <w:shd w:val="clear" w:color="auto" w:fill="FCFCFC"/>
        </w:rPr>
      </w:pPr>
      <w:r w:rsidRPr="00173569">
        <w:rPr>
          <w:rFonts w:ascii="Times New Roman" w:hAnsi="Times New Roman" w:cs="Times New Roman"/>
          <w:sz w:val="24"/>
          <w:szCs w:val="24"/>
        </w:rPr>
        <w:t>As a benchmark</w:t>
      </w:r>
      <w:r w:rsidR="00B85725" w:rsidRPr="00173569">
        <w:rPr>
          <w:rFonts w:ascii="Times New Roman" w:hAnsi="Times New Roman" w:cs="Times New Roman"/>
          <w:sz w:val="24"/>
          <w:szCs w:val="24"/>
        </w:rPr>
        <w:t>,</w:t>
      </w:r>
      <w:r w:rsidRPr="00173569">
        <w:rPr>
          <w:rFonts w:ascii="Times New Roman" w:hAnsi="Times New Roman" w:cs="Times New Roman"/>
          <w:sz w:val="24"/>
          <w:szCs w:val="24"/>
        </w:rPr>
        <w:t xml:space="preserve"> the</w:t>
      </w:r>
      <w:r w:rsidR="00926F3E" w:rsidRPr="00173569">
        <w:rPr>
          <w:rFonts w:ascii="Times New Roman" w:hAnsi="Times New Roman" w:cs="Times New Roman"/>
          <w:sz w:val="24"/>
          <w:szCs w:val="24"/>
        </w:rPr>
        <w:t xml:space="preserve"> </w:t>
      </w:r>
      <w:r w:rsidR="00B47C52" w:rsidRPr="00173569">
        <w:rPr>
          <w:rFonts w:ascii="Times New Roman" w:hAnsi="Times New Roman" w:cs="Times New Roman"/>
          <w:sz w:val="24"/>
          <w:szCs w:val="24"/>
        </w:rPr>
        <w:t>pa</w:t>
      </w:r>
      <w:r w:rsidR="006C1D0C" w:rsidRPr="00173569">
        <w:rPr>
          <w:rFonts w:ascii="Times New Roman" w:hAnsi="Times New Roman" w:cs="Times New Roman"/>
          <w:sz w:val="24"/>
          <w:szCs w:val="24"/>
        </w:rPr>
        <w:t xml:space="preserve">per </w:t>
      </w:r>
      <w:r w:rsidRPr="00173569">
        <w:rPr>
          <w:rFonts w:ascii="Times New Roman" w:hAnsi="Times New Roman" w:cs="Times New Roman"/>
          <w:sz w:val="24"/>
          <w:szCs w:val="24"/>
        </w:rPr>
        <w:t>opens by documenting</w:t>
      </w:r>
      <w:r w:rsidR="00C0025E" w:rsidRPr="00173569">
        <w:rPr>
          <w:rFonts w:ascii="Times New Roman" w:hAnsi="Times New Roman" w:cs="Times New Roman"/>
          <w:sz w:val="24"/>
          <w:szCs w:val="24"/>
        </w:rPr>
        <w:t xml:space="preserve"> </w:t>
      </w:r>
      <w:r w:rsidR="00B42808" w:rsidRPr="00173569">
        <w:rPr>
          <w:rFonts w:ascii="Times New Roman" w:hAnsi="Times New Roman" w:cs="Times New Roman"/>
          <w:sz w:val="24"/>
          <w:szCs w:val="24"/>
        </w:rPr>
        <w:t>the</w:t>
      </w:r>
      <w:r w:rsidR="009C233E" w:rsidRPr="00173569">
        <w:rPr>
          <w:rFonts w:ascii="Times New Roman" w:hAnsi="Times New Roman" w:cs="Times New Roman"/>
          <w:sz w:val="24"/>
          <w:szCs w:val="24"/>
        </w:rPr>
        <w:t xml:space="preserve"> remarkable heterogeneity of countries</w:t>
      </w:r>
      <w:r w:rsidR="00FC2163" w:rsidRPr="00173569">
        <w:rPr>
          <w:rFonts w:ascii="Times New Roman" w:hAnsi="Times New Roman" w:cs="Times New Roman"/>
          <w:sz w:val="24"/>
          <w:szCs w:val="24"/>
        </w:rPr>
        <w:t>’</w:t>
      </w:r>
      <w:r w:rsidR="009C233E" w:rsidRPr="00173569">
        <w:rPr>
          <w:rFonts w:ascii="Times New Roman" w:hAnsi="Times New Roman" w:cs="Times New Roman"/>
          <w:sz w:val="24"/>
          <w:szCs w:val="24"/>
        </w:rPr>
        <w:t xml:space="preserve"> </w:t>
      </w:r>
      <w:r w:rsidR="00525E77" w:rsidRPr="00173569">
        <w:rPr>
          <w:rFonts w:ascii="Times New Roman" w:hAnsi="Times New Roman" w:cs="Times New Roman"/>
          <w:sz w:val="24"/>
          <w:szCs w:val="24"/>
        </w:rPr>
        <w:t>Covid</w:t>
      </w:r>
      <w:r w:rsidR="00412142" w:rsidRPr="00173569">
        <w:rPr>
          <w:rFonts w:ascii="Times New Roman" w:hAnsi="Times New Roman" w:cs="Times New Roman"/>
          <w:sz w:val="24"/>
          <w:szCs w:val="24"/>
        </w:rPr>
        <w:t>-19</w:t>
      </w:r>
      <w:r w:rsidRPr="00173569">
        <w:rPr>
          <w:rFonts w:ascii="Times New Roman" w:hAnsi="Times New Roman" w:cs="Times New Roman"/>
          <w:sz w:val="24"/>
          <w:szCs w:val="24"/>
          <w:u w:val="double"/>
        </w:rPr>
        <w:t xml:space="preserve"> </w:t>
      </w:r>
      <w:r w:rsidR="00F82E46" w:rsidRPr="00173569">
        <w:rPr>
          <w:rFonts w:ascii="Times New Roman" w:hAnsi="Times New Roman" w:cs="Times New Roman"/>
          <w:sz w:val="24"/>
          <w:szCs w:val="24"/>
        </w:rPr>
        <w:t xml:space="preserve">mortality experiences </w:t>
      </w:r>
      <w:r w:rsidR="00926F3E" w:rsidRPr="00173569">
        <w:rPr>
          <w:rFonts w:ascii="Times New Roman" w:hAnsi="Times New Roman" w:cs="Times New Roman"/>
          <w:sz w:val="24"/>
          <w:szCs w:val="24"/>
        </w:rPr>
        <w:t xml:space="preserve">during the first two </w:t>
      </w:r>
      <w:r w:rsidR="00525E77" w:rsidRPr="00173569">
        <w:rPr>
          <w:rFonts w:ascii="Times New Roman" w:hAnsi="Times New Roman" w:cs="Times New Roman"/>
          <w:sz w:val="24"/>
          <w:szCs w:val="24"/>
        </w:rPr>
        <w:t>Covid</w:t>
      </w:r>
      <w:r w:rsidR="002E5803" w:rsidRPr="00173569">
        <w:rPr>
          <w:rFonts w:ascii="Times New Roman" w:hAnsi="Times New Roman" w:cs="Times New Roman"/>
          <w:sz w:val="24"/>
          <w:szCs w:val="24"/>
        </w:rPr>
        <w:t>-19</w:t>
      </w:r>
      <w:r w:rsidR="00E010B0" w:rsidRPr="00173569">
        <w:rPr>
          <w:rFonts w:ascii="Times New Roman" w:hAnsi="Times New Roman" w:cs="Times New Roman"/>
          <w:sz w:val="24"/>
          <w:szCs w:val="24"/>
        </w:rPr>
        <w:t xml:space="preserve"> </w:t>
      </w:r>
      <w:r w:rsidR="00926F3E" w:rsidRPr="00173569">
        <w:rPr>
          <w:rFonts w:ascii="Times New Roman" w:hAnsi="Times New Roman" w:cs="Times New Roman"/>
          <w:sz w:val="24"/>
          <w:szCs w:val="24"/>
        </w:rPr>
        <w:t xml:space="preserve">years, </w:t>
      </w:r>
      <w:r w:rsidR="00FD159F" w:rsidRPr="00173569">
        <w:rPr>
          <w:rFonts w:ascii="Times New Roman" w:hAnsi="Times New Roman" w:cs="Times New Roman"/>
          <w:sz w:val="24"/>
          <w:szCs w:val="24"/>
        </w:rPr>
        <w:t xml:space="preserve">from </w:t>
      </w:r>
      <w:r w:rsidR="00926F3E" w:rsidRPr="00173569">
        <w:rPr>
          <w:rFonts w:ascii="Times New Roman" w:hAnsi="Times New Roman" w:cs="Times New Roman"/>
          <w:sz w:val="24"/>
          <w:szCs w:val="24"/>
        </w:rPr>
        <w:t>2020-2021</w:t>
      </w:r>
      <w:r w:rsidR="009C233E" w:rsidRPr="00173569">
        <w:rPr>
          <w:rFonts w:ascii="Times New Roman" w:hAnsi="Times New Roman" w:cs="Times New Roman"/>
          <w:sz w:val="24"/>
          <w:szCs w:val="24"/>
        </w:rPr>
        <w:t xml:space="preserve">. </w:t>
      </w:r>
      <w:r w:rsidR="00F874D8" w:rsidRPr="00173569">
        <w:rPr>
          <w:rFonts w:ascii="Times New Roman" w:hAnsi="Times New Roman" w:cs="Times New Roman"/>
          <w:color w:val="333333"/>
          <w:sz w:val="24"/>
          <w:szCs w:val="24"/>
          <w:shd w:val="clear" w:color="auto" w:fill="FCFCFC"/>
        </w:rPr>
        <w:t>Th</w:t>
      </w:r>
      <w:r w:rsidR="004702FA" w:rsidRPr="00173569">
        <w:rPr>
          <w:rFonts w:ascii="Times New Roman" w:hAnsi="Times New Roman" w:cs="Times New Roman"/>
          <w:color w:val="333333"/>
          <w:sz w:val="24"/>
          <w:szCs w:val="24"/>
          <w:shd w:val="clear" w:color="auto" w:fill="FCFCFC"/>
        </w:rPr>
        <w:t>e</w:t>
      </w:r>
      <w:r w:rsidR="00C56C59" w:rsidRPr="00173569">
        <w:rPr>
          <w:rFonts w:ascii="Times New Roman" w:hAnsi="Times New Roman" w:cs="Times New Roman"/>
          <w:color w:val="333333"/>
          <w:sz w:val="24"/>
          <w:szCs w:val="24"/>
          <w:shd w:val="clear" w:color="auto" w:fill="FCFCFC"/>
        </w:rPr>
        <w:t xml:space="preserve"> </w:t>
      </w:r>
      <w:r w:rsidR="00660EC4" w:rsidRPr="00173569">
        <w:rPr>
          <w:rFonts w:ascii="Times New Roman" w:hAnsi="Times New Roman" w:cs="Times New Roman"/>
          <w:color w:val="333333"/>
          <w:sz w:val="24"/>
          <w:szCs w:val="24"/>
          <w:shd w:val="clear" w:color="auto" w:fill="FCFCFC"/>
        </w:rPr>
        <w:t>heterogeneity</w:t>
      </w:r>
      <w:r w:rsidR="004702FA" w:rsidRPr="00173569">
        <w:rPr>
          <w:rFonts w:ascii="Times New Roman" w:hAnsi="Times New Roman" w:cs="Times New Roman"/>
          <w:color w:val="333333"/>
          <w:sz w:val="24"/>
          <w:szCs w:val="24"/>
          <w:shd w:val="clear" w:color="auto" w:fill="FCFCFC"/>
        </w:rPr>
        <w:t xml:space="preserve"> in countr</w:t>
      </w:r>
      <w:r w:rsidR="00F57881" w:rsidRPr="00173569">
        <w:rPr>
          <w:rFonts w:ascii="Times New Roman" w:hAnsi="Times New Roman" w:cs="Times New Roman"/>
          <w:color w:val="333333"/>
          <w:sz w:val="24"/>
          <w:szCs w:val="24"/>
          <w:shd w:val="clear" w:color="auto" w:fill="FCFCFC"/>
        </w:rPr>
        <w:t>ie</w:t>
      </w:r>
      <w:r w:rsidR="004702FA" w:rsidRPr="00173569">
        <w:rPr>
          <w:rFonts w:ascii="Times New Roman" w:hAnsi="Times New Roman" w:cs="Times New Roman"/>
          <w:color w:val="333333"/>
          <w:sz w:val="24"/>
          <w:szCs w:val="24"/>
          <w:shd w:val="clear" w:color="auto" w:fill="FCFCFC"/>
        </w:rPr>
        <w:t>s’ performance</w:t>
      </w:r>
      <w:r w:rsidR="00C56C59" w:rsidRPr="00173569">
        <w:rPr>
          <w:rFonts w:ascii="Times New Roman" w:hAnsi="Times New Roman" w:cs="Times New Roman"/>
          <w:color w:val="333333"/>
          <w:sz w:val="24"/>
          <w:szCs w:val="24"/>
          <w:shd w:val="clear" w:color="auto" w:fill="FCFCFC"/>
        </w:rPr>
        <w:t xml:space="preserve"> is </w:t>
      </w:r>
      <w:r w:rsidR="006C10A9" w:rsidRPr="00173569">
        <w:rPr>
          <w:rFonts w:ascii="Times New Roman" w:hAnsi="Times New Roman" w:cs="Times New Roman"/>
          <w:color w:val="333333"/>
          <w:sz w:val="24"/>
          <w:szCs w:val="24"/>
          <w:shd w:val="clear" w:color="auto" w:fill="FCFCFC"/>
        </w:rPr>
        <w:t>illustrated</w:t>
      </w:r>
      <w:r w:rsidR="00C56C59" w:rsidRPr="00173569">
        <w:rPr>
          <w:rFonts w:ascii="Times New Roman" w:hAnsi="Times New Roman" w:cs="Times New Roman"/>
          <w:color w:val="333333"/>
          <w:sz w:val="24"/>
          <w:szCs w:val="24"/>
          <w:shd w:val="clear" w:color="auto" w:fill="FCFCFC"/>
        </w:rPr>
        <w:t xml:space="preserve"> by Figure </w:t>
      </w:r>
      <w:r w:rsidR="00C715E6" w:rsidRPr="00173569">
        <w:rPr>
          <w:rFonts w:ascii="Times New Roman" w:hAnsi="Times New Roman" w:cs="Times New Roman"/>
          <w:color w:val="333333"/>
          <w:sz w:val="24"/>
          <w:szCs w:val="24"/>
          <w:shd w:val="clear" w:color="auto" w:fill="FCFCFC"/>
        </w:rPr>
        <w:t>1</w:t>
      </w:r>
      <w:r w:rsidR="007D3334">
        <w:rPr>
          <w:rFonts w:ascii="Times New Roman" w:hAnsi="Times New Roman" w:cs="Times New Roman"/>
          <w:color w:val="333333"/>
          <w:sz w:val="24"/>
          <w:szCs w:val="24"/>
          <w:shd w:val="clear" w:color="auto" w:fill="FCFCFC"/>
        </w:rPr>
        <w:t xml:space="preserve"> below</w:t>
      </w:r>
      <w:r w:rsidR="00C56C59" w:rsidRPr="00173569">
        <w:rPr>
          <w:rFonts w:ascii="Times New Roman" w:hAnsi="Times New Roman" w:cs="Times New Roman"/>
          <w:color w:val="333333"/>
          <w:sz w:val="24"/>
          <w:szCs w:val="24"/>
          <w:shd w:val="clear" w:color="auto" w:fill="FCFCFC"/>
        </w:rPr>
        <w:t xml:space="preserve">, </w:t>
      </w:r>
      <w:r w:rsidR="00FD159F" w:rsidRPr="00173569">
        <w:rPr>
          <w:rFonts w:ascii="Times New Roman" w:hAnsi="Times New Roman" w:cs="Times New Roman"/>
          <w:color w:val="333333"/>
          <w:sz w:val="24"/>
          <w:szCs w:val="24"/>
          <w:shd w:val="clear" w:color="auto" w:fill="FCFCFC"/>
        </w:rPr>
        <w:t>which displays</w:t>
      </w:r>
      <w:r w:rsidR="00FD159F" w:rsidRPr="00173569">
        <w:rPr>
          <w:rFonts w:ascii="Times New Roman" w:hAnsi="Times New Roman" w:cs="Times New Roman"/>
          <w:color w:val="333333"/>
          <w:sz w:val="18"/>
          <w:szCs w:val="24"/>
          <w:shd w:val="clear" w:color="auto" w:fill="FCFCFC"/>
        </w:rPr>
        <w:t xml:space="preserve"> </w:t>
      </w:r>
      <w:r w:rsidR="0001338B" w:rsidRPr="00173569">
        <w:rPr>
          <w:rFonts w:ascii="Times New Roman" w:hAnsi="Times New Roman" w:cs="Times New Roman"/>
          <w:color w:val="333333"/>
          <w:sz w:val="24"/>
          <w:szCs w:val="24"/>
          <w:shd w:val="clear" w:color="auto" w:fill="FCFCFC"/>
        </w:rPr>
        <w:t>c</w:t>
      </w:r>
      <w:r w:rsidR="00660EC4" w:rsidRPr="00173569">
        <w:rPr>
          <w:rFonts w:ascii="Times New Roman" w:hAnsi="Times New Roman" w:cs="Times New Roman"/>
          <w:color w:val="333333"/>
          <w:sz w:val="24"/>
          <w:szCs w:val="24"/>
          <w:shd w:val="clear" w:color="auto" w:fill="FCFCFC"/>
        </w:rPr>
        <w:t>umulative</w:t>
      </w:r>
      <w:r w:rsidR="00F874D8" w:rsidRPr="00173569">
        <w:rPr>
          <w:rFonts w:ascii="Times New Roman" w:hAnsi="Times New Roman" w:cs="Times New Roman"/>
          <w:color w:val="333333"/>
          <w:sz w:val="24"/>
          <w:szCs w:val="24"/>
          <w:shd w:val="clear" w:color="auto" w:fill="FCFCFC"/>
        </w:rPr>
        <w:t xml:space="preserve"> </w:t>
      </w:r>
      <w:r w:rsidR="00520DBA" w:rsidRPr="00173569">
        <w:rPr>
          <w:rFonts w:ascii="Times New Roman" w:hAnsi="Times New Roman" w:cs="Times New Roman"/>
          <w:color w:val="333333"/>
          <w:sz w:val="24"/>
          <w:szCs w:val="24"/>
          <w:shd w:val="clear" w:color="auto" w:fill="FCFCFC"/>
        </w:rPr>
        <w:t>official</w:t>
      </w:r>
      <w:r w:rsidR="00F874D8" w:rsidRPr="00173569">
        <w:rPr>
          <w:rFonts w:ascii="Times New Roman" w:hAnsi="Times New Roman" w:cs="Times New Roman"/>
          <w:color w:val="333333"/>
          <w:sz w:val="24"/>
          <w:szCs w:val="24"/>
          <w:shd w:val="clear" w:color="auto" w:fill="FCFCFC"/>
        </w:rPr>
        <w:t xml:space="preserve"> </w:t>
      </w:r>
      <w:r w:rsidR="00525E77" w:rsidRPr="00173569">
        <w:rPr>
          <w:rFonts w:ascii="Times New Roman" w:hAnsi="Times New Roman" w:cs="Times New Roman"/>
          <w:color w:val="333333"/>
          <w:sz w:val="24"/>
          <w:szCs w:val="24"/>
          <w:shd w:val="clear" w:color="auto" w:fill="FCFCFC"/>
        </w:rPr>
        <w:t>Covid</w:t>
      </w:r>
      <w:r w:rsidR="00F874D8" w:rsidRPr="00173569">
        <w:rPr>
          <w:rFonts w:ascii="Times New Roman" w:hAnsi="Times New Roman" w:cs="Times New Roman"/>
          <w:color w:val="333333"/>
          <w:sz w:val="24"/>
          <w:szCs w:val="24"/>
          <w:shd w:val="clear" w:color="auto" w:fill="FCFCFC"/>
        </w:rPr>
        <w:t>-19 death</w:t>
      </w:r>
      <w:r w:rsidR="00FD159F" w:rsidRPr="00173569">
        <w:rPr>
          <w:rFonts w:ascii="Times New Roman" w:hAnsi="Times New Roman" w:cs="Times New Roman"/>
          <w:color w:val="333333"/>
          <w:sz w:val="24"/>
          <w:szCs w:val="24"/>
          <w:shd w:val="clear" w:color="auto" w:fill="FCFCFC"/>
        </w:rPr>
        <w:t>s</w:t>
      </w:r>
      <w:r w:rsidR="00F874D8" w:rsidRPr="00173569">
        <w:rPr>
          <w:rFonts w:ascii="Times New Roman" w:hAnsi="Times New Roman" w:cs="Times New Roman"/>
          <w:color w:val="333333"/>
          <w:sz w:val="24"/>
          <w:szCs w:val="24"/>
          <w:shd w:val="clear" w:color="auto" w:fill="FCFCFC"/>
        </w:rPr>
        <w:t xml:space="preserve"> </w:t>
      </w:r>
      <w:r w:rsidR="00C46580" w:rsidRPr="00173569">
        <w:rPr>
          <w:rFonts w:ascii="Times New Roman" w:hAnsi="Times New Roman" w:cs="Times New Roman"/>
          <w:color w:val="333333"/>
          <w:sz w:val="24"/>
          <w:szCs w:val="24"/>
          <w:shd w:val="clear" w:color="auto" w:fill="FCFCFC"/>
        </w:rPr>
        <w:t>per million</w:t>
      </w:r>
      <w:r w:rsidR="00F874D8" w:rsidRPr="00173569">
        <w:rPr>
          <w:rFonts w:ascii="Times New Roman" w:hAnsi="Times New Roman" w:cs="Times New Roman"/>
          <w:color w:val="333333"/>
          <w:sz w:val="24"/>
          <w:szCs w:val="24"/>
          <w:shd w:val="clear" w:color="auto" w:fill="FCFCFC"/>
        </w:rPr>
        <w:t xml:space="preserve"> </w:t>
      </w:r>
      <w:r w:rsidR="006C10A9" w:rsidRPr="00173569">
        <w:rPr>
          <w:rFonts w:ascii="Times New Roman" w:hAnsi="Times New Roman" w:cs="Times New Roman"/>
          <w:color w:val="333333"/>
          <w:sz w:val="24"/>
          <w:szCs w:val="24"/>
          <w:shd w:val="clear" w:color="auto" w:fill="FCFCFC"/>
        </w:rPr>
        <w:t>for h</w:t>
      </w:r>
      <w:r w:rsidR="00F874D8" w:rsidRPr="00173569">
        <w:rPr>
          <w:rFonts w:ascii="Times New Roman" w:hAnsi="Times New Roman" w:cs="Times New Roman"/>
          <w:color w:val="333333"/>
          <w:sz w:val="24"/>
          <w:szCs w:val="24"/>
          <w:shd w:val="clear" w:color="auto" w:fill="FCFCFC"/>
        </w:rPr>
        <w:t>igh</w:t>
      </w:r>
      <w:r w:rsidR="00FD159F" w:rsidRPr="00173569">
        <w:rPr>
          <w:rFonts w:ascii="Times New Roman" w:hAnsi="Times New Roman" w:cs="Times New Roman"/>
          <w:color w:val="333333"/>
          <w:sz w:val="24"/>
          <w:szCs w:val="24"/>
          <w:shd w:val="clear" w:color="auto" w:fill="FCFCFC"/>
        </w:rPr>
        <w:t>-</w:t>
      </w:r>
      <w:r w:rsidR="00F874D8" w:rsidRPr="00173569">
        <w:rPr>
          <w:rFonts w:ascii="Times New Roman" w:hAnsi="Times New Roman" w:cs="Times New Roman"/>
          <w:color w:val="333333"/>
          <w:sz w:val="24"/>
          <w:szCs w:val="24"/>
          <w:shd w:val="clear" w:color="auto" w:fill="FCFCFC"/>
        </w:rPr>
        <w:t xml:space="preserve">, upper-middle, lower-middle, </w:t>
      </w:r>
      <w:r w:rsidR="006C10A9" w:rsidRPr="00173569">
        <w:rPr>
          <w:rFonts w:ascii="Times New Roman" w:hAnsi="Times New Roman" w:cs="Times New Roman"/>
          <w:color w:val="333333"/>
          <w:sz w:val="24"/>
          <w:szCs w:val="24"/>
          <w:shd w:val="clear" w:color="auto" w:fill="FCFCFC"/>
        </w:rPr>
        <w:t xml:space="preserve">and </w:t>
      </w:r>
      <w:r w:rsidR="00C46580" w:rsidRPr="00173569">
        <w:rPr>
          <w:rFonts w:ascii="Times New Roman" w:hAnsi="Times New Roman" w:cs="Times New Roman"/>
          <w:color w:val="333333"/>
          <w:sz w:val="24"/>
          <w:szCs w:val="24"/>
        </w:rPr>
        <w:t>low-income</w:t>
      </w:r>
      <w:r w:rsidR="004702FA" w:rsidRPr="00173569">
        <w:rPr>
          <w:rFonts w:ascii="Times New Roman" w:hAnsi="Times New Roman" w:cs="Times New Roman"/>
          <w:color w:val="333333"/>
          <w:sz w:val="24"/>
          <w:szCs w:val="24"/>
          <w:shd w:val="clear" w:color="auto" w:fill="FCFCFC"/>
        </w:rPr>
        <w:t xml:space="preserve"> </w:t>
      </w:r>
      <w:r w:rsidR="00F556B1" w:rsidRPr="00173569">
        <w:rPr>
          <w:rFonts w:ascii="Times New Roman" w:hAnsi="Times New Roman" w:cs="Times New Roman"/>
          <w:color w:val="333333"/>
          <w:sz w:val="24"/>
          <w:szCs w:val="24"/>
          <w:shd w:val="clear" w:color="auto" w:fill="FCFCFC"/>
        </w:rPr>
        <w:t>countries</w:t>
      </w:r>
      <w:r w:rsidR="00F874D8" w:rsidRPr="00173569">
        <w:rPr>
          <w:rFonts w:ascii="Times New Roman" w:hAnsi="Times New Roman" w:cs="Times New Roman"/>
          <w:color w:val="333333"/>
          <w:sz w:val="24"/>
          <w:szCs w:val="24"/>
          <w:shd w:val="clear" w:color="auto" w:fill="FCFCFC"/>
        </w:rPr>
        <w:t xml:space="preserve">, </w:t>
      </w:r>
      <w:r w:rsidR="004702FA" w:rsidRPr="00173569">
        <w:rPr>
          <w:rFonts w:ascii="Times New Roman" w:hAnsi="Times New Roman" w:cs="Times New Roman"/>
          <w:color w:val="333333"/>
          <w:sz w:val="24"/>
          <w:szCs w:val="24"/>
          <w:shd w:val="clear" w:color="auto" w:fill="FCFCFC"/>
        </w:rPr>
        <w:t xml:space="preserve">as well as for </w:t>
      </w:r>
      <w:r w:rsidR="006C10A9" w:rsidRPr="00173569">
        <w:rPr>
          <w:rFonts w:ascii="Times New Roman" w:hAnsi="Times New Roman" w:cs="Times New Roman"/>
          <w:color w:val="333333"/>
          <w:sz w:val="24"/>
          <w:szCs w:val="24"/>
          <w:shd w:val="clear" w:color="auto" w:fill="FCFCFC"/>
        </w:rPr>
        <w:t xml:space="preserve">the </w:t>
      </w:r>
      <w:r w:rsidR="00207945" w:rsidRPr="00173569">
        <w:rPr>
          <w:rFonts w:ascii="Times New Roman" w:hAnsi="Times New Roman" w:cs="Times New Roman"/>
          <w:color w:val="333333"/>
          <w:sz w:val="24"/>
          <w:szCs w:val="24"/>
          <w:shd w:val="clear" w:color="auto" w:fill="FCFCFC"/>
        </w:rPr>
        <w:t>W</w:t>
      </w:r>
      <w:r w:rsidR="00F874D8" w:rsidRPr="00173569">
        <w:rPr>
          <w:rFonts w:ascii="Times New Roman" w:hAnsi="Times New Roman" w:cs="Times New Roman"/>
          <w:color w:val="333333"/>
          <w:sz w:val="24"/>
          <w:szCs w:val="24"/>
          <w:shd w:val="clear" w:color="auto" w:fill="FCFCFC"/>
        </w:rPr>
        <w:t>orld</w:t>
      </w:r>
      <w:r w:rsidR="004702FA" w:rsidRPr="00173569">
        <w:rPr>
          <w:rFonts w:ascii="Times New Roman" w:hAnsi="Times New Roman" w:cs="Times New Roman"/>
          <w:color w:val="333333"/>
          <w:sz w:val="24"/>
          <w:szCs w:val="24"/>
          <w:shd w:val="clear" w:color="auto" w:fill="FCFCFC"/>
        </w:rPr>
        <w:t xml:space="preserve"> overall</w:t>
      </w:r>
      <w:r w:rsidR="00F874D8" w:rsidRPr="00173569">
        <w:rPr>
          <w:rFonts w:ascii="Times New Roman" w:hAnsi="Times New Roman" w:cs="Times New Roman"/>
          <w:color w:val="333333"/>
          <w:sz w:val="24"/>
          <w:szCs w:val="24"/>
          <w:shd w:val="clear" w:color="auto" w:fill="FCFCFC"/>
        </w:rPr>
        <w:t>.</w:t>
      </w:r>
    </w:p>
    <w:p w14:paraId="0191F611" w14:textId="4ED9F514" w:rsidR="007D3334" w:rsidRDefault="007D3334" w:rsidP="00C82A25">
      <w:pPr>
        <w:autoSpaceDE w:val="0"/>
        <w:autoSpaceDN w:val="0"/>
        <w:adjustRightInd w:val="0"/>
        <w:spacing w:after="0" w:line="360" w:lineRule="auto"/>
        <w:rPr>
          <w:rFonts w:ascii="Times New Roman" w:hAnsi="Times New Roman" w:cs="Times New Roman"/>
          <w:color w:val="333333"/>
          <w:sz w:val="24"/>
          <w:szCs w:val="24"/>
          <w:shd w:val="clear" w:color="auto" w:fill="FCFCFC"/>
        </w:rPr>
      </w:pPr>
    </w:p>
    <w:p w14:paraId="1A9BD084" w14:textId="4D1716C8" w:rsidR="007D3334" w:rsidRDefault="007D3334" w:rsidP="00CA5A3C">
      <w:pPr>
        <w:autoSpaceDE w:val="0"/>
        <w:autoSpaceDN w:val="0"/>
        <w:adjustRightInd w:val="0"/>
        <w:spacing w:after="0" w:line="360" w:lineRule="auto"/>
        <w:ind w:firstLine="720"/>
        <w:rPr>
          <w:rFonts w:ascii="Times New Roman" w:hAnsi="Times New Roman" w:cs="Times New Roman"/>
          <w:color w:val="333333"/>
          <w:sz w:val="24"/>
          <w:szCs w:val="24"/>
          <w:shd w:val="clear" w:color="auto" w:fill="FCFCFC"/>
        </w:rPr>
      </w:pPr>
      <w:r>
        <w:rPr>
          <w:rFonts w:ascii="Times New Roman" w:hAnsi="Times New Roman" w:cs="Times New Roman"/>
          <w:noProof/>
          <w:color w:val="333333"/>
          <w:sz w:val="24"/>
          <w:szCs w:val="24"/>
          <w:shd w:val="clear" w:color="auto" w:fill="FCFCFC"/>
          <w:lang w:bidi="he-IL"/>
        </w:rPr>
        <w:drawing>
          <wp:inline distT="0" distB="0" distL="0" distR="0" wp14:anchorId="09D1CD80" wp14:editId="3AE9FDF8">
            <wp:extent cx="6858000" cy="4575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6858000" cy="4575810"/>
                    </a:xfrm>
                    <a:prstGeom prst="rect">
                      <a:avLst/>
                    </a:prstGeom>
                  </pic:spPr>
                </pic:pic>
              </a:graphicData>
            </a:graphic>
          </wp:inline>
        </w:drawing>
      </w:r>
    </w:p>
    <w:p w14:paraId="501AAAD4" w14:textId="48FBDE74" w:rsidR="00F874D8" w:rsidRPr="00C82A25" w:rsidRDefault="00F874D8" w:rsidP="00CA5A3C">
      <w:pPr>
        <w:autoSpaceDE w:val="0"/>
        <w:autoSpaceDN w:val="0"/>
        <w:adjustRightInd w:val="0"/>
        <w:spacing w:after="0" w:line="360" w:lineRule="auto"/>
        <w:ind w:firstLine="720"/>
        <w:rPr>
          <w:rFonts w:ascii="Times New Roman" w:hAnsi="Times New Roman" w:cs="Times New Roman"/>
          <w:color w:val="333333"/>
          <w:sz w:val="24"/>
          <w:szCs w:val="24"/>
          <w:shd w:val="clear" w:color="auto" w:fill="FCFCFC"/>
        </w:rPr>
      </w:pPr>
      <w:r w:rsidRPr="00173569">
        <w:rPr>
          <w:rFonts w:ascii="Times New Roman" w:hAnsi="Times New Roman" w:cs="Times New Roman"/>
          <w:sz w:val="24"/>
          <w:szCs w:val="24"/>
        </w:rPr>
        <w:fldChar w:fldCharType="begin"/>
      </w:r>
      <w:r w:rsidRPr="00173569">
        <w:rPr>
          <w:rFonts w:ascii="Times New Roman" w:hAnsi="Times New Roman" w:cs="Times New Roman"/>
          <w:sz w:val="24"/>
          <w:szCs w:val="24"/>
        </w:rPr>
        <w:instrText xml:space="preserve"> HYPERLINK "https://ourworldindata.org/grapher/cumulative-covid-deaths-region" \t "_blank" </w:instrText>
      </w:r>
      <w:r w:rsidRPr="00173569">
        <w:rPr>
          <w:rFonts w:ascii="Times New Roman" w:hAnsi="Times New Roman" w:cs="Times New Roman"/>
          <w:sz w:val="24"/>
          <w:szCs w:val="24"/>
        </w:rPr>
        <w:fldChar w:fldCharType="separate"/>
      </w:r>
    </w:p>
    <w:p w14:paraId="038FEAC9" w14:textId="4C020739" w:rsidR="0068114A" w:rsidRPr="00173569" w:rsidRDefault="00F874D8" w:rsidP="00C82A25">
      <w:pPr>
        <w:jc w:val="center"/>
        <w:rPr>
          <w:rFonts w:ascii="Times New Roman" w:hAnsi="Times New Roman" w:cs="Times New Roman"/>
          <w:bCs/>
          <w:color w:val="333333"/>
          <w:sz w:val="24"/>
          <w:szCs w:val="24"/>
          <w:shd w:val="clear" w:color="auto" w:fill="FCFCFC"/>
        </w:rPr>
      </w:pPr>
      <w:r w:rsidRPr="00173569">
        <w:rPr>
          <w:rFonts w:ascii="Times New Roman" w:hAnsi="Times New Roman" w:cs="Times New Roman"/>
          <w:sz w:val="24"/>
          <w:szCs w:val="24"/>
        </w:rPr>
        <w:fldChar w:fldCharType="end"/>
      </w:r>
      <w:r w:rsidR="00525800" w:rsidRPr="00173569">
        <w:rPr>
          <w:rFonts w:ascii="Times New Roman" w:hAnsi="Times New Roman" w:cs="Times New Roman"/>
          <w:sz w:val="24"/>
          <w:szCs w:val="24"/>
        </w:rPr>
        <w:t xml:space="preserve"> </w:t>
      </w:r>
      <w:bookmarkStart w:id="1" w:name="_Hlk107115687"/>
      <w:r w:rsidR="00525800" w:rsidRPr="00173569">
        <w:rPr>
          <w:rFonts w:ascii="Times New Roman" w:hAnsi="Times New Roman" w:cs="Times New Roman"/>
          <w:b/>
          <w:bCs/>
          <w:color w:val="333333"/>
          <w:sz w:val="24"/>
          <w:szCs w:val="24"/>
          <w:shd w:val="clear" w:color="auto" w:fill="FCFCFC"/>
        </w:rPr>
        <w:t xml:space="preserve">Figure </w:t>
      </w:r>
      <w:r w:rsidR="00E432C0" w:rsidRPr="00173569">
        <w:rPr>
          <w:rFonts w:ascii="Times New Roman" w:hAnsi="Times New Roman" w:cs="Times New Roman"/>
          <w:b/>
          <w:bCs/>
          <w:color w:val="333333"/>
          <w:sz w:val="24"/>
          <w:szCs w:val="24"/>
          <w:shd w:val="clear" w:color="auto" w:fill="FCFCFC"/>
        </w:rPr>
        <w:t>1</w:t>
      </w:r>
      <w:r w:rsidR="00525800" w:rsidRPr="00173569">
        <w:rPr>
          <w:rFonts w:ascii="Times New Roman" w:hAnsi="Times New Roman" w:cs="Times New Roman"/>
          <w:b/>
          <w:bCs/>
          <w:color w:val="333333"/>
          <w:sz w:val="24"/>
          <w:szCs w:val="24"/>
          <w:shd w:val="clear" w:color="auto" w:fill="FCFCFC"/>
        </w:rPr>
        <w:t>:</w:t>
      </w:r>
      <w:r w:rsidR="00525800" w:rsidRPr="00173569">
        <w:rPr>
          <w:rFonts w:ascii="Times New Roman" w:hAnsi="Times New Roman" w:cs="Times New Roman"/>
          <w:color w:val="333333"/>
          <w:sz w:val="24"/>
          <w:szCs w:val="24"/>
          <w:shd w:val="clear" w:color="auto" w:fill="FCFCFC"/>
        </w:rPr>
        <w:t xml:space="preserve">  </w:t>
      </w:r>
      <w:r w:rsidR="00660EC4" w:rsidRPr="00173569">
        <w:rPr>
          <w:rFonts w:ascii="Times New Roman" w:hAnsi="Times New Roman" w:cs="Times New Roman"/>
          <w:bCs/>
          <w:color w:val="333333"/>
          <w:sz w:val="24"/>
          <w:szCs w:val="24"/>
          <w:shd w:val="clear" w:color="auto" w:fill="FCFCFC"/>
        </w:rPr>
        <w:t>Cumulative</w:t>
      </w:r>
      <w:r w:rsidR="00525800" w:rsidRPr="00173569">
        <w:rPr>
          <w:rFonts w:ascii="Times New Roman" w:hAnsi="Times New Roman" w:cs="Times New Roman"/>
          <w:bCs/>
          <w:color w:val="333333"/>
          <w:sz w:val="24"/>
          <w:szCs w:val="24"/>
          <w:shd w:val="clear" w:color="auto" w:fill="FCFCFC"/>
        </w:rPr>
        <w:t xml:space="preserve"> </w:t>
      </w:r>
      <w:r w:rsidR="00520DBA" w:rsidRPr="00173569">
        <w:rPr>
          <w:rFonts w:ascii="Times New Roman" w:hAnsi="Times New Roman" w:cs="Times New Roman"/>
          <w:bCs/>
          <w:color w:val="333333"/>
          <w:sz w:val="24"/>
          <w:szCs w:val="24"/>
          <w:shd w:val="clear" w:color="auto" w:fill="FCFCFC"/>
        </w:rPr>
        <w:t>official</w:t>
      </w:r>
      <w:r w:rsidR="00525800" w:rsidRPr="00173569">
        <w:rPr>
          <w:rFonts w:ascii="Times New Roman" w:hAnsi="Times New Roman" w:cs="Times New Roman"/>
          <w:bCs/>
          <w:color w:val="333333"/>
          <w:sz w:val="24"/>
          <w:szCs w:val="24"/>
          <w:shd w:val="clear" w:color="auto" w:fill="FCFCFC"/>
        </w:rPr>
        <w:t xml:space="preserve"> </w:t>
      </w:r>
      <w:r w:rsidR="00525E77" w:rsidRPr="00173569">
        <w:rPr>
          <w:rFonts w:ascii="Times New Roman" w:hAnsi="Times New Roman" w:cs="Times New Roman"/>
          <w:bCs/>
          <w:color w:val="333333"/>
          <w:sz w:val="24"/>
          <w:szCs w:val="24"/>
          <w:shd w:val="clear" w:color="auto" w:fill="FCFCFC"/>
        </w:rPr>
        <w:t>Covid</w:t>
      </w:r>
      <w:r w:rsidR="00525800" w:rsidRPr="00173569">
        <w:rPr>
          <w:rFonts w:ascii="Times New Roman" w:hAnsi="Times New Roman" w:cs="Times New Roman"/>
          <w:bCs/>
          <w:color w:val="333333"/>
          <w:sz w:val="24"/>
          <w:szCs w:val="24"/>
          <w:shd w:val="clear" w:color="auto" w:fill="FCFCFC"/>
        </w:rPr>
        <w:t xml:space="preserve">-19 </w:t>
      </w:r>
      <w:r w:rsidR="00D6752C" w:rsidRPr="00173569">
        <w:rPr>
          <w:rFonts w:ascii="Times New Roman" w:hAnsi="Times New Roman" w:cs="Times New Roman"/>
          <w:bCs/>
          <w:color w:val="333333"/>
          <w:sz w:val="24"/>
          <w:szCs w:val="24"/>
          <w:shd w:val="clear" w:color="auto" w:fill="FCFCFC"/>
        </w:rPr>
        <w:t>death</w:t>
      </w:r>
      <w:r w:rsidR="00FD159F" w:rsidRPr="00173569">
        <w:rPr>
          <w:rFonts w:ascii="Times New Roman" w:hAnsi="Times New Roman" w:cs="Times New Roman"/>
          <w:bCs/>
          <w:color w:val="333333"/>
          <w:sz w:val="24"/>
          <w:szCs w:val="24"/>
          <w:shd w:val="clear" w:color="auto" w:fill="FCFCFC"/>
        </w:rPr>
        <w:t>s</w:t>
      </w:r>
      <w:r w:rsidR="00D6752C" w:rsidRPr="00173569">
        <w:rPr>
          <w:rFonts w:ascii="Times New Roman" w:hAnsi="Times New Roman" w:cs="Times New Roman"/>
          <w:bCs/>
          <w:color w:val="333333"/>
          <w:sz w:val="24"/>
          <w:szCs w:val="24"/>
          <w:shd w:val="clear" w:color="auto" w:fill="FCFCFC"/>
        </w:rPr>
        <w:t xml:space="preserve"> </w:t>
      </w:r>
      <w:r w:rsidR="00525800" w:rsidRPr="00173569">
        <w:rPr>
          <w:rFonts w:ascii="Times New Roman" w:hAnsi="Times New Roman" w:cs="Times New Roman"/>
          <w:bCs/>
          <w:color w:val="333333"/>
          <w:sz w:val="24"/>
          <w:szCs w:val="24"/>
          <w:shd w:val="clear" w:color="auto" w:fill="FCFCFC"/>
        </w:rPr>
        <w:t>per</w:t>
      </w:r>
      <w:r w:rsidR="00B85725" w:rsidRPr="00173569">
        <w:rPr>
          <w:rFonts w:ascii="Times New Roman" w:hAnsi="Times New Roman" w:cs="Times New Roman"/>
          <w:bCs/>
          <w:color w:val="333333"/>
          <w:sz w:val="24"/>
          <w:szCs w:val="24"/>
          <w:shd w:val="clear" w:color="auto" w:fill="FCFCFC"/>
        </w:rPr>
        <w:t xml:space="preserve"> </w:t>
      </w:r>
      <w:r w:rsidR="00525800" w:rsidRPr="00173569">
        <w:rPr>
          <w:rFonts w:ascii="Times New Roman" w:hAnsi="Times New Roman" w:cs="Times New Roman"/>
          <w:bCs/>
          <w:color w:val="333333"/>
          <w:sz w:val="24"/>
          <w:szCs w:val="24"/>
          <w:shd w:val="clear" w:color="auto" w:fill="FCFCFC"/>
        </w:rPr>
        <w:t xml:space="preserve">million, </w:t>
      </w:r>
      <w:r w:rsidR="00824F09" w:rsidRPr="00173569">
        <w:rPr>
          <w:rFonts w:ascii="Times New Roman" w:hAnsi="Times New Roman" w:cs="Times New Roman"/>
          <w:bCs/>
          <w:color w:val="333333"/>
          <w:sz w:val="24"/>
          <w:szCs w:val="24"/>
          <w:shd w:val="clear" w:color="auto" w:fill="FCFCFC"/>
        </w:rPr>
        <w:t>h</w:t>
      </w:r>
      <w:r w:rsidR="00525800" w:rsidRPr="00173569">
        <w:rPr>
          <w:rFonts w:ascii="Times New Roman" w:hAnsi="Times New Roman" w:cs="Times New Roman"/>
          <w:bCs/>
          <w:color w:val="333333"/>
          <w:sz w:val="24"/>
          <w:szCs w:val="24"/>
          <w:shd w:val="clear" w:color="auto" w:fill="FCFCFC"/>
        </w:rPr>
        <w:t>igh</w:t>
      </w:r>
      <w:r w:rsidR="00FD159F" w:rsidRPr="00173569">
        <w:rPr>
          <w:rFonts w:ascii="Times New Roman" w:hAnsi="Times New Roman" w:cs="Times New Roman"/>
          <w:bCs/>
          <w:color w:val="333333"/>
          <w:sz w:val="24"/>
          <w:szCs w:val="24"/>
          <w:shd w:val="clear" w:color="auto" w:fill="FCFCFC"/>
        </w:rPr>
        <w:t>-</w:t>
      </w:r>
      <w:r w:rsidR="00525800" w:rsidRPr="00173569">
        <w:rPr>
          <w:rFonts w:ascii="Times New Roman" w:hAnsi="Times New Roman" w:cs="Times New Roman"/>
          <w:bCs/>
          <w:color w:val="333333"/>
          <w:sz w:val="24"/>
          <w:szCs w:val="24"/>
          <w:shd w:val="clear" w:color="auto" w:fill="FCFCFC"/>
        </w:rPr>
        <w:t xml:space="preserve">, </w:t>
      </w:r>
      <w:r w:rsidRPr="00173569">
        <w:rPr>
          <w:rFonts w:ascii="Times New Roman" w:hAnsi="Times New Roman" w:cs="Times New Roman"/>
          <w:bCs/>
          <w:color w:val="333333"/>
          <w:sz w:val="24"/>
          <w:szCs w:val="24"/>
          <w:shd w:val="clear" w:color="auto" w:fill="FCFCFC"/>
        </w:rPr>
        <w:t xml:space="preserve">upper-middle, </w:t>
      </w:r>
      <w:r w:rsidR="00525800" w:rsidRPr="00173569">
        <w:rPr>
          <w:rFonts w:ascii="Times New Roman" w:hAnsi="Times New Roman" w:cs="Times New Roman"/>
          <w:bCs/>
          <w:color w:val="333333"/>
          <w:sz w:val="24"/>
          <w:szCs w:val="24"/>
          <w:shd w:val="clear" w:color="auto" w:fill="FCFCFC"/>
        </w:rPr>
        <w:t xml:space="preserve">lower-middle, </w:t>
      </w:r>
      <w:r w:rsidR="00B85725" w:rsidRPr="00173569">
        <w:rPr>
          <w:rFonts w:ascii="Times New Roman" w:hAnsi="Times New Roman" w:cs="Times New Roman"/>
          <w:bCs/>
          <w:color w:val="333333"/>
          <w:sz w:val="24"/>
          <w:szCs w:val="24"/>
        </w:rPr>
        <w:t>low</w:t>
      </w:r>
      <w:r w:rsidR="00B85725" w:rsidRPr="00173569">
        <w:rPr>
          <w:rFonts w:ascii="Times New Roman" w:hAnsi="Times New Roman" w:cs="Times New Roman"/>
          <w:bCs/>
          <w:color w:val="333333"/>
          <w:sz w:val="24"/>
          <w:szCs w:val="24"/>
          <w:shd w:val="clear" w:color="auto" w:fill="FCFCFC"/>
        </w:rPr>
        <w:t>-</w:t>
      </w:r>
      <w:r w:rsidR="00525800" w:rsidRPr="00173569">
        <w:rPr>
          <w:rFonts w:ascii="Times New Roman" w:hAnsi="Times New Roman" w:cs="Times New Roman"/>
          <w:bCs/>
          <w:color w:val="333333"/>
          <w:sz w:val="24"/>
          <w:szCs w:val="24"/>
          <w:shd w:val="clear" w:color="auto" w:fill="FCFCFC"/>
        </w:rPr>
        <w:t>income</w:t>
      </w:r>
      <w:r w:rsidR="004702FA" w:rsidRPr="00173569">
        <w:rPr>
          <w:rFonts w:ascii="Times New Roman" w:hAnsi="Times New Roman" w:cs="Times New Roman"/>
          <w:bCs/>
          <w:color w:val="333333"/>
          <w:sz w:val="24"/>
          <w:szCs w:val="24"/>
          <w:shd w:val="clear" w:color="auto" w:fill="FCFCFC"/>
        </w:rPr>
        <w:t xml:space="preserve"> countries</w:t>
      </w:r>
      <w:r w:rsidR="00B85725" w:rsidRPr="00173569">
        <w:rPr>
          <w:rFonts w:ascii="Times New Roman" w:hAnsi="Times New Roman" w:cs="Times New Roman"/>
          <w:bCs/>
          <w:color w:val="333333"/>
          <w:sz w:val="24"/>
          <w:szCs w:val="24"/>
          <w:shd w:val="clear" w:color="auto" w:fill="FCFCFC"/>
        </w:rPr>
        <w:t>,</w:t>
      </w:r>
      <w:r w:rsidRPr="00173569">
        <w:rPr>
          <w:rFonts w:ascii="Times New Roman" w:hAnsi="Times New Roman" w:cs="Times New Roman"/>
          <w:bCs/>
          <w:color w:val="333333"/>
          <w:sz w:val="24"/>
          <w:szCs w:val="24"/>
          <w:shd w:val="clear" w:color="auto" w:fill="FCFCFC"/>
        </w:rPr>
        <w:t xml:space="preserve"> and </w:t>
      </w:r>
      <w:r w:rsidR="00824F09" w:rsidRPr="00173569">
        <w:rPr>
          <w:rFonts w:ascii="Times New Roman" w:hAnsi="Times New Roman" w:cs="Times New Roman"/>
          <w:bCs/>
          <w:color w:val="333333"/>
          <w:sz w:val="24"/>
          <w:szCs w:val="24"/>
          <w:shd w:val="clear" w:color="auto" w:fill="FCFCFC"/>
        </w:rPr>
        <w:t xml:space="preserve">the </w:t>
      </w:r>
      <w:r w:rsidR="00FD159F" w:rsidRPr="00173569">
        <w:rPr>
          <w:rFonts w:ascii="Times New Roman" w:hAnsi="Times New Roman" w:cs="Times New Roman"/>
          <w:bCs/>
          <w:color w:val="333333"/>
          <w:sz w:val="24"/>
          <w:szCs w:val="24"/>
          <w:shd w:val="clear" w:color="auto" w:fill="FCFCFC"/>
        </w:rPr>
        <w:t>W</w:t>
      </w:r>
      <w:r w:rsidRPr="00173569">
        <w:rPr>
          <w:rFonts w:ascii="Times New Roman" w:hAnsi="Times New Roman" w:cs="Times New Roman"/>
          <w:bCs/>
          <w:color w:val="333333"/>
          <w:sz w:val="24"/>
          <w:szCs w:val="24"/>
          <w:shd w:val="clear" w:color="auto" w:fill="FCFCFC"/>
        </w:rPr>
        <w:t>orld</w:t>
      </w:r>
      <w:r w:rsidR="00824F09" w:rsidRPr="00173569">
        <w:rPr>
          <w:rFonts w:ascii="Times New Roman" w:hAnsi="Times New Roman" w:cs="Times New Roman"/>
          <w:bCs/>
          <w:color w:val="333333"/>
          <w:sz w:val="24"/>
          <w:szCs w:val="24"/>
          <w:shd w:val="clear" w:color="auto" w:fill="FCFCFC"/>
        </w:rPr>
        <w:t>, 2020-2021</w:t>
      </w:r>
      <w:r w:rsidR="00525800" w:rsidRPr="00173569">
        <w:rPr>
          <w:rFonts w:ascii="Times New Roman" w:hAnsi="Times New Roman" w:cs="Times New Roman"/>
          <w:bCs/>
          <w:color w:val="333333"/>
          <w:sz w:val="24"/>
          <w:szCs w:val="24"/>
          <w:shd w:val="clear" w:color="auto" w:fill="FCFCFC"/>
        </w:rPr>
        <w:t>.</w:t>
      </w:r>
      <w:r w:rsidR="00CA5A3C">
        <w:rPr>
          <w:rFonts w:ascii="Times New Roman" w:hAnsi="Times New Roman" w:cs="Times New Roman"/>
          <w:bCs/>
          <w:color w:val="333333"/>
          <w:sz w:val="24"/>
          <w:szCs w:val="24"/>
          <w:shd w:val="clear" w:color="auto" w:fill="FCFCFC"/>
        </w:rPr>
        <w:t xml:space="preserve"> Authors’ analysis of data from Our World in Data.</w:t>
      </w:r>
      <w:bookmarkEnd w:id="1"/>
      <w:r w:rsidR="00CA5A3C">
        <w:rPr>
          <w:rStyle w:val="FootnoteReference"/>
          <w:rFonts w:ascii="Times New Roman" w:hAnsi="Times New Roman" w:cs="Times New Roman"/>
          <w:bCs/>
          <w:color w:val="333333"/>
          <w:sz w:val="24"/>
          <w:szCs w:val="24"/>
          <w:shd w:val="clear" w:color="auto" w:fill="FCFCFC"/>
        </w:rPr>
        <w:footnoteReference w:id="2"/>
      </w:r>
      <w:r w:rsidR="00CA5A3C">
        <w:rPr>
          <w:rFonts w:ascii="Times New Roman" w:hAnsi="Times New Roman" w:cs="Times New Roman"/>
          <w:bCs/>
          <w:color w:val="333333"/>
          <w:sz w:val="24"/>
          <w:szCs w:val="24"/>
          <w:shd w:val="clear" w:color="auto" w:fill="FCFCFC"/>
        </w:rPr>
        <w:t xml:space="preserve"> </w:t>
      </w:r>
    </w:p>
    <w:p w14:paraId="427C016E" w14:textId="4D19FFB4" w:rsidR="00BD10F6" w:rsidRDefault="00BD10F6" w:rsidP="00824F09">
      <w:pPr>
        <w:autoSpaceDE w:val="0"/>
        <w:autoSpaceDN w:val="0"/>
        <w:adjustRightInd w:val="0"/>
        <w:spacing w:after="0" w:line="360" w:lineRule="auto"/>
        <w:rPr>
          <w:rFonts w:ascii="Times New Roman" w:hAnsi="Times New Roman" w:cs="Times New Roman"/>
          <w:color w:val="333333"/>
          <w:sz w:val="24"/>
          <w:szCs w:val="24"/>
          <w:shd w:val="clear" w:color="auto" w:fill="FCFCFC"/>
        </w:rPr>
      </w:pPr>
    </w:p>
    <w:p w14:paraId="79738C8E" w14:textId="680AB08E" w:rsidR="007D3334" w:rsidRDefault="007D3334" w:rsidP="00824F09">
      <w:pPr>
        <w:autoSpaceDE w:val="0"/>
        <w:autoSpaceDN w:val="0"/>
        <w:adjustRightInd w:val="0"/>
        <w:spacing w:after="0" w:line="360" w:lineRule="auto"/>
        <w:rPr>
          <w:rFonts w:ascii="Times New Roman" w:hAnsi="Times New Roman" w:cs="Times New Roman"/>
          <w:color w:val="333333"/>
          <w:sz w:val="24"/>
          <w:szCs w:val="24"/>
          <w:shd w:val="clear" w:color="auto" w:fill="FCFCFC"/>
        </w:rPr>
      </w:pPr>
    </w:p>
    <w:p w14:paraId="7D242C2C" w14:textId="5F0A9809" w:rsidR="007D3334" w:rsidRDefault="007D3334" w:rsidP="00824F09">
      <w:pPr>
        <w:autoSpaceDE w:val="0"/>
        <w:autoSpaceDN w:val="0"/>
        <w:adjustRightInd w:val="0"/>
        <w:spacing w:after="0" w:line="360" w:lineRule="auto"/>
        <w:rPr>
          <w:rFonts w:ascii="Times New Roman" w:hAnsi="Times New Roman" w:cs="Times New Roman"/>
          <w:color w:val="333333"/>
          <w:sz w:val="24"/>
          <w:szCs w:val="24"/>
          <w:shd w:val="clear" w:color="auto" w:fill="FCFCFC"/>
        </w:rPr>
      </w:pPr>
    </w:p>
    <w:p w14:paraId="3477797F" w14:textId="77777777" w:rsidR="007D3334" w:rsidRPr="00173569" w:rsidRDefault="007D3334" w:rsidP="00824F09">
      <w:pPr>
        <w:autoSpaceDE w:val="0"/>
        <w:autoSpaceDN w:val="0"/>
        <w:adjustRightInd w:val="0"/>
        <w:spacing w:after="0" w:line="360" w:lineRule="auto"/>
        <w:rPr>
          <w:rFonts w:ascii="Times New Roman" w:hAnsi="Times New Roman" w:cs="Times New Roman"/>
          <w:color w:val="333333"/>
          <w:sz w:val="24"/>
          <w:szCs w:val="24"/>
          <w:shd w:val="clear" w:color="auto" w:fill="FCFCFC"/>
        </w:rPr>
      </w:pPr>
    </w:p>
    <w:p w14:paraId="7E6CD8A0" w14:textId="67B50F31" w:rsidR="001D47A9" w:rsidRPr="00CD2BFD" w:rsidRDefault="006C10A9" w:rsidP="00824F09">
      <w:pPr>
        <w:spacing w:line="360" w:lineRule="auto"/>
        <w:rPr>
          <w:rFonts w:ascii="Times New Roman" w:hAnsi="Times New Roman" w:cs="Times New Roman"/>
          <w:b/>
          <w:sz w:val="24"/>
          <w:szCs w:val="24"/>
          <w:shd w:val="clear" w:color="auto" w:fill="FCFCFC"/>
        </w:rPr>
      </w:pPr>
      <w:r w:rsidRPr="00173569">
        <w:rPr>
          <w:rFonts w:ascii="Times New Roman" w:hAnsi="Times New Roman" w:cs="Times New Roman"/>
          <w:sz w:val="24"/>
          <w:szCs w:val="24"/>
          <w:shd w:val="clear" w:color="auto" w:fill="FCFCFC"/>
        </w:rPr>
        <w:lastRenderedPageBreak/>
        <w:tab/>
        <w:t xml:space="preserve">At first glance, one may conclude that </w:t>
      </w:r>
      <w:r w:rsidR="00B85725" w:rsidRPr="00173569">
        <w:rPr>
          <w:rFonts w:ascii="Times New Roman" w:hAnsi="Times New Roman" w:cs="Times New Roman"/>
          <w:sz w:val="24"/>
          <w:szCs w:val="24"/>
          <w:shd w:val="clear" w:color="auto" w:fill="FCFCFC"/>
        </w:rPr>
        <w:t>higher-</w:t>
      </w:r>
      <w:r w:rsidRPr="00173569">
        <w:rPr>
          <w:rFonts w:ascii="Times New Roman" w:hAnsi="Times New Roman" w:cs="Times New Roman"/>
          <w:sz w:val="24"/>
          <w:szCs w:val="24"/>
          <w:shd w:val="clear" w:color="auto" w:fill="FCFCFC"/>
        </w:rPr>
        <w:t xml:space="preserve">income countries experienced a much </w:t>
      </w:r>
      <w:r w:rsidR="00C45F31" w:rsidRPr="00173569">
        <w:rPr>
          <w:rFonts w:ascii="Times New Roman" w:hAnsi="Times New Roman" w:cs="Times New Roman"/>
          <w:sz w:val="24"/>
          <w:szCs w:val="24"/>
          <w:shd w:val="clear" w:color="auto" w:fill="FCFCFC"/>
        </w:rPr>
        <w:t>worse</w:t>
      </w:r>
      <w:r w:rsidRPr="00173569">
        <w:rPr>
          <w:rFonts w:ascii="Times New Roman" w:hAnsi="Times New Roman" w:cs="Times New Roman"/>
          <w:sz w:val="24"/>
          <w:szCs w:val="24"/>
          <w:shd w:val="clear" w:color="auto" w:fill="FCFCFC"/>
        </w:rPr>
        <w:t xml:space="preserve"> </w:t>
      </w:r>
      <w:r w:rsidR="00C45F31" w:rsidRPr="00173569">
        <w:rPr>
          <w:rFonts w:ascii="Times New Roman" w:hAnsi="Times New Roman" w:cs="Times New Roman"/>
          <w:sz w:val="24"/>
          <w:szCs w:val="24"/>
          <w:shd w:val="clear" w:color="auto" w:fill="FCFCFC"/>
        </w:rPr>
        <w:t>pandemic</w:t>
      </w:r>
      <w:r w:rsidRPr="00173569">
        <w:rPr>
          <w:rFonts w:ascii="Times New Roman" w:hAnsi="Times New Roman" w:cs="Times New Roman"/>
          <w:sz w:val="24"/>
          <w:szCs w:val="24"/>
          <w:shd w:val="clear" w:color="auto" w:fill="FCFCFC"/>
        </w:rPr>
        <w:t xml:space="preserve">. </w:t>
      </w:r>
      <w:r w:rsidR="00DD3AB2" w:rsidRPr="00173569">
        <w:rPr>
          <w:rFonts w:ascii="Times New Roman" w:hAnsi="Times New Roman" w:cs="Times New Roman"/>
          <w:sz w:val="24"/>
          <w:szCs w:val="24"/>
          <w:shd w:val="clear" w:color="auto" w:fill="FCFCFC"/>
        </w:rPr>
        <w:t xml:space="preserve">However, </w:t>
      </w:r>
      <w:r w:rsidR="000367CB" w:rsidRPr="00173569">
        <w:rPr>
          <w:rFonts w:ascii="Times New Roman" w:hAnsi="Times New Roman" w:cs="Times New Roman"/>
          <w:sz w:val="24"/>
          <w:szCs w:val="24"/>
          <w:shd w:val="clear" w:color="auto" w:fill="FCFCFC"/>
        </w:rPr>
        <w:t>recent</w:t>
      </w:r>
      <w:r w:rsidR="00D7451B" w:rsidRPr="00173569">
        <w:rPr>
          <w:rFonts w:ascii="Times New Roman" w:hAnsi="Times New Roman" w:cs="Times New Roman"/>
          <w:sz w:val="24"/>
          <w:szCs w:val="24"/>
          <w:shd w:val="clear" w:color="auto" w:fill="FCFCFC"/>
        </w:rPr>
        <w:t xml:space="preserve"> </w:t>
      </w:r>
      <w:r w:rsidR="000367CB" w:rsidRPr="00173569">
        <w:rPr>
          <w:rFonts w:ascii="Times New Roman" w:hAnsi="Times New Roman" w:cs="Times New Roman"/>
          <w:sz w:val="24"/>
          <w:szCs w:val="24"/>
          <w:shd w:val="clear" w:color="auto" w:fill="FCFCFC"/>
        </w:rPr>
        <w:t xml:space="preserve">literature suggests that </w:t>
      </w:r>
      <w:r w:rsidR="00D7451B" w:rsidRPr="00173569">
        <w:rPr>
          <w:rFonts w:ascii="Times New Roman" w:hAnsi="Times New Roman" w:cs="Times New Roman"/>
          <w:sz w:val="24"/>
          <w:szCs w:val="24"/>
          <w:shd w:val="clear" w:color="auto" w:fill="FCFCFC"/>
        </w:rPr>
        <w:t xml:space="preserve">officially reported mortality may not reflect the true </w:t>
      </w:r>
      <w:r w:rsidR="000367CB" w:rsidRPr="00173569">
        <w:rPr>
          <w:rFonts w:ascii="Times New Roman" w:hAnsi="Times New Roman" w:cs="Times New Roman"/>
          <w:sz w:val="24"/>
          <w:szCs w:val="24"/>
          <w:shd w:val="clear" w:color="auto" w:fill="FCFCFC"/>
        </w:rPr>
        <w:t xml:space="preserve">distribution of </w:t>
      </w:r>
      <w:r w:rsidR="00D7451B" w:rsidRPr="00173569">
        <w:rPr>
          <w:rFonts w:ascii="Times New Roman" w:hAnsi="Times New Roman" w:cs="Times New Roman"/>
          <w:sz w:val="24"/>
          <w:szCs w:val="24"/>
          <w:shd w:val="clear" w:color="auto" w:fill="FCFCFC"/>
        </w:rPr>
        <w:t>death tolls</w:t>
      </w:r>
      <w:r w:rsidR="00FD159F" w:rsidRPr="00173569">
        <w:rPr>
          <w:rFonts w:ascii="Times New Roman" w:hAnsi="Times New Roman" w:cs="Times New Roman"/>
          <w:sz w:val="24"/>
          <w:szCs w:val="24"/>
          <w:shd w:val="clear" w:color="auto" w:fill="FCFCFC"/>
        </w:rPr>
        <w:t>,</w:t>
      </w:r>
      <w:r w:rsidR="00D7451B" w:rsidRPr="00173569">
        <w:rPr>
          <w:rFonts w:ascii="Times New Roman" w:hAnsi="Times New Roman" w:cs="Times New Roman"/>
          <w:sz w:val="24"/>
          <w:szCs w:val="24"/>
          <w:shd w:val="clear" w:color="auto" w:fill="FCFCFC"/>
        </w:rPr>
        <w:t xml:space="preserve"> </w:t>
      </w:r>
      <w:r w:rsidR="000367CB" w:rsidRPr="00173569">
        <w:rPr>
          <w:rFonts w:ascii="Times New Roman" w:hAnsi="Times New Roman" w:cs="Times New Roman"/>
          <w:sz w:val="24"/>
          <w:szCs w:val="24"/>
          <w:shd w:val="clear" w:color="auto" w:fill="FCFCFC"/>
        </w:rPr>
        <w:t xml:space="preserve">since </w:t>
      </w:r>
      <w:r w:rsidR="00FD159F" w:rsidRPr="00173569">
        <w:rPr>
          <w:rFonts w:ascii="Times New Roman" w:hAnsi="Times New Roman" w:cs="Times New Roman"/>
          <w:sz w:val="24"/>
          <w:szCs w:val="24"/>
          <w:shd w:val="clear" w:color="auto" w:fill="FCFCFC"/>
        </w:rPr>
        <w:t xml:space="preserve">the </w:t>
      </w:r>
      <w:r w:rsidR="00D7451B" w:rsidRPr="00173569">
        <w:rPr>
          <w:rFonts w:ascii="Times New Roman" w:hAnsi="Times New Roman" w:cs="Times New Roman"/>
          <w:sz w:val="24"/>
          <w:szCs w:val="24"/>
          <w:shd w:val="clear" w:color="auto" w:fill="FCFCFC"/>
        </w:rPr>
        <w:t>limitations of official statistics</w:t>
      </w:r>
      <w:r w:rsidR="00FD159F" w:rsidRPr="00173569">
        <w:rPr>
          <w:rFonts w:ascii="Times New Roman" w:hAnsi="Times New Roman" w:cs="Times New Roman"/>
          <w:sz w:val="24"/>
          <w:szCs w:val="24"/>
          <w:shd w:val="clear" w:color="auto" w:fill="FCFCFC"/>
        </w:rPr>
        <w:t xml:space="preserve"> and data infrastructures</w:t>
      </w:r>
      <w:r w:rsidR="00D7451B" w:rsidRPr="00173569">
        <w:rPr>
          <w:rFonts w:ascii="Times New Roman" w:hAnsi="Times New Roman" w:cs="Times New Roman"/>
          <w:sz w:val="24"/>
          <w:szCs w:val="24"/>
          <w:shd w:val="clear" w:color="auto" w:fill="FCFCFC"/>
        </w:rPr>
        <w:t xml:space="preserve"> vary across the globe.</w:t>
      </w:r>
      <w:r w:rsidR="00D7451B" w:rsidRPr="00173569">
        <w:rPr>
          <w:rStyle w:val="FootnoteReference"/>
          <w:rFonts w:ascii="Times New Roman" w:hAnsi="Times New Roman" w:cs="Times New Roman"/>
          <w:sz w:val="24"/>
          <w:szCs w:val="24"/>
          <w:shd w:val="clear" w:color="auto" w:fill="FCFCFC"/>
        </w:rPr>
        <w:footnoteReference w:id="3"/>
      </w:r>
      <w:r w:rsidR="00D7451B" w:rsidRPr="00173569">
        <w:rPr>
          <w:rFonts w:ascii="Times New Roman" w:hAnsi="Times New Roman" w:cs="Times New Roman"/>
          <w:sz w:val="24"/>
          <w:szCs w:val="24"/>
          <w:shd w:val="clear" w:color="auto" w:fill="FCFCFC"/>
        </w:rPr>
        <w:t xml:space="preserve"> </w:t>
      </w:r>
      <w:r w:rsidR="000367CB" w:rsidRPr="00173569">
        <w:rPr>
          <w:rFonts w:ascii="Times New Roman" w:hAnsi="Times New Roman" w:cs="Times New Roman"/>
          <w:sz w:val="24"/>
          <w:szCs w:val="24"/>
          <w:shd w:val="clear" w:color="auto" w:fill="FCFCFC"/>
        </w:rPr>
        <w:t>C</w:t>
      </w:r>
      <w:r w:rsidR="00D7451B" w:rsidRPr="00173569">
        <w:rPr>
          <w:rFonts w:ascii="Times New Roman" w:hAnsi="Times New Roman" w:cs="Times New Roman"/>
          <w:sz w:val="24"/>
          <w:szCs w:val="24"/>
          <w:shd w:val="clear" w:color="auto" w:fill="FCFCFC"/>
        </w:rPr>
        <w:t xml:space="preserve">ountries </w:t>
      </w:r>
      <w:r w:rsidR="004702FA" w:rsidRPr="00173569">
        <w:rPr>
          <w:rFonts w:ascii="Times New Roman" w:hAnsi="Times New Roman" w:cs="Times New Roman"/>
          <w:sz w:val="24"/>
          <w:szCs w:val="24"/>
          <w:shd w:val="clear" w:color="auto" w:fill="FCFCFC"/>
        </w:rPr>
        <w:t>have different levels of</w:t>
      </w:r>
      <w:r w:rsidR="00D7451B" w:rsidRPr="00173569">
        <w:rPr>
          <w:rFonts w:ascii="Times New Roman" w:hAnsi="Times New Roman" w:cs="Times New Roman"/>
          <w:sz w:val="24"/>
          <w:szCs w:val="24"/>
          <w:shd w:val="clear" w:color="auto" w:fill="FCFCFC"/>
        </w:rPr>
        <w:t xml:space="preserve"> </w:t>
      </w:r>
      <w:r w:rsidR="002A0FC8" w:rsidRPr="00173569">
        <w:rPr>
          <w:rFonts w:ascii="Times New Roman" w:hAnsi="Times New Roman" w:cs="Times New Roman"/>
          <w:sz w:val="24"/>
          <w:szCs w:val="24"/>
          <w:shd w:val="clear" w:color="auto" w:fill="FCFCFC"/>
        </w:rPr>
        <w:t xml:space="preserve">reporting and </w:t>
      </w:r>
      <w:r w:rsidR="00D7451B" w:rsidRPr="00173569">
        <w:rPr>
          <w:rFonts w:ascii="Times New Roman" w:hAnsi="Times New Roman" w:cs="Times New Roman"/>
          <w:sz w:val="24"/>
          <w:szCs w:val="24"/>
          <w:shd w:val="clear" w:color="auto" w:fill="FCFCFC"/>
        </w:rPr>
        <w:t>testing availability</w:t>
      </w:r>
      <w:r w:rsidR="004702FA" w:rsidRPr="00173569">
        <w:rPr>
          <w:rFonts w:ascii="Times New Roman" w:hAnsi="Times New Roman" w:cs="Times New Roman"/>
          <w:sz w:val="24"/>
          <w:szCs w:val="24"/>
          <w:shd w:val="clear" w:color="auto" w:fill="FCFCFC"/>
        </w:rPr>
        <w:t xml:space="preserve">, or disparate </w:t>
      </w:r>
      <w:r w:rsidR="00D7451B" w:rsidRPr="00173569">
        <w:rPr>
          <w:rFonts w:ascii="Times New Roman" w:hAnsi="Times New Roman" w:cs="Times New Roman"/>
          <w:sz w:val="24"/>
          <w:szCs w:val="24"/>
          <w:shd w:val="clear" w:color="auto" w:fill="FCFCFC"/>
        </w:rPr>
        <w:t>definitions of ‘</w:t>
      </w:r>
      <w:r w:rsidR="00525E77" w:rsidRPr="00173569">
        <w:rPr>
          <w:rFonts w:ascii="Times New Roman" w:hAnsi="Times New Roman" w:cs="Times New Roman"/>
          <w:sz w:val="24"/>
          <w:szCs w:val="24"/>
          <w:shd w:val="clear" w:color="auto" w:fill="FCFCFC"/>
        </w:rPr>
        <w:t>Covid</w:t>
      </w:r>
      <w:r w:rsidR="00D7451B" w:rsidRPr="00173569">
        <w:rPr>
          <w:rFonts w:ascii="Times New Roman" w:hAnsi="Times New Roman" w:cs="Times New Roman"/>
          <w:sz w:val="24"/>
          <w:szCs w:val="24"/>
          <w:shd w:val="clear" w:color="auto" w:fill="FCFCFC"/>
        </w:rPr>
        <w:t>-19’ deaths.</w:t>
      </w:r>
      <w:r w:rsidR="002A0FC8" w:rsidRPr="00173569">
        <w:rPr>
          <w:rFonts w:ascii="Times New Roman" w:hAnsi="Times New Roman" w:cs="Times New Roman"/>
          <w:sz w:val="24"/>
          <w:szCs w:val="24"/>
          <w:shd w:val="clear" w:color="auto" w:fill="FCFCFC"/>
        </w:rPr>
        <w:t xml:space="preserve"> </w:t>
      </w:r>
      <w:r w:rsidR="002A0FC8" w:rsidRPr="00CD2BFD">
        <w:rPr>
          <w:rFonts w:ascii="Times New Roman" w:hAnsi="Times New Roman" w:cs="Times New Roman"/>
          <w:b/>
          <w:sz w:val="24"/>
          <w:szCs w:val="24"/>
          <w:shd w:val="clear" w:color="auto" w:fill="FCFCFC"/>
        </w:rPr>
        <w:t>This is due to</w:t>
      </w:r>
      <w:r w:rsidR="00B85725" w:rsidRPr="00CD2BFD">
        <w:rPr>
          <w:rFonts w:ascii="Times New Roman" w:hAnsi="Times New Roman" w:cs="Times New Roman"/>
          <w:b/>
          <w:sz w:val="24"/>
          <w:szCs w:val="24"/>
          <w:shd w:val="clear" w:color="auto" w:fill="FCFCFC"/>
        </w:rPr>
        <w:t xml:space="preserve"> </w:t>
      </w:r>
      <w:r w:rsidR="002A0FC8" w:rsidRPr="00CD2BFD">
        <w:rPr>
          <w:rFonts w:ascii="Times New Roman" w:hAnsi="Times New Roman" w:cs="Times New Roman"/>
          <w:b/>
          <w:sz w:val="24"/>
          <w:szCs w:val="24"/>
          <w:shd w:val="clear" w:color="auto" w:fill="FCFCFC"/>
        </w:rPr>
        <w:t xml:space="preserve">different abilities of medical systems to </w:t>
      </w:r>
      <w:r w:rsidR="004702FA" w:rsidRPr="00CD2BFD">
        <w:rPr>
          <w:rFonts w:ascii="Times New Roman" w:hAnsi="Times New Roman" w:cs="Times New Roman"/>
          <w:b/>
          <w:sz w:val="24"/>
          <w:szCs w:val="24"/>
          <w:shd w:val="clear" w:color="auto" w:fill="FCFCFC"/>
        </w:rPr>
        <w:t xml:space="preserve">capture the totality of </w:t>
      </w:r>
      <w:r w:rsidR="00525E77" w:rsidRPr="00CD2BFD">
        <w:rPr>
          <w:rFonts w:ascii="Times New Roman" w:hAnsi="Times New Roman" w:cs="Times New Roman"/>
          <w:b/>
          <w:sz w:val="24"/>
          <w:szCs w:val="24"/>
          <w:shd w:val="clear" w:color="auto" w:fill="FCFCFC"/>
        </w:rPr>
        <w:t>Covid</w:t>
      </w:r>
      <w:r w:rsidR="002E5803" w:rsidRPr="00CD2BFD">
        <w:rPr>
          <w:rFonts w:ascii="Times New Roman" w:hAnsi="Times New Roman" w:cs="Times New Roman"/>
          <w:b/>
          <w:sz w:val="24"/>
          <w:szCs w:val="24"/>
          <w:shd w:val="clear" w:color="auto" w:fill="FCFCFC"/>
        </w:rPr>
        <w:t>-19</w:t>
      </w:r>
      <w:r w:rsidR="004702FA" w:rsidRPr="00CD2BFD">
        <w:rPr>
          <w:rFonts w:ascii="Times New Roman" w:hAnsi="Times New Roman" w:cs="Times New Roman"/>
          <w:b/>
          <w:sz w:val="24"/>
          <w:szCs w:val="24"/>
          <w:shd w:val="clear" w:color="auto" w:fill="FCFCFC"/>
        </w:rPr>
        <w:t xml:space="preserve"> deaths</w:t>
      </w:r>
      <w:r w:rsidR="003123AB" w:rsidRPr="00CD2BFD">
        <w:rPr>
          <w:rFonts w:ascii="Times New Roman" w:hAnsi="Times New Roman" w:cs="Times New Roman"/>
          <w:b/>
          <w:sz w:val="24"/>
          <w:szCs w:val="24"/>
          <w:shd w:val="clear" w:color="auto" w:fill="FCFCFC"/>
        </w:rPr>
        <w:t xml:space="preserve"> and, in some cases, even intentional under-reporting</w:t>
      </w:r>
      <w:r w:rsidR="004702FA" w:rsidRPr="00CD2BFD">
        <w:rPr>
          <w:rFonts w:ascii="Times New Roman" w:hAnsi="Times New Roman" w:cs="Times New Roman"/>
          <w:b/>
          <w:sz w:val="24"/>
          <w:szCs w:val="24"/>
          <w:shd w:val="clear" w:color="auto" w:fill="FCFCFC"/>
        </w:rPr>
        <w:t>.</w:t>
      </w:r>
      <w:r w:rsidR="004528D8" w:rsidRPr="00CD2BFD">
        <w:rPr>
          <w:rStyle w:val="FootnoteReference"/>
          <w:rFonts w:ascii="Times New Roman" w:hAnsi="Times New Roman" w:cs="Times New Roman"/>
          <w:b/>
          <w:sz w:val="24"/>
          <w:szCs w:val="24"/>
          <w:shd w:val="clear" w:color="auto" w:fill="FCFCFC"/>
        </w:rPr>
        <w:footnoteReference w:id="4"/>
      </w:r>
      <w:r w:rsidR="001D47A9" w:rsidRPr="00CD2BFD">
        <w:rPr>
          <w:rFonts w:ascii="Times New Roman" w:hAnsi="Times New Roman" w:cs="Times New Roman"/>
          <w:b/>
          <w:sz w:val="24"/>
          <w:szCs w:val="24"/>
          <w:shd w:val="clear" w:color="auto" w:fill="FCFCFC"/>
        </w:rPr>
        <w:t xml:space="preserve"> </w:t>
      </w:r>
    </w:p>
    <w:p w14:paraId="22E16B99" w14:textId="2814C6F5" w:rsidR="0001323B" w:rsidRPr="00CD2BFD" w:rsidRDefault="003123AB" w:rsidP="00C82A25">
      <w:pPr>
        <w:spacing w:line="360" w:lineRule="auto"/>
        <w:ind w:firstLine="720"/>
        <w:rPr>
          <w:rFonts w:ascii="Times New Roman" w:hAnsi="Times New Roman" w:cs="Times New Roman"/>
          <w:b/>
          <w:sz w:val="24"/>
          <w:szCs w:val="24"/>
          <w:shd w:val="clear" w:color="auto" w:fill="FCFCFC"/>
        </w:rPr>
      </w:pPr>
      <w:r w:rsidRPr="00CD2BFD">
        <w:rPr>
          <w:rFonts w:ascii="Times New Roman" w:hAnsi="Times New Roman" w:cs="Times New Roman"/>
          <w:b/>
          <w:color w:val="0D0D0D"/>
          <w:sz w:val="24"/>
          <w:szCs w:val="24"/>
        </w:rPr>
        <w:t xml:space="preserve">The standard method of tracking changes in total mortality is “excess mortality” due to unusual circumstances such as the pandemic. </w:t>
      </w:r>
      <w:r w:rsidR="00201269" w:rsidRPr="00CD2BFD">
        <w:rPr>
          <w:rFonts w:ascii="Times New Roman" w:hAnsi="Times New Roman" w:cs="Times New Roman"/>
          <w:b/>
          <w:color w:val="0D0D0D"/>
          <w:sz w:val="24"/>
          <w:szCs w:val="24"/>
        </w:rPr>
        <w:t xml:space="preserve">Excess mortality </w:t>
      </w:r>
      <w:r w:rsidR="001D47A9" w:rsidRPr="00CD2BFD">
        <w:rPr>
          <w:rFonts w:ascii="Times New Roman" w:hAnsi="Times New Roman" w:cs="Times New Roman"/>
          <w:b/>
          <w:color w:val="0D0D0D"/>
          <w:sz w:val="24"/>
          <w:szCs w:val="24"/>
        </w:rPr>
        <w:t>is the gap between how many people died in a country during a given time period, regardless of cause, and how many deaths would have been expected if the pandemic had not occurred.</w:t>
      </w:r>
      <w:r w:rsidR="001D47A9" w:rsidRPr="00CD2BFD">
        <w:rPr>
          <w:rStyle w:val="FootnoteReference"/>
          <w:rFonts w:ascii="Times New Roman" w:hAnsi="Times New Roman" w:cs="Times New Roman"/>
          <w:b/>
          <w:color w:val="0D0D0D"/>
          <w:sz w:val="24"/>
          <w:szCs w:val="24"/>
        </w:rPr>
        <w:footnoteReference w:id="5"/>
      </w:r>
      <w:r w:rsidR="001D47A9" w:rsidRPr="00CD2BFD">
        <w:rPr>
          <w:rFonts w:ascii="Times New Roman" w:hAnsi="Times New Roman" w:cs="Times New Roman"/>
          <w:b/>
          <w:color w:val="0D0D0D"/>
          <w:sz w:val="24"/>
          <w:szCs w:val="24"/>
        </w:rPr>
        <w:t xml:space="preserve"> </w:t>
      </w:r>
      <w:r w:rsidR="00B17B04" w:rsidRPr="00CD2BFD">
        <w:rPr>
          <w:rFonts w:ascii="Times New Roman" w:hAnsi="Times New Roman" w:cs="Times New Roman"/>
          <w:b/>
          <w:sz w:val="24"/>
          <w:szCs w:val="24"/>
          <w:shd w:val="clear" w:color="auto" w:fill="FCFCFC"/>
        </w:rPr>
        <w:t xml:space="preserve"> </w:t>
      </w:r>
      <w:r w:rsidR="0068114A" w:rsidRPr="00CD2BFD">
        <w:rPr>
          <w:rFonts w:ascii="Times New Roman" w:hAnsi="Times New Roman" w:cs="Times New Roman"/>
          <w:b/>
          <w:sz w:val="24"/>
          <w:szCs w:val="24"/>
          <w:shd w:val="clear" w:color="auto" w:fill="FCFCFC"/>
        </w:rPr>
        <w:t xml:space="preserve">To gain further </w:t>
      </w:r>
      <w:r w:rsidR="00660EC4" w:rsidRPr="00CD2BFD">
        <w:rPr>
          <w:rFonts w:ascii="Times New Roman" w:hAnsi="Times New Roman" w:cs="Times New Roman"/>
          <w:b/>
          <w:sz w:val="24"/>
          <w:szCs w:val="24"/>
          <w:shd w:val="clear" w:color="auto" w:fill="FCFCFC"/>
        </w:rPr>
        <w:t>insight</w:t>
      </w:r>
      <w:r w:rsidR="0068114A" w:rsidRPr="00CD2BFD">
        <w:rPr>
          <w:rFonts w:ascii="Times New Roman" w:hAnsi="Times New Roman" w:cs="Times New Roman"/>
          <w:b/>
          <w:sz w:val="24"/>
          <w:szCs w:val="24"/>
          <w:shd w:val="clear" w:color="auto" w:fill="FCFCFC"/>
        </w:rPr>
        <w:t xml:space="preserve"> on data limitations associated with confirmed</w:t>
      </w:r>
      <w:r w:rsidR="00DD3AB2" w:rsidRPr="00CD2BFD">
        <w:rPr>
          <w:rFonts w:ascii="Times New Roman" w:hAnsi="Times New Roman" w:cs="Times New Roman"/>
          <w:b/>
          <w:sz w:val="24"/>
          <w:szCs w:val="24"/>
          <w:shd w:val="clear" w:color="auto" w:fill="FCFCFC"/>
        </w:rPr>
        <w:t xml:space="preserve"> (</w:t>
      </w:r>
      <w:r w:rsidR="00341F20" w:rsidRPr="00CD2BFD">
        <w:rPr>
          <w:rFonts w:ascii="Times New Roman" w:hAnsi="Times New Roman" w:cs="Times New Roman"/>
          <w:b/>
          <w:sz w:val="24"/>
          <w:szCs w:val="24"/>
          <w:shd w:val="clear" w:color="auto" w:fill="FCFCFC"/>
        </w:rPr>
        <w:t>i.e.</w:t>
      </w:r>
      <w:r w:rsidR="00DD3AB2" w:rsidRPr="00CD2BFD">
        <w:rPr>
          <w:rFonts w:ascii="Times New Roman" w:hAnsi="Times New Roman" w:cs="Times New Roman"/>
          <w:b/>
          <w:sz w:val="24"/>
          <w:szCs w:val="24"/>
          <w:shd w:val="clear" w:color="auto" w:fill="FCFCFC"/>
        </w:rPr>
        <w:t>, officially reported)</w:t>
      </w:r>
      <w:r w:rsidR="0068114A" w:rsidRPr="00CD2BFD">
        <w:rPr>
          <w:rFonts w:ascii="Times New Roman" w:hAnsi="Times New Roman" w:cs="Times New Roman"/>
          <w:b/>
          <w:sz w:val="24"/>
          <w:szCs w:val="24"/>
          <w:shd w:val="clear" w:color="auto" w:fill="FCFCFC"/>
        </w:rPr>
        <w:t xml:space="preserve"> </w:t>
      </w:r>
      <w:r w:rsidR="00525E77" w:rsidRPr="00CD2BFD">
        <w:rPr>
          <w:rFonts w:ascii="Times New Roman" w:hAnsi="Times New Roman" w:cs="Times New Roman"/>
          <w:b/>
          <w:sz w:val="24"/>
          <w:szCs w:val="24"/>
          <w:shd w:val="clear" w:color="auto" w:fill="FCFCFC"/>
        </w:rPr>
        <w:t>Covid</w:t>
      </w:r>
      <w:r w:rsidR="0068114A" w:rsidRPr="00CD2BFD">
        <w:rPr>
          <w:rFonts w:ascii="Times New Roman" w:hAnsi="Times New Roman" w:cs="Times New Roman"/>
          <w:b/>
          <w:sz w:val="24"/>
          <w:szCs w:val="24"/>
          <w:shd w:val="clear" w:color="auto" w:fill="FCFCFC"/>
        </w:rPr>
        <w:t xml:space="preserve">-19 counts, we </w:t>
      </w:r>
      <w:r w:rsidR="00207945" w:rsidRPr="00CD2BFD">
        <w:rPr>
          <w:rFonts w:ascii="Times New Roman" w:hAnsi="Times New Roman" w:cs="Times New Roman"/>
          <w:b/>
          <w:sz w:val="24"/>
          <w:szCs w:val="24"/>
          <w:shd w:val="clear" w:color="auto" w:fill="FCFCFC"/>
        </w:rPr>
        <w:t>evaluate the</w:t>
      </w:r>
      <w:r w:rsidR="0068114A" w:rsidRPr="00CD2BFD">
        <w:rPr>
          <w:rFonts w:ascii="Times New Roman" w:hAnsi="Times New Roman" w:cs="Times New Roman"/>
          <w:b/>
          <w:sz w:val="24"/>
          <w:szCs w:val="24"/>
          <w:shd w:val="clear" w:color="auto" w:fill="FCFCFC"/>
        </w:rPr>
        <w:t xml:space="preserve"> quartile ranking </w:t>
      </w:r>
      <w:r w:rsidR="00E94C12" w:rsidRPr="00CD2BFD">
        <w:rPr>
          <w:rFonts w:ascii="Times New Roman" w:hAnsi="Times New Roman" w:cs="Times New Roman"/>
          <w:b/>
          <w:sz w:val="24"/>
          <w:szCs w:val="24"/>
          <w:shd w:val="clear" w:color="auto" w:fill="FCFCFC"/>
        </w:rPr>
        <w:t>of countries using</w:t>
      </w:r>
      <w:r w:rsidR="0068114A" w:rsidRPr="00CD2BFD">
        <w:rPr>
          <w:rFonts w:ascii="Times New Roman" w:hAnsi="Times New Roman" w:cs="Times New Roman"/>
          <w:b/>
          <w:sz w:val="24"/>
          <w:szCs w:val="24"/>
          <w:shd w:val="clear" w:color="auto" w:fill="FCFCFC"/>
        </w:rPr>
        <w:t xml:space="preserve"> </w:t>
      </w:r>
      <w:r w:rsidR="006C10A9" w:rsidRPr="00CD2BFD">
        <w:rPr>
          <w:rFonts w:ascii="Times New Roman" w:hAnsi="Times New Roman" w:cs="Times New Roman"/>
          <w:b/>
          <w:sz w:val="24"/>
          <w:szCs w:val="24"/>
          <w:shd w:val="clear" w:color="auto" w:fill="FCFCFC"/>
        </w:rPr>
        <w:t xml:space="preserve">both </w:t>
      </w:r>
      <w:r w:rsidR="00520DBA" w:rsidRPr="00CD2BFD">
        <w:rPr>
          <w:rFonts w:ascii="Times New Roman" w:hAnsi="Times New Roman" w:cs="Times New Roman"/>
          <w:b/>
          <w:sz w:val="24"/>
          <w:szCs w:val="24"/>
          <w:shd w:val="clear" w:color="auto" w:fill="FCFCFC"/>
        </w:rPr>
        <w:t>official</w:t>
      </w:r>
      <w:r w:rsidR="006C10A9" w:rsidRPr="00CD2BFD">
        <w:rPr>
          <w:rFonts w:ascii="Times New Roman" w:hAnsi="Times New Roman" w:cs="Times New Roman"/>
          <w:b/>
          <w:sz w:val="24"/>
          <w:szCs w:val="24"/>
          <w:shd w:val="clear" w:color="auto" w:fill="FCFCFC"/>
        </w:rPr>
        <w:t xml:space="preserve"> and </w:t>
      </w:r>
      <w:r w:rsidR="0068114A" w:rsidRPr="00CD2BFD">
        <w:rPr>
          <w:rFonts w:ascii="Times New Roman" w:hAnsi="Times New Roman" w:cs="Times New Roman"/>
          <w:b/>
          <w:sz w:val="24"/>
          <w:szCs w:val="24"/>
          <w:shd w:val="clear" w:color="auto" w:fill="FCFCFC"/>
        </w:rPr>
        <w:t xml:space="preserve">excess </w:t>
      </w:r>
      <w:r w:rsidR="00FD159F" w:rsidRPr="00CD2BFD">
        <w:rPr>
          <w:rFonts w:ascii="Times New Roman" w:hAnsi="Times New Roman" w:cs="Times New Roman"/>
          <w:b/>
          <w:sz w:val="24"/>
          <w:szCs w:val="24"/>
          <w:shd w:val="clear" w:color="auto" w:fill="FCFCFC"/>
        </w:rPr>
        <w:t xml:space="preserve">Covid-19 </w:t>
      </w:r>
      <w:r w:rsidR="00B315D1" w:rsidRPr="00CD2BFD">
        <w:rPr>
          <w:rFonts w:ascii="Times New Roman" w:hAnsi="Times New Roman" w:cs="Times New Roman"/>
          <w:b/>
          <w:sz w:val="24"/>
          <w:szCs w:val="24"/>
          <w:shd w:val="clear" w:color="auto" w:fill="FCFCFC"/>
        </w:rPr>
        <w:t>mortality</w:t>
      </w:r>
      <w:r w:rsidR="00E94C12" w:rsidRPr="00CD2BFD">
        <w:rPr>
          <w:rFonts w:ascii="Times New Roman" w:hAnsi="Times New Roman" w:cs="Times New Roman"/>
          <w:b/>
          <w:sz w:val="24"/>
          <w:szCs w:val="24"/>
          <w:shd w:val="clear" w:color="auto" w:fill="FCFCFC"/>
        </w:rPr>
        <w:t xml:space="preserve"> data</w:t>
      </w:r>
      <w:r w:rsidR="0068114A" w:rsidRPr="00CD2BFD">
        <w:rPr>
          <w:rFonts w:ascii="Times New Roman" w:hAnsi="Times New Roman" w:cs="Times New Roman"/>
          <w:b/>
          <w:sz w:val="24"/>
          <w:szCs w:val="24"/>
          <w:shd w:val="clear" w:color="auto" w:fill="FCFCFC"/>
        </w:rPr>
        <w:t xml:space="preserve">.  </w:t>
      </w:r>
      <w:r w:rsidR="00E94C12" w:rsidRPr="00CD2BFD">
        <w:rPr>
          <w:rFonts w:ascii="Times New Roman" w:hAnsi="Times New Roman" w:cs="Times New Roman"/>
          <w:b/>
          <w:sz w:val="24"/>
          <w:szCs w:val="24"/>
          <w:shd w:val="clear" w:color="auto" w:fill="FCFCFC"/>
        </w:rPr>
        <w:t>Contrasting countries</w:t>
      </w:r>
      <w:r w:rsidR="00F57881" w:rsidRPr="00CD2BFD">
        <w:rPr>
          <w:rFonts w:ascii="Times New Roman" w:hAnsi="Times New Roman" w:cs="Times New Roman"/>
          <w:b/>
          <w:sz w:val="24"/>
          <w:szCs w:val="24"/>
          <w:shd w:val="clear" w:color="auto" w:fill="FCFCFC"/>
        </w:rPr>
        <w:t>’</w:t>
      </w:r>
      <w:r w:rsidR="00E94C12" w:rsidRPr="00CD2BFD">
        <w:rPr>
          <w:rFonts w:ascii="Times New Roman" w:hAnsi="Times New Roman" w:cs="Times New Roman"/>
          <w:b/>
          <w:sz w:val="24"/>
          <w:szCs w:val="24"/>
          <w:shd w:val="clear" w:color="auto" w:fill="FCFCFC"/>
        </w:rPr>
        <w:t xml:space="preserve"> ranking using these two data </w:t>
      </w:r>
      <w:r w:rsidR="006C10A9" w:rsidRPr="00CD2BFD">
        <w:rPr>
          <w:rFonts w:ascii="Times New Roman" w:hAnsi="Times New Roman" w:cs="Times New Roman"/>
          <w:b/>
          <w:sz w:val="24"/>
          <w:szCs w:val="24"/>
          <w:shd w:val="clear" w:color="auto" w:fill="FCFCFC"/>
        </w:rPr>
        <w:t>sources</w:t>
      </w:r>
      <w:r w:rsidR="00C715E6" w:rsidRPr="00CD2BFD">
        <w:rPr>
          <w:rFonts w:ascii="Times New Roman" w:hAnsi="Times New Roman" w:cs="Times New Roman"/>
          <w:b/>
          <w:sz w:val="24"/>
          <w:szCs w:val="24"/>
          <w:shd w:val="clear" w:color="auto" w:fill="FCFCFC"/>
        </w:rPr>
        <w:t xml:space="preserve"> reveals </w:t>
      </w:r>
      <w:r w:rsidR="00B315D1" w:rsidRPr="00CD2BFD">
        <w:rPr>
          <w:rFonts w:ascii="Times New Roman" w:hAnsi="Times New Roman" w:cs="Times New Roman"/>
          <w:b/>
          <w:sz w:val="24"/>
          <w:szCs w:val="24"/>
          <w:shd w:val="clear" w:color="auto" w:fill="FCFCFC"/>
        </w:rPr>
        <w:t xml:space="preserve">sharp </w:t>
      </w:r>
      <w:r w:rsidR="006C10A9" w:rsidRPr="00CD2BFD">
        <w:rPr>
          <w:rFonts w:ascii="Times New Roman" w:hAnsi="Times New Roman" w:cs="Times New Roman"/>
          <w:b/>
          <w:sz w:val="24"/>
          <w:szCs w:val="24"/>
          <w:shd w:val="clear" w:color="auto" w:fill="FCFCFC"/>
        </w:rPr>
        <w:t xml:space="preserve">and </w:t>
      </w:r>
      <w:r w:rsidR="00B315D1" w:rsidRPr="00CD2BFD">
        <w:rPr>
          <w:rFonts w:ascii="Times New Roman" w:hAnsi="Times New Roman" w:cs="Times New Roman"/>
          <w:b/>
          <w:sz w:val="24"/>
          <w:szCs w:val="24"/>
          <w:shd w:val="clear" w:color="auto" w:fill="FCFCFC"/>
        </w:rPr>
        <w:t>systematic contrast</w:t>
      </w:r>
      <w:r w:rsidR="00E94C12" w:rsidRPr="00CD2BFD">
        <w:rPr>
          <w:rFonts w:ascii="Times New Roman" w:hAnsi="Times New Roman" w:cs="Times New Roman"/>
          <w:b/>
          <w:sz w:val="24"/>
          <w:szCs w:val="24"/>
          <w:shd w:val="clear" w:color="auto" w:fill="FCFCFC"/>
        </w:rPr>
        <w:t>s</w:t>
      </w:r>
      <w:r w:rsidR="00C715E6" w:rsidRPr="00CD2BFD">
        <w:rPr>
          <w:rFonts w:ascii="Times New Roman" w:hAnsi="Times New Roman" w:cs="Times New Roman"/>
          <w:b/>
          <w:sz w:val="24"/>
          <w:szCs w:val="24"/>
          <w:shd w:val="clear" w:color="auto" w:fill="FCFCFC"/>
        </w:rPr>
        <w:t xml:space="preserve"> in </w:t>
      </w:r>
      <w:r w:rsidR="00F57881" w:rsidRPr="00CD2BFD">
        <w:rPr>
          <w:rFonts w:ascii="Times New Roman" w:hAnsi="Times New Roman" w:cs="Times New Roman"/>
          <w:b/>
          <w:sz w:val="24"/>
          <w:szCs w:val="24"/>
          <w:shd w:val="clear" w:color="auto" w:fill="FCFCFC"/>
        </w:rPr>
        <w:t>mortality statistics</w:t>
      </w:r>
      <w:r w:rsidR="00A148C8" w:rsidRPr="00CD2BFD">
        <w:rPr>
          <w:rFonts w:ascii="Times New Roman" w:hAnsi="Times New Roman" w:cs="Times New Roman"/>
          <w:b/>
          <w:sz w:val="24"/>
          <w:szCs w:val="24"/>
          <w:shd w:val="clear" w:color="auto" w:fill="FCFCFC"/>
        </w:rPr>
        <w:t>.</w:t>
      </w:r>
      <w:r w:rsidR="00C715E6" w:rsidRPr="00CD2BFD">
        <w:rPr>
          <w:rFonts w:ascii="Times New Roman" w:hAnsi="Times New Roman" w:cs="Times New Roman"/>
          <w:b/>
          <w:sz w:val="24"/>
          <w:szCs w:val="24"/>
          <w:shd w:val="clear" w:color="auto" w:fill="FCFCFC"/>
        </w:rPr>
        <w:t xml:space="preserve"> </w:t>
      </w:r>
      <w:r w:rsidR="00452CE5" w:rsidRPr="00CD2BFD">
        <w:rPr>
          <w:rFonts w:ascii="Times New Roman" w:hAnsi="Times New Roman" w:cs="Times New Roman"/>
          <w:b/>
          <w:sz w:val="24"/>
          <w:szCs w:val="24"/>
          <w:shd w:val="clear" w:color="auto" w:fill="FCFCFC"/>
        </w:rPr>
        <w:t>In particular, w</w:t>
      </w:r>
      <w:r w:rsidR="0001323B" w:rsidRPr="00CD2BFD">
        <w:rPr>
          <w:rFonts w:ascii="Times New Roman" w:hAnsi="Times New Roman" w:cs="Times New Roman"/>
          <w:b/>
          <w:sz w:val="24"/>
          <w:szCs w:val="24"/>
          <w:shd w:val="clear" w:color="auto" w:fill="FCFCFC"/>
        </w:rPr>
        <w:t xml:space="preserve">hile </w:t>
      </w:r>
      <w:r w:rsidR="00207945" w:rsidRPr="00CD2BFD">
        <w:rPr>
          <w:rFonts w:ascii="Times New Roman" w:hAnsi="Times New Roman" w:cs="Times New Roman"/>
          <w:b/>
          <w:sz w:val="24"/>
          <w:szCs w:val="24"/>
          <w:shd w:val="clear" w:color="auto" w:fill="FCFCFC"/>
        </w:rPr>
        <w:t xml:space="preserve">higher </w:t>
      </w:r>
      <w:r w:rsidR="0001323B" w:rsidRPr="00CD2BFD">
        <w:rPr>
          <w:rFonts w:ascii="Times New Roman" w:hAnsi="Times New Roman" w:cs="Times New Roman"/>
          <w:b/>
          <w:sz w:val="24"/>
          <w:szCs w:val="24"/>
          <w:shd w:val="clear" w:color="auto" w:fill="FCFCFC"/>
        </w:rPr>
        <w:t xml:space="preserve">GDP per capita is associated with </w:t>
      </w:r>
      <w:r w:rsidR="00F57881" w:rsidRPr="00CD2BFD">
        <w:rPr>
          <w:rFonts w:ascii="Times New Roman" w:hAnsi="Times New Roman" w:cs="Times New Roman"/>
          <w:b/>
          <w:sz w:val="24"/>
          <w:szCs w:val="24"/>
          <w:shd w:val="clear" w:color="auto" w:fill="FCFCFC"/>
        </w:rPr>
        <w:t xml:space="preserve">a </w:t>
      </w:r>
      <w:r w:rsidR="0001323B" w:rsidRPr="00CD2BFD">
        <w:rPr>
          <w:rFonts w:ascii="Times New Roman" w:hAnsi="Times New Roman" w:cs="Times New Roman"/>
          <w:b/>
          <w:i/>
          <w:iCs/>
          <w:sz w:val="24"/>
          <w:szCs w:val="24"/>
          <w:shd w:val="clear" w:color="auto" w:fill="FCFCFC"/>
        </w:rPr>
        <w:t>worse</w:t>
      </w:r>
      <w:r w:rsidR="0001323B" w:rsidRPr="00CD2BFD">
        <w:rPr>
          <w:rFonts w:ascii="Times New Roman" w:hAnsi="Times New Roman" w:cs="Times New Roman"/>
          <w:b/>
          <w:sz w:val="24"/>
          <w:szCs w:val="24"/>
          <w:shd w:val="clear" w:color="auto" w:fill="FCFCFC"/>
        </w:rPr>
        <w:t xml:space="preserve"> </w:t>
      </w:r>
      <w:r w:rsidR="00207945" w:rsidRPr="00CD2BFD">
        <w:rPr>
          <w:rFonts w:ascii="Times New Roman" w:hAnsi="Times New Roman" w:cs="Times New Roman"/>
          <w:b/>
          <w:sz w:val="24"/>
          <w:szCs w:val="24"/>
          <w:shd w:val="clear" w:color="auto" w:fill="FCFCFC"/>
        </w:rPr>
        <w:t>mortality ranking</w:t>
      </w:r>
      <w:r w:rsidR="00A81A68" w:rsidRPr="00CD2BFD">
        <w:rPr>
          <w:rFonts w:ascii="Times New Roman" w:hAnsi="Times New Roman" w:cs="Times New Roman"/>
          <w:b/>
          <w:sz w:val="24"/>
          <w:szCs w:val="24"/>
          <w:shd w:val="clear" w:color="auto" w:fill="FCFCFC"/>
        </w:rPr>
        <w:t xml:space="preserve"> (i.e., a quartile with higher mortality)</w:t>
      </w:r>
      <w:r w:rsidR="00207945" w:rsidRPr="00CD2BFD">
        <w:rPr>
          <w:rFonts w:ascii="Times New Roman" w:hAnsi="Times New Roman" w:cs="Times New Roman"/>
          <w:b/>
          <w:sz w:val="24"/>
          <w:szCs w:val="24"/>
          <w:shd w:val="clear" w:color="auto" w:fill="FCFCFC"/>
        </w:rPr>
        <w:t xml:space="preserve"> using the </w:t>
      </w:r>
      <w:r w:rsidR="00520DBA" w:rsidRPr="00CD2BFD">
        <w:rPr>
          <w:rFonts w:ascii="Times New Roman" w:hAnsi="Times New Roman" w:cs="Times New Roman"/>
          <w:b/>
          <w:sz w:val="24"/>
          <w:szCs w:val="24"/>
          <w:shd w:val="clear" w:color="auto" w:fill="FCFCFC"/>
        </w:rPr>
        <w:t>official</w:t>
      </w:r>
      <w:r w:rsidR="0001323B" w:rsidRPr="00CD2BFD">
        <w:rPr>
          <w:rFonts w:ascii="Times New Roman" w:hAnsi="Times New Roman" w:cs="Times New Roman"/>
          <w:b/>
          <w:sz w:val="24"/>
          <w:szCs w:val="24"/>
          <w:shd w:val="clear" w:color="auto" w:fill="FCFCFC"/>
        </w:rPr>
        <w:t xml:space="preserve"> </w:t>
      </w:r>
      <w:r w:rsidR="00525E77" w:rsidRPr="00CD2BFD">
        <w:rPr>
          <w:rFonts w:ascii="Times New Roman" w:hAnsi="Times New Roman" w:cs="Times New Roman"/>
          <w:b/>
          <w:sz w:val="24"/>
          <w:szCs w:val="24"/>
          <w:shd w:val="clear" w:color="auto" w:fill="FCFCFC"/>
        </w:rPr>
        <w:t>Covid</w:t>
      </w:r>
      <w:r w:rsidR="0001323B" w:rsidRPr="00CD2BFD">
        <w:rPr>
          <w:rFonts w:ascii="Times New Roman" w:hAnsi="Times New Roman" w:cs="Times New Roman"/>
          <w:b/>
          <w:sz w:val="24"/>
          <w:szCs w:val="24"/>
          <w:shd w:val="clear" w:color="auto" w:fill="FCFCFC"/>
        </w:rPr>
        <w:t>-19 mortality</w:t>
      </w:r>
      <w:r w:rsidR="00207945" w:rsidRPr="00CD2BFD">
        <w:rPr>
          <w:rFonts w:ascii="Times New Roman" w:hAnsi="Times New Roman" w:cs="Times New Roman"/>
          <w:b/>
          <w:sz w:val="24"/>
          <w:szCs w:val="24"/>
          <w:shd w:val="clear" w:color="auto" w:fill="FCFCFC"/>
        </w:rPr>
        <w:t xml:space="preserve"> data</w:t>
      </w:r>
      <w:r w:rsidR="0001323B" w:rsidRPr="00CD2BFD">
        <w:rPr>
          <w:rFonts w:ascii="Times New Roman" w:hAnsi="Times New Roman" w:cs="Times New Roman"/>
          <w:b/>
          <w:sz w:val="24"/>
          <w:szCs w:val="24"/>
          <w:shd w:val="clear" w:color="auto" w:fill="FCFCFC"/>
        </w:rPr>
        <w:t xml:space="preserve">, </w:t>
      </w:r>
      <w:r w:rsidR="006841AE" w:rsidRPr="00CD2BFD">
        <w:rPr>
          <w:rFonts w:ascii="Times New Roman" w:hAnsi="Times New Roman" w:cs="Times New Roman"/>
          <w:b/>
          <w:sz w:val="24"/>
          <w:szCs w:val="24"/>
          <w:shd w:val="clear" w:color="auto" w:fill="FCFCFC"/>
        </w:rPr>
        <w:t>we find the opposite result</w:t>
      </w:r>
      <w:r w:rsidR="0001323B" w:rsidRPr="00CD2BFD">
        <w:rPr>
          <w:rFonts w:ascii="Times New Roman" w:hAnsi="Times New Roman" w:cs="Times New Roman"/>
          <w:b/>
          <w:sz w:val="24"/>
          <w:szCs w:val="24"/>
          <w:shd w:val="clear" w:color="auto" w:fill="FCFCFC"/>
        </w:rPr>
        <w:t xml:space="preserve"> in the excess mortality data</w:t>
      </w:r>
      <w:r w:rsidR="006841AE" w:rsidRPr="00CD2BFD">
        <w:rPr>
          <w:rFonts w:ascii="Times New Roman" w:hAnsi="Times New Roman" w:cs="Times New Roman"/>
          <w:b/>
          <w:sz w:val="24"/>
          <w:szCs w:val="24"/>
          <w:shd w:val="clear" w:color="auto" w:fill="FCFCFC"/>
        </w:rPr>
        <w:t xml:space="preserve"> — </w:t>
      </w:r>
      <w:r w:rsidR="00D00061" w:rsidRPr="00CD2BFD">
        <w:rPr>
          <w:rFonts w:ascii="Times New Roman" w:hAnsi="Times New Roman" w:cs="Times New Roman"/>
          <w:b/>
          <w:sz w:val="24"/>
          <w:szCs w:val="24"/>
          <w:shd w:val="clear" w:color="auto" w:fill="FCFCFC"/>
        </w:rPr>
        <w:t xml:space="preserve">higher GDP per capita is associated with a </w:t>
      </w:r>
      <w:r w:rsidR="00D00061" w:rsidRPr="00CD2BFD">
        <w:rPr>
          <w:rFonts w:ascii="Times New Roman" w:hAnsi="Times New Roman" w:cs="Times New Roman"/>
          <w:b/>
          <w:i/>
          <w:iCs/>
          <w:sz w:val="24"/>
          <w:szCs w:val="24"/>
          <w:shd w:val="clear" w:color="auto" w:fill="FCFCFC"/>
        </w:rPr>
        <w:t>better</w:t>
      </w:r>
      <w:r w:rsidR="00D00061" w:rsidRPr="00CD2BFD">
        <w:rPr>
          <w:rFonts w:ascii="Times New Roman" w:hAnsi="Times New Roman" w:cs="Times New Roman"/>
          <w:b/>
          <w:sz w:val="24"/>
          <w:szCs w:val="24"/>
          <w:shd w:val="clear" w:color="auto" w:fill="FCFCFC"/>
        </w:rPr>
        <w:t xml:space="preserve"> mortality ranking (i.e., a quartile with lower mortality)</w:t>
      </w:r>
      <w:r w:rsidR="0001323B" w:rsidRPr="00CD2BFD">
        <w:rPr>
          <w:rFonts w:ascii="Times New Roman" w:hAnsi="Times New Roman" w:cs="Times New Roman"/>
          <w:b/>
          <w:sz w:val="24"/>
          <w:szCs w:val="24"/>
          <w:shd w:val="clear" w:color="auto" w:fill="FCFCFC"/>
        </w:rPr>
        <w:t xml:space="preserve">.  </w:t>
      </w:r>
    </w:p>
    <w:p w14:paraId="6AE2E9B8" w14:textId="5F7E300B" w:rsidR="00396A83" w:rsidRPr="00173569" w:rsidRDefault="00396A83" w:rsidP="00824F09">
      <w:pPr>
        <w:spacing w:line="360" w:lineRule="auto"/>
        <w:rPr>
          <w:rFonts w:ascii="Times New Roman" w:hAnsi="Times New Roman" w:cs="Times New Roman"/>
          <w:sz w:val="24"/>
          <w:szCs w:val="24"/>
          <w:shd w:val="clear" w:color="auto" w:fill="FCFCFC"/>
        </w:rPr>
      </w:pPr>
      <w:r w:rsidRPr="00173569">
        <w:rPr>
          <w:rFonts w:ascii="Times New Roman" w:hAnsi="Times New Roman" w:cs="Times New Roman"/>
          <w:sz w:val="24"/>
          <w:szCs w:val="24"/>
          <w:shd w:val="clear" w:color="auto" w:fill="FCFCFC"/>
        </w:rPr>
        <w:tab/>
        <w:t xml:space="preserve">Figure 2 </w:t>
      </w:r>
      <w:r w:rsidR="00D3579B" w:rsidRPr="00173569">
        <w:rPr>
          <w:rFonts w:ascii="Times New Roman" w:hAnsi="Times New Roman" w:cs="Times New Roman"/>
          <w:sz w:val="24"/>
          <w:szCs w:val="24"/>
          <w:shd w:val="clear" w:color="auto" w:fill="FCFCFC"/>
        </w:rPr>
        <w:t xml:space="preserve">plots the world excess and the official </w:t>
      </w:r>
      <w:r w:rsidR="0099682C" w:rsidRPr="00173569">
        <w:rPr>
          <w:rFonts w:ascii="Times New Roman" w:hAnsi="Times New Roman" w:cs="Times New Roman"/>
          <w:sz w:val="24"/>
          <w:szCs w:val="24"/>
          <w:shd w:val="clear" w:color="auto" w:fill="FCFCFC"/>
        </w:rPr>
        <w:t>C</w:t>
      </w:r>
      <w:r w:rsidR="00D3579B" w:rsidRPr="00173569">
        <w:rPr>
          <w:rFonts w:ascii="Times New Roman" w:hAnsi="Times New Roman" w:cs="Times New Roman"/>
          <w:sz w:val="24"/>
          <w:szCs w:val="24"/>
          <w:shd w:val="clear" w:color="auto" w:fill="FCFCFC"/>
        </w:rPr>
        <w:t xml:space="preserve">ovid-19 deaths during the first two </w:t>
      </w:r>
      <w:r w:rsidR="002E5803" w:rsidRPr="00173569">
        <w:rPr>
          <w:rFonts w:ascii="Times New Roman" w:hAnsi="Times New Roman" w:cs="Times New Roman"/>
          <w:sz w:val="24"/>
          <w:szCs w:val="24"/>
          <w:shd w:val="clear" w:color="auto" w:fill="FCFCFC"/>
        </w:rPr>
        <w:t>C</w:t>
      </w:r>
      <w:r w:rsidR="00D3579B" w:rsidRPr="00173569">
        <w:rPr>
          <w:rFonts w:ascii="Times New Roman" w:hAnsi="Times New Roman" w:cs="Times New Roman"/>
          <w:sz w:val="24"/>
          <w:szCs w:val="24"/>
          <w:shd w:val="clear" w:color="auto" w:fill="FCFCFC"/>
        </w:rPr>
        <w:t>ovid</w:t>
      </w:r>
      <w:r w:rsidR="002E5803" w:rsidRPr="00173569">
        <w:rPr>
          <w:rFonts w:ascii="Times New Roman" w:hAnsi="Times New Roman" w:cs="Times New Roman"/>
          <w:sz w:val="24"/>
          <w:szCs w:val="24"/>
          <w:shd w:val="clear" w:color="auto" w:fill="FCFCFC"/>
        </w:rPr>
        <w:t>-19</w:t>
      </w:r>
      <w:r w:rsidR="00D3579B" w:rsidRPr="00173569">
        <w:rPr>
          <w:rFonts w:ascii="Times New Roman" w:hAnsi="Times New Roman" w:cs="Times New Roman"/>
          <w:sz w:val="24"/>
          <w:szCs w:val="24"/>
          <w:shd w:val="clear" w:color="auto" w:fill="FCFCFC"/>
        </w:rPr>
        <w:t xml:space="preserve"> years</w:t>
      </w:r>
      <w:r w:rsidR="006841AE">
        <w:rPr>
          <w:rFonts w:ascii="Times New Roman" w:hAnsi="Times New Roman" w:cs="Times New Roman"/>
          <w:sz w:val="24"/>
          <w:szCs w:val="24"/>
          <w:shd w:val="clear" w:color="auto" w:fill="FCFCFC"/>
        </w:rPr>
        <w:t xml:space="preserve"> (2020 – 2021)</w:t>
      </w:r>
      <w:r w:rsidR="00D3579B" w:rsidRPr="00173569">
        <w:rPr>
          <w:rFonts w:ascii="Times New Roman" w:hAnsi="Times New Roman" w:cs="Times New Roman"/>
          <w:sz w:val="24"/>
          <w:szCs w:val="24"/>
          <w:shd w:val="clear" w:color="auto" w:fill="FCFCFC"/>
        </w:rPr>
        <w:t xml:space="preserve">.  It </w:t>
      </w:r>
      <w:r w:rsidR="006841AE">
        <w:rPr>
          <w:rFonts w:ascii="Times New Roman" w:hAnsi="Times New Roman" w:cs="Times New Roman"/>
          <w:sz w:val="24"/>
          <w:szCs w:val="24"/>
          <w:shd w:val="clear" w:color="auto" w:fill="FCFCFC"/>
        </w:rPr>
        <w:t>clearly illustrates</w:t>
      </w:r>
      <w:r w:rsidR="00D3579B" w:rsidRPr="00173569">
        <w:rPr>
          <w:rFonts w:ascii="Times New Roman" w:hAnsi="Times New Roman" w:cs="Times New Roman"/>
          <w:sz w:val="24"/>
          <w:szCs w:val="24"/>
          <w:shd w:val="clear" w:color="auto" w:fill="FCFCFC"/>
        </w:rPr>
        <w:t xml:space="preserve"> the </w:t>
      </w:r>
      <w:r w:rsidR="0007332C" w:rsidRPr="00173569">
        <w:rPr>
          <w:rFonts w:ascii="Times New Roman" w:hAnsi="Times New Roman" w:cs="Times New Roman"/>
          <w:sz w:val="24"/>
          <w:szCs w:val="24"/>
          <w:shd w:val="clear" w:color="auto" w:fill="FCFCFC"/>
        </w:rPr>
        <w:t>higher</w:t>
      </w:r>
      <w:r w:rsidR="00D3579B" w:rsidRPr="00173569">
        <w:rPr>
          <w:rFonts w:ascii="Times New Roman" w:hAnsi="Times New Roman" w:cs="Times New Roman"/>
          <w:sz w:val="24"/>
          <w:szCs w:val="24"/>
          <w:shd w:val="clear" w:color="auto" w:fill="FCFCFC"/>
        </w:rPr>
        <w:t xml:space="preserve"> mean and standard deviation of excess</w:t>
      </w:r>
      <w:r w:rsidR="006841AE">
        <w:rPr>
          <w:rFonts w:ascii="Times New Roman" w:hAnsi="Times New Roman" w:cs="Times New Roman"/>
          <w:sz w:val="24"/>
          <w:szCs w:val="24"/>
          <w:shd w:val="clear" w:color="auto" w:fill="FCFCFC"/>
        </w:rPr>
        <w:t xml:space="preserve"> deaths</w:t>
      </w:r>
      <w:r w:rsidR="00D3579B" w:rsidRPr="00173569">
        <w:rPr>
          <w:rFonts w:ascii="Times New Roman" w:hAnsi="Times New Roman" w:cs="Times New Roman"/>
          <w:sz w:val="24"/>
          <w:szCs w:val="24"/>
          <w:shd w:val="clear" w:color="auto" w:fill="FCFCFC"/>
        </w:rPr>
        <w:t xml:space="preserve"> in comparison to official</w:t>
      </w:r>
      <w:r w:rsidR="006841AE">
        <w:rPr>
          <w:rFonts w:ascii="Times New Roman" w:hAnsi="Times New Roman" w:cs="Times New Roman"/>
          <w:sz w:val="24"/>
          <w:szCs w:val="24"/>
          <w:shd w:val="clear" w:color="auto" w:fill="FCFCFC"/>
        </w:rPr>
        <w:t>ly reported</w:t>
      </w:r>
      <w:r w:rsidR="00D3579B" w:rsidRPr="00173569">
        <w:rPr>
          <w:rFonts w:ascii="Times New Roman" w:hAnsi="Times New Roman" w:cs="Times New Roman"/>
          <w:sz w:val="24"/>
          <w:szCs w:val="24"/>
          <w:shd w:val="clear" w:color="auto" w:fill="FCFCFC"/>
        </w:rPr>
        <w:t xml:space="preserve"> deaths</w:t>
      </w:r>
      <w:r w:rsidRPr="00173569">
        <w:rPr>
          <w:rFonts w:ascii="Times New Roman" w:hAnsi="Times New Roman" w:cs="Times New Roman"/>
          <w:sz w:val="24"/>
          <w:szCs w:val="24"/>
          <w:shd w:val="clear" w:color="auto" w:fill="FCFCFC"/>
        </w:rPr>
        <w:t xml:space="preserve">. </w:t>
      </w:r>
    </w:p>
    <w:p w14:paraId="00EBD244" w14:textId="661CC14E" w:rsidR="00396A83" w:rsidRPr="00173569" w:rsidRDefault="00396A83" w:rsidP="00824F09">
      <w:pPr>
        <w:spacing w:line="360" w:lineRule="auto"/>
        <w:rPr>
          <w:rFonts w:ascii="Times New Roman" w:hAnsi="Times New Roman" w:cs="Times New Roman"/>
          <w:sz w:val="24"/>
          <w:szCs w:val="24"/>
          <w:shd w:val="clear" w:color="auto" w:fill="FCFCFC"/>
        </w:rPr>
      </w:pPr>
      <w:r w:rsidRPr="00601CF2">
        <w:rPr>
          <w:rFonts w:ascii="Times New Roman" w:hAnsi="Times New Roman" w:cs="Times New Roman"/>
          <w:noProof/>
          <w:lang w:bidi="he-IL"/>
        </w:rPr>
        <w:lastRenderedPageBreak/>
        <w:drawing>
          <wp:inline distT="0" distB="0" distL="0" distR="0" wp14:anchorId="462720F4" wp14:editId="39939D59">
            <wp:extent cx="6400800" cy="2917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0" cy="2917340"/>
                    </a:xfrm>
                    <a:prstGeom prst="rect">
                      <a:avLst/>
                    </a:prstGeom>
                    <a:noFill/>
                    <a:ln>
                      <a:noFill/>
                    </a:ln>
                  </pic:spPr>
                </pic:pic>
              </a:graphicData>
            </a:graphic>
          </wp:inline>
        </w:drawing>
      </w:r>
    </w:p>
    <w:p w14:paraId="234CBFCA" w14:textId="2BB528A3" w:rsidR="00396A83" w:rsidRPr="00173569" w:rsidRDefault="00396A83" w:rsidP="007B7457">
      <w:pPr>
        <w:spacing w:line="240" w:lineRule="auto"/>
        <w:rPr>
          <w:rFonts w:ascii="Times New Roman" w:hAnsi="Times New Roman" w:cs="Times New Roman"/>
          <w:sz w:val="24"/>
          <w:szCs w:val="24"/>
          <w:shd w:val="clear" w:color="auto" w:fill="FCFCFC"/>
        </w:rPr>
      </w:pPr>
      <w:r w:rsidRPr="00173569">
        <w:rPr>
          <w:rFonts w:ascii="Times New Roman" w:hAnsi="Times New Roman" w:cs="Times New Roman"/>
          <w:b/>
          <w:sz w:val="24"/>
          <w:szCs w:val="24"/>
          <w:shd w:val="clear" w:color="auto" w:fill="FCFCFC"/>
        </w:rPr>
        <w:t>Figure 2:</w:t>
      </w:r>
      <w:r w:rsidRPr="00173569">
        <w:rPr>
          <w:rFonts w:ascii="Times New Roman" w:hAnsi="Times New Roman" w:cs="Times New Roman"/>
          <w:sz w:val="24"/>
          <w:szCs w:val="24"/>
          <w:shd w:val="clear" w:color="auto" w:fill="FCFCFC"/>
        </w:rPr>
        <w:t xml:space="preserve"> Global estimated excess deaths and official </w:t>
      </w:r>
      <w:r w:rsidR="0099682C" w:rsidRPr="00173569">
        <w:rPr>
          <w:rFonts w:ascii="Times New Roman" w:hAnsi="Times New Roman" w:cs="Times New Roman"/>
          <w:sz w:val="24"/>
          <w:szCs w:val="24"/>
          <w:shd w:val="clear" w:color="auto" w:fill="FCFCFC"/>
        </w:rPr>
        <w:t>C</w:t>
      </w:r>
      <w:r w:rsidRPr="00173569">
        <w:rPr>
          <w:rFonts w:ascii="Times New Roman" w:hAnsi="Times New Roman" w:cs="Times New Roman"/>
          <w:sz w:val="24"/>
          <w:szCs w:val="24"/>
          <w:shd w:val="clear" w:color="auto" w:fill="FCFCFC"/>
        </w:rPr>
        <w:t xml:space="preserve">ovid-19 deaths, </w:t>
      </w:r>
      <w:r w:rsidR="006841AE">
        <w:rPr>
          <w:rFonts w:ascii="Times New Roman" w:hAnsi="Times New Roman" w:cs="Times New Roman"/>
          <w:sz w:val="24"/>
          <w:szCs w:val="24"/>
          <w:shd w:val="clear" w:color="auto" w:fill="FCFCFC"/>
        </w:rPr>
        <w:t xml:space="preserve">January </w:t>
      </w:r>
      <w:r w:rsidRPr="00173569">
        <w:rPr>
          <w:rFonts w:ascii="Times New Roman" w:hAnsi="Times New Roman" w:cs="Times New Roman"/>
          <w:sz w:val="24"/>
          <w:szCs w:val="24"/>
          <w:shd w:val="clear" w:color="auto" w:fill="FCFCFC"/>
        </w:rPr>
        <w:t>2020</w:t>
      </w:r>
      <w:r w:rsidR="006841AE">
        <w:rPr>
          <w:rFonts w:ascii="Times New Roman" w:hAnsi="Times New Roman" w:cs="Times New Roman"/>
          <w:sz w:val="24"/>
          <w:szCs w:val="24"/>
          <w:shd w:val="clear" w:color="auto" w:fill="FCFCFC"/>
        </w:rPr>
        <w:t xml:space="preserve"> </w:t>
      </w:r>
      <w:r w:rsidRPr="00173569">
        <w:rPr>
          <w:rFonts w:ascii="Times New Roman" w:hAnsi="Times New Roman" w:cs="Times New Roman"/>
          <w:sz w:val="24"/>
          <w:szCs w:val="24"/>
          <w:shd w:val="clear" w:color="auto" w:fill="FCFCFC"/>
        </w:rPr>
        <w:t>-</w:t>
      </w:r>
      <w:r w:rsidR="006841AE">
        <w:rPr>
          <w:rFonts w:ascii="Times New Roman" w:hAnsi="Times New Roman" w:cs="Times New Roman"/>
          <w:sz w:val="24"/>
          <w:szCs w:val="24"/>
          <w:shd w:val="clear" w:color="auto" w:fill="FCFCFC"/>
        </w:rPr>
        <w:t xml:space="preserve"> </w:t>
      </w:r>
      <w:r w:rsidRPr="00173569">
        <w:rPr>
          <w:rFonts w:ascii="Times New Roman" w:hAnsi="Times New Roman" w:cs="Times New Roman"/>
          <w:sz w:val="24"/>
          <w:szCs w:val="24"/>
          <w:shd w:val="clear" w:color="auto" w:fill="FCFCFC"/>
        </w:rPr>
        <w:t>February 2022</w:t>
      </w:r>
      <w:r w:rsidR="006841AE">
        <w:rPr>
          <w:rFonts w:ascii="Times New Roman" w:hAnsi="Times New Roman" w:cs="Times New Roman"/>
          <w:sz w:val="24"/>
          <w:szCs w:val="24"/>
          <w:shd w:val="clear" w:color="auto" w:fill="FCFCFC"/>
        </w:rPr>
        <w:t>.</w:t>
      </w:r>
    </w:p>
    <w:p w14:paraId="22C42DFA" w14:textId="5DCF1149" w:rsidR="00396A83" w:rsidRPr="00173569" w:rsidRDefault="00396A83" w:rsidP="00396A83">
      <w:pPr>
        <w:spacing w:line="240" w:lineRule="auto"/>
        <w:rPr>
          <w:rFonts w:ascii="Times New Roman" w:hAnsi="Times New Roman" w:cs="Times New Roman"/>
          <w:sz w:val="24"/>
          <w:szCs w:val="24"/>
          <w:shd w:val="clear" w:color="auto" w:fill="FCFCFC"/>
        </w:rPr>
      </w:pPr>
      <w:r w:rsidRPr="00173569">
        <w:rPr>
          <w:rFonts w:ascii="Times New Roman" w:hAnsi="Times New Roman" w:cs="Times New Roman"/>
          <w:sz w:val="24"/>
          <w:szCs w:val="24"/>
          <w:shd w:val="clear" w:color="auto" w:fill="FCFCFC"/>
        </w:rPr>
        <w:t xml:space="preserve">Source: </w:t>
      </w:r>
      <w:hyperlink r:id="rId10" w:history="1">
        <w:r w:rsidRPr="00173569">
          <w:rPr>
            <w:rStyle w:val="Hyperlink"/>
            <w:rFonts w:ascii="Times New Roman" w:hAnsi="Times New Roman" w:cs="Times New Roman"/>
            <w:color w:val="auto"/>
            <w:sz w:val="24"/>
            <w:szCs w:val="24"/>
            <w:u w:val="none"/>
            <w:shd w:val="clear" w:color="auto" w:fill="FCFCFC"/>
          </w:rPr>
          <w:t>The Economist. February 4</w:t>
        </w:r>
        <w:r w:rsidRPr="00601CF2">
          <w:rPr>
            <w:rStyle w:val="Hyperlink"/>
            <w:rFonts w:ascii="Times New Roman" w:hAnsi="Times New Roman" w:cs="Times New Roman"/>
            <w:color w:val="auto"/>
            <w:u w:val="none"/>
            <w:vertAlign w:val="superscript"/>
          </w:rPr>
          <w:t>th</w:t>
        </w:r>
        <w:r w:rsidRPr="00173569">
          <w:rPr>
            <w:rStyle w:val="Hyperlink"/>
            <w:rFonts w:ascii="Times New Roman" w:hAnsi="Times New Roman" w:cs="Times New Roman"/>
            <w:color w:val="auto"/>
            <w:sz w:val="24"/>
            <w:szCs w:val="24"/>
            <w:u w:val="none"/>
            <w:shd w:val="clear" w:color="auto" w:fill="FCFCFC"/>
          </w:rPr>
          <w:t>, 2022</w:t>
        </w:r>
      </w:hyperlink>
      <w:r w:rsidRPr="00173569">
        <w:rPr>
          <w:rFonts w:ascii="Times New Roman" w:hAnsi="Times New Roman" w:cs="Times New Roman"/>
          <w:sz w:val="24"/>
          <w:szCs w:val="24"/>
          <w:shd w:val="clear" w:color="auto" w:fill="FCFCFC"/>
        </w:rPr>
        <w:t>.</w:t>
      </w:r>
    </w:p>
    <w:p w14:paraId="615259EF" w14:textId="77777777" w:rsidR="00D3579B" w:rsidRPr="00173569" w:rsidRDefault="00D3579B" w:rsidP="007B7457">
      <w:pPr>
        <w:spacing w:line="240" w:lineRule="auto"/>
        <w:rPr>
          <w:rFonts w:ascii="Times New Roman" w:hAnsi="Times New Roman" w:cs="Times New Roman"/>
          <w:sz w:val="24"/>
          <w:szCs w:val="24"/>
          <w:shd w:val="clear" w:color="auto" w:fill="FCFCFC"/>
        </w:rPr>
      </w:pPr>
    </w:p>
    <w:p w14:paraId="62A7104B" w14:textId="77777777" w:rsidR="004D0ABC" w:rsidRPr="00CD2BFD" w:rsidRDefault="004A3395">
      <w:pPr>
        <w:spacing w:line="360" w:lineRule="auto"/>
        <w:rPr>
          <w:rFonts w:ascii="Times New Roman" w:hAnsi="Times New Roman" w:cs="Times New Roman"/>
          <w:b/>
          <w:sz w:val="24"/>
          <w:szCs w:val="24"/>
          <w:shd w:val="clear" w:color="auto" w:fill="FCFCFC"/>
        </w:rPr>
      </w:pPr>
      <w:r>
        <w:rPr>
          <w:rFonts w:ascii="Times New Roman" w:hAnsi="Times New Roman" w:cs="Times New Roman"/>
          <w:sz w:val="24"/>
          <w:szCs w:val="24"/>
          <w:shd w:val="clear" w:color="auto" w:fill="FCFCFC"/>
        </w:rPr>
        <w:tab/>
      </w:r>
      <w:r w:rsidRPr="00CD2BFD">
        <w:rPr>
          <w:rFonts w:ascii="Times New Roman" w:hAnsi="Times New Roman" w:cs="Times New Roman"/>
          <w:b/>
          <w:sz w:val="24"/>
          <w:szCs w:val="24"/>
          <w:shd w:val="clear" w:color="auto" w:fill="FCFCFC"/>
        </w:rPr>
        <w:t xml:space="preserve">Yet despite the clear evidence of gaps between official and excess mortality metrics (which might be expected given their disparate calculations), there is no consensus around the </w:t>
      </w:r>
      <w:r w:rsidRPr="00CD2BFD">
        <w:rPr>
          <w:rFonts w:ascii="Times New Roman" w:hAnsi="Times New Roman" w:cs="Times New Roman"/>
          <w:b/>
          <w:i/>
          <w:iCs/>
          <w:sz w:val="24"/>
          <w:szCs w:val="24"/>
          <w:shd w:val="clear" w:color="auto" w:fill="FCFCFC"/>
        </w:rPr>
        <w:t>extent</w:t>
      </w:r>
      <w:r w:rsidRPr="00CD2BFD">
        <w:rPr>
          <w:rFonts w:ascii="Times New Roman" w:hAnsi="Times New Roman" w:cs="Times New Roman"/>
          <w:b/>
          <w:sz w:val="24"/>
          <w:szCs w:val="24"/>
          <w:shd w:val="clear" w:color="auto" w:fill="FCFCFC"/>
        </w:rPr>
        <w:t xml:space="preserve"> to which these metrics </w:t>
      </w:r>
      <w:r w:rsidR="00AD399B" w:rsidRPr="00CD2BFD">
        <w:rPr>
          <w:rFonts w:ascii="Times New Roman" w:hAnsi="Times New Roman" w:cs="Times New Roman"/>
          <w:b/>
          <w:sz w:val="24"/>
          <w:szCs w:val="24"/>
          <w:shd w:val="clear" w:color="auto" w:fill="FCFCFC"/>
        </w:rPr>
        <w:t>differed, especially in the context</w:t>
      </w:r>
      <w:r w:rsidRPr="00CD2BFD">
        <w:rPr>
          <w:rFonts w:ascii="Times New Roman" w:hAnsi="Times New Roman" w:cs="Times New Roman"/>
          <w:b/>
          <w:sz w:val="24"/>
          <w:szCs w:val="24"/>
          <w:shd w:val="clear" w:color="auto" w:fill="FCFCFC"/>
        </w:rPr>
        <w:t xml:space="preserve"> </w:t>
      </w:r>
      <w:r w:rsidR="00AD399B" w:rsidRPr="00CD2BFD">
        <w:rPr>
          <w:rFonts w:ascii="Times New Roman" w:hAnsi="Times New Roman" w:cs="Times New Roman"/>
          <w:b/>
          <w:sz w:val="24"/>
          <w:szCs w:val="24"/>
          <w:shd w:val="clear" w:color="auto" w:fill="FCFCFC"/>
        </w:rPr>
        <w:t>of a global</w:t>
      </w:r>
      <w:r w:rsidRPr="00CD2BFD">
        <w:rPr>
          <w:rFonts w:ascii="Times New Roman" w:hAnsi="Times New Roman" w:cs="Times New Roman"/>
          <w:b/>
          <w:sz w:val="24"/>
          <w:szCs w:val="24"/>
          <w:shd w:val="clear" w:color="auto" w:fill="FCFCFC"/>
        </w:rPr>
        <w:t xml:space="preserve"> setting over an extended period</w:t>
      </w:r>
      <w:r w:rsidR="00AD399B" w:rsidRPr="00CD2BFD">
        <w:rPr>
          <w:rFonts w:ascii="Times New Roman" w:hAnsi="Times New Roman" w:cs="Times New Roman"/>
          <w:b/>
          <w:sz w:val="24"/>
          <w:szCs w:val="24"/>
          <w:shd w:val="clear" w:color="auto" w:fill="FCFCFC"/>
        </w:rPr>
        <w:t xml:space="preserve"> of the pandemic</w:t>
      </w:r>
      <w:r w:rsidRPr="00CD2BFD">
        <w:rPr>
          <w:rFonts w:ascii="Times New Roman" w:hAnsi="Times New Roman" w:cs="Times New Roman"/>
          <w:b/>
          <w:sz w:val="24"/>
          <w:szCs w:val="24"/>
          <w:shd w:val="clear" w:color="auto" w:fill="FCFCFC"/>
        </w:rPr>
        <w:t xml:space="preserve">. </w:t>
      </w:r>
      <w:proofErr w:type="spellStart"/>
      <w:r w:rsidRPr="00CD2BFD">
        <w:rPr>
          <w:rFonts w:ascii="Times New Roman" w:hAnsi="Times New Roman" w:cs="Times New Roman"/>
          <w:b/>
          <w:sz w:val="24"/>
          <w:szCs w:val="24"/>
          <w:shd w:val="clear" w:color="auto" w:fill="FCFCFC"/>
        </w:rPr>
        <w:t>Vandoros</w:t>
      </w:r>
      <w:proofErr w:type="spellEnd"/>
      <w:r w:rsidRPr="00CD2BFD">
        <w:rPr>
          <w:rFonts w:ascii="Times New Roman" w:hAnsi="Times New Roman" w:cs="Times New Roman"/>
          <w:b/>
          <w:sz w:val="24"/>
          <w:szCs w:val="24"/>
          <w:shd w:val="clear" w:color="auto" w:fill="FCFCFC"/>
        </w:rPr>
        <w:t xml:space="preserve"> (2020) examined excess mortality during the initial phase of the virus in England and Wales, using historical data from the UK Office of National Statistics. Using a difference-in-difference estimation technique</w:t>
      </w:r>
      <w:r w:rsidR="00817D52" w:rsidRPr="00CD2BFD">
        <w:rPr>
          <w:rFonts w:ascii="Times New Roman" w:hAnsi="Times New Roman" w:cs="Times New Roman"/>
          <w:b/>
          <w:sz w:val="24"/>
          <w:szCs w:val="24"/>
          <w:shd w:val="clear" w:color="auto" w:fill="FCFCFC"/>
        </w:rPr>
        <w:t xml:space="preserve"> where the treatment period began with the first officially reported </w:t>
      </w:r>
      <w:proofErr w:type="spellStart"/>
      <w:r w:rsidR="00817D52" w:rsidRPr="00CD2BFD">
        <w:rPr>
          <w:rFonts w:ascii="Times New Roman" w:hAnsi="Times New Roman" w:cs="Times New Roman"/>
          <w:b/>
          <w:sz w:val="24"/>
          <w:szCs w:val="24"/>
          <w:shd w:val="clear" w:color="auto" w:fill="FCFCFC"/>
        </w:rPr>
        <w:t>Covid</w:t>
      </w:r>
      <w:proofErr w:type="spellEnd"/>
      <w:r w:rsidR="00817D52" w:rsidRPr="00CD2BFD">
        <w:rPr>
          <w:rFonts w:ascii="Times New Roman" w:hAnsi="Times New Roman" w:cs="Times New Roman"/>
          <w:b/>
          <w:sz w:val="24"/>
          <w:szCs w:val="24"/>
          <w:shd w:val="clear" w:color="auto" w:fill="FCFCFC"/>
        </w:rPr>
        <w:t xml:space="preserve"> death</w:t>
      </w:r>
      <w:r w:rsidRPr="00CD2BFD">
        <w:rPr>
          <w:rFonts w:ascii="Times New Roman" w:hAnsi="Times New Roman" w:cs="Times New Roman"/>
          <w:b/>
          <w:sz w:val="24"/>
          <w:szCs w:val="24"/>
          <w:shd w:val="clear" w:color="auto" w:fill="FCFCFC"/>
        </w:rPr>
        <w:t xml:space="preserve">, </w:t>
      </w:r>
      <w:proofErr w:type="spellStart"/>
      <w:r w:rsidRPr="00CD2BFD">
        <w:rPr>
          <w:rFonts w:ascii="Times New Roman" w:hAnsi="Times New Roman" w:cs="Times New Roman"/>
          <w:b/>
          <w:sz w:val="24"/>
          <w:szCs w:val="24"/>
          <w:shd w:val="clear" w:color="auto" w:fill="FCFCFC"/>
        </w:rPr>
        <w:t>Vandoros</w:t>
      </w:r>
      <w:proofErr w:type="spellEnd"/>
      <w:r w:rsidRPr="00CD2BFD">
        <w:rPr>
          <w:rFonts w:ascii="Times New Roman" w:hAnsi="Times New Roman" w:cs="Times New Roman"/>
          <w:b/>
          <w:sz w:val="24"/>
          <w:szCs w:val="24"/>
          <w:shd w:val="clear" w:color="auto" w:fill="FCFCFC"/>
        </w:rPr>
        <w:t xml:space="preserve"> found there were nearly 1,000 additional weekly deaths which were not officially reported as </w:t>
      </w:r>
      <w:proofErr w:type="spellStart"/>
      <w:r w:rsidRPr="00CD2BFD">
        <w:rPr>
          <w:rFonts w:ascii="Times New Roman" w:hAnsi="Times New Roman" w:cs="Times New Roman"/>
          <w:b/>
          <w:sz w:val="24"/>
          <w:szCs w:val="24"/>
          <w:shd w:val="clear" w:color="auto" w:fill="FCFCFC"/>
        </w:rPr>
        <w:t>Covid</w:t>
      </w:r>
      <w:proofErr w:type="spellEnd"/>
      <w:r w:rsidRPr="00CD2BFD">
        <w:rPr>
          <w:rFonts w:ascii="Times New Roman" w:hAnsi="Times New Roman" w:cs="Times New Roman"/>
          <w:b/>
          <w:sz w:val="24"/>
          <w:szCs w:val="24"/>
          <w:shd w:val="clear" w:color="auto" w:fill="FCFCFC"/>
        </w:rPr>
        <w:t xml:space="preserve">-related over the first few months of 2020, </w:t>
      </w:r>
      <w:r w:rsidR="00817D52" w:rsidRPr="00CD2BFD">
        <w:rPr>
          <w:rFonts w:ascii="Times New Roman" w:hAnsi="Times New Roman" w:cs="Times New Roman"/>
          <w:b/>
          <w:sz w:val="24"/>
          <w:szCs w:val="24"/>
          <w:shd w:val="clear" w:color="auto" w:fill="FCFCFC"/>
        </w:rPr>
        <w:t xml:space="preserve">as </w:t>
      </w:r>
      <w:r w:rsidRPr="00CD2BFD">
        <w:rPr>
          <w:rFonts w:ascii="Times New Roman" w:hAnsi="Times New Roman" w:cs="Times New Roman"/>
          <w:b/>
          <w:sz w:val="24"/>
          <w:szCs w:val="24"/>
          <w:shd w:val="clear" w:color="auto" w:fill="FCFCFC"/>
        </w:rPr>
        <w:t>compared to a</w:t>
      </w:r>
      <w:r w:rsidR="00817D52" w:rsidRPr="00CD2BFD">
        <w:rPr>
          <w:rFonts w:ascii="Times New Roman" w:hAnsi="Times New Roman" w:cs="Times New Roman"/>
          <w:b/>
          <w:sz w:val="24"/>
          <w:szCs w:val="24"/>
          <w:shd w:val="clear" w:color="auto" w:fill="FCFCFC"/>
        </w:rPr>
        <w:t xml:space="preserve"> historical</w:t>
      </w:r>
      <w:r w:rsidRPr="00CD2BFD">
        <w:rPr>
          <w:rFonts w:ascii="Times New Roman" w:hAnsi="Times New Roman" w:cs="Times New Roman"/>
          <w:b/>
          <w:sz w:val="24"/>
          <w:szCs w:val="24"/>
          <w:shd w:val="clear" w:color="auto" w:fill="FCFCFC"/>
        </w:rPr>
        <w:t xml:space="preserve"> baseline average from 2015 - 2019.</w:t>
      </w:r>
      <w:r w:rsidR="00C2686E" w:rsidRPr="00CD2BFD">
        <w:rPr>
          <w:rStyle w:val="FootnoteReference"/>
          <w:rFonts w:ascii="Times New Roman" w:hAnsi="Times New Roman" w:cs="Times New Roman"/>
          <w:b/>
          <w:sz w:val="24"/>
          <w:szCs w:val="24"/>
          <w:shd w:val="clear" w:color="auto" w:fill="FCFCFC"/>
        </w:rPr>
        <w:footnoteReference w:id="6"/>
      </w:r>
      <w:r w:rsidR="00817D52" w:rsidRPr="00CD2BFD">
        <w:rPr>
          <w:rFonts w:ascii="Times New Roman" w:hAnsi="Times New Roman" w:cs="Times New Roman"/>
          <w:b/>
          <w:sz w:val="24"/>
          <w:szCs w:val="24"/>
          <w:shd w:val="clear" w:color="auto" w:fill="FCFCFC"/>
        </w:rPr>
        <w:t xml:space="preserve"> </w:t>
      </w:r>
    </w:p>
    <w:p w14:paraId="1F4CC864" w14:textId="678EB082" w:rsidR="004A3395" w:rsidRDefault="002F0E2A" w:rsidP="00C82A25">
      <w:pPr>
        <w:spacing w:line="360" w:lineRule="auto"/>
        <w:ind w:firstLine="720"/>
        <w:rPr>
          <w:rFonts w:ascii="Times New Roman" w:hAnsi="Times New Roman" w:cs="Times New Roman"/>
          <w:sz w:val="24"/>
          <w:szCs w:val="24"/>
          <w:shd w:val="clear" w:color="auto" w:fill="FCFCFC"/>
        </w:rPr>
      </w:pPr>
      <w:proofErr w:type="spellStart"/>
      <w:r w:rsidRPr="00CD2BFD">
        <w:rPr>
          <w:rFonts w:ascii="Times New Roman" w:hAnsi="Times New Roman" w:cs="Times New Roman"/>
          <w:b/>
          <w:sz w:val="24"/>
          <w:szCs w:val="24"/>
          <w:shd w:val="clear" w:color="auto" w:fill="FCFCFC"/>
        </w:rPr>
        <w:t>Gibertoni</w:t>
      </w:r>
      <w:proofErr w:type="spellEnd"/>
      <w:r w:rsidRPr="00CD2BFD">
        <w:rPr>
          <w:rFonts w:ascii="Times New Roman" w:hAnsi="Times New Roman" w:cs="Times New Roman"/>
          <w:b/>
          <w:sz w:val="24"/>
          <w:szCs w:val="24"/>
          <w:shd w:val="clear" w:color="auto" w:fill="FCFCFC"/>
        </w:rPr>
        <w:t xml:space="preserve"> et</w:t>
      </w:r>
      <w:r w:rsidR="00AD399B" w:rsidRPr="00CD2BFD">
        <w:rPr>
          <w:rFonts w:ascii="Times New Roman" w:hAnsi="Times New Roman" w:cs="Times New Roman"/>
          <w:b/>
          <w:sz w:val="24"/>
          <w:szCs w:val="24"/>
          <w:shd w:val="clear" w:color="auto" w:fill="FCFCFC"/>
        </w:rPr>
        <w:t>.</w:t>
      </w:r>
      <w:r w:rsidRPr="00CD2BFD">
        <w:rPr>
          <w:rFonts w:ascii="Times New Roman" w:hAnsi="Times New Roman" w:cs="Times New Roman"/>
          <w:b/>
          <w:sz w:val="24"/>
          <w:szCs w:val="24"/>
          <w:shd w:val="clear" w:color="auto" w:fill="FCFCFC"/>
        </w:rPr>
        <w:t xml:space="preserve"> al. (2021) compared official and excess deaths across a more expansive sample of 67 countries from the start of the pandemic until the end of 2020</w:t>
      </w:r>
      <w:r w:rsidR="0004371C" w:rsidRPr="00CD2BFD">
        <w:rPr>
          <w:rFonts w:ascii="Times New Roman" w:hAnsi="Times New Roman" w:cs="Times New Roman"/>
          <w:b/>
          <w:sz w:val="24"/>
          <w:szCs w:val="24"/>
          <w:shd w:val="clear" w:color="auto" w:fill="FCFCFC"/>
        </w:rPr>
        <w:t xml:space="preserve">, using </w:t>
      </w:r>
      <w:proofErr w:type="spellStart"/>
      <w:r w:rsidR="00CB7BD7" w:rsidRPr="00CD2BFD">
        <w:rPr>
          <w:rFonts w:ascii="Times New Roman" w:hAnsi="Times New Roman" w:cs="Times New Roman"/>
          <w:b/>
          <w:sz w:val="24"/>
          <w:szCs w:val="24"/>
          <w:shd w:val="clear" w:color="auto" w:fill="FCFCFC"/>
        </w:rPr>
        <w:t>Covid</w:t>
      </w:r>
      <w:proofErr w:type="spellEnd"/>
      <w:r w:rsidR="00CB7BD7" w:rsidRPr="00CD2BFD">
        <w:rPr>
          <w:rFonts w:ascii="Times New Roman" w:hAnsi="Times New Roman" w:cs="Times New Roman"/>
          <w:b/>
          <w:sz w:val="24"/>
          <w:szCs w:val="24"/>
          <w:shd w:val="clear" w:color="auto" w:fill="FCFCFC"/>
        </w:rPr>
        <w:t xml:space="preserve"> </w:t>
      </w:r>
      <w:r w:rsidR="0004371C" w:rsidRPr="00CD2BFD">
        <w:rPr>
          <w:rFonts w:ascii="Times New Roman" w:hAnsi="Times New Roman" w:cs="Times New Roman"/>
          <w:b/>
          <w:sz w:val="24"/>
          <w:szCs w:val="24"/>
          <w:shd w:val="clear" w:color="auto" w:fill="FCFCFC"/>
        </w:rPr>
        <w:t>data collated from Our World in Data</w:t>
      </w:r>
      <w:r w:rsidR="005977E4" w:rsidRPr="00CD2BFD">
        <w:rPr>
          <w:rFonts w:ascii="Times New Roman" w:hAnsi="Times New Roman" w:cs="Times New Roman"/>
          <w:b/>
          <w:sz w:val="24"/>
          <w:szCs w:val="24"/>
          <w:shd w:val="clear" w:color="auto" w:fill="FCFCFC"/>
        </w:rPr>
        <w:t xml:space="preserve"> (OWID)</w:t>
      </w:r>
      <w:r w:rsidR="00CB7BD7" w:rsidRPr="00CD2BFD">
        <w:rPr>
          <w:rFonts w:ascii="Times New Roman" w:hAnsi="Times New Roman" w:cs="Times New Roman"/>
          <w:b/>
          <w:sz w:val="24"/>
          <w:szCs w:val="24"/>
          <w:shd w:val="clear" w:color="auto" w:fill="FCFCFC"/>
        </w:rPr>
        <w:t>, and historical data from the World Mortality Data</w:t>
      </w:r>
      <w:r w:rsidRPr="00CD2BFD">
        <w:rPr>
          <w:rFonts w:ascii="Times New Roman" w:hAnsi="Times New Roman" w:cs="Times New Roman"/>
          <w:b/>
          <w:sz w:val="24"/>
          <w:szCs w:val="24"/>
          <w:shd w:val="clear" w:color="auto" w:fill="FCFCFC"/>
        </w:rPr>
        <w:t>.</w:t>
      </w:r>
      <w:r w:rsidR="005977E4" w:rsidRPr="00CD2BFD">
        <w:rPr>
          <w:rFonts w:ascii="Times New Roman" w:hAnsi="Times New Roman" w:cs="Times New Roman"/>
          <w:b/>
          <w:sz w:val="24"/>
          <w:szCs w:val="24"/>
          <w:shd w:val="clear" w:color="auto" w:fill="FCFCFC"/>
        </w:rPr>
        <w:t xml:space="preserve"> The authors </w:t>
      </w:r>
      <w:r w:rsidR="002C611C" w:rsidRPr="00CD2BFD">
        <w:rPr>
          <w:rFonts w:ascii="Times New Roman" w:hAnsi="Times New Roman" w:cs="Times New Roman"/>
          <w:b/>
          <w:sz w:val="24"/>
          <w:szCs w:val="24"/>
          <w:shd w:val="clear" w:color="auto" w:fill="FCFCFC"/>
        </w:rPr>
        <w:t xml:space="preserve">use </w:t>
      </w:r>
      <w:r w:rsidR="005977E4" w:rsidRPr="00CD2BFD">
        <w:rPr>
          <w:rFonts w:ascii="Times New Roman" w:hAnsi="Times New Roman" w:cs="Times New Roman"/>
          <w:b/>
          <w:sz w:val="24"/>
          <w:szCs w:val="24"/>
          <w:shd w:val="clear" w:color="auto" w:fill="FCFCFC"/>
        </w:rPr>
        <w:t xml:space="preserve">a set of negative binomial regressions to estimate projected deaths in 2020 using their historical baseline period (2015 – 2019). These estimates </w:t>
      </w:r>
      <w:r w:rsidR="002C611C" w:rsidRPr="00CD2BFD">
        <w:rPr>
          <w:rFonts w:ascii="Times New Roman" w:hAnsi="Times New Roman" w:cs="Times New Roman"/>
          <w:b/>
          <w:sz w:val="24"/>
          <w:szCs w:val="24"/>
          <w:shd w:val="clear" w:color="auto" w:fill="FCFCFC"/>
        </w:rPr>
        <w:t>are</w:t>
      </w:r>
      <w:r w:rsidR="005977E4" w:rsidRPr="00CD2BFD">
        <w:rPr>
          <w:rFonts w:ascii="Times New Roman" w:hAnsi="Times New Roman" w:cs="Times New Roman"/>
          <w:b/>
          <w:sz w:val="24"/>
          <w:szCs w:val="24"/>
          <w:shd w:val="clear" w:color="auto" w:fill="FCFCFC"/>
        </w:rPr>
        <w:t xml:space="preserve"> then compared to actual deaths reported by OWID.</w:t>
      </w:r>
      <w:r w:rsidR="00ED0E32" w:rsidRPr="00CD2BFD">
        <w:rPr>
          <w:rFonts w:ascii="Times New Roman" w:hAnsi="Times New Roman" w:cs="Times New Roman"/>
          <w:b/>
          <w:sz w:val="24"/>
          <w:szCs w:val="24"/>
          <w:shd w:val="clear" w:color="auto" w:fill="FCFCFC"/>
        </w:rPr>
        <w:t xml:space="preserve"> They find most countries in the sample had higher than expected deaths in 2020, even after accounting for </w:t>
      </w:r>
      <w:proofErr w:type="spellStart"/>
      <w:r w:rsidR="00ED0E32" w:rsidRPr="00CD2BFD">
        <w:rPr>
          <w:rFonts w:ascii="Times New Roman" w:hAnsi="Times New Roman" w:cs="Times New Roman"/>
          <w:b/>
          <w:sz w:val="24"/>
          <w:szCs w:val="24"/>
          <w:shd w:val="clear" w:color="auto" w:fill="FCFCFC"/>
        </w:rPr>
        <w:t>Covid</w:t>
      </w:r>
      <w:proofErr w:type="spellEnd"/>
      <w:r w:rsidR="00ED0E32" w:rsidRPr="00CD2BFD">
        <w:rPr>
          <w:rFonts w:ascii="Times New Roman" w:hAnsi="Times New Roman" w:cs="Times New Roman"/>
          <w:b/>
          <w:sz w:val="24"/>
          <w:szCs w:val="24"/>
          <w:shd w:val="clear" w:color="auto" w:fill="FCFCFC"/>
        </w:rPr>
        <w:t xml:space="preserve">-related deaths. The authors further classify these countries into two distinct groups: those with large gaps between excess and official deaths (largely Latin American and Eastern European countries), and those with more </w:t>
      </w:r>
      <w:r w:rsidR="00ED0E32" w:rsidRPr="00CD2BFD">
        <w:rPr>
          <w:rFonts w:ascii="Times New Roman" w:hAnsi="Times New Roman" w:cs="Times New Roman"/>
          <w:b/>
          <w:sz w:val="24"/>
          <w:szCs w:val="24"/>
          <w:shd w:val="clear" w:color="auto" w:fill="FCFCFC"/>
        </w:rPr>
        <w:lastRenderedPageBreak/>
        <w:t>moderate gaps (a much more heterogenous group of countries). Countries with negative excess deaths also tended to have low official mortalities (with a large majority located in East Asia), and national testing capacity was associated with the extent of gaps between official and excess deaths.</w:t>
      </w:r>
      <w:r w:rsidR="00ED0E32" w:rsidRPr="00CD2BFD">
        <w:rPr>
          <w:rStyle w:val="FootnoteReference"/>
          <w:rFonts w:ascii="Times New Roman" w:hAnsi="Times New Roman" w:cs="Times New Roman"/>
          <w:b/>
          <w:sz w:val="24"/>
          <w:szCs w:val="24"/>
          <w:shd w:val="clear" w:color="auto" w:fill="FCFCFC"/>
        </w:rPr>
        <w:footnoteReference w:id="7"/>
      </w:r>
      <w:r w:rsidR="00AD399B" w:rsidRPr="00CD2BFD">
        <w:rPr>
          <w:rFonts w:ascii="Times New Roman" w:hAnsi="Times New Roman" w:cs="Times New Roman"/>
          <w:b/>
          <w:sz w:val="24"/>
          <w:szCs w:val="24"/>
          <w:shd w:val="clear" w:color="auto" w:fill="FCFCFC"/>
        </w:rPr>
        <w:t xml:space="preserve"> </w:t>
      </w:r>
      <w:r w:rsidR="00C82A25" w:rsidRPr="00CD2BFD">
        <w:rPr>
          <w:rFonts w:ascii="Times New Roman" w:hAnsi="Times New Roman" w:cs="Times New Roman"/>
          <w:b/>
          <w:sz w:val="24"/>
          <w:szCs w:val="24"/>
          <w:shd w:val="clear" w:color="auto" w:fill="FCFCFC"/>
        </w:rPr>
        <w:t xml:space="preserve"> </w:t>
      </w:r>
      <w:r w:rsidR="00AD399B" w:rsidRPr="00CD2BFD">
        <w:rPr>
          <w:rFonts w:ascii="Times New Roman" w:hAnsi="Times New Roman" w:cs="Times New Roman"/>
          <w:b/>
          <w:sz w:val="24"/>
          <w:szCs w:val="24"/>
          <w:shd w:val="clear" w:color="auto" w:fill="FCFCFC"/>
        </w:rPr>
        <w:t>Rivera et. al. (2020) extend their analysis to include not only excess all-cause mortalities, but also influenza and pneumonia mortalities in the first phase of the pandemic within the US. When compared to a historical baseline period from 2015 – 2020, the authors fin</w:t>
      </w:r>
      <w:r w:rsidR="001C44FD" w:rsidRPr="00CD2BFD">
        <w:rPr>
          <w:rFonts w:ascii="Times New Roman" w:hAnsi="Times New Roman" w:cs="Times New Roman"/>
          <w:b/>
          <w:sz w:val="24"/>
          <w:szCs w:val="24"/>
          <w:shd w:val="clear" w:color="auto" w:fill="FCFCFC"/>
        </w:rPr>
        <w:t>d evidence of greater excess mortality from Covid-19 nationally, and in nine states in particular. They also report large gaps in excess deaths attributed to pneumonia and influenza across the US sample</w:t>
      </w:r>
      <w:r w:rsidR="00EB59B9" w:rsidRPr="00CD2BFD">
        <w:rPr>
          <w:rFonts w:ascii="Times New Roman" w:hAnsi="Times New Roman" w:cs="Times New Roman"/>
          <w:b/>
          <w:sz w:val="24"/>
          <w:szCs w:val="24"/>
          <w:shd w:val="clear" w:color="auto" w:fill="FCFCFC"/>
        </w:rPr>
        <w:t xml:space="preserve">. The authors conclude </w:t>
      </w:r>
      <w:r w:rsidR="00972191" w:rsidRPr="00CD2BFD">
        <w:rPr>
          <w:rFonts w:ascii="Times New Roman" w:hAnsi="Times New Roman" w:cs="Times New Roman"/>
          <w:b/>
          <w:sz w:val="24"/>
          <w:szCs w:val="24"/>
          <w:shd w:val="clear" w:color="auto" w:fill="FCFCFC"/>
        </w:rPr>
        <w:t xml:space="preserve">that </w:t>
      </w:r>
      <w:r w:rsidR="00EB59B9" w:rsidRPr="00CD2BFD">
        <w:rPr>
          <w:rFonts w:ascii="Times New Roman" w:hAnsi="Times New Roman" w:cs="Times New Roman"/>
          <w:b/>
          <w:sz w:val="24"/>
          <w:szCs w:val="24"/>
          <w:shd w:val="clear" w:color="auto" w:fill="FCFCFC"/>
        </w:rPr>
        <w:t>official US mortality reporting in th</w:t>
      </w:r>
      <w:r w:rsidR="00972191" w:rsidRPr="00CD2BFD">
        <w:rPr>
          <w:rFonts w:ascii="Times New Roman" w:hAnsi="Times New Roman" w:cs="Times New Roman"/>
          <w:b/>
          <w:sz w:val="24"/>
          <w:szCs w:val="24"/>
          <w:shd w:val="clear" w:color="auto" w:fill="FCFCFC"/>
        </w:rPr>
        <w:t>e</w:t>
      </w:r>
      <w:r w:rsidR="00EB59B9" w:rsidRPr="00CD2BFD">
        <w:rPr>
          <w:rFonts w:ascii="Times New Roman" w:hAnsi="Times New Roman" w:cs="Times New Roman"/>
          <w:b/>
          <w:sz w:val="24"/>
          <w:szCs w:val="24"/>
          <w:shd w:val="clear" w:color="auto" w:fill="FCFCFC"/>
        </w:rPr>
        <w:t xml:space="preserve"> early phase of the pandemic substantially </w:t>
      </w:r>
      <w:proofErr w:type="spellStart"/>
      <w:r w:rsidR="00EB59B9" w:rsidRPr="00CD2BFD">
        <w:rPr>
          <w:rFonts w:ascii="Times New Roman" w:hAnsi="Times New Roman" w:cs="Times New Roman"/>
          <w:b/>
          <w:sz w:val="24"/>
          <w:szCs w:val="24"/>
          <w:shd w:val="clear" w:color="auto" w:fill="FCFCFC"/>
        </w:rPr>
        <w:t>understaded</w:t>
      </w:r>
      <w:proofErr w:type="spellEnd"/>
      <w:r w:rsidR="00EB59B9" w:rsidRPr="00CD2BFD">
        <w:rPr>
          <w:rFonts w:ascii="Times New Roman" w:hAnsi="Times New Roman" w:cs="Times New Roman"/>
          <w:b/>
          <w:sz w:val="24"/>
          <w:szCs w:val="24"/>
          <w:shd w:val="clear" w:color="auto" w:fill="FCFCFC"/>
        </w:rPr>
        <w:t xml:space="preserve"> actual mortality – and note that excess mortalities </w:t>
      </w:r>
      <w:r w:rsidR="00972191" w:rsidRPr="00CD2BFD">
        <w:rPr>
          <w:rFonts w:ascii="Times New Roman" w:hAnsi="Times New Roman" w:cs="Times New Roman"/>
          <w:b/>
          <w:sz w:val="24"/>
          <w:szCs w:val="24"/>
          <w:shd w:val="clear" w:color="auto" w:fill="FCFCFC"/>
        </w:rPr>
        <w:t>are</w:t>
      </w:r>
      <w:r w:rsidR="00EB59B9" w:rsidRPr="00CD2BFD">
        <w:rPr>
          <w:rFonts w:ascii="Times New Roman" w:hAnsi="Times New Roman" w:cs="Times New Roman"/>
          <w:b/>
          <w:sz w:val="24"/>
          <w:szCs w:val="24"/>
          <w:shd w:val="clear" w:color="auto" w:fill="FCFCFC"/>
        </w:rPr>
        <w:t xml:space="preserve"> not attributable to Covid-19 alone, but that other causes </w:t>
      </w:r>
      <w:r w:rsidR="00972191" w:rsidRPr="00CD2BFD">
        <w:rPr>
          <w:rFonts w:ascii="Times New Roman" w:hAnsi="Times New Roman" w:cs="Times New Roman"/>
          <w:b/>
          <w:sz w:val="24"/>
          <w:szCs w:val="24"/>
          <w:shd w:val="clear" w:color="auto" w:fill="FCFCFC"/>
        </w:rPr>
        <w:t>are</w:t>
      </w:r>
      <w:r w:rsidR="00EB59B9" w:rsidRPr="00CD2BFD">
        <w:rPr>
          <w:rFonts w:ascii="Times New Roman" w:hAnsi="Times New Roman" w:cs="Times New Roman"/>
          <w:b/>
          <w:sz w:val="24"/>
          <w:szCs w:val="24"/>
          <w:shd w:val="clear" w:color="auto" w:fill="FCFCFC"/>
        </w:rPr>
        <w:t xml:space="preserve"> also at play.</w:t>
      </w:r>
    </w:p>
    <w:p w14:paraId="4084F32F" w14:textId="6D797214" w:rsidR="00827953" w:rsidRPr="00173569" w:rsidRDefault="003B5DF9" w:rsidP="00C82A25">
      <w:pPr>
        <w:spacing w:line="360" w:lineRule="auto"/>
        <w:ind w:firstLine="720"/>
        <w:rPr>
          <w:rFonts w:ascii="Times New Roman" w:hAnsi="Times New Roman" w:cs="Times New Roman"/>
          <w:sz w:val="24"/>
          <w:szCs w:val="24"/>
          <w:shd w:val="clear" w:color="auto" w:fill="FCFCFC"/>
        </w:rPr>
      </w:pPr>
      <w:r w:rsidRPr="00173569">
        <w:rPr>
          <w:rFonts w:ascii="Times New Roman" w:hAnsi="Times New Roman" w:cs="Times New Roman"/>
          <w:sz w:val="24"/>
          <w:szCs w:val="24"/>
          <w:shd w:val="clear" w:color="auto" w:fill="FCFCFC"/>
        </w:rPr>
        <w:t>T</w:t>
      </w:r>
      <w:r w:rsidR="00181A06" w:rsidRPr="00173569">
        <w:rPr>
          <w:rFonts w:ascii="Times New Roman" w:hAnsi="Times New Roman" w:cs="Times New Roman"/>
          <w:sz w:val="24"/>
          <w:szCs w:val="24"/>
          <w:shd w:val="clear" w:color="auto" w:fill="FCFCFC"/>
        </w:rPr>
        <w:t>o gain further insight</w:t>
      </w:r>
      <w:r w:rsidR="00AD399B">
        <w:rPr>
          <w:rFonts w:ascii="Times New Roman" w:hAnsi="Times New Roman" w:cs="Times New Roman"/>
          <w:sz w:val="24"/>
          <w:szCs w:val="24"/>
          <w:shd w:val="clear" w:color="auto" w:fill="FCFCFC"/>
        </w:rPr>
        <w:t xml:space="preserve"> on these questions</w:t>
      </w:r>
      <w:r w:rsidR="00E94C12" w:rsidRPr="00173569">
        <w:rPr>
          <w:rFonts w:ascii="Times New Roman" w:hAnsi="Times New Roman" w:cs="Times New Roman"/>
          <w:sz w:val="24"/>
          <w:szCs w:val="24"/>
          <w:shd w:val="clear" w:color="auto" w:fill="FCFCFC"/>
        </w:rPr>
        <w:t>,</w:t>
      </w:r>
      <w:r w:rsidR="00444933" w:rsidRPr="00173569">
        <w:rPr>
          <w:rFonts w:ascii="Times New Roman" w:hAnsi="Times New Roman" w:cs="Times New Roman"/>
          <w:sz w:val="24"/>
          <w:szCs w:val="24"/>
          <w:shd w:val="clear" w:color="auto" w:fill="FCFCFC"/>
        </w:rPr>
        <w:t xml:space="preserve"> </w:t>
      </w:r>
      <w:r w:rsidR="00FD159F" w:rsidRPr="00173569">
        <w:rPr>
          <w:rFonts w:ascii="Times New Roman" w:hAnsi="Times New Roman" w:cs="Times New Roman"/>
          <w:sz w:val="24"/>
          <w:szCs w:val="24"/>
          <w:shd w:val="clear" w:color="auto" w:fill="FCFCFC"/>
        </w:rPr>
        <w:t xml:space="preserve">we perform two sets of regressions, in which the ratio of </w:t>
      </w:r>
      <w:r w:rsidR="00FD159F" w:rsidRPr="00173569">
        <w:rPr>
          <w:rFonts w:ascii="Times New Roman" w:eastAsia="Calibri" w:hAnsi="Times New Roman" w:cs="Times New Roman"/>
          <w:color w:val="000000" w:themeColor="text1"/>
          <w:sz w:val="24"/>
          <w:szCs w:val="24"/>
        </w:rPr>
        <w:t>Cumulative Excess to Official Covid-19 mortalities (E/O</w:t>
      </w:r>
      <w:r w:rsidR="00880B15" w:rsidRPr="00173569">
        <w:rPr>
          <w:rFonts w:ascii="Times New Roman" w:eastAsia="Calibri" w:hAnsi="Times New Roman" w:cs="Times New Roman"/>
          <w:color w:val="000000" w:themeColor="text1"/>
          <w:sz w:val="24"/>
          <w:szCs w:val="24"/>
        </w:rPr>
        <w:t xml:space="preserve"> ratio</w:t>
      </w:r>
      <w:r w:rsidR="00FD159F" w:rsidRPr="00173569">
        <w:rPr>
          <w:rFonts w:ascii="Times New Roman" w:eastAsia="Calibri" w:hAnsi="Times New Roman" w:cs="Times New Roman"/>
          <w:color w:val="000000" w:themeColor="text1"/>
          <w:sz w:val="24"/>
          <w:szCs w:val="24"/>
        </w:rPr>
        <w:t xml:space="preserve">) is regressed on a large set of covariates. </w:t>
      </w:r>
      <w:r w:rsidR="00880B15" w:rsidRPr="00173569">
        <w:rPr>
          <w:rFonts w:ascii="Times New Roman" w:eastAsia="Calibri" w:hAnsi="Times New Roman" w:cs="Times New Roman"/>
          <w:color w:val="000000" w:themeColor="text1"/>
          <w:sz w:val="24"/>
          <w:szCs w:val="24"/>
        </w:rPr>
        <w:t xml:space="preserve">We focus on more than 140 countries with cumulative excess mortality </w:t>
      </w:r>
      <w:r w:rsidR="00D45876">
        <w:rPr>
          <w:rFonts w:ascii="Times New Roman" w:eastAsia="Calibri" w:hAnsi="Times New Roman" w:cs="Times New Roman"/>
          <w:color w:val="000000" w:themeColor="text1"/>
          <w:sz w:val="24"/>
          <w:szCs w:val="24"/>
        </w:rPr>
        <w:t xml:space="preserve">usually </w:t>
      </w:r>
      <w:r w:rsidR="00880B15" w:rsidRPr="00173569">
        <w:rPr>
          <w:rFonts w:ascii="Times New Roman" w:eastAsia="Calibri" w:hAnsi="Times New Roman" w:cs="Times New Roman"/>
          <w:color w:val="000000" w:themeColor="text1"/>
          <w:sz w:val="24"/>
          <w:szCs w:val="24"/>
        </w:rPr>
        <w:t xml:space="preserve">higher </w:t>
      </w:r>
      <w:r w:rsidR="006841AE">
        <w:rPr>
          <w:rFonts w:ascii="Times New Roman" w:eastAsia="Calibri" w:hAnsi="Times New Roman" w:cs="Times New Roman"/>
          <w:color w:val="000000" w:themeColor="text1"/>
          <w:sz w:val="24"/>
          <w:szCs w:val="24"/>
        </w:rPr>
        <w:t>than</w:t>
      </w:r>
      <w:r w:rsidR="00880B15" w:rsidRPr="00173569">
        <w:rPr>
          <w:rFonts w:ascii="Times New Roman" w:eastAsia="Calibri" w:hAnsi="Times New Roman" w:cs="Times New Roman"/>
          <w:color w:val="000000" w:themeColor="text1"/>
          <w:sz w:val="24"/>
          <w:szCs w:val="24"/>
        </w:rPr>
        <w:t xml:space="preserve"> official </w:t>
      </w:r>
      <w:r w:rsidR="006841AE">
        <w:rPr>
          <w:rFonts w:ascii="Times New Roman" w:eastAsia="Calibri" w:hAnsi="Times New Roman" w:cs="Times New Roman"/>
          <w:color w:val="000000" w:themeColor="text1"/>
          <w:sz w:val="24"/>
          <w:szCs w:val="24"/>
        </w:rPr>
        <w:t>mortality</w:t>
      </w:r>
      <w:r w:rsidR="008B5898" w:rsidRPr="00173569">
        <w:rPr>
          <w:rFonts w:ascii="Times New Roman" w:eastAsia="Calibri" w:hAnsi="Times New Roman" w:cs="Times New Roman"/>
          <w:color w:val="000000" w:themeColor="text1"/>
          <w:sz w:val="24"/>
          <w:szCs w:val="24"/>
        </w:rPr>
        <w:t>,</w:t>
      </w:r>
      <w:r w:rsidR="00880B15" w:rsidRPr="00173569">
        <w:rPr>
          <w:rFonts w:ascii="Times New Roman" w:eastAsia="Calibri" w:hAnsi="Times New Roman" w:cs="Times New Roman"/>
          <w:color w:val="000000" w:themeColor="text1"/>
          <w:sz w:val="24"/>
          <w:szCs w:val="24"/>
        </w:rPr>
        <w:t xml:space="preserve"> </w:t>
      </w:r>
      <w:r w:rsidR="00FD159F" w:rsidRPr="00173569">
        <w:rPr>
          <w:rFonts w:ascii="Times New Roman" w:eastAsia="Calibri" w:hAnsi="Times New Roman" w:cs="Times New Roman"/>
          <w:color w:val="000000" w:themeColor="text1"/>
          <w:sz w:val="24"/>
          <w:szCs w:val="24"/>
        </w:rPr>
        <w:t xml:space="preserve">and run </w:t>
      </w:r>
      <w:r w:rsidR="006841AE">
        <w:rPr>
          <w:rFonts w:ascii="Times New Roman" w:eastAsia="Calibri" w:hAnsi="Times New Roman" w:cs="Times New Roman"/>
          <w:color w:val="000000" w:themeColor="text1"/>
          <w:sz w:val="24"/>
          <w:szCs w:val="24"/>
        </w:rPr>
        <w:t xml:space="preserve">our analysis </w:t>
      </w:r>
      <w:r w:rsidR="00FD159F" w:rsidRPr="00173569">
        <w:rPr>
          <w:rFonts w:ascii="Times New Roman" w:eastAsia="Calibri" w:hAnsi="Times New Roman" w:cs="Times New Roman"/>
          <w:color w:val="000000" w:themeColor="text1"/>
          <w:sz w:val="24"/>
          <w:szCs w:val="24"/>
        </w:rPr>
        <w:t xml:space="preserve">both at the end of 2020 and </w:t>
      </w:r>
      <w:r w:rsidR="006841AE">
        <w:rPr>
          <w:rFonts w:ascii="Times New Roman" w:eastAsia="Calibri" w:hAnsi="Times New Roman" w:cs="Times New Roman"/>
          <w:color w:val="000000" w:themeColor="text1"/>
          <w:sz w:val="24"/>
          <w:szCs w:val="24"/>
        </w:rPr>
        <w:t xml:space="preserve">at </w:t>
      </w:r>
      <w:r w:rsidR="00FD159F" w:rsidRPr="00173569">
        <w:rPr>
          <w:rFonts w:ascii="Times New Roman" w:eastAsia="Calibri" w:hAnsi="Times New Roman" w:cs="Times New Roman"/>
          <w:color w:val="000000" w:themeColor="text1"/>
          <w:sz w:val="24"/>
          <w:szCs w:val="24"/>
        </w:rPr>
        <w:t xml:space="preserve">the end of 2021. </w:t>
      </w:r>
      <w:r w:rsidR="00AD399B">
        <w:rPr>
          <w:rFonts w:ascii="Times New Roman" w:eastAsia="Calibri" w:hAnsi="Times New Roman" w:cs="Times New Roman"/>
          <w:color w:val="000000" w:themeColor="text1"/>
          <w:sz w:val="24"/>
          <w:szCs w:val="24"/>
        </w:rPr>
        <w:t xml:space="preserve">Thus, our sample and timeframe are much richer than prior studies. </w:t>
      </w:r>
      <w:r w:rsidR="00444933" w:rsidRPr="00173569">
        <w:rPr>
          <w:rFonts w:ascii="Times New Roman" w:eastAsia="Calibri" w:hAnsi="Times New Roman" w:cs="Times New Roman"/>
          <w:color w:val="000000" w:themeColor="text1"/>
          <w:sz w:val="24"/>
          <w:szCs w:val="24"/>
        </w:rPr>
        <w:t xml:space="preserve">In the first, </w:t>
      </w:r>
      <w:r w:rsidR="00444933" w:rsidRPr="00173569">
        <w:rPr>
          <w:rFonts w:ascii="Times New Roman" w:eastAsia="Calibri" w:hAnsi="Times New Roman" w:cs="Times New Roman"/>
          <w:b/>
          <w:bCs/>
          <w:color w:val="000000" w:themeColor="text1"/>
          <w:sz w:val="24"/>
          <w:szCs w:val="24"/>
        </w:rPr>
        <w:t xml:space="preserve">narrow </w:t>
      </w:r>
      <w:r w:rsidR="000E14BA">
        <w:rPr>
          <w:rFonts w:ascii="Times New Roman" w:eastAsia="Calibri" w:hAnsi="Times New Roman" w:cs="Times New Roman"/>
          <w:color w:val="000000" w:themeColor="text1"/>
          <w:sz w:val="24"/>
          <w:szCs w:val="24"/>
        </w:rPr>
        <w:t>study</w:t>
      </w:r>
      <w:r w:rsidR="00444933" w:rsidRPr="00173569">
        <w:rPr>
          <w:rFonts w:ascii="Times New Roman" w:eastAsia="Calibri" w:hAnsi="Times New Roman" w:cs="Times New Roman"/>
          <w:color w:val="000000" w:themeColor="text1"/>
          <w:sz w:val="24"/>
          <w:szCs w:val="24"/>
        </w:rPr>
        <w:t xml:space="preserve">, we control only for GDP/Capita and vaccination rates. In the second, </w:t>
      </w:r>
      <w:r w:rsidR="00444933" w:rsidRPr="00173569">
        <w:rPr>
          <w:rFonts w:ascii="Times New Roman" w:eastAsia="Calibri" w:hAnsi="Times New Roman" w:cs="Times New Roman"/>
          <w:b/>
          <w:bCs/>
          <w:color w:val="000000" w:themeColor="text1"/>
          <w:sz w:val="24"/>
          <w:szCs w:val="24"/>
        </w:rPr>
        <w:t>broad</w:t>
      </w:r>
      <w:r w:rsidR="00444933" w:rsidRPr="00173569">
        <w:rPr>
          <w:rFonts w:ascii="Times New Roman" w:eastAsia="Calibri" w:hAnsi="Times New Roman" w:cs="Times New Roman"/>
          <w:color w:val="000000" w:themeColor="text1"/>
          <w:sz w:val="24"/>
          <w:szCs w:val="24"/>
        </w:rPr>
        <w:t xml:space="preserve"> </w:t>
      </w:r>
      <w:r w:rsidR="000E14BA">
        <w:rPr>
          <w:rFonts w:ascii="Times New Roman" w:eastAsia="Calibri" w:hAnsi="Times New Roman" w:cs="Times New Roman"/>
          <w:color w:val="000000" w:themeColor="text1"/>
          <w:sz w:val="24"/>
          <w:szCs w:val="24"/>
        </w:rPr>
        <w:t>study</w:t>
      </w:r>
      <w:r w:rsidR="00444933" w:rsidRPr="00173569">
        <w:rPr>
          <w:rFonts w:ascii="Times New Roman" w:eastAsia="Calibri" w:hAnsi="Times New Roman" w:cs="Times New Roman"/>
          <w:color w:val="000000" w:themeColor="text1"/>
          <w:sz w:val="24"/>
          <w:szCs w:val="24"/>
        </w:rPr>
        <w:t>, we add other institutional and policy variables.</w:t>
      </w:r>
      <w:r w:rsidR="00444933" w:rsidRPr="00173569">
        <w:rPr>
          <w:rFonts w:ascii="Times New Roman" w:hAnsi="Times New Roman" w:cs="Times New Roman"/>
          <w:sz w:val="24"/>
          <w:szCs w:val="24"/>
          <w:shd w:val="clear" w:color="auto" w:fill="FCFCFC"/>
        </w:rPr>
        <w:t xml:space="preserve"> </w:t>
      </w:r>
      <w:r w:rsidR="00444933" w:rsidRPr="00173569">
        <w:rPr>
          <w:rFonts w:ascii="Times New Roman" w:eastAsia="Calibri" w:hAnsi="Times New Roman" w:cs="Times New Roman"/>
          <w:color w:val="000000" w:themeColor="text1"/>
          <w:sz w:val="24"/>
          <w:szCs w:val="24"/>
        </w:rPr>
        <w:t xml:space="preserve">In the narrow </w:t>
      </w:r>
      <w:r w:rsidR="000E14BA">
        <w:rPr>
          <w:rFonts w:ascii="Times New Roman" w:eastAsia="Calibri" w:hAnsi="Times New Roman" w:cs="Times New Roman"/>
          <w:color w:val="000000" w:themeColor="text1"/>
          <w:sz w:val="24"/>
          <w:szCs w:val="24"/>
        </w:rPr>
        <w:t>study</w:t>
      </w:r>
      <w:r w:rsidR="000E14BA" w:rsidRPr="00173569">
        <w:rPr>
          <w:rFonts w:ascii="Times New Roman" w:eastAsia="Calibri" w:hAnsi="Times New Roman" w:cs="Times New Roman"/>
          <w:color w:val="000000" w:themeColor="text1"/>
          <w:sz w:val="24"/>
          <w:szCs w:val="24"/>
        </w:rPr>
        <w:t xml:space="preserve"> </w:t>
      </w:r>
      <w:r w:rsidR="00444933" w:rsidRPr="00173569">
        <w:rPr>
          <w:rFonts w:ascii="Times New Roman" w:eastAsia="Calibri" w:hAnsi="Times New Roman" w:cs="Times New Roman"/>
          <w:color w:val="000000" w:themeColor="text1"/>
          <w:sz w:val="24"/>
          <w:szCs w:val="24"/>
        </w:rPr>
        <w:t>we</w:t>
      </w:r>
      <w:r w:rsidR="00557CA0" w:rsidRPr="00173569">
        <w:rPr>
          <w:rFonts w:ascii="Times New Roman" w:eastAsia="Calibri" w:hAnsi="Times New Roman" w:cs="Times New Roman"/>
          <w:color w:val="000000" w:themeColor="text1"/>
          <w:sz w:val="24"/>
          <w:szCs w:val="24"/>
        </w:rPr>
        <w:t xml:space="preserve"> find that </w:t>
      </w:r>
      <w:r w:rsidR="00181A06" w:rsidRPr="00173569">
        <w:rPr>
          <w:rFonts w:ascii="Times New Roman" w:eastAsia="Calibri" w:hAnsi="Times New Roman" w:cs="Times New Roman"/>
          <w:color w:val="000000" w:themeColor="text1"/>
          <w:sz w:val="24"/>
          <w:szCs w:val="24"/>
        </w:rPr>
        <w:t xml:space="preserve">by December 2021, </w:t>
      </w:r>
      <w:r w:rsidR="00557CA0" w:rsidRPr="00173569">
        <w:rPr>
          <w:rFonts w:ascii="Times New Roman" w:eastAsia="Calibri" w:hAnsi="Times New Roman" w:cs="Times New Roman"/>
          <w:color w:val="000000" w:themeColor="text1"/>
          <w:sz w:val="24"/>
          <w:szCs w:val="24"/>
        </w:rPr>
        <w:t xml:space="preserve">Cumulative Excess/Official </w:t>
      </w:r>
      <w:r w:rsidR="00525E77" w:rsidRPr="00173569">
        <w:rPr>
          <w:rFonts w:ascii="Times New Roman" w:eastAsia="Calibri" w:hAnsi="Times New Roman" w:cs="Times New Roman"/>
          <w:color w:val="000000" w:themeColor="text1"/>
          <w:sz w:val="24"/>
          <w:szCs w:val="24"/>
        </w:rPr>
        <w:t>Covid</w:t>
      </w:r>
      <w:r w:rsidR="00557CA0" w:rsidRPr="00173569">
        <w:rPr>
          <w:rFonts w:ascii="Times New Roman" w:eastAsia="Calibri" w:hAnsi="Times New Roman" w:cs="Times New Roman"/>
          <w:color w:val="000000" w:themeColor="text1"/>
          <w:sz w:val="24"/>
          <w:szCs w:val="24"/>
        </w:rPr>
        <w:t xml:space="preserve">-19 mortality ratios are smaller for </w:t>
      </w:r>
      <w:r w:rsidR="00207945" w:rsidRPr="00173569">
        <w:rPr>
          <w:rFonts w:ascii="Times New Roman" w:eastAsia="Calibri" w:hAnsi="Times New Roman" w:cs="Times New Roman"/>
          <w:color w:val="000000" w:themeColor="text1"/>
          <w:sz w:val="24"/>
          <w:szCs w:val="24"/>
        </w:rPr>
        <w:t xml:space="preserve">countries with </w:t>
      </w:r>
      <w:r w:rsidR="00557CA0" w:rsidRPr="00173569">
        <w:rPr>
          <w:rFonts w:ascii="Times New Roman" w:eastAsia="Calibri" w:hAnsi="Times New Roman" w:cs="Times New Roman"/>
          <w:color w:val="000000" w:themeColor="text1"/>
          <w:sz w:val="24"/>
          <w:szCs w:val="24"/>
        </w:rPr>
        <w:t>higher vaccination rates</w:t>
      </w:r>
      <w:r w:rsidR="00181A06" w:rsidRPr="00173569">
        <w:rPr>
          <w:rFonts w:ascii="Times New Roman" w:eastAsia="Calibri" w:hAnsi="Times New Roman" w:cs="Times New Roman"/>
          <w:color w:val="000000" w:themeColor="text1"/>
          <w:sz w:val="24"/>
          <w:szCs w:val="24"/>
        </w:rPr>
        <w:t xml:space="preserve">. </w:t>
      </w:r>
      <w:r w:rsidR="00881143" w:rsidRPr="00173569">
        <w:rPr>
          <w:rFonts w:ascii="Times New Roman" w:eastAsia="Calibri" w:hAnsi="Times New Roman" w:cs="Times New Roman"/>
          <w:color w:val="000000" w:themeColor="text1"/>
          <w:sz w:val="24"/>
          <w:szCs w:val="24"/>
        </w:rPr>
        <w:t xml:space="preserve">In the broad </w:t>
      </w:r>
      <w:r w:rsidR="000E14BA">
        <w:rPr>
          <w:rFonts w:ascii="Times New Roman" w:eastAsia="Calibri" w:hAnsi="Times New Roman" w:cs="Times New Roman"/>
          <w:color w:val="000000" w:themeColor="text1"/>
          <w:sz w:val="24"/>
          <w:szCs w:val="24"/>
        </w:rPr>
        <w:t>study</w:t>
      </w:r>
      <w:r w:rsidR="000E14BA" w:rsidRPr="00173569">
        <w:rPr>
          <w:rFonts w:ascii="Times New Roman" w:eastAsia="Calibri" w:hAnsi="Times New Roman" w:cs="Times New Roman"/>
          <w:color w:val="000000" w:themeColor="text1"/>
          <w:sz w:val="24"/>
          <w:szCs w:val="24"/>
        </w:rPr>
        <w:t xml:space="preserve"> </w:t>
      </w:r>
      <w:r w:rsidR="00FD159F" w:rsidRPr="00173569">
        <w:rPr>
          <w:rFonts w:ascii="Times New Roman" w:eastAsia="Calibri" w:hAnsi="Times New Roman" w:cs="Times New Roman"/>
          <w:color w:val="000000" w:themeColor="text1"/>
          <w:sz w:val="24"/>
          <w:szCs w:val="24"/>
        </w:rPr>
        <w:t xml:space="preserve">— both at the end of 2020 and at the end of 2021 — </w:t>
      </w:r>
      <w:r w:rsidR="00A81A68" w:rsidRPr="00173569">
        <w:rPr>
          <w:rFonts w:ascii="Times New Roman" w:eastAsia="Calibri" w:hAnsi="Times New Roman" w:cs="Times New Roman"/>
          <w:color w:val="000000" w:themeColor="text1"/>
          <w:sz w:val="24"/>
          <w:szCs w:val="24"/>
        </w:rPr>
        <w:t>a higher urban population share and a higher score on voice and accountability are associated with lower Cumulative Excess/Official Covid-19 mortality ratios</w:t>
      </w:r>
      <w:r w:rsidR="00DC6D0F" w:rsidRPr="00173569">
        <w:rPr>
          <w:rFonts w:ascii="Times New Roman" w:eastAsia="Calibri" w:hAnsi="Times New Roman" w:cs="Times New Roman"/>
          <w:color w:val="000000" w:themeColor="text1"/>
          <w:sz w:val="24"/>
          <w:szCs w:val="24"/>
        </w:rPr>
        <w:t>,</w:t>
      </w:r>
      <w:r w:rsidR="00881143" w:rsidRPr="00173569">
        <w:rPr>
          <w:rFonts w:ascii="Times New Roman" w:eastAsia="Calibri" w:hAnsi="Times New Roman" w:cs="Times New Roman"/>
          <w:color w:val="000000" w:themeColor="text1"/>
          <w:sz w:val="24"/>
          <w:szCs w:val="24"/>
        </w:rPr>
        <w:t xml:space="preserve"> but the vaccination variable at the end of 2021 becomes insignificant</w:t>
      </w:r>
      <w:r w:rsidR="00DC6D0F" w:rsidRPr="00173569">
        <w:rPr>
          <w:rFonts w:ascii="Times New Roman" w:eastAsia="Calibri" w:hAnsi="Times New Roman" w:cs="Times New Roman"/>
          <w:color w:val="000000" w:themeColor="text1"/>
          <w:sz w:val="24"/>
          <w:szCs w:val="24"/>
        </w:rPr>
        <w:t xml:space="preserve"> —</w:t>
      </w:r>
      <w:r w:rsidR="00881143" w:rsidRPr="00173569">
        <w:rPr>
          <w:rFonts w:ascii="Times New Roman" w:eastAsia="Calibri" w:hAnsi="Times New Roman" w:cs="Times New Roman"/>
          <w:color w:val="000000" w:themeColor="text1"/>
          <w:sz w:val="24"/>
          <w:szCs w:val="24"/>
        </w:rPr>
        <w:t xml:space="preserve"> probably due to multicollinearity with the other controls.</w:t>
      </w:r>
    </w:p>
    <w:p w14:paraId="76B59891" w14:textId="577EF95C" w:rsidR="004A27EE" w:rsidRPr="00173569" w:rsidRDefault="00827953"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173569">
        <w:rPr>
          <w:rFonts w:ascii="Times New Roman" w:eastAsia="Calibri" w:hAnsi="Times New Roman" w:cs="Times New Roman"/>
          <w:color w:val="000000" w:themeColor="text1"/>
          <w:sz w:val="24"/>
          <w:szCs w:val="24"/>
        </w:rPr>
        <w:tab/>
      </w:r>
      <w:r w:rsidR="006D1243" w:rsidRPr="00173569">
        <w:rPr>
          <w:rFonts w:ascii="Times New Roman" w:eastAsia="Calibri" w:hAnsi="Times New Roman" w:cs="Times New Roman"/>
          <w:color w:val="000000" w:themeColor="text1"/>
          <w:sz w:val="24"/>
          <w:szCs w:val="24"/>
        </w:rPr>
        <w:t>We close our analysis</w:t>
      </w:r>
      <w:r w:rsidR="00893B92" w:rsidRPr="00173569">
        <w:rPr>
          <w:rFonts w:ascii="Times New Roman" w:eastAsia="Calibri" w:hAnsi="Times New Roman" w:cs="Times New Roman"/>
          <w:color w:val="000000" w:themeColor="text1"/>
          <w:sz w:val="24"/>
          <w:szCs w:val="24"/>
        </w:rPr>
        <w:t xml:space="preserve"> </w:t>
      </w:r>
      <w:r w:rsidR="004A27EE" w:rsidRPr="00173569">
        <w:rPr>
          <w:rFonts w:ascii="Times New Roman" w:eastAsia="Calibri" w:hAnsi="Times New Roman" w:cs="Times New Roman"/>
          <w:color w:val="000000" w:themeColor="text1"/>
          <w:sz w:val="24"/>
          <w:szCs w:val="24"/>
        </w:rPr>
        <w:t>by</w:t>
      </w:r>
      <w:r w:rsidR="00871DB0" w:rsidRPr="00173569">
        <w:rPr>
          <w:rFonts w:ascii="Times New Roman" w:eastAsia="Calibri" w:hAnsi="Times New Roman" w:cs="Times New Roman"/>
          <w:color w:val="000000" w:themeColor="text1"/>
          <w:sz w:val="24"/>
          <w:szCs w:val="24"/>
        </w:rPr>
        <w:t xml:space="preserve"> contrast</w:t>
      </w:r>
      <w:r w:rsidR="004A27EE" w:rsidRPr="00173569">
        <w:rPr>
          <w:rFonts w:ascii="Times New Roman" w:eastAsia="Calibri" w:hAnsi="Times New Roman" w:cs="Times New Roman"/>
          <w:color w:val="000000" w:themeColor="text1"/>
          <w:sz w:val="24"/>
          <w:szCs w:val="24"/>
        </w:rPr>
        <w:t>ing</w:t>
      </w:r>
      <w:r w:rsidR="00871DB0" w:rsidRPr="00173569">
        <w:rPr>
          <w:rFonts w:ascii="Times New Roman" w:eastAsia="Calibri" w:hAnsi="Times New Roman" w:cs="Times New Roman"/>
          <w:color w:val="000000" w:themeColor="text1"/>
          <w:sz w:val="24"/>
          <w:szCs w:val="24"/>
        </w:rPr>
        <w:t xml:space="preserve"> the </w:t>
      </w:r>
      <w:r w:rsidR="00E070E2" w:rsidRPr="00173569">
        <w:rPr>
          <w:rFonts w:ascii="Times New Roman" w:eastAsia="Calibri" w:hAnsi="Times New Roman" w:cs="Times New Roman"/>
          <w:color w:val="000000" w:themeColor="text1"/>
          <w:sz w:val="24"/>
          <w:szCs w:val="24"/>
        </w:rPr>
        <w:t>quartile</w:t>
      </w:r>
      <w:r w:rsidR="00871DB0" w:rsidRPr="00173569">
        <w:rPr>
          <w:rFonts w:ascii="Times New Roman" w:eastAsia="Calibri" w:hAnsi="Times New Roman" w:cs="Times New Roman"/>
          <w:color w:val="000000" w:themeColor="text1"/>
          <w:sz w:val="24"/>
          <w:szCs w:val="24"/>
        </w:rPr>
        <w:t xml:space="preserve"> rankings</w:t>
      </w:r>
      <w:r w:rsidR="006D1243" w:rsidRPr="00173569">
        <w:rPr>
          <w:rFonts w:ascii="Times New Roman" w:eastAsia="Calibri" w:hAnsi="Times New Roman" w:cs="Times New Roman"/>
          <w:color w:val="000000" w:themeColor="text1"/>
          <w:sz w:val="24"/>
          <w:szCs w:val="24"/>
        </w:rPr>
        <w:t xml:space="preserve"> </w:t>
      </w:r>
      <w:r w:rsidR="00871DB0" w:rsidRPr="00173569">
        <w:rPr>
          <w:rFonts w:ascii="Times New Roman" w:eastAsia="Calibri" w:hAnsi="Times New Roman" w:cs="Times New Roman"/>
          <w:color w:val="000000" w:themeColor="text1"/>
          <w:sz w:val="24"/>
          <w:szCs w:val="24"/>
        </w:rPr>
        <w:t>between the two data sets</w:t>
      </w:r>
      <w:r w:rsidR="004A27EE" w:rsidRPr="00173569">
        <w:rPr>
          <w:rFonts w:ascii="Times New Roman" w:eastAsia="Calibri" w:hAnsi="Times New Roman" w:cs="Times New Roman"/>
          <w:color w:val="000000" w:themeColor="text1"/>
          <w:sz w:val="24"/>
          <w:szCs w:val="24"/>
        </w:rPr>
        <w:t xml:space="preserve"> at the end of 2021</w:t>
      </w:r>
      <w:r w:rsidR="00871DB0" w:rsidRPr="00173569">
        <w:rPr>
          <w:rFonts w:ascii="Times New Roman" w:eastAsia="Calibri" w:hAnsi="Times New Roman" w:cs="Times New Roman"/>
          <w:color w:val="000000" w:themeColor="text1"/>
          <w:sz w:val="24"/>
          <w:szCs w:val="24"/>
        </w:rPr>
        <w:t>. For 3/5</w:t>
      </w:r>
      <w:r w:rsidR="0047464B" w:rsidRPr="00173569">
        <w:rPr>
          <w:rFonts w:ascii="Times New Roman" w:eastAsia="Calibri" w:hAnsi="Times New Roman" w:cs="Times New Roman"/>
          <w:color w:val="000000" w:themeColor="text1"/>
          <w:sz w:val="24"/>
          <w:szCs w:val="24"/>
        </w:rPr>
        <w:t>ths</w:t>
      </w:r>
      <w:r w:rsidR="00871DB0" w:rsidRPr="00173569">
        <w:rPr>
          <w:rFonts w:ascii="Times New Roman" w:eastAsia="Calibri" w:hAnsi="Times New Roman" w:cs="Times New Roman"/>
          <w:color w:val="000000" w:themeColor="text1"/>
          <w:sz w:val="24"/>
          <w:szCs w:val="24"/>
        </w:rPr>
        <w:t xml:space="preserve"> of the countries</w:t>
      </w:r>
      <w:r w:rsidR="006D1243" w:rsidRPr="00173569">
        <w:rPr>
          <w:rFonts w:ascii="Times New Roman" w:eastAsia="Calibri" w:hAnsi="Times New Roman" w:cs="Times New Roman"/>
          <w:color w:val="000000" w:themeColor="text1"/>
          <w:sz w:val="24"/>
          <w:szCs w:val="24"/>
        </w:rPr>
        <w:t xml:space="preserve"> in our sample</w:t>
      </w:r>
      <w:r w:rsidR="007550A8" w:rsidRPr="00173569">
        <w:rPr>
          <w:rFonts w:ascii="Times New Roman" w:eastAsia="Calibri" w:hAnsi="Times New Roman" w:cs="Times New Roman"/>
          <w:color w:val="000000" w:themeColor="text1"/>
          <w:sz w:val="24"/>
          <w:szCs w:val="24"/>
        </w:rPr>
        <w:t>,</w:t>
      </w:r>
      <w:r w:rsidR="004A27EE" w:rsidRPr="00173569">
        <w:rPr>
          <w:rFonts w:ascii="Times New Roman" w:eastAsia="Calibri" w:hAnsi="Times New Roman" w:cs="Times New Roman"/>
          <w:color w:val="000000" w:themeColor="text1"/>
          <w:sz w:val="24"/>
          <w:szCs w:val="24"/>
        </w:rPr>
        <w:t xml:space="preserve"> </w:t>
      </w:r>
      <w:r w:rsidR="00E070E2" w:rsidRPr="00173569">
        <w:rPr>
          <w:rFonts w:ascii="Times New Roman" w:eastAsia="Calibri" w:hAnsi="Times New Roman" w:cs="Times New Roman"/>
          <w:color w:val="000000" w:themeColor="text1"/>
          <w:sz w:val="24"/>
          <w:szCs w:val="24"/>
        </w:rPr>
        <w:t>quartile</w:t>
      </w:r>
      <w:r w:rsidR="00871DB0" w:rsidRPr="00173569">
        <w:rPr>
          <w:rFonts w:ascii="Times New Roman" w:eastAsia="Calibri" w:hAnsi="Times New Roman" w:cs="Times New Roman"/>
          <w:color w:val="000000" w:themeColor="text1"/>
          <w:sz w:val="24"/>
          <w:szCs w:val="24"/>
        </w:rPr>
        <w:t xml:space="preserve"> ra</w:t>
      </w:r>
      <w:r w:rsidR="004A27EE" w:rsidRPr="00173569">
        <w:rPr>
          <w:rFonts w:ascii="Times New Roman" w:eastAsia="Calibri" w:hAnsi="Times New Roman" w:cs="Times New Roman"/>
          <w:color w:val="000000" w:themeColor="text1"/>
          <w:sz w:val="24"/>
          <w:szCs w:val="24"/>
        </w:rPr>
        <w:t>n</w:t>
      </w:r>
      <w:r w:rsidR="00871DB0" w:rsidRPr="00173569">
        <w:rPr>
          <w:rFonts w:ascii="Times New Roman" w:eastAsia="Calibri" w:hAnsi="Times New Roman" w:cs="Times New Roman"/>
          <w:color w:val="000000" w:themeColor="text1"/>
          <w:sz w:val="24"/>
          <w:szCs w:val="24"/>
        </w:rPr>
        <w:t>king</w:t>
      </w:r>
      <w:r w:rsidR="0047464B" w:rsidRPr="00173569">
        <w:rPr>
          <w:rFonts w:ascii="Times New Roman" w:eastAsia="Calibri" w:hAnsi="Times New Roman" w:cs="Times New Roman"/>
          <w:color w:val="000000" w:themeColor="text1"/>
          <w:sz w:val="24"/>
          <w:szCs w:val="24"/>
        </w:rPr>
        <w:t>s</w:t>
      </w:r>
      <w:r w:rsidR="00871DB0" w:rsidRPr="00173569">
        <w:rPr>
          <w:rFonts w:ascii="Times New Roman" w:eastAsia="Calibri" w:hAnsi="Times New Roman" w:cs="Times New Roman"/>
          <w:color w:val="000000" w:themeColor="text1"/>
          <w:sz w:val="24"/>
          <w:szCs w:val="24"/>
        </w:rPr>
        <w:t xml:space="preserve"> </w:t>
      </w:r>
      <w:r w:rsidR="00C45F31" w:rsidRPr="00173569">
        <w:rPr>
          <w:rFonts w:ascii="Times New Roman" w:eastAsia="Calibri" w:hAnsi="Times New Roman" w:cs="Times New Roman"/>
          <w:color w:val="000000" w:themeColor="text1"/>
          <w:sz w:val="24"/>
          <w:szCs w:val="24"/>
        </w:rPr>
        <w:t>differ</w:t>
      </w:r>
      <w:r w:rsidR="004A27EE" w:rsidRPr="00173569">
        <w:rPr>
          <w:rFonts w:ascii="Times New Roman" w:eastAsia="Calibri" w:hAnsi="Times New Roman" w:cs="Times New Roman"/>
          <w:color w:val="000000" w:themeColor="text1"/>
          <w:sz w:val="24"/>
          <w:szCs w:val="24"/>
        </w:rPr>
        <w:t xml:space="preserve"> </w:t>
      </w:r>
      <w:r w:rsidR="00D45876">
        <w:rPr>
          <w:rFonts w:ascii="Times New Roman" w:eastAsia="Calibri" w:hAnsi="Times New Roman" w:cs="Times New Roman"/>
          <w:color w:val="000000" w:themeColor="text1"/>
          <w:sz w:val="24"/>
          <w:szCs w:val="24"/>
        </w:rPr>
        <w:t xml:space="preserve">by 2 </w:t>
      </w:r>
      <w:r w:rsidR="004A27EE" w:rsidRPr="00173569">
        <w:rPr>
          <w:rFonts w:ascii="Times New Roman" w:eastAsia="Calibri" w:hAnsi="Times New Roman" w:cs="Times New Roman"/>
          <w:color w:val="000000" w:themeColor="text1"/>
          <w:sz w:val="24"/>
          <w:szCs w:val="24"/>
        </w:rPr>
        <w:t>between the two</w:t>
      </w:r>
      <w:r w:rsidR="00871DB0" w:rsidRPr="00173569">
        <w:rPr>
          <w:rFonts w:ascii="Times New Roman" w:eastAsia="Calibri" w:hAnsi="Times New Roman" w:cs="Times New Roman"/>
          <w:color w:val="000000" w:themeColor="text1"/>
          <w:sz w:val="24"/>
          <w:szCs w:val="24"/>
        </w:rPr>
        <w:t xml:space="preserve"> data set</w:t>
      </w:r>
      <w:r w:rsidR="004A27EE" w:rsidRPr="00173569">
        <w:rPr>
          <w:rFonts w:ascii="Times New Roman" w:eastAsia="Calibri" w:hAnsi="Times New Roman" w:cs="Times New Roman"/>
          <w:color w:val="000000" w:themeColor="text1"/>
          <w:sz w:val="24"/>
          <w:szCs w:val="24"/>
        </w:rPr>
        <w:t>s</w:t>
      </w:r>
      <w:r w:rsidR="0047464B" w:rsidRPr="00173569">
        <w:rPr>
          <w:rFonts w:ascii="Times New Roman" w:eastAsia="Calibri" w:hAnsi="Times New Roman" w:cs="Times New Roman"/>
          <w:color w:val="000000" w:themeColor="text1"/>
          <w:sz w:val="24"/>
          <w:szCs w:val="24"/>
        </w:rPr>
        <w:t xml:space="preserve"> (</w:t>
      </w:r>
      <w:r w:rsidR="00341F20" w:rsidRPr="00173569">
        <w:rPr>
          <w:rFonts w:ascii="Times New Roman" w:eastAsia="Calibri" w:hAnsi="Times New Roman" w:cs="Times New Roman"/>
          <w:color w:val="000000" w:themeColor="text1"/>
          <w:sz w:val="24"/>
          <w:szCs w:val="24"/>
        </w:rPr>
        <w:t>e.g.</w:t>
      </w:r>
      <w:r w:rsidR="0047464B" w:rsidRPr="00173569">
        <w:rPr>
          <w:rFonts w:ascii="Times New Roman" w:eastAsia="Calibri" w:hAnsi="Times New Roman" w:cs="Times New Roman"/>
          <w:color w:val="000000" w:themeColor="text1"/>
          <w:sz w:val="24"/>
          <w:szCs w:val="24"/>
        </w:rPr>
        <w:t>, a nation will have a quartile ranking of 3 based on the official mortality data, but a ranking of 1 based on the excess mortality data)</w:t>
      </w:r>
      <w:r w:rsidR="00871DB0" w:rsidRPr="00173569">
        <w:rPr>
          <w:rFonts w:ascii="Times New Roman" w:eastAsia="Calibri" w:hAnsi="Times New Roman" w:cs="Times New Roman"/>
          <w:color w:val="000000" w:themeColor="text1"/>
          <w:sz w:val="24"/>
          <w:szCs w:val="24"/>
        </w:rPr>
        <w:t xml:space="preserve">.  </w:t>
      </w:r>
      <w:r w:rsidR="00690CAD" w:rsidRPr="00173569">
        <w:rPr>
          <w:rFonts w:ascii="Times New Roman" w:eastAsia="Calibri" w:hAnsi="Times New Roman" w:cs="Times New Roman"/>
          <w:color w:val="000000" w:themeColor="text1"/>
          <w:sz w:val="24"/>
          <w:szCs w:val="24"/>
        </w:rPr>
        <w:t>We also</w:t>
      </w:r>
      <w:r w:rsidR="00871DB0" w:rsidRPr="00173569">
        <w:rPr>
          <w:rFonts w:ascii="Times New Roman" w:eastAsia="Calibri" w:hAnsi="Times New Roman" w:cs="Times New Roman"/>
          <w:color w:val="000000" w:themeColor="text1"/>
          <w:sz w:val="24"/>
          <w:szCs w:val="24"/>
        </w:rPr>
        <w:t xml:space="preserve"> </w:t>
      </w:r>
      <w:r w:rsidR="00871DB0" w:rsidRPr="00173569">
        <w:rPr>
          <w:rFonts w:ascii="Times New Roman" w:eastAsia="Times New Roman" w:hAnsi="Times New Roman" w:cs="Times New Roman"/>
          <w:color w:val="222222"/>
          <w:sz w:val="24"/>
          <w:szCs w:val="24"/>
        </w:rPr>
        <w:t>contrast countries that are ranked substantially better to countries that are ranked substantially worse</w:t>
      </w:r>
      <w:r w:rsidR="00CB44A4" w:rsidRPr="00173569">
        <w:rPr>
          <w:rFonts w:ascii="Times New Roman" w:eastAsia="Times New Roman" w:hAnsi="Times New Roman" w:cs="Times New Roman"/>
          <w:color w:val="222222"/>
          <w:sz w:val="24"/>
          <w:szCs w:val="24"/>
        </w:rPr>
        <w:t>,</w:t>
      </w:r>
      <w:r w:rsidR="00871DB0" w:rsidRPr="00173569">
        <w:rPr>
          <w:rFonts w:ascii="Times New Roman" w:eastAsia="Times New Roman" w:hAnsi="Times New Roman" w:cs="Times New Roman"/>
          <w:color w:val="222222"/>
          <w:sz w:val="24"/>
          <w:szCs w:val="24"/>
        </w:rPr>
        <w:t xml:space="preserve"> </w:t>
      </w:r>
      <w:r w:rsidR="0047464B" w:rsidRPr="00173569">
        <w:rPr>
          <w:rFonts w:ascii="Times New Roman" w:eastAsia="Times New Roman" w:hAnsi="Times New Roman" w:cs="Times New Roman"/>
          <w:color w:val="222222"/>
          <w:sz w:val="24"/>
          <w:szCs w:val="24"/>
        </w:rPr>
        <w:t>based on their</w:t>
      </w:r>
      <w:r w:rsidR="00871DB0" w:rsidRPr="00173569">
        <w:rPr>
          <w:rFonts w:ascii="Times New Roman" w:eastAsia="Times New Roman" w:hAnsi="Times New Roman" w:cs="Times New Roman"/>
          <w:color w:val="222222"/>
          <w:sz w:val="24"/>
          <w:szCs w:val="24"/>
        </w:rPr>
        <w:t xml:space="preserve"> excess mortality</w:t>
      </w:r>
      <w:r w:rsidR="00690CAD" w:rsidRPr="00173569">
        <w:rPr>
          <w:rFonts w:ascii="Times New Roman" w:eastAsia="Times New Roman" w:hAnsi="Times New Roman" w:cs="Times New Roman"/>
          <w:color w:val="222222"/>
          <w:sz w:val="24"/>
          <w:szCs w:val="24"/>
        </w:rPr>
        <w:t xml:space="preserve"> as</w:t>
      </w:r>
      <w:r w:rsidR="0047464B" w:rsidRPr="00173569">
        <w:rPr>
          <w:rFonts w:ascii="Times New Roman" w:eastAsia="Times New Roman" w:hAnsi="Times New Roman" w:cs="Times New Roman"/>
          <w:color w:val="222222"/>
          <w:sz w:val="24"/>
          <w:szCs w:val="24"/>
        </w:rPr>
        <w:t xml:space="preserve"> compared to their</w:t>
      </w:r>
      <w:r w:rsidR="00871DB0" w:rsidRPr="00173569">
        <w:rPr>
          <w:rFonts w:ascii="Times New Roman" w:eastAsia="Times New Roman" w:hAnsi="Times New Roman" w:cs="Times New Roman"/>
          <w:color w:val="222222"/>
          <w:sz w:val="24"/>
          <w:szCs w:val="24"/>
        </w:rPr>
        <w:t xml:space="preserve"> official </w:t>
      </w:r>
      <w:r w:rsidR="00525E77" w:rsidRPr="00173569">
        <w:rPr>
          <w:rFonts w:ascii="Times New Roman" w:eastAsia="Times New Roman" w:hAnsi="Times New Roman" w:cs="Times New Roman"/>
          <w:color w:val="222222"/>
          <w:sz w:val="24"/>
          <w:szCs w:val="24"/>
        </w:rPr>
        <w:t>Covid</w:t>
      </w:r>
      <w:r w:rsidR="002E5803" w:rsidRPr="00173569">
        <w:rPr>
          <w:rFonts w:ascii="Times New Roman" w:eastAsia="Times New Roman" w:hAnsi="Times New Roman" w:cs="Times New Roman"/>
          <w:color w:val="222222"/>
          <w:sz w:val="24"/>
          <w:szCs w:val="24"/>
        </w:rPr>
        <w:t>-19</w:t>
      </w:r>
      <w:r w:rsidR="001D38E9" w:rsidRPr="00173569">
        <w:rPr>
          <w:rFonts w:ascii="Times New Roman" w:eastAsia="Times New Roman" w:hAnsi="Times New Roman" w:cs="Times New Roman"/>
          <w:color w:val="222222"/>
          <w:sz w:val="24"/>
          <w:szCs w:val="24"/>
        </w:rPr>
        <w:t xml:space="preserve"> mortality</w:t>
      </w:r>
      <w:r w:rsidR="00871DB0" w:rsidRPr="00173569">
        <w:rPr>
          <w:rFonts w:ascii="Times New Roman" w:eastAsia="Times New Roman" w:hAnsi="Times New Roman" w:cs="Times New Roman"/>
          <w:color w:val="222222"/>
          <w:sz w:val="24"/>
          <w:szCs w:val="24"/>
        </w:rPr>
        <w:t xml:space="preserve"> count.</w:t>
      </w:r>
      <w:r w:rsidR="00CB44A4" w:rsidRPr="00173569">
        <w:rPr>
          <w:rFonts w:ascii="Times New Roman" w:eastAsia="Times New Roman" w:hAnsi="Times New Roman" w:cs="Times New Roman"/>
          <w:color w:val="222222"/>
          <w:sz w:val="24"/>
          <w:szCs w:val="24"/>
        </w:rPr>
        <w:t xml:space="preserve"> We classify countries that are “doing </w:t>
      </w:r>
      <w:r w:rsidR="00A81A68" w:rsidRPr="00173569">
        <w:rPr>
          <w:rFonts w:ascii="Times New Roman" w:eastAsia="Times New Roman" w:hAnsi="Times New Roman" w:cs="Times New Roman"/>
          <w:color w:val="222222"/>
          <w:sz w:val="24"/>
          <w:szCs w:val="24"/>
        </w:rPr>
        <w:t xml:space="preserve">substantially </w:t>
      </w:r>
      <w:r w:rsidR="00CB44A4" w:rsidRPr="00173569">
        <w:rPr>
          <w:rFonts w:ascii="Times New Roman" w:eastAsia="Times New Roman" w:hAnsi="Times New Roman" w:cs="Times New Roman"/>
          <w:color w:val="222222"/>
          <w:sz w:val="24"/>
          <w:szCs w:val="24"/>
        </w:rPr>
        <w:t xml:space="preserve">better in excess” as any nation in the sample </w:t>
      </w:r>
      <w:r w:rsidR="00893B92" w:rsidRPr="00173569">
        <w:rPr>
          <w:rFonts w:ascii="Times New Roman" w:eastAsia="Times New Roman" w:hAnsi="Times New Roman" w:cs="Times New Roman"/>
          <w:color w:val="222222"/>
          <w:sz w:val="24"/>
          <w:szCs w:val="24"/>
        </w:rPr>
        <w:t>that</w:t>
      </w:r>
      <w:r w:rsidR="00CB44A4" w:rsidRPr="00173569">
        <w:rPr>
          <w:rFonts w:ascii="Times New Roman" w:eastAsia="Times New Roman" w:hAnsi="Times New Roman" w:cs="Times New Roman"/>
          <w:color w:val="222222"/>
          <w:sz w:val="24"/>
          <w:szCs w:val="24"/>
        </w:rPr>
        <w:t xml:space="preserve"> recorded a ranking </w:t>
      </w:r>
      <w:r w:rsidR="00690CAD" w:rsidRPr="00173569">
        <w:rPr>
          <w:rFonts w:ascii="Times New Roman" w:eastAsia="Times New Roman" w:hAnsi="Times New Roman" w:cs="Times New Roman"/>
          <w:color w:val="222222"/>
          <w:sz w:val="24"/>
          <w:szCs w:val="24"/>
        </w:rPr>
        <w:t xml:space="preserve">of </w:t>
      </w:r>
      <w:r w:rsidR="00CB44A4" w:rsidRPr="00173569">
        <w:rPr>
          <w:rFonts w:ascii="Times New Roman" w:eastAsia="Times New Roman" w:hAnsi="Times New Roman" w:cs="Times New Roman"/>
          <w:i/>
          <w:iCs/>
          <w:color w:val="222222"/>
          <w:sz w:val="24"/>
          <w:szCs w:val="24"/>
        </w:rPr>
        <w:t>at least two</w:t>
      </w:r>
      <w:r w:rsidR="00690CAD" w:rsidRPr="00173569">
        <w:rPr>
          <w:rFonts w:ascii="Times New Roman" w:eastAsia="Times New Roman" w:hAnsi="Times New Roman" w:cs="Times New Roman"/>
          <w:i/>
          <w:iCs/>
          <w:color w:val="222222"/>
          <w:sz w:val="24"/>
          <w:szCs w:val="24"/>
        </w:rPr>
        <w:t xml:space="preserve"> quartiles</w:t>
      </w:r>
      <w:r w:rsidR="00CB44A4" w:rsidRPr="00173569">
        <w:rPr>
          <w:rFonts w:ascii="Times New Roman" w:eastAsia="Times New Roman" w:hAnsi="Times New Roman" w:cs="Times New Roman"/>
          <w:i/>
          <w:iCs/>
          <w:color w:val="222222"/>
          <w:sz w:val="24"/>
          <w:szCs w:val="24"/>
        </w:rPr>
        <w:t xml:space="preserve"> </w:t>
      </w:r>
      <w:r w:rsidR="00B65DC7" w:rsidRPr="00173569">
        <w:rPr>
          <w:rFonts w:ascii="Times New Roman" w:eastAsia="Times New Roman" w:hAnsi="Times New Roman" w:cs="Times New Roman"/>
          <w:i/>
          <w:iCs/>
          <w:color w:val="222222"/>
          <w:sz w:val="24"/>
          <w:szCs w:val="24"/>
        </w:rPr>
        <w:t>better</w:t>
      </w:r>
      <w:r w:rsidR="00A81A68" w:rsidRPr="00173569">
        <w:rPr>
          <w:rFonts w:ascii="Times New Roman" w:eastAsia="Times New Roman" w:hAnsi="Times New Roman" w:cs="Times New Roman"/>
          <w:i/>
          <w:iCs/>
          <w:color w:val="222222"/>
          <w:sz w:val="24"/>
          <w:szCs w:val="24"/>
        </w:rPr>
        <w:t xml:space="preserve"> (i.e., </w:t>
      </w:r>
      <w:r w:rsidR="00690CAD" w:rsidRPr="00173569">
        <w:rPr>
          <w:rFonts w:ascii="Times New Roman" w:eastAsia="Times New Roman" w:hAnsi="Times New Roman" w:cs="Times New Roman"/>
          <w:i/>
          <w:iCs/>
          <w:color w:val="222222"/>
          <w:sz w:val="24"/>
          <w:szCs w:val="24"/>
        </w:rPr>
        <w:t xml:space="preserve">ranked in a </w:t>
      </w:r>
      <w:r w:rsidR="00A81A68" w:rsidRPr="00173569">
        <w:rPr>
          <w:rFonts w:ascii="Times New Roman" w:eastAsia="Times New Roman" w:hAnsi="Times New Roman" w:cs="Times New Roman"/>
          <w:i/>
          <w:iCs/>
          <w:color w:val="222222"/>
          <w:sz w:val="24"/>
          <w:szCs w:val="24"/>
        </w:rPr>
        <w:t>lower mortality</w:t>
      </w:r>
      <w:r w:rsidR="00690CAD" w:rsidRPr="00173569">
        <w:rPr>
          <w:rFonts w:ascii="Times New Roman" w:eastAsia="Times New Roman" w:hAnsi="Times New Roman" w:cs="Times New Roman"/>
          <w:i/>
          <w:iCs/>
          <w:color w:val="222222"/>
          <w:sz w:val="24"/>
          <w:szCs w:val="24"/>
        </w:rPr>
        <w:t xml:space="preserve"> quartile</w:t>
      </w:r>
      <w:r w:rsidR="00A81A68" w:rsidRPr="00173569">
        <w:rPr>
          <w:rFonts w:ascii="Times New Roman" w:eastAsia="Times New Roman" w:hAnsi="Times New Roman" w:cs="Times New Roman"/>
          <w:i/>
          <w:iCs/>
          <w:color w:val="222222"/>
          <w:sz w:val="24"/>
          <w:szCs w:val="24"/>
        </w:rPr>
        <w:t>)</w:t>
      </w:r>
      <w:r w:rsidR="00CB44A4" w:rsidRPr="00173569">
        <w:rPr>
          <w:rFonts w:ascii="Times New Roman" w:eastAsia="Times New Roman" w:hAnsi="Times New Roman" w:cs="Times New Roman"/>
          <w:color w:val="222222"/>
          <w:sz w:val="24"/>
          <w:szCs w:val="24"/>
        </w:rPr>
        <w:t xml:space="preserve"> when using excess mortalities, as opposed to official mortalities</w:t>
      </w:r>
      <w:r w:rsidR="00690CAD" w:rsidRPr="00173569">
        <w:rPr>
          <w:rFonts w:ascii="Times New Roman" w:eastAsia="Times New Roman" w:hAnsi="Times New Roman" w:cs="Times New Roman"/>
          <w:color w:val="222222"/>
          <w:sz w:val="24"/>
          <w:szCs w:val="24"/>
        </w:rPr>
        <w:t>.</w:t>
      </w:r>
      <w:r w:rsidR="00A81A68" w:rsidRPr="00173569">
        <w:rPr>
          <w:rFonts w:ascii="Times New Roman" w:eastAsia="Times New Roman" w:hAnsi="Times New Roman" w:cs="Times New Roman"/>
          <w:color w:val="222222"/>
          <w:sz w:val="24"/>
          <w:szCs w:val="24"/>
        </w:rPr>
        <w:t xml:space="preserve"> </w:t>
      </w:r>
      <w:r w:rsidR="00690CAD" w:rsidRPr="00173569">
        <w:rPr>
          <w:rFonts w:ascii="Times New Roman" w:eastAsia="Times New Roman" w:hAnsi="Times New Roman" w:cs="Times New Roman"/>
          <w:color w:val="222222"/>
          <w:sz w:val="24"/>
          <w:szCs w:val="24"/>
        </w:rPr>
        <w:t xml:space="preserve">Conversely, we categorize </w:t>
      </w:r>
      <w:r w:rsidR="00A81A68" w:rsidRPr="00173569">
        <w:rPr>
          <w:rFonts w:ascii="Times New Roman" w:eastAsia="Times New Roman" w:hAnsi="Times New Roman" w:cs="Times New Roman"/>
          <w:color w:val="222222"/>
          <w:sz w:val="24"/>
          <w:szCs w:val="24"/>
        </w:rPr>
        <w:t xml:space="preserve">countries that are “doing substantially worse in excess” as any nation in the sample which recorded a quartile ranking </w:t>
      </w:r>
      <w:r w:rsidR="00893B92" w:rsidRPr="00173569">
        <w:rPr>
          <w:rFonts w:ascii="Times New Roman" w:eastAsia="Times New Roman" w:hAnsi="Times New Roman" w:cs="Times New Roman"/>
          <w:color w:val="222222"/>
          <w:sz w:val="24"/>
          <w:szCs w:val="24"/>
        </w:rPr>
        <w:t xml:space="preserve">of </w:t>
      </w:r>
      <w:r w:rsidR="00A81A68" w:rsidRPr="00173569">
        <w:rPr>
          <w:rFonts w:ascii="Times New Roman" w:eastAsia="Times New Roman" w:hAnsi="Times New Roman" w:cs="Times New Roman"/>
          <w:i/>
          <w:iCs/>
          <w:color w:val="222222"/>
          <w:sz w:val="24"/>
          <w:szCs w:val="24"/>
        </w:rPr>
        <w:t>at least two worse (i.e., higher mortality)</w:t>
      </w:r>
      <w:r w:rsidR="00A81A68" w:rsidRPr="00173569">
        <w:rPr>
          <w:rFonts w:ascii="Times New Roman" w:eastAsia="Times New Roman" w:hAnsi="Times New Roman" w:cs="Times New Roman"/>
          <w:color w:val="222222"/>
          <w:sz w:val="24"/>
          <w:szCs w:val="24"/>
        </w:rPr>
        <w:t xml:space="preserve"> when using excess mortalities, as opposed to official mortalities</w:t>
      </w:r>
      <w:r w:rsidR="00CB44A4" w:rsidRPr="00173569">
        <w:rPr>
          <w:rFonts w:ascii="Times New Roman" w:eastAsia="Times New Roman" w:hAnsi="Times New Roman" w:cs="Times New Roman"/>
          <w:color w:val="222222"/>
          <w:sz w:val="24"/>
          <w:szCs w:val="24"/>
        </w:rPr>
        <w:t>.</w:t>
      </w:r>
      <w:r w:rsidR="00871DB0" w:rsidRPr="00173569">
        <w:rPr>
          <w:rFonts w:ascii="Times New Roman" w:eastAsia="Times New Roman" w:hAnsi="Times New Roman" w:cs="Times New Roman"/>
          <w:color w:val="222222"/>
          <w:sz w:val="24"/>
          <w:szCs w:val="24"/>
        </w:rPr>
        <w:t xml:space="preserve"> On average, </w:t>
      </w:r>
      <w:r w:rsidR="00690CAD" w:rsidRPr="00173569">
        <w:rPr>
          <w:rFonts w:ascii="Times New Roman" w:eastAsia="Times New Roman" w:hAnsi="Times New Roman" w:cs="Times New Roman"/>
          <w:color w:val="222222"/>
          <w:sz w:val="24"/>
          <w:szCs w:val="24"/>
        </w:rPr>
        <w:t xml:space="preserve">the countries which are </w:t>
      </w:r>
      <w:r w:rsidR="004A27EE" w:rsidRPr="00173569">
        <w:rPr>
          <w:rFonts w:ascii="Times New Roman" w:eastAsia="Times New Roman" w:hAnsi="Times New Roman" w:cs="Times New Roman"/>
          <w:color w:val="222222"/>
          <w:sz w:val="24"/>
          <w:szCs w:val="24"/>
        </w:rPr>
        <w:lastRenderedPageBreak/>
        <w:t>‘</w:t>
      </w:r>
      <w:r w:rsidR="00871DB0" w:rsidRPr="00173569">
        <w:rPr>
          <w:rFonts w:ascii="Times New Roman" w:eastAsia="Times New Roman" w:hAnsi="Times New Roman" w:cs="Times New Roman"/>
          <w:color w:val="222222"/>
          <w:sz w:val="24"/>
          <w:szCs w:val="24"/>
        </w:rPr>
        <w:t>doing</w:t>
      </w:r>
      <w:r w:rsidR="00A81A68" w:rsidRPr="00173569">
        <w:rPr>
          <w:rFonts w:ascii="Times New Roman" w:eastAsia="Times New Roman" w:hAnsi="Times New Roman" w:cs="Times New Roman"/>
          <w:color w:val="222222"/>
          <w:sz w:val="24"/>
          <w:szCs w:val="24"/>
        </w:rPr>
        <w:t xml:space="preserve"> substantially</w:t>
      </w:r>
      <w:r w:rsidR="00871DB0" w:rsidRPr="00173569">
        <w:rPr>
          <w:rFonts w:ascii="Times New Roman" w:eastAsia="Times New Roman" w:hAnsi="Times New Roman" w:cs="Times New Roman"/>
          <w:color w:val="222222"/>
          <w:sz w:val="24"/>
          <w:szCs w:val="24"/>
        </w:rPr>
        <w:t xml:space="preserve"> better</w:t>
      </w:r>
      <w:r w:rsidR="00A81A68" w:rsidRPr="00173569">
        <w:rPr>
          <w:rFonts w:ascii="Times New Roman" w:eastAsia="Times New Roman" w:hAnsi="Times New Roman" w:cs="Times New Roman"/>
          <w:color w:val="222222"/>
          <w:sz w:val="24"/>
          <w:szCs w:val="24"/>
        </w:rPr>
        <w:t xml:space="preserve"> in excess</w:t>
      </w:r>
      <w:r w:rsidR="004A27EE" w:rsidRPr="00173569">
        <w:rPr>
          <w:rFonts w:ascii="Times New Roman" w:eastAsia="Times New Roman" w:hAnsi="Times New Roman" w:cs="Times New Roman"/>
          <w:color w:val="222222"/>
          <w:sz w:val="24"/>
          <w:szCs w:val="24"/>
        </w:rPr>
        <w:t>’</w:t>
      </w:r>
      <w:r w:rsidR="00871DB0" w:rsidRPr="00173569">
        <w:rPr>
          <w:rFonts w:ascii="Times New Roman" w:eastAsia="Times New Roman" w:hAnsi="Times New Roman" w:cs="Times New Roman"/>
          <w:color w:val="222222"/>
          <w:sz w:val="24"/>
          <w:szCs w:val="24"/>
        </w:rPr>
        <w:t xml:space="preserve"> </w:t>
      </w:r>
      <w:r w:rsidR="00893B92" w:rsidRPr="00173569">
        <w:rPr>
          <w:rFonts w:ascii="Times New Roman" w:eastAsia="Times New Roman" w:hAnsi="Times New Roman" w:cs="Times New Roman"/>
          <w:color w:val="222222"/>
          <w:sz w:val="24"/>
          <w:szCs w:val="24"/>
        </w:rPr>
        <w:t xml:space="preserve">are </w:t>
      </w:r>
      <w:r w:rsidR="007550A8" w:rsidRPr="00173569">
        <w:rPr>
          <w:rFonts w:ascii="Times New Roman" w:eastAsia="Times New Roman" w:hAnsi="Times New Roman" w:cs="Times New Roman"/>
          <w:color w:val="222222"/>
          <w:sz w:val="24"/>
          <w:szCs w:val="24"/>
        </w:rPr>
        <w:t>characterized</w:t>
      </w:r>
      <w:r w:rsidR="00871DB0" w:rsidRPr="00173569">
        <w:rPr>
          <w:rFonts w:ascii="Times New Roman" w:eastAsia="Times New Roman" w:hAnsi="Times New Roman" w:cs="Times New Roman"/>
          <w:color w:val="222222"/>
          <w:sz w:val="24"/>
          <w:szCs w:val="24"/>
        </w:rPr>
        <w:t xml:space="preserve"> by </w:t>
      </w:r>
      <w:r w:rsidR="00D00061">
        <w:rPr>
          <w:rFonts w:ascii="Times New Roman" w:eastAsia="Times New Roman" w:hAnsi="Times New Roman" w:cs="Times New Roman"/>
          <w:color w:val="222222"/>
          <w:sz w:val="24"/>
          <w:szCs w:val="24"/>
        </w:rPr>
        <w:t>higher urban population share</w:t>
      </w:r>
      <w:r w:rsidR="00871DB0" w:rsidRPr="00173569">
        <w:rPr>
          <w:rFonts w:ascii="Times New Roman" w:eastAsia="Times New Roman" w:hAnsi="Times New Roman" w:cs="Times New Roman"/>
          <w:color w:val="222222"/>
          <w:sz w:val="24"/>
          <w:szCs w:val="24"/>
        </w:rPr>
        <w:t>; higher GDP/Capita; better rule of law, voice accountability, and government effectiveness; and substantially higher vaccination</w:t>
      </w:r>
      <w:r w:rsidR="001D38E9" w:rsidRPr="00173569">
        <w:rPr>
          <w:rFonts w:ascii="Times New Roman" w:eastAsia="Times New Roman" w:hAnsi="Times New Roman" w:cs="Times New Roman"/>
          <w:color w:val="222222"/>
          <w:sz w:val="24"/>
          <w:szCs w:val="24"/>
        </w:rPr>
        <w:t xml:space="preserve"> rates</w:t>
      </w:r>
      <w:r w:rsidR="00871DB0" w:rsidRPr="00173569">
        <w:rPr>
          <w:rFonts w:ascii="Times New Roman" w:eastAsia="Times New Roman" w:hAnsi="Times New Roman" w:cs="Times New Roman"/>
          <w:color w:val="222222"/>
          <w:sz w:val="24"/>
          <w:szCs w:val="24"/>
        </w:rPr>
        <w:t>.  </w:t>
      </w:r>
    </w:p>
    <w:p w14:paraId="36D9F6C0" w14:textId="2A5BA051" w:rsidR="00BD10F6" w:rsidRPr="00CD2BFD" w:rsidRDefault="004A27EE" w:rsidP="00245CBF">
      <w:pPr>
        <w:spacing w:line="360" w:lineRule="auto"/>
        <w:contextualSpacing/>
        <w:rPr>
          <w:rFonts w:ascii="Times New Roman" w:eastAsia="Times New Roman" w:hAnsi="Times New Roman" w:cs="Times New Roman"/>
          <w:b/>
          <w:color w:val="222222"/>
          <w:sz w:val="24"/>
          <w:szCs w:val="24"/>
        </w:rPr>
      </w:pPr>
      <w:r w:rsidRPr="00173569">
        <w:rPr>
          <w:rFonts w:ascii="Times New Roman" w:eastAsia="Times New Roman" w:hAnsi="Times New Roman" w:cs="Times New Roman"/>
          <w:color w:val="222222"/>
          <w:sz w:val="24"/>
          <w:szCs w:val="24"/>
        </w:rPr>
        <w:tab/>
      </w:r>
      <w:r w:rsidR="00E070E2" w:rsidRPr="00173569">
        <w:rPr>
          <w:rFonts w:ascii="Times New Roman" w:eastAsia="Times New Roman" w:hAnsi="Times New Roman" w:cs="Times New Roman"/>
          <w:color w:val="222222"/>
          <w:sz w:val="24"/>
          <w:szCs w:val="24"/>
        </w:rPr>
        <w:t xml:space="preserve">These results suggest that one should take official </w:t>
      </w:r>
      <w:r w:rsidR="00525E77" w:rsidRPr="00173569">
        <w:rPr>
          <w:rFonts w:ascii="Times New Roman" w:eastAsia="Times New Roman" w:hAnsi="Times New Roman" w:cs="Times New Roman"/>
          <w:color w:val="222222"/>
          <w:sz w:val="24"/>
          <w:szCs w:val="24"/>
        </w:rPr>
        <w:t>Covid</w:t>
      </w:r>
      <w:r w:rsidR="002E5803" w:rsidRPr="00173569">
        <w:rPr>
          <w:rFonts w:ascii="Times New Roman" w:eastAsia="Times New Roman" w:hAnsi="Times New Roman" w:cs="Times New Roman"/>
          <w:color w:val="222222"/>
          <w:sz w:val="24"/>
          <w:szCs w:val="24"/>
        </w:rPr>
        <w:t>-19</w:t>
      </w:r>
      <w:r w:rsidR="00E070E2" w:rsidRPr="00173569">
        <w:rPr>
          <w:rFonts w:ascii="Times New Roman" w:eastAsia="Times New Roman" w:hAnsi="Times New Roman" w:cs="Times New Roman"/>
          <w:color w:val="222222"/>
          <w:sz w:val="24"/>
          <w:szCs w:val="24"/>
        </w:rPr>
        <w:t xml:space="preserve"> mor</w:t>
      </w:r>
      <w:r w:rsidR="00CB44A4" w:rsidRPr="00173569">
        <w:rPr>
          <w:rFonts w:ascii="Times New Roman" w:eastAsia="Times New Roman" w:hAnsi="Times New Roman" w:cs="Times New Roman"/>
          <w:color w:val="222222"/>
          <w:sz w:val="24"/>
          <w:szCs w:val="24"/>
        </w:rPr>
        <w:t>t</w:t>
      </w:r>
      <w:r w:rsidR="00E070E2" w:rsidRPr="00173569">
        <w:rPr>
          <w:rFonts w:ascii="Times New Roman" w:eastAsia="Times New Roman" w:hAnsi="Times New Roman" w:cs="Times New Roman"/>
          <w:color w:val="222222"/>
          <w:sz w:val="24"/>
          <w:szCs w:val="24"/>
        </w:rPr>
        <w:t>ality count</w:t>
      </w:r>
      <w:r w:rsidR="00690CAD" w:rsidRPr="00173569">
        <w:rPr>
          <w:rFonts w:ascii="Times New Roman" w:eastAsia="Times New Roman" w:hAnsi="Times New Roman" w:cs="Times New Roman"/>
          <w:color w:val="222222"/>
          <w:sz w:val="24"/>
          <w:szCs w:val="24"/>
        </w:rPr>
        <w:t>s</w:t>
      </w:r>
      <w:r w:rsidR="00E070E2" w:rsidRPr="00173569">
        <w:rPr>
          <w:rFonts w:ascii="Times New Roman" w:eastAsia="Times New Roman" w:hAnsi="Times New Roman" w:cs="Times New Roman"/>
          <w:color w:val="222222"/>
          <w:sz w:val="24"/>
          <w:szCs w:val="24"/>
        </w:rPr>
        <w:t xml:space="preserve"> with a grain of salt</w:t>
      </w:r>
      <w:r w:rsidRPr="00173569">
        <w:rPr>
          <w:rFonts w:ascii="Times New Roman" w:eastAsia="Times New Roman" w:hAnsi="Times New Roman" w:cs="Times New Roman"/>
          <w:color w:val="222222"/>
          <w:sz w:val="24"/>
          <w:szCs w:val="24"/>
        </w:rPr>
        <w:t xml:space="preserve">, and </w:t>
      </w:r>
      <w:r w:rsidR="00893B92" w:rsidRPr="00173569">
        <w:rPr>
          <w:rFonts w:ascii="Times New Roman" w:eastAsia="Times New Roman" w:hAnsi="Times New Roman" w:cs="Times New Roman"/>
          <w:color w:val="222222"/>
          <w:sz w:val="24"/>
          <w:szCs w:val="24"/>
        </w:rPr>
        <w:t xml:space="preserve">should </w:t>
      </w:r>
      <w:r w:rsidRPr="00173569">
        <w:rPr>
          <w:rFonts w:ascii="Times New Roman" w:eastAsia="Times New Roman" w:hAnsi="Times New Roman" w:cs="Times New Roman"/>
          <w:color w:val="222222"/>
          <w:sz w:val="24"/>
          <w:szCs w:val="24"/>
        </w:rPr>
        <w:t xml:space="preserve">supplement this information with </w:t>
      </w:r>
      <w:r w:rsidR="00C45F31" w:rsidRPr="00173569">
        <w:rPr>
          <w:rFonts w:ascii="Times New Roman" w:eastAsia="Times New Roman" w:hAnsi="Times New Roman" w:cs="Times New Roman"/>
          <w:color w:val="222222"/>
          <w:sz w:val="24"/>
          <w:szCs w:val="24"/>
        </w:rPr>
        <w:t>excess</w:t>
      </w:r>
      <w:r w:rsidRPr="00173569">
        <w:rPr>
          <w:rFonts w:ascii="Times New Roman" w:eastAsia="Times New Roman" w:hAnsi="Times New Roman" w:cs="Times New Roman"/>
          <w:color w:val="222222"/>
          <w:sz w:val="24"/>
          <w:szCs w:val="24"/>
        </w:rPr>
        <w:t xml:space="preserve"> </w:t>
      </w:r>
      <w:r w:rsidR="00C45F31" w:rsidRPr="00173569">
        <w:rPr>
          <w:rFonts w:ascii="Times New Roman" w:eastAsia="Times New Roman" w:hAnsi="Times New Roman" w:cs="Times New Roman"/>
          <w:color w:val="222222"/>
          <w:sz w:val="24"/>
          <w:szCs w:val="24"/>
        </w:rPr>
        <w:t>mortality</w:t>
      </w:r>
      <w:r w:rsidRPr="00173569">
        <w:rPr>
          <w:rFonts w:ascii="Times New Roman" w:eastAsia="Times New Roman" w:hAnsi="Times New Roman" w:cs="Times New Roman"/>
          <w:color w:val="222222"/>
          <w:sz w:val="24"/>
          <w:szCs w:val="24"/>
        </w:rPr>
        <w:t xml:space="preserve"> data</w:t>
      </w:r>
      <w:r w:rsidR="00E070E2" w:rsidRPr="00173569">
        <w:rPr>
          <w:rFonts w:ascii="Times New Roman" w:eastAsia="Times New Roman" w:hAnsi="Times New Roman" w:cs="Times New Roman"/>
          <w:color w:val="222222"/>
          <w:sz w:val="24"/>
          <w:szCs w:val="24"/>
        </w:rPr>
        <w:t xml:space="preserve">. </w:t>
      </w:r>
      <w:r w:rsidR="00690CAD" w:rsidRPr="00173569">
        <w:rPr>
          <w:rFonts w:ascii="Times New Roman" w:eastAsia="Times New Roman" w:hAnsi="Times New Roman" w:cs="Times New Roman"/>
          <w:color w:val="222222"/>
          <w:sz w:val="24"/>
          <w:szCs w:val="24"/>
        </w:rPr>
        <w:t>We also find that g</w:t>
      </w:r>
      <w:r w:rsidR="00E070E2" w:rsidRPr="00173569">
        <w:rPr>
          <w:rFonts w:ascii="Times New Roman" w:eastAsia="Times New Roman" w:hAnsi="Times New Roman" w:cs="Times New Roman"/>
          <w:color w:val="222222"/>
          <w:sz w:val="24"/>
          <w:szCs w:val="24"/>
        </w:rPr>
        <w:t>overnance</w:t>
      </w:r>
      <w:r w:rsidR="00CB44A4" w:rsidRPr="00173569">
        <w:rPr>
          <w:rFonts w:ascii="Times New Roman" w:eastAsia="Times New Roman" w:hAnsi="Times New Roman" w:cs="Times New Roman"/>
          <w:color w:val="222222"/>
          <w:sz w:val="24"/>
          <w:szCs w:val="24"/>
        </w:rPr>
        <w:t xml:space="preserve"> indicators</w:t>
      </w:r>
      <w:r w:rsidR="00E1273E" w:rsidRPr="00173569">
        <w:rPr>
          <w:rFonts w:ascii="Times New Roman" w:eastAsia="Times New Roman" w:hAnsi="Times New Roman" w:cs="Times New Roman"/>
          <w:color w:val="222222"/>
          <w:sz w:val="24"/>
          <w:szCs w:val="24"/>
        </w:rPr>
        <w:t xml:space="preserve">, in particular, voice and accountability, </w:t>
      </w:r>
      <w:r w:rsidR="00E070E2" w:rsidRPr="00173569">
        <w:rPr>
          <w:rFonts w:ascii="Times New Roman" w:eastAsia="Times New Roman" w:hAnsi="Times New Roman" w:cs="Times New Roman"/>
          <w:color w:val="222222"/>
          <w:sz w:val="24"/>
          <w:szCs w:val="24"/>
        </w:rPr>
        <w:t>and other structural variables</w:t>
      </w:r>
      <w:r w:rsidR="00E1273E" w:rsidRPr="00173569">
        <w:rPr>
          <w:rFonts w:ascii="Times New Roman" w:eastAsia="Times New Roman" w:hAnsi="Times New Roman" w:cs="Times New Roman"/>
          <w:color w:val="222222"/>
          <w:sz w:val="24"/>
          <w:szCs w:val="24"/>
        </w:rPr>
        <w:t xml:space="preserve"> (such as urban population share)</w:t>
      </w:r>
      <w:r w:rsidR="00E070E2" w:rsidRPr="00173569">
        <w:rPr>
          <w:rFonts w:ascii="Times New Roman" w:eastAsia="Times New Roman" w:hAnsi="Times New Roman" w:cs="Times New Roman"/>
          <w:color w:val="222222"/>
          <w:sz w:val="24"/>
          <w:szCs w:val="24"/>
        </w:rPr>
        <w:t xml:space="preserve"> </w:t>
      </w:r>
      <w:r w:rsidR="00690CAD" w:rsidRPr="00173569">
        <w:rPr>
          <w:rFonts w:ascii="Times New Roman" w:eastAsia="Times New Roman" w:hAnsi="Times New Roman" w:cs="Times New Roman"/>
          <w:color w:val="222222"/>
          <w:sz w:val="24"/>
          <w:szCs w:val="24"/>
        </w:rPr>
        <w:t xml:space="preserve">may </w:t>
      </w:r>
      <w:r w:rsidR="0040553D" w:rsidRPr="00173569">
        <w:rPr>
          <w:rFonts w:ascii="Times New Roman" w:eastAsia="Times New Roman" w:hAnsi="Times New Roman" w:cs="Times New Roman"/>
          <w:color w:val="222222"/>
          <w:sz w:val="24"/>
          <w:szCs w:val="24"/>
        </w:rPr>
        <w:t xml:space="preserve">explain </w:t>
      </w:r>
      <w:r w:rsidR="00E070E2" w:rsidRPr="00173569">
        <w:rPr>
          <w:rFonts w:ascii="Times New Roman" w:eastAsia="Times New Roman" w:hAnsi="Times New Roman" w:cs="Times New Roman"/>
          <w:color w:val="222222"/>
          <w:sz w:val="24"/>
          <w:szCs w:val="24"/>
        </w:rPr>
        <w:t xml:space="preserve">the </w:t>
      </w:r>
      <w:r w:rsidR="0040553D" w:rsidRPr="00173569">
        <w:rPr>
          <w:rFonts w:ascii="Times New Roman" w:eastAsia="Times New Roman" w:hAnsi="Times New Roman" w:cs="Times New Roman"/>
          <w:color w:val="222222"/>
          <w:sz w:val="24"/>
          <w:szCs w:val="24"/>
        </w:rPr>
        <w:t xml:space="preserve">ranking </w:t>
      </w:r>
      <w:r w:rsidR="00E070E2" w:rsidRPr="00173569">
        <w:rPr>
          <w:rFonts w:ascii="Times New Roman" w:eastAsia="Times New Roman" w:hAnsi="Times New Roman" w:cs="Times New Roman"/>
          <w:color w:val="222222"/>
          <w:sz w:val="24"/>
          <w:szCs w:val="24"/>
        </w:rPr>
        <w:t>gaps between the two data sets.</w:t>
      </w:r>
      <w:r w:rsidR="00581ABD">
        <w:rPr>
          <w:rFonts w:ascii="Times New Roman" w:eastAsia="Times New Roman" w:hAnsi="Times New Roman" w:cs="Times New Roman"/>
          <w:color w:val="222222"/>
          <w:sz w:val="24"/>
          <w:szCs w:val="24"/>
        </w:rPr>
        <w:t xml:space="preserve"> </w:t>
      </w:r>
      <w:r w:rsidR="00975915" w:rsidRPr="00CD2BFD">
        <w:rPr>
          <w:rFonts w:ascii="Times New Roman" w:eastAsia="Times New Roman" w:hAnsi="Times New Roman" w:cs="Times New Roman"/>
          <w:b/>
          <w:color w:val="222222"/>
          <w:sz w:val="24"/>
          <w:szCs w:val="24"/>
        </w:rPr>
        <w:t>In addition, o</w:t>
      </w:r>
      <w:r w:rsidR="00581ABD" w:rsidRPr="00CD2BFD">
        <w:rPr>
          <w:rFonts w:ascii="Times New Roman" w:eastAsia="Times New Roman" w:hAnsi="Times New Roman" w:cs="Times New Roman"/>
          <w:b/>
          <w:color w:val="222222"/>
          <w:sz w:val="24"/>
          <w:szCs w:val="24"/>
        </w:rPr>
        <w:t xml:space="preserve">ur results </w:t>
      </w:r>
      <w:r w:rsidR="00975915" w:rsidRPr="00CD2BFD">
        <w:rPr>
          <w:rFonts w:ascii="Times New Roman" w:eastAsia="Times New Roman" w:hAnsi="Times New Roman" w:cs="Times New Roman"/>
          <w:b/>
          <w:color w:val="222222"/>
          <w:sz w:val="24"/>
          <w:szCs w:val="24"/>
        </w:rPr>
        <w:t xml:space="preserve">provide </w:t>
      </w:r>
      <w:r w:rsidR="00581ABD" w:rsidRPr="00CD2BFD">
        <w:rPr>
          <w:rFonts w:ascii="Times New Roman" w:eastAsia="Times New Roman" w:hAnsi="Times New Roman" w:cs="Times New Roman"/>
          <w:b/>
          <w:color w:val="222222"/>
          <w:sz w:val="24"/>
          <w:szCs w:val="24"/>
        </w:rPr>
        <w:t>corroborat</w:t>
      </w:r>
      <w:r w:rsidR="00975915" w:rsidRPr="00CD2BFD">
        <w:rPr>
          <w:rFonts w:ascii="Times New Roman" w:eastAsia="Times New Roman" w:hAnsi="Times New Roman" w:cs="Times New Roman"/>
          <w:b/>
          <w:color w:val="222222"/>
          <w:sz w:val="24"/>
          <w:szCs w:val="24"/>
        </w:rPr>
        <w:t>ory</w:t>
      </w:r>
      <w:r w:rsidR="00581ABD" w:rsidRPr="00CD2BFD">
        <w:rPr>
          <w:rFonts w:ascii="Times New Roman" w:eastAsia="Times New Roman" w:hAnsi="Times New Roman" w:cs="Times New Roman"/>
          <w:b/>
          <w:color w:val="222222"/>
          <w:sz w:val="24"/>
          <w:szCs w:val="24"/>
        </w:rPr>
        <w:t xml:space="preserve"> evidence from </w:t>
      </w:r>
      <w:r w:rsidR="00F27127" w:rsidRPr="00CD2BFD">
        <w:rPr>
          <w:rFonts w:ascii="Times New Roman" w:eastAsia="Times New Roman" w:hAnsi="Times New Roman" w:cs="Times New Roman"/>
          <w:b/>
          <w:color w:val="222222"/>
          <w:sz w:val="24"/>
          <w:szCs w:val="24"/>
        </w:rPr>
        <w:t>excess deaths</w:t>
      </w:r>
      <w:r w:rsidR="00581ABD" w:rsidRPr="00CD2BFD">
        <w:rPr>
          <w:rFonts w:ascii="Times New Roman" w:eastAsia="Times New Roman" w:hAnsi="Times New Roman" w:cs="Times New Roman"/>
          <w:b/>
          <w:color w:val="222222"/>
          <w:sz w:val="24"/>
          <w:szCs w:val="24"/>
        </w:rPr>
        <w:t xml:space="preserve">, notably that </w:t>
      </w:r>
      <w:r w:rsidR="000E7FBC" w:rsidRPr="00CD2BFD">
        <w:rPr>
          <w:rFonts w:ascii="Times New Roman" w:eastAsia="Times New Roman" w:hAnsi="Times New Roman" w:cs="Times New Roman"/>
          <w:b/>
          <w:color w:val="222222"/>
          <w:sz w:val="24"/>
          <w:szCs w:val="24"/>
        </w:rPr>
        <w:t>the official</w:t>
      </w:r>
      <w:r w:rsidR="00DE2B4F" w:rsidRPr="00CD2BFD">
        <w:rPr>
          <w:rFonts w:ascii="Times New Roman" w:eastAsia="Times New Roman" w:hAnsi="Times New Roman" w:cs="Times New Roman"/>
          <w:b/>
          <w:color w:val="222222"/>
          <w:sz w:val="24"/>
          <w:szCs w:val="24"/>
        </w:rPr>
        <w:t>ly reported</w:t>
      </w:r>
      <w:r w:rsidR="00581ABD" w:rsidRPr="00CD2BFD">
        <w:rPr>
          <w:rFonts w:ascii="Times New Roman" w:eastAsia="Times New Roman" w:hAnsi="Times New Roman" w:cs="Times New Roman"/>
          <w:b/>
          <w:color w:val="222222"/>
          <w:sz w:val="24"/>
          <w:szCs w:val="24"/>
        </w:rPr>
        <w:t xml:space="preserve"> </w:t>
      </w:r>
      <w:r w:rsidR="00DE2B4F" w:rsidRPr="00CD2BFD">
        <w:rPr>
          <w:rFonts w:ascii="Times New Roman" w:eastAsia="Times New Roman" w:hAnsi="Times New Roman" w:cs="Times New Roman"/>
          <w:b/>
          <w:color w:val="222222"/>
          <w:sz w:val="24"/>
          <w:szCs w:val="24"/>
        </w:rPr>
        <w:t>Covid</w:t>
      </w:r>
      <w:r w:rsidR="000E7FBC" w:rsidRPr="00CD2BFD">
        <w:rPr>
          <w:rFonts w:ascii="Times New Roman" w:eastAsia="Times New Roman" w:hAnsi="Times New Roman" w:cs="Times New Roman"/>
          <w:b/>
          <w:color w:val="222222"/>
          <w:sz w:val="24"/>
          <w:szCs w:val="24"/>
        </w:rPr>
        <w:t>-19</w:t>
      </w:r>
      <w:r w:rsidR="00581ABD" w:rsidRPr="00CD2BFD">
        <w:rPr>
          <w:rFonts w:ascii="Times New Roman" w:eastAsia="Times New Roman" w:hAnsi="Times New Roman" w:cs="Times New Roman"/>
          <w:b/>
          <w:color w:val="222222"/>
          <w:sz w:val="24"/>
          <w:szCs w:val="24"/>
        </w:rPr>
        <w:t xml:space="preserve"> </w:t>
      </w:r>
      <w:r w:rsidR="00DE2B4F" w:rsidRPr="00CD2BFD">
        <w:rPr>
          <w:rFonts w:ascii="Times New Roman" w:eastAsia="Times New Roman" w:hAnsi="Times New Roman" w:cs="Times New Roman"/>
          <w:b/>
          <w:color w:val="222222"/>
          <w:sz w:val="24"/>
          <w:szCs w:val="24"/>
        </w:rPr>
        <w:t>mortality counts</w:t>
      </w:r>
      <w:r w:rsidR="00581ABD" w:rsidRPr="00CD2BFD">
        <w:rPr>
          <w:rFonts w:ascii="Times New Roman" w:eastAsia="Times New Roman" w:hAnsi="Times New Roman" w:cs="Times New Roman"/>
          <w:b/>
          <w:color w:val="222222"/>
          <w:sz w:val="24"/>
          <w:szCs w:val="24"/>
        </w:rPr>
        <w:t xml:space="preserve"> have undercounted</w:t>
      </w:r>
      <w:r w:rsidR="00F27127" w:rsidRPr="00CD2BFD">
        <w:rPr>
          <w:rFonts w:ascii="Times New Roman" w:eastAsia="Times New Roman" w:hAnsi="Times New Roman" w:cs="Times New Roman"/>
          <w:b/>
          <w:color w:val="222222"/>
          <w:sz w:val="24"/>
          <w:szCs w:val="24"/>
        </w:rPr>
        <w:t xml:space="preserve"> </w:t>
      </w:r>
      <w:r w:rsidR="00DE2B4F" w:rsidRPr="00CD2BFD">
        <w:rPr>
          <w:rFonts w:ascii="Times New Roman" w:eastAsia="Times New Roman" w:hAnsi="Times New Roman" w:cs="Times New Roman"/>
          <w:b/>
          <w:color w:val="222222"/>
          <w:sz w:val="24"/>
          <w:szCs w:val="24"/>
        </w:rPr>
        <w:t>true</w:t>
      </w:r>
      <w:r w:rsidR="00581ABD" w:rsidRPr="00CD2BFD">
        <w:rPr>
          <w:rFonts w:ascii="Times New Roman" w:eastAsia="Times New Roman" w:hAnsi="Times New Roman" w:cs="Times New Roman"/>
          <w:b/>
          <w:color w:val="222222"/>
          <w:sz w:val="24"/>
          <w:szCs w:val="24"/>
        </w:rPr>
        <w:t xml:space="preserve"> </w:t>
      </w:r>
      <w:r w:rsidR="00DE2B4F" w:rsidRPr="00CD2BFD">
        <w:rPr>
          <w:rFonts w:ascii="Times New Roman" w:eastAsia="Times New Roman" w:hAnsi="Times New Roman" w:cs="Times New Roman"/>
          <w:b/>
          <w:color w:val="222222"/>
          <w:sz w:val="24"/>
          <w:szCs w:val="24"/>
        </w:rPr>
        <w:t>Covid</w:t>
      </w:r>
      <w:r w:rsidR="00F27127" w:rsidRPr="00CD2BFD">
        <w:rPr>
          <w:rFonts w:ascii="Times New Roman" w:eastAsia="Times New Roman" w:hAnsi="Times New Roman" w:cs="Times New Roman"/>
          <w:b/>
          <w:color w:val="222222"/>
          <w:sz w:val="24"/>
          <w:szCs w:val="24"/>
        </w:rPr>
        <w:t xml:space="preserve">-19 </w:t>
      </w:r>
      <w:r w:rsidR="00DE2B4F" w:rsidRPr="00CD2BFD">
        <w:rPr>
          <w:rFonts w:ascii="Times New Roman" w:eastAsia="Times New Roman" w:hAnsi="Times New Roman" w:cs="Times New Roman"/>
          <w:b/>
          <w:color w:val="222222"/>
          <w:sz w:val="24"/>
          <w:szCs w:val="24"/>
        </w:rPr>
        <w:t>deaths</w:t>
      </w:r>
      <w:r w:rsidR="00306172" w:rsidRPr="00CD2BFD">
        <w:rPr>
          <w:rFonts w:ascii="Times New Roman" w:eastAsia="Times New Roman" w:hAnsi="Times New Roman" w:cs="Times New Roman"/>
          <w:b/>
          <w:color w:val="222222"/>
          <w:sz w:val="24"/>
          <w:szCs w:val="24"/>
        </w:rPr>
        <w:t xml:space="preserve"> </w:t>
      </w:r>
      <w:r w:rsidR="00306172" w:rsidRPr="00CD2BFD">
        <w:rPr>
          <w:rFonts w:ascii="Times New Roman" w:eastAsia="Times New Roman" w:hAnsi="Times New Roman" w:cs="Times New Roman"/>
          <w:b/>
          <w:bCs/>
          <w:color w:val="222222"/>
          <w:sz w:val="24"/>
          <w:szCs w:val="24"/>
        </w:rPr>
        <w:t>for most countries</w:t>
      </w:r>
      <w:r w:rsidR="00DE2B4F" w:rsidRPr="00CD2BFD">
        <w:rPr>
          <w:rFonts w:ascii="Times New Roman" w:eastAsia="Times New Roman" w:hAnsi="Times New Roman" w:cs="Times New Roman"/>
          <w:b/>
          <w:color w:val="222222"/>
          <w:sz w:val="24"/>
          <w:szCs w:val="24"/>
        </w:rPr>
        <w:t>. We also find some evidence, though less powerful,</w:t>
      </w:r>
      <w:r w:rsidR="00975915" w:rsidRPr="00CD2BFD">
        <w:rPr>
          <w:rFonts w:ascii="Times New Roman" w:eastAsia="Times New Roman" w:hAnsi="Times New Roman" w:cs="Times New Roman"/>
          <w:b/>
          <w:color w:val="222222"/>
          <w:sz w:val="24"/>
          <w:szCs w:val="24"/>
        </w:rPr>
        <w:t xml:space="preserve"> that</w:t>
      </w:r>
      <w:r w:rsidR="00F27127" w:rsidRPr="00CD2BFD">
        <w:rPr>
          <w:rFonts w:ascii="Times New Roman" w:eastAsia="Times New Roman" w:hAnsi="Times New Roman" w:cs="Times New Roman"/>
          <w:b/>
          <w:color w:val="222222"/>
          <w:sz w:val="24"/>
          <w:szCs w:val="24"/>
        </w:rPr>
        <w:t xml:space="preserve"> older</w:t>
      </w:r>
      <w:r w:rsidR="00581ABD" w:rsidRPr="00CD2BFD">
        <w:rPr>
          <w:rFonts w:ascii="Times New Roman" w:eastAsia="Times New Roman" w:hAnsi="Times New Roman" w:cs="Times New Roman"/>
          <w:b/>
          <w:color w:val="222222"/>
          <w:sz w:val="24"/>
          <w:szCs w:val="24"/>
        </w:rPr>
        <w:t xml:space="preserve"> population</w:t>
      </w:r>
      <w:r w:rsidR="00F27127" w:rsidRPr="00CD2BFD">
        <w:rPr>
          <w:rFonts w:ascii="Times New Roman" w:eastAsia="Times New Roman" w:hAnsi="Times New Roman" w:cs="Times New Roman"/>
          <w:b/>
          <w:color w:val="222222"/>
          <w:sz w:val="24"/>
          <w:szCs w:val="24"/>
        </w:rPr>
        <w:t xml:space="preserve"> demographics</w:t>
      </w:r>
      <w:r w:rsidR="00581ABD" w:rsidRPr="00CD2BFD">
        <w:rPr>
          <w:rFonts w:ascii="Times New Roman" w:eastAsia="Times New Roman" w:hAnsi="Times New Roman" w:cs="Times New Roman"/>
          <w:b/>
          <w:color w:val="222222"/>
          <w:sz w:val="24"/>
          <w:szCs w:val="24"/>
        </w:rPr>
        <w:t xml:space="preserve"> have </w:t>
      </w:r>
      <w:r w:rsidR="00F27127" w:rsidRPr="00CD2BFD">
        <w:rPr>
          <w:rFonts w:ascii="Times New Roman" w:eastAsia="Times New Roman" w:hAnsi="Times New Roman" w:cs="Times New Roman"/>
          <w:b/>
          <w:color w:val="222222"/>
          <w:sz w:val="24"/>
          <w:szCs w:val="24"/>
        </w:rPr>
        <w:t>registered higher mortali</w:t>
      </w:r>
      <w:r w:rsidR="00975915" w:rsidRPr="00CD2BFD">
        <w:rPr>
          <w:rFonts w:ascii="Times New Roman" w:eastAsia="Times New Roman" w:hAnsi="Times New Roman" w:cs="Times New Roman"/>
          <w:b/>
          <w:color w:val="222222"/>
          <w:sz w:val="24"/>
          <w:szCs w:val="24"/>
        </w:rPr>
        <w:t>t</w:t>
      </w:r>
      <w:r w:rsidR="00F27127" w:rsidRPr="00CD2BFD">
        <w:rPr>
          <w:rFonts w:ascii="Times New Roman" w:eastAsia="Times New Roman" w:hAnsi="Times New Roman" w:cs="Times New Roman"/>
          <w:b/>
          <w:color w:val="222222"/>
          <w:sz w:val="24"/>
          <w:szCs w:val="24"/>
        </w:rPr>
        <w:t>ies</w:t>
      </w:r>
      <w:r w:rsidR="00581ABD" w:rsidRPr="00CD2BFD">
        <w:rPr>
          <w:rFonts w:ascii="Times New Roman" w:eastAsia="Times New Roman" w:hAnsi="Times New Roman" w:cs="Times New Roman"/>
          <w:b/>
          <w:color w:val="222222"/>
          <w:sz w:val="24"/>
          <w:szCs w:val="24"/>
        </w:rPr>
        <w:t xml:space="preserve">; and </w:t>
      </w:r>
      <w:r w:rsidR="00F27127" w:rsidRPr="00CD2BFD">
        <w:rPr>
          <w:rFonts w:ascii="Times New Roman" w:eastAsia="Times New Roman" w:hAnsi="Times New Roman" w:cs="Times New Roman"/>
          <w:b/>
          <w:color w:val="222222"/>
          <w:sz w:val="24"/>
          <w:szCs w:val="24"/>
        </w:rPr>
        <w:t>low-income</w:t>
      </w:r>
      <w:r w:rsidR="00581ABD" w:rsidRPr="00CD2BFD">
        <w:rPr>
          <w:rFonts w:ascii="Times New Roman" w:eastAsia="Times New Roman" w:hAnsi="Times New Roman" w:cs="Times New Roman"/>
          <w:b/>
          <w:color w:val="222222"/>
          <w:sz w:val="24"/>
          <w:szCs w:val="24"/>
        </w:rPr>
        <w:t xml:space="preserve"> countries have had</w:t>
      </w:r>
      <w:r w:rsidR="00F27127" w:rsidRPr="00CD2BFD">
        <w:rPr>
          <w:rFonts w:ascii="Times New Roman" w:eastAsia="Times New Roman" w:hAnsi="Times New Roman" w:cs="Times New Roman"/>
          <w:b/>
          <w:color w:val="222222"/>
          <w:sz w:val="24"/>
          <w:szCs w:val="24"/>
        </w:rPr>
        <w:t xml:space="preserve"> </w:t>
      </w:r>
      <w:r w:rsidR="00DE2B4F" w:rsidRPr="00CD2BFD">
        <w:rPr>
          <w:rFonts w:ascii="Times New Roman" w:eastAsia="Times New Roman" w:hAnsi="Times New Roman" w:cs="Times New Roman"/>
          <w:b/>
          <w:color w:val="222222"/>
          <w:sz w:val="24"/>
          <w:szCs w:val="24"/>
        </w:rPr>
        <w:t xml:space="preserve">a </w:t>
      </w:r>
      <w:r w:rsidR="00F27127" w:rsidRPr="00CD2BFD">
        <w:rPr>
          <w:rFonts w:ascii="Times New Roman" w:eastAsia="Times New Roman" w:hAnsi="Times New Roman" w:cs="Times New Roman"/>
          <w:b/>
          <w:color w:val="222222"/>
          <w:sz w:val="24"/>
          <w:szCs w:val="24"/>
        </w:rPr>
        <w:t>worse experience with the pandemic (</w:t>
      </w:r>
      <w:r w:rsidR="00A769FA" w:rsidRPr="00CD2BFD">
        <w:rPr>
          <w:rFonts w:ascii="Times New Roman" w:eastAsia="Times New Roman" w:hAnsi="Times New Roman" w:cs="Times New Roman"/>
          <w:b/>
          <w:color w:val="222222"/>
          <w:sz w:val="24"/>
          <w:szCs w:val="24"/>
        </w:rPr>
        <w:t>Economist (2022b), Knutson et al. (2022)</w:t>
      </w:r>
      <w:r w:rsidR="00F27127" w:rsidRPr="00CD2BFD">
        <w:rPr>
          <w:rFonts w:ascii="Times New Roman" w:eastAsia="Times New Roman" w:hAnsi="Times New Roman" w:cs="Times New Roman"/>
          <w:b/>
          <w:color w:val="222222"/>
          <w:sz w:val="24"/>
          <w:szCs w:val="24"/>
        </w:rPr>
        <w:t>)</w:t>
      </w:r>
      <w:r w:rsidR="00581ABD" w:rsidRPr="00CD2BFD">
        <w:rPr>
          <w:rFonts w:ascii="Times New Roman" w:eastAsia="Times New Roman" w:hAnsi="Times New Roman" w:cs="Times New Roman"/>
          <w:b/>
          <w:color w:val="222222"/>
          <w:sz w:val="24"/>
          <w:szCs w:val="24"/>
        </w:rPr>
        <w:t>.</w:t>
      </w:r>
      <w:r w:rsidR="00E070E2" w:rsidRPr="00CD2BFD">
        <w:rPr>
          <w:rFonts w:ascii="Times New Roman" w:eastAsia="Times New Roman" w:hAnsi="Times New Roman" w:cs="Times New Roman"/>
          <w:b/>
          <w:color w:val="222222"/>
          <w:sz w:val="24"/>
          <w:szCs w:val="24"/>
        </w:rPr>
        <w:t xml:space="preserve"> </w:t>
      </w:r>
      <w:r w:rsidR="00881143" w:rsidRPr="00CD2BFD">
        <w:rPr>
          <w:rFonts w:ascii="Times New Roman" w:eastAsia="Calibri" w:hAnsi="Times New Roman" w:cs="Times New Roman"/>
          <w:b/>
          <w:color w:val="000000" w:themeColor="text1"/>
          <w:sz w:val="24"/>
          <w:szCs w:val="24"/>
        </w:rPr>
        <w:t xml:space="preserve">The arrival of vaccines in early 2021 </w:t>
      </w:r>
      <w:r w:rsidR="00E1273E" w:rsidRPr="00CD2BFD">
        <w:rPr>
          <w:rFonts w:ascii="Times New Roman" w:eastAsia="Calibri" w:hAnsi="Times New Roman" w:cs="Times New Roman"/>
          <w:b/>
          <w:color w:val="000000" w:themeColor="text1"/>
          <w:sz w:val="24"/>
          <w:szCs w:val="24"/>
        </w:rPr>
        <w:t xml:space="preserve">was </w:t>
      </w:r>
      <w:r w:rsidR="00881143" w:rsidRPr="00CD2BFD">
        <w:rPr>
          <w:rFonts w:ascii="Times New Roman" w:eastAsia="Calibri" w:hAnsi="Times New Roman" w:cs="Times New Roman"/>
          <w:b/>
          <w:color w:val="000000" w:themeColor="text1"/>
          <w:sz w:val="24"/>
          <w:szCs w:val="24"/>
        </w:rPr>
        <w:t xml:space="preserve">also </w:t>
      </w:r>
      <w:r w:rsidR="00E1273E" w:rsidRPr="00CD2BFD">
        <w:rPr>
          <w:rFonts w:ascii="Times New Roman" w:eastAsia="Calibri" w:hAnsi="Times New Roman" w:cs="Times New Roman"/>
          <w:b/>
          <w:color w:val="000000" w:themeColor="text1"/>
          <w:sz w:val="24"/>
          <w:szCs w:val="24"/>
        </w:rPr>
        <w:t>correlated with</w:t>
      </w:r>
      <w:r w:rsidR="00881143" w:rsidRPr="00CD2BFD">
        <w:rPr>
          <w:rFonts w:ascii="Times New Roman" w:eastAsia="Calibri" w:hAnsi="Times New Roman" w:cs="Times New Roman"/>
          <w:b/>
          <w:color w:val="000000" w:themeColor="text1"/>
          <w:sz w:val="24"/>
          <w:szCs w:val="24"/>
        </w:rPr>
        <w:t xml:space="preserve"> the </w:t>
      </w:r>
      <w:r w:rsidR="00E1273E" w:rsidRPr="00CD2BFD">
        <w:rPr>
          <w:rFonts w:ascii="Times New Roman" w:eastAsia="Calibri" w:hAnsi="Times New Roman" w:cs="Times New Roman"/>
          <w:b/>
          <w:color w:val="000000" w:themeColor="text1"/>
          <w:sz w:val="24"/>
          <w:szCs w:val="24"/>
        </w:rPr>
        <w:t xml:space="preserve">gap </w:t>
      </w:r>
      <w:r w:rsidR="00881143" w:rsidRPr="00CD2BFD">
        <w:rPr>
          <w:rFonts w:ascii="Times New Roman" w:eastAsia="Calibri" w:hAnsi="Times New Roman" w:cs="Times New Roman"/>
          <w:b/>
          <w:color w:val="000000" w:themeColor="text1"/>
          <w:sz w:val="24"/>
          <w:szCs w:val="24"/>
        </w:rPr>
        <w:t>between excess and official mortality</w:t>
      </w:r>
      <w:r w:rsidR="00690CAD" w:rsidRPr="00CD2BFD">
        <w:rPr>
          <w:rFonts w:ascii="Times New Roman" w:eastAsia="Calibri" w:hAnsi="Times New Roman" w:cs="Times New Roman"/>
          <w:b/>
          <w:color w:val="000000" w:themeColor="text1"/>
          <w:sz w:val="24"/>
          <w:szCs w:val="24"/>
        </w:rPr>
        <w:t xml:space="preserve"> — the strength of this relationship likely varied by country</w:t>
      </w:r>
      <w:r w:rsidR="00881143" w:rsidRPr="00CD2BFD">
        <w:rPr>
          <w:rFonts w:ascii="Times New Roman" w:eastAsia="Calibri" w:hAnsi="Times New Roman" w:cs="Times New Roman"/>
          <w:b/>
          <w:color w:val="000000" w:themeColor="text1"/>
          <w:sz w:val="24"/>
          <w:szCs w:val="24"/>
        </w:rPr>
        <w:t>.</w:t>
      </w:r>
      <w:r w:rsidR="00690CAD" w:rsidRPr="00CD2BFD">
        <w:rPr>
          <w:rFonts w:ascii="Times New Roman" w:eastAsia="Times New Roman" w:hAnsi="Times New Roman" w:cs="Times New Roman"/>
          <w:b/>
          <w:color w:val="222222"/>
          <w:sz w:val="24"/>
          <w:szCs w:val="24"/>
        </w:rPr>
        <w:t xml:space="preserve"> </w:t>
      </w:r>
      <w:r w:rsidR="00600F35" w:rsidRPr="00CD2BFD">
        <w:rPr>
          <w:rFonts w:ascii="Times New Roman" w:eastAsia="Times New Roman" w:hAnsi="Times New Roman" w:cs="Times New Roman"/>
          <w:b/>
          <w:color w:val="222222"/>
          <w:sz w:val="24"/>
          <w:szCs w:val="24"/>
        </w:rPr>
        <w:t>Notably, the</w:t>
      </w:r>
      <w:r w:rsidR="00690CAD" w:rsidRPr="00CD2BFD">
        <w:rPr>
          <w:rFonts w:ascii="Times New Roman" w:eastAsia="Times New Roman" w:hAnsi="Times New Roman" w:cs="Times New Roman"/>
          <w:b/>
          <w:color w:val="222222"/>
          <w:sz w:val="24"/>
          <w:szCs w:val="24"/>
        </w:rPr>
        <w:t xml:space="preserve"> heterogeneous</w:t>
      </w:r>
      <w:r w:rsidR="008A722E" w:rsidRPr="00CD2BFD">
        <w:rPr>
          <w:rFonts w:ascii="Times New Roman" w:eastAsia="Times New Roman" w:hAnsi="Times New Roman" w:cs="Times New Roman"/>
          <w:b/>
          <w:color w:val="222222"/>
          <w:sz w:val="24"/>
          <w:szCs w:val="24"/>
        </w:rPr>
        <w:t xml:space="preserve"> impact of vaccines</w:t>
      </w:r>
      <w:r w:rsidR="00600F35" w:rsidRPr="00CD2BFD">
        <w:rPr>
          <w:rFonts w:ascii="Times New Roman" w:eastAsia="Times New Roman" w:hAnsi="Times New Roman" w:cs="Times New Roman"/>
          <w:b/>
          <w:color w:val="222222"/>
          <w:sz w:val="24"/>
          <w:szCs w:val="24"/>
        </w:rPr>
        <w:t xml:space="preserve"> may also reflect the global shortages of vaccinations, resulting </w:t>
      </w:r>
      <w:r w:rsidR="0043716E" w:rsidRPr="00CD2BFD">
        <w:rPr>
          <w:rFonts w:ascii="Times New Roman" w:eastAsia="Times New Roman" w:hAnsi="Times New Roman" w:cs="Times New Roman"/>
          <w:b/>
          <w:color w:val="222222"/>
          <w:sz w:val="24"/>
          <w:szCs w:val="24"/>
        </w:rPr>
        <w:t>in</w:t>
      </w:r>
      <w:r w:rsidR="00600F35" w:rsidRPr="00CD2BFD">
        <w:rPr>
          <w:rFonts w:ascii="Times New Roman" w:eastAsia="Times New Roman" w:hAnsi="Times New Roman" w:cs="Times New Roman"/>
          <w:b/>
          <w:color w:val="222222"/>
          <w:sz w:val="24"/>
          <w:szCs w:val="24"/>
        </w:rPr>
        <w:t xml:space="preserve"> unequal worldwide vaccination rates.</w:t>
      </w:r>
    </w:p>
    <w:p w14:paraId="2B6309A0" w14:textId="77777777" w:rsidR="00BD10F6" w:rsidRPr="00173569" w:rsidRDefault="00BD10F6" w:rsidP="00245CBF">
      <w:pPr>
        <w:autoSpaceDE w:val="0"/>
        <w:autoSpaceDN w:val="0"/>
        <w:adjustRightInd w:val="0"/>
        <w:spacing w:after="0" w:line="360" w:lineRule="auto"/>
        <w:contextualSpacing/>
        <w:rPr>
          <w:rFonts w:ascii="Times New Roman" w:eastAsia="Calibri" w:hAnsi="Times New Roman" w:cs="Times New Roman"/>
          <w:color w:val="000000" w:themeColor="text1"/>
          <w:sz w:val="24"/>
          <w:szCs w:val="24"/>
        </w:rPr>
      </w:pPr>
    </w:p>
    <w:p w14:paraId="473CAF7A" w14:textId="3766C302" w:rsidR="00D51D83" w:rsidRPr="00173569" w:rsidRDefault="00D51D83" w:rsidP="00245CBF">
      <w:pPr>
        <w:pStyle w:val="ListParagraph"/>
        <w:numPr>
          <w:ilvl w:val="0"/>
          <w:numId w:val="15"/>
        </w:numPr>
        <w:rPr>
          <w:rFonts w:ascii="Times New Roman" w:hAnsi="Times New Roman" w:cs="Times New Roman"/>
          <w:b/>
          <w:sz w:val="24"/>
          <w:szCs w:val="24"/>
        </w:rPr>
      </w:pPr>
      <w:r w:rsidRPr="00173569">
        <w:rPr>
          <w:rFonts w:ascii="Times New Roman" w:hAnsi="Times New Roman" w:cs="Times New Roman"/>
          <w:b/>
          <w:sz w:val="24"/>
          <w:szCs w:val="24"/>
        </w:rPr>
        <w:t>Data</w:t>
      </w:r>
    </w:p>
    <w:p w14:paraId="4AF7D1F3" w14:textId="41BE5742" w:rsidR="00DD3AB2" w:rsidRPr="00173569"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173569">
        <w:rPr>
          <w:rFonts w:ascii="Times New Roman" w:hAnsi="Times New Roman" w:cs="Times New Roman"/>
          <w:sz w:val="24"/>
          <w:szCs w:val="24"/>
        </w:rPr>
        <w:t xml:space="preserve">Our full dataset is constructed by supplementing the </w:t>
      </w:r>
      <w:r w:rsidR="002E4748" w:rsidRPr="00173569">
        <w:rPr>
          <w:rFonts w:ascii="Times New Roman" w:hAnsi="Times New Roman" w:cs="Times New Roman"/>
          <w:i/>
          <w:iCs/>
          <w:sz w:val="24"/>
          <w:szCs w:val="24"/>
        </w:rPr>
        <w:t xml:space="preserve">Our World in Data </w:t>
      </w:r>
      <w:r w:rsidRPr="00173569">
        <w:rPr>
          <w:rFonts w:ascii="Times New Roman" w:hAnsi="Times New Roman" w:cs="Times New Roman"/>
          <w:sz w:val="24"/>
          <w:szCs w:val="24"/>
        </w:rPr>
        <w:t xml:space="preserve">database on </w:t>
      </w:r>
      <w:r w:rsidR="00525E77" w:rsidRPr="00173569">
        <w:rPr>
          <w:rFonts w:ascii="Times New Roman" w:hAnsi="Times New Roman" w:cs="Times New Roman"/>
          <w:sz w:val="24"/>
          <w:szCs w:val="24"/>
        </w:rPr>
        <w:t>Covid</w:t>
      </w:r>
      <w:r w:rsidRPr="00173569">
        <w:rPr>
          <w:rFonts w:ascii="Times New Roman" w:hAnsi="Times New Roman" w:cs="Times New Roman"/>
          <w:sz w:val="24"/>
          <w:szCs w:val="24"/>
        </w:rPr>
        <w:t xml:space="preserve">-19 with a few other datasets, </w:t>
      </w:r>
      <w:r w:rsidR="00E1273E" w:rsidRPr="00173569">
        <w:rPr>
          <w:rFonts w:ascii="Times New Roman" w:hAnsi="Times New Roman" w:cs="Times New Roman"/>
          <w:sz w:val="24"/>
          <w:szCs w:val="24"/>
        </w:rPr>
        <w:t xml:space="preserve">including </w:t>
      </w:r>
      <w:r w:rsidRPr="00173569">
        <w:rPr>
          <w:rFonts w:ascii="Times New Roman" w:hAnsi="Times New Roman" w:cs="Times New Roman"/>
          <w:sz w:val="24"/>
          <w:szCs w:val="24"/>
        </w:rPr>
        <w:t>the World Development Indicator (WDI) database, the World Governance Indicator (WGI) database</w:t>
      </w:r>
      <w:r w:rsidR="00B0559E" w:rsidRPr="00173569">
        <w:rPr>
          <w:rFonts w:ascii="Times New Roman" w:hAnsi="Times New Roman" w:cs="Times New Roman"/>
          <w:sz w:val="24"/>
          <w:szCs w:val="24"/>
        </w:rPr>
        <w:t xml:space="preserve"> (</w:t>
      </w:r>
      <w:proofErr w:type="spellStart"/>
      <w:r w:rsidR="00B0559E" w:rsidRPr="00173569">
        <w:rPr>
          <w:rFonts w:ascii="Times New Roman" w:hAnsi="Times New Roman" w:cs="Times New Roman"/>
          <w:color w:val="222222"/>
          <w:sz w:val="24"/>
          <w:szCs w:val="24"/>
        </w:rPr>
        <w:t>Kraay</w:t>
      </w:r>
      <w:proofErr w:type="spellEnd"/>
      <w:r w:rsidR="00B0559E" w:rsidRPr="00173569">
        <w:rPr>
          <w:rFonts w:ascii="Times New Roman" w:hAnsi="Times New Roman" w:cs="Times New Roman"/>
          <w:color w:val="222222"/>
          <w:sz w:val="24"/>
          <w:szCs w:val="24"/>
        </w:rPr>
        <w:t xml:space="preserve"> and </w:t>
      </w:r>
      <w:proofErr w:type="spellStart"/>
      <w:r w:rsidR="00B0559E" w:rsidRPr="00173569">
        <w:rPr>
          <w:rFonts w:ascii="Times New Roman" w:hAnsi="Times New Roman" w:cs="Times New Roman"/>
          <w:color w:val="222222"/>
          <w:sz w:val="24"/>
          <w:szCs w:val="24"/>
        </w:rPr>
        <w:t>Mastruzzi</w:t>
      </w:r>
      <w:proofErr w:type="spellEnd"/>
      <w:r w:rsidR="00B0559E" w:rsidRPr="00173569">
        <w:rPr>
          <w:rFonts w:ascii="Times New Roman" w:hAnsi="Times New Roman" w:cs="Times New Roman"/>
          <w:color w:val="222222"/>
          <w:sz w:val="24"/>
          <w:szCs w:val="24"/>
        </w:rPr>
        <w:t>, 2011)</w:t>
      </w:r>
      <w:r w:rsidRPr="00173569">
        <w:rPr>
          <w:rFonts w:ascii="Times New Roman" w:hAnsi="Times New Roman" w:cs="Times New Roman"/>
          <w:sz w:val="24"/>
          <w:szCs w:val="24"/>
        </w:rPr>
        <w:t xml:space="preserve">, and </w:t>
      </w:r>
      <w:r w:rsidRPr="00173569">
        <w:rPr>
          <w:rFonts w:ascii="Times New Roman" w:hAnsi="Times New Roman" w:cs="Times New Roman"/>
          <w:i/>
          <w:iCs/>
          <w:sz w:val="24"/>
          <w:szCs w:val="24"/>
        </w:rPr>
        <w:t>the Economist</w:t>
      </w:r>
      <w:r w:rsidRPr="00173569">
        <w:rPr>
          <w:rFonts w:ascii="Times New Roman" w:hAnsi="Times New Roman" w:cs="Times New Roman"/>
          <w:sz w:val="24"/>
          <w:szCs w:val="24"/>
        </w:rPr>
        <w:t xml:space="preserve">’s tracker for </w:t>
      </w:r>
      <w:r w:rsidR="00525E77" w:rsidRPr="00173569">
        <w:rPr>
          <w:rFonts w:ascii="Times New Roman" w:hAnsi="Times New Roman" w:cs="Times New Roman"/>
          <w:sz w:val="24"/>
          <w:szCs w:val="24"/>
        </w:rPr>
        <w:t>Covid</w:t>
      </w:r>
      <w:r w:rsidRPr="00173569">
        <w:rPr>
          <w:rFonts w:ascii="Times New Roman" w:hAnsi="Times New Roman" w:cs="Times New Roman"/>
          <w:sz w:val="24"/>
          <w:szCs w:val="24"/>
        </w:rPr>
        <w:t xml:space="preserve">-19 excess deaths. The full dataset covers 170 countries at </w:t>
      </w:r>
      <w:r w:rsidR="003E03B4" w:rsidRPr="00173569">
        <w:rPr>
          <w:rFonts w:ascii="Times New Roman" w:hAnsi="Times New Roman" w:cs="Times New Roman"/>
          <w:sz w:val="24"/>
          <w:szCs w:val="24"/>
        </w:rPr>
        <w:t xml:space="preserve">a </w:t>
      </w:r>
      <w:r w:rsidRPr="00173569">
        <w:rPr>
          <w:rFonts w:ascii="Times New Roman" w:hAnsi="Times New Roman" w:cs="Times New Roman"/>
          <w:sz w:val="24"/>
          <w:szCs w:val="24"/>
        </w:rPr>
        <w:t>weekly frequency from January 1, 2020</w:t>
      </w:r>
      <w:r w:rsidR="00B85725" w:rsidRPr="00173569">
        <w:rPr>
          <w:rFonts w:ascii="Times New Roman" w:hAnsi="Times New Roman" w:cs="Times New Roman"/>
          <w:sz w:val="24"/>
          <w:szCs w:val="24"/>
        </w:rPr>
        <w:t>,</w:t>
      </w:r>
      <w:r w:rsidRPr="00173569">
        <w:rPr>
          <w:rFonts w:ascii="Times New Roman" w:hAnsi="Times New Roman" w:cs="Times New Roman"/>
          <w:sz w:val="24"/>
          <w:szCs w:val="24"/>
        </w:rPr>
        <w:t xml:space="preserve"> to December 31, 2021. </w:t>
      </w:r>
    </w:p>
    <w:p w14:paraId="1E3F4838" w14:textId="6F175364" w:rsidR="002E4748" w:rsidRPr="00173569" w:rsidRDefault="00DD3AB2" w:rsidP="002E4748">
      <w:pPr>
        <w:autoSpaceDE w:val="0"/>
        <w:autoSpaceDN w:val="0"/>
        <w:adjustRightInd w:val="0"/>
        <w:spacing w:after="0" w:line="360" w:lineRule="auto"/>
        <w:ind w:firstLine="720"/>
        <w:jc w:val="both"/>
        <w:rPr>
          <w:rFonts w:ascii="Times New Roman" w:hAnsi="Times New Roman" w:cs="Times New Roman"/>
          <w:sz w:val="24"/>
          <w:szCs w:val="24"/>
        </w:rPr>
      </w:pPr>
      <w:r w:rsidRPr="00173569">
        <w:rPr>
          <w:rFonts w:ascii="Times New Roman" w:hAnsi="Times New Roman" w:cs="Times New Roman"/>
          <w:sz w:val="24"/>
          <w:szCs w:val="24"/>
        </w:rPr>
        <w:t xml:space="preserve">Specifically, from the </w:t>
      </w:r>
      <w:r w:rsidRPr="00173569">
        <w:rPr>
          <w:rFonts w:ascii="Times New Roman" w:hAnsi="Times New Roman" w:cs="Times New Roman"/>
          <w:i/>
          <w:iCs/>
          <w:sz w:val="24"/>
          <w:szCs w:val="24"/>
        </w:rPr>
        <w:t>Our World in Data</w:t>
      </w:r>
      <w:r w:rsidRPr="00173569">
        <w:rPr>
          <w:rFonts w:ascii="Times New Roman" w:hAnsi="Times New Roman" w:cs="Times New Roman"/>
          <w:sz w:val="24"/>
          <w:szCs w:val="24"/>
        </w:rPr>
        <w:t xml:space="preserve">’s </w:t>
      </w:r>
      <w:r w:rsidR="00525E77" w:rsidRPr="00173569">
        <w:rPr>
          <w:rFonts w:ascii="Times New Roman" w:hAnsi="Times New Roman" w:cs="Times New Roman"/>
          <w:sz w:val="24"/>
          <w:szCs w:val="24"/>
        </w:rPr>
        <w:t>Covid</w:t>
      </w:r>
      <w:r w:rsidRPr="00173569">
        <w:rPr>
          <w:rFonts w:ascii="Times New Roman" w:hAnsi="Times New Roman" w:cs="Times New Roman"/>
          <w:sz w:val="24"/>
          <w:szCs w:val="24"/>
        </w:rPr>
        <w:t xml:space="preserve">-19 database, we use cumulative officially reported </w:t>
      </w:r>
      <w:r w:rsidR="00525E77" w:rsidRPr="00173569">
        <w:rPr>
          <w:rFonts w:ascii="Times New Roman" w:hAnsi="Times New Roman" w:cs="Times New Roman"/>
          <w:sz w:val="24"/>
          <w:szCs w:val="24"/>
        </w:rPr>
        <w:t>Covid</w:t>
      </w:r>
      <w:r w:rsidRPr="00173569">
        <w:rPr>
          <w:rFonts w:ascii="Times New Roman" w:hAnsi="Times New Roman" w:cs="Times New Roman"/>
          <w:sz w:val="24"/>
          <w:szCs w:val="24"/>
        </w:rPr>
        <w:t>-19 mortality</w:t>
      </w:r>
      <w:r w:rsidR="003E03B4" w:rsidRPr="00173569">
        <w:rPr>
          <w:rFonts w:ascii="Times New Roman" w:hAnsi="Times New Roman" w:cs="Times New Roman"/>
          <w:sz w:val="24"/>
          <w:szCs w:val="24"/>
        </w:rPr>
        <w:t xml:space="preserve"> counts</w:t>
      </w:r>
      <w:r w:rsidRPr="00173569">
        <w:rPr>
          <w:rFonts w:ascii="Times New Roman" w:hAnsi="Times New Roman" w:cs="Times New Roman"/>
          <w:sz w:val="24"/>
          <w:szCs w:val="24"/>
        </w:rPr>
        <w:t xml:space="preserve"> (per million population), </w:t>
      </w:r>
      <w:r w:rsidR="00B85725" w:rsidRPr="00173569">
        <w:rPr>
          <w:rFonts w:ascii="Times New Roman" w:hAnsi="Times New Roman" w:cs="Times New Roman"/>
          <w:sz w:val="24"/>
          <w:szCs w:val="24"/>
        </w:rPr>
        <w:t xml:space="preserve">the </w:t>
      </w:r>
      <w:r w:rsidRPr="00173569">
        <w:rPr>
          <w:rFonts w:ascii="Times New Roman" w:hAnsi="Times New Roman" w:cs="Times New Roman"/>
          <w:sz w:val="24"/>
          <w:szCs w:val="24"/>
        </w:rPr>
        <w:t xml:space="preserve">total number of </w:t>
      </w:r>
      <w:r w:rsidR="00525E77" w:rsidRPr="00173569">
        <w:rPr>
          <w:rFonts w:ascii="Times New Roman" w:hAnsi="Times New Roman" w:cs="Times New Roman"/>
          <w:sz w:val="24"/>
          <w:szCs w:val="24"/>
        </w:rPr>
        <w:t>Covid</w:t>
      </w:r>
      <w:r w:rsidRPr="00173569">
        <w:rPr>
          <w:rFonts w:ascii="Times New Roman" w:hAnsi="Times New Roman" w:cs="Times New Roman"/>
          <w:sz w:val="24"/>
          <w:szCs w:val="24"/>
        </w:rPr>
        <w:t xml:space="preserve">-19 vaccination doses administered per 100 people in the </w:t>
      </w:r>
      <w:r w:rsidR="00F556B1" w:rsidRPr="00173569">
        <w:rPr>
          <w:rFonts w:ascii="Times New Roman" w:hAnsi="Times New Roman" w:cs="Times New Roman"/>
          <w:sz w:val="24"/>
          <w:szCs w:val="24"/>
        </w:rPr>
        <w:t>total</w:t>
      </w:r>
      <w:r w:rsidRPr="00173569">
        <w:rPr>
          <w:rFonts w:ascii="Times New Roman" w:hAnsi="Times New Roman" w:cs="Times New Roman"/>
          <w:sz w:val="24"/>
          <w:szCs w:val="24"/>
        </w:rPr>
        <w:t xml:space="preserve"> population</w:t>
      </w:r>
      <w:r w:rsidR="000060E7" w:rsidRPr="00173569">
        <w:rPr>
          <w:rFonts w:ascii="Times New Roman" w:hAnsi="Times New Roman" w:cs="Times New Roman"/>
          <w:sz w:val="24"/>
          <w:szCs w:val="24"/>
        </w:rPr>
        <w:t xml:space="preserve"> </w:t>
      </w:r>
      <w:r w:rsidR="00DF7D42" w:rsidRPr="00173569">
        <w:rPr>
          <w:rFonts w:ascii="Times New Roman" w:hAnsi="Times New Roman" w:cs="Times New Roman"/>
          <w:sz w:val="24"/>
          <w:szCs w:val="24"/>
        </w:rPr>
        <w:t>(</w:t>
      </w:r>
      <w:r w:rsidR="00DF7D42" w:rsidRPr="00173569">
        <w:rPr>
          <w:rFonts w:ascii="Times New Roman" w:hAnsi="Times New Roman" w:cs="Times New Roman"/>
          <w:color w:val="000000" w:themeColor="text1"/>
          <w:sz w:val="24"/>
          <w:szCs w:val="24"/>
          <w:shd w:val="clear" w:color="auto" w:fill="FFFFFF"/>
        </w:rPr>
        <w:t>Mathieu et al. 2021</w:t>
      </w:r>
      <w:r w:rsidR="00DF7D42" w:rsidRPr="00173569">
        <w:rPr>
          <w:rFonts w:ascii="Times New Roman" w:hAnsi="Times New Roman" w:cs="Times New Roman"/>
          <w:color w:val="57606A"/>
          <w:sz w:val="24"/>
          <w:szCs w:val="24"/>
          <w:shd w:val="clear" w:color="auto" w:fill="FFFFFF"/>
        </w:rPr>
        <w:t>)</w:t>
      </w:r>
      <w:r w:rsidRPr="00173569">
        <w:rPr>
          <w:rFonts w:ascii="Times New Roman" w:hAnsi="Times New Roman" w:cs="Times New Roman"/>
          <w:sz w:val="24"/>
          <w:szCs w:val="24"/>
        </w:rPr>
        <w:t xml:space="preserve">, population density, </w:t>
      </w:r>
      <w:r w:rsidR="00B85725" w:rsidRPr="00173569">
        <w:rPr>
          <w:rFonts w:ascii="Times New Roman" w:hAnsi="Times New Roman" w:cs="Times New Roman"/>
          <w:sz w:val="24"/>
          <w:szCs w:val="24"/>
        </w:rPr>
        <w:t xml:space="preserve">the </w:t>
      </w:r>
      <w:r w:rsidRPr="00173569">
        <w:rPr>
          <w:rFonts w:ascii="Times New Roman" w:hAnsi="Times New Roman" w:cs="Times New Roman"/>
          <w:sz w:val="24"/>
          <w:szCs w:val="24"/>
        </w:rPr>
        <w:t xml:space="preserve">share of </w:t>
      </w:r>
      <w:r w:rsidR="006F157F">
        <w:rPr>
          <w:rFonts w:ascii="Times New Roman" w:hAnsi="Times New Roman" w:cs="Times New Roman"/>
          <w:sz w:val="24"/>
          <w:szCs w:val="24"/>
        </w:rPr>
        <w:t xml:space="preserve">individuals older than </w:t>
      </w:r>
      <w:r w:rsidRPr="00173569">
        <w:rPr>
          <w:rFonts w:ascii="Times New Roman" w:hAnsi="Times New Roman" w:cs="Times New Roman"/>
          <w:sz w:val="24"/>
          <w:szCs w:val="24"/>
        </w:rPr>
        <w:t xml:space="preserve">65, </w:t>
      </w:r>
      <w:r w:rsidR="003E03B4" w:rsidRPr="00173569">
        <w:rPr>
          <w:rFonts w:ascii="Times New Roman" w:hAnsi="Times New Roman" w:cs="Times New Roman"/>
          <w:sz w:val="24"/>
          <w:szCs w:val="24"/>
        </w:rPr>
        <w:t xml:space="preserve">and </w:t>
      </w:r>
      <w:r w:rsidRPr="00173569">
        <w:rPr>
          <w:rFonts w:ascii="Times New Roman" w:hAnsi="Times New Roman" w:cs="Times New Roman"/>
          <w:sz w:val="24"/>
          <w:szCs w:val="24"/>
        </w:rPr>
        <w:t xml:space="preserve">GDP per capita. </w:t>
      </w:r>
    </w:p>
    <w:p w14:paraId="203E3311" w14:textId="4F6A749C" w:rsidR="00DD3AB2" w:rsidRPr="00173569"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173569">
        <w:rPr>
          <w:rFonts w:ascii="Times New Roman" w:hAnsi="Times New Roman" w:cs="Times New Roman"/>
          <w:sz w:val="24"/>
          <w:szCs w:val="24"/>
        </w:rPr>
        <w:t>We use the share of urban population from the WDI database</w:t>
      </w:r>
      <w:r w:rsidR="003E03B4" w:rsidRPr="00173569">
        <w:rPr>
          <w:rFonts w:ascii="Times New Roman" w:hAnsi="Times New Roman" w:cs="Times New Roman"/>
          <w:sz w:val="24"/>
          <w:szCs w:val="24"/>
        </w:rPr>
        <w:t>;</w:t>
      </w:r>
      <w:r w:rsidR="002E4748" w:rsidRPr="00173569">
        <w:rPr>
          <w:rFonts w:ascii="Times New Roman" w:hAnsi="Times New Roman" w:cs="Times New Roman"/>
          <w:sz w:val="24"/>
          <w:szCs w:val="24"/>
        </w:rPr>
        <w:t xml:space="preserve"> and </w:t>
      </w:r>
      <w:r w:rsidRPr="00173569">
        <w:rPr>
          <w:rFonts w:ascii="Times New Roman" w:hAnsi="Times New Roman" w:cs="Times New Roman"/>
          <w:sz w:val="24"/>
          <w:szCs w:val="24"/>
        </w:rPr>
        <w:t xml:space="preserve">rule of law, voice and accountability, and government effectiveness </w:t>
      </w:r>
      <w:r w:rsidR="002E4748" w:rsidRPr="00173569">
        <w:rPr>
          <w:rFonts w:ascii="Times New Roman" w:hAnsi="Times New Roman" w:cs="Times New Roman"/>
          <w:sz w:val="24"/>
          <w:szCs w:val="24"/>
        </w:rPr>
        <w:t xml:space="preserve">from </w:t>
      </w:r>
      <w:r w:rsidRPr="00173569">
        <w:rPr>
          <w:rFonts w:ascii="Times New Roman" w:hAnsi="Times New Roman" w:cs="Times New Roman"/>
          <w:sz w:val="24"/>
          <w:szCs w:val="24"/>
        </w:rPr>
        <w:t>the WGI database</w:t>
      </w:r>
      <w:r w:rsidR="003E03B4" w:rsidRPr="00173569">
        <w:rPr>
          <w:rFonts w:ascii="Times New Roman" w:hAnsi="Times New Roman" w:cs="Times New Roman"/>
          <w:sz w:val="24"/>
          <w:szCs w:val="24"/>
        </w:rPr>
        <w:t>.</w:t>
      </w:r>
      <w:r w:rsidRPr="00173569">
        <w:rPr>
          <w:rFonts w:ascii="Times New Roman" w:hAnsi="Times New Roman" w:cs="Times New Roman"/>
          <w:sz w:val="24"/>
          <w:szCs w:val="24"/>
        </w:rPr>
        <w:t xml:space="preserve"> </w:t>
      </w:r>
      <w:r w:rsidR="003E03B4" w:rsidRPr="00173569">
        <w:rPr>
          <w:rFonts w:ascii="Times New Roman" w:hAnsi="Times New Roman" w:cs="Times New Roman"/>
          <w:sz w:val="24"/>
          <w:szCs w:val="24"/>
        </w:rPr>
        <w:t>R</w:t>
      </w:r>
      <w:r w:rsidRPr="00173569">
        <w:rPr>
          <w:rFonts w:ascii="Times New Roman" w:hAnsi="Times New Roman" w:cs="Times New Roman"/>
          <w:sz w:val="24"/>
          <w:szCs w:val="24"/>
        </w:rPr>
        <w:t>ule of law captures perceptions of the extent to which agents have confidence in and abide by the rules of society, and in particular the quality of contract enforcement, property rights, the police, and the courts, as well as the likelihood of crime and violence</w:t>
      </w:r>
      <w:r w:rsidR="003E03B4" w:rsidRPr="00173569">
        <w:rPr>
          <w:rFonts w:ascii="Times New Roman" w:hAnsi="Times New Roman" w:cs="Times New Roman"/>
          <w:sz w:val="24"/>
          <w:szCs w:val="24"/>
        </w:rPr>
        <w:t>.</w:t>
      </w:r>
      <w:r w:rsidRPr="00173569">
        <w:rPr>
          <w:rFonts w:ascii="Times New Roman" w:hAnsi="Times New Roman" w:cs="Times New Roman"/>
          <w:sz w:val="24"/>
          <w:szCs w:val="24"/>
        </w:rPr>
        <w:t xml:space="preserve"> </w:t>
      </w:r>
      <w:r w:rsidR="002E4748" w:rsidRPr="00173569">
        <w:rPr>
          <w:rFonts w:ascii="Times New Roman" w:hAnsi="Times New Roman" w:cs="Times New Roman"/>
          <w:sz w:val="24"/>
          <w:szCs w:val="24"/>
        </w:rPr>
        <w:t>The v</w:t>
      </w:r>
      <w:r w:rsidRPr="00173569">
        <w:rPr>
          <w:rFonts w:ascii="Times New Roman" w:hAnsi="Times New Roman" w:cs="Times New Roman"/>
          <w:sz w:val="24"/>
          <w:szCs w:val="24"/>
        </w:rPr>
        <w:t>oice</w:t>
      </w:r>
      <w:r w:rsidR="00B85725" w:rsidRPr="00173569">
        <w:rPr>
          <w:rFonts w:ascii="Times New Roman" w:hAnsi="Times New Roman" w:cs="Times New Roman"/>
          <w:sz w:val="24"/>
          <w:szCs w:val="24"/>
        </w:rPr>
        <w:t>-</w:t>
      </w:r>
      <w:r w:rsidRPr="00173569">
        <w:rPr>
          <w:rFonts w:ascii="Times New Roman" w:hAnsi="Times New Roman" w:cs="Times New Roman"/>
          <w:sz w:val="24"/>
          <w:szCs w:val="24"/>
        </w:rPr>
        <w:t>and</w:t>
      </w:r>
      <w:r w:rsidR="00B85725" w:rsidRPr="00173569">
        <w:rPr>
          <w:rFonts w:ascii="Times New Roman" w:hAnsi="Times New Roman" w:cs="Times New Roman"/>
          <w:sz w:val="24"/>
          <w:szCs w:val="24"/>
        </w:rPr>
        <w:t>-</w:t>
      </w:r>
      <w:r w:rsidRPr="00173569">
        <w:rPr>
          <w:rFonts w:ascii="Times New Roman" w:hAnsi="Times New Roman" w:cs="Times New Roman"/>
          <w:sz w:val="24"/>
          <w:szCs w:val="24"/>
        </w:rPr>
        <w:t>accountability</w:t>
      </w:r>
      <w:r w:rsidR="00B85725" w:rsidRPr="00173569">
        <w:rPr>
          <w:rFonts w:ascii="Times New Roman" w:hAnsi="Times New Roman" w:cs="Times New Roman"/>
          <w:sz w:val="24"/>
          <w:szCs w:val="24"/>
        </w:rPr>
        <w:t xml:space="preserve"> variable</w:t>
      </w:r>
      <w:r w:rsidRPr="00173569">
        <w:rPr>
          <w:rFonts w:ascii="Times New Roman" w:hAnsi="Times New Roman" w:cs="Times New Roman"/>
          <w:sz w:val="24"/>
          <w:szCs w:val="24"/>
        </w:rPr>
        <w:t xml:space="preserve"> captures perceptions of the extent to which a country's citizens </w:t>
      </w:r>
      <w:r w:rsidR="00B85725" w:rsidRPr="00173569">
        <w:rPr>
          <w:rFonts w:ascii="Times New Roman" w:hAnsi="Times New Roman" w:cs="Times New Roman"/>
          <w:sz w:val="24"/>
          <w:szCs w:val="24"/>
        </w:rPr>
        <w:t>can</w:t>
      </w:r>
      <w:r w:rsidRPr="00173569">
        <w:rPr>
          <w:rFonts w:ascii="Times New Roman" w:hAnsi="Times New Roman" w:cs="Times New Roman"/>
          <w:sz w:val="24"/>
          <w:szCs w:val="24"/>
        </w:rPr>
        <w:t xml:space="preserve"> participate in selecting their government, as well as freedom of expression, freedom of association, and free </w:t>
      </w:r>
      <w:r w:rsidR="002E4748" w:rsidRPr="00173569">
        <w:rPr>
          <w:rFonts w:ascii="Times New Roman" w:hAnsi="Times New Roman" w:cs="Times New Roman"/>
          <w:sz w:val="24"/>
          <w:szCs w:val="24"/>
        </w:rPr>
        <w:t>press</w:t>
      </w:r>
      <w:r w:rsidR="003E03B4" w:rsidRPr="00173569">
        <w:rPr>
          <w:rFonts w:ascii="Times New Roman" w:hAnsi="Times New Roman" w:cs="Times New Roman"/>
          <w:sz w:val="24"/>
          <w:szCs w:val="24"/>
        </w:rPr>
        <w:t>. Lastly, g</w:t>
      </w:r>
      <w:r w:rsidRPr="00173569">
        <w:rPr>
          <w:rFonts w:ascii="Times New Roman" w:hAnsi="Times New Roman" w:cs="Times New Roman"/>
          <w:sz w:val="24"/>
          <w:szCs w:val="24"/>
        </w:rPr>
        <w:t xml:space="preserve">overnment effectiveness captures perceptions of the quality of public services, the quality of the civil service and the degree </w:t>
      </w:r>
      <w:r w:rsidRPr="00173569">
        <w:rPr>
          <w:rFonts w:ascii="Times New Roman" w:hAnsi="Times New Roman" w:cs="Times New Roman"/>
          <w:sz w:val="24"/>
          <w:szCs w:val="24"/>
        </w:rPr>
        <w:lastRenderedPageBreak/>
        <w:t>of its independence from political pressures, the quality of policy formulation and implementation, and the credibility of the government's commitment to such policies.</w:t>
      </w:r>
      <w:r w:rsidR="00DE2B4F">
        <w:rPr>
          <w:rStyle w:val="FootnoteReference"/>
          <w:rFonts w:ascii="Times New Roman" w:hAnsi="Times New Roman" w:cs="Times New Roman"/>
          <w:sz w:val="24"/>
          <w:szCs w:val="24"/>
        </w:rPr>
        <w:footnoteReference w:id="8"/>
      </w:r>
    </w:p>
    <w:p w14:paraId="0595C248" w14:textId="6CE7160A" w:rsidR="0002223B" w:rsidRPr="00173569"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173569">
        <w:rPr>
          <w:rFonts w:ascii="Times New Roman" w:hAnsi="Times New Roman" w:cs="Times New Roman"/>
          <w:sz w:val="24"/>
          <w:szCs w:val="24"/>
        </w:rPr>
        <w:t xml:space="preserve">We </w:t>
      </w:r>
      <w:r w:rsidR="003E03B4" w:rsidRPr="00173569">
        <w:rPr>
          <w:rFonts w:ascii="Times New Roman" w:hAnsi="Times New Roman" w:cs="Times New Roman"/>
          <w:sz w:val="24"/>
          <w:szCs w:val="24"/>
        </w:rPr>
        <w:t xml:space="preserve">also </w:t>
      </w:r>
      <w:r w:rsidRPr="00173569">
        <w:rPr>
          <w:rFonts w:ascii="Times New Roman" w:hAnsi="Times New Roman" w:cs="Times New Roman"/>
          <w:sz w:val="24"/>
          <w:szCs w:val="24"/>
        </w:rPr>
        <w:t xml:space="preserve">use cumulative excess mortality per million </w:t>
      </w:r>
      <w:r w:rsidR="002E5803" w:rsidRPr="00173569">
        <w:rPr>
          <w:rFonts w:ascii="Times New Roman" w:hAnsi="Times New Roman" w:cs="Times New Roman"/>
          <w:sz w:val="24"/>
          <w:szCs w:val="24"/>
        </w:rPr>
        <w:t>population</w:t>
      </w:r>
      <w:r w:rsidRPr="00173569">
        <w:rPr>
          <w:rFonts w:ascii="Times New Roman" w:hAnsi="Times New Roman" w:cs="Times New Roman"/>
          <w:sz w:val="24"/>
          <w:szCs w:val="24"/>
        </w:rPr>
        <w:t xml:space="preserve"> from </w:t>
      </w:r>
      <w:r w:rsidRPr="00173569">
        <w:rPr>
          <w:rFonts w:ascii="Times New Roman" w:hAnsi="Times New Roman" w:cs="Times New Roman"/>
          <w:i/>
          <w:iCs/>
          <w:sz w:val="24"/>
          <w:szCs w:val="24"/>
        </w:rPr>
        <w:t>the Economist</w:t>
      </w:r>
      <w:r w:rsidRPr="00173569">
        <w:rPr>
          <w:rFonts w:ascii="Times New Roman" w:hAnsi="Times New Roman" w:cs="Times New Roman"/>
          <w:sz w:val="24"/>
          <w:szCs w:val="24"/>
        </w:rPr>
        <w:t xml:space="preserve">’s tracker for </w:t>
      </w:r>
      <w:r w:rsidR="00525E77" w:rsidRPr="00173569">
        <w:rPr>
          <w:rFonts w:ascii="Times New Roman" w:hAnsi="Times New Roman" w:cs="Times New Roman"/>
          <w:sz w:val="24"/>
          <w:szCs w:val="24"/>
        </w:rPr>
        <w:t>Covid</w:t>
      </w:r>
      <w:r w:rsidRPr="00173569">
        <w:rPr>
          <w:rFonts w:ascii="Times New Roman" w:hAnsi="Times New Roman" w:cs="Times New Roman"/>
          <w:sz w:val="24"/>
          <w:szCs w:val="24"/>
        </w:rPr>
        <w:t xml:space="preserve">-19 excess deaths, which is calculated by </w:t>
      </w:r>
      <w:r w:rsidR="002E4748" w:rsidRPr="00173569">
        <w:rPr>
          <w:rFonts w:ascii="Times New Roman" w:hAnsi="Times New Roman" w:cs="Times New Roman"/>
          <w:sz w:val="24"/>
          <w:szCs w:val="24"/>
        </w:rPr>
        <w:t>comparing all-cause</w:t>
      </w:r>
      <w:r w:rsidRPr="00173569">
        <w:rPr>
          <w:rFonts w:ascii="Times New Roman" w:hAnsi="Times New Roman" w:cs="Times New Roman"/>
          <w:sz w:val="24"/>
          <w:szCs w:val="24"/>
        </w:rPr>
        <w:t xml:space="preserve"> </w:t>
      </w:r>
      <w:r w:rsidR="00F556B1" w:rsidRPr="00173569">
        <w:rPr>
          <w:rFonts w:ascii="Times New Roman" w:hAnsi="Times New Roman" w:cs="Times New Roman"/>
          <w:sz w:val="24"/>
          <w:szCs w:val="24"/>
        </w:rPr>
        <w:t>mortality</w:t>
      </w:r>
      <w:r w:rsidRPr="00173569">
        <w:rPr>
          <w:rFonts w:ascii="Times New Roman" w:hAnsi="Times New Roman" w:cs="Times New Roman"/>
          <w:sz w:val="24"/>
          <w:szCs w:val="24"/>
        </w:rPr>
        <w:t xml:space="preserve"> in a given country and </w:t>
      </w:r>
      <w:r w:rsidR="002E4748" w:rsidRPr="00173569">
        <w:rPr>
          <w:rFonts w:ascii="Times New Roman" w:hAnsi="Times New Roman" w:cs="Times New Roman"/>
          <w:sz w:val="24"/>
          <w:szCs w:val="24"/>
        </w:rPr>
        <w:t xml:space="preserve">time frame </w:t>
      </w:r>
      <w:r w:rsidRPr="00173569">
        <w:rPr>
          <w:rFonts w:ascii="Times New Roman" w:hAnsi="Times New Roman" w:cs="Times New Roman"/>
          <w:sz w:val="24"/>
          <w:szCs w:val="24"/>
        </w:rPr>
        <w:t xml:space="preserve">with a historical baseline from </w:t>
      </w:r>
      <w:r w:rsidR="002E4748" w:rsidRPr="00173569">
        <w:rPr>
          <w:rFonts w:ascii="Times New Roman" w:hAnsi="Times New Roman" w:cs="Times New Roman"/>
          <w:sz w:val="24"/>
          <w:szCs w:val="24"/>
        </w:rPr>
        <w:t xml:space="preserve">prior </w:t>
      </w:r>
      <w:r w:rsidRPr="00173569">
        <w:rPr>
          <w:rFonts w:ascii="Times New Roman" w:hAnsi="Times New Roman" w:cs="Times New Roman"/>
          <w:sz w:val="24"/>
          <w:szCs w:val="24"/>
        </w:rPr>
        <w:t xml:space="preserve">years. </w:t>
      </w:r>
      <w:r w:rsidR="002E4748" w:rsidRPr="00173569">
        <w:rPr>
          <w:rFonts w:ascii="Times New Roman" w:hAnsi="Times New Roman" w:cs="Times New Roman"/>
          <w:sz w:val="24"/>
          <w:szCs w:val="24"/>
        </w:rPr>
        <w:t>A</w:t>
      </w:r>
      <w:r w:rsidRPr="00173569">
        <w:rPr>
          <w:rFonts w:ascii="Times New Roman" w:hAnsi="Times New Roman" w:cs="Times New Roman"/>
          <w:sz w:val="24"/>
          <w:szCs w:val="24"/>
        </w:rPr>
        <w:t xml:space="preserve"> linear trend </w:t>
      </w:r>
      <w:r w:rsidR="002E4748" w:rsidRPr="00173569">
        <w:rPr>
          <w:rFonts w:ascii="Times New Roman" w:hAnsi="Times New Roman" w:cs="Times New Roman"/>
          <w:sz w:val="24"/>
          <w:szCs w:val="24"/>
        </w:rPr>
        <w:t xml:space="preserve">is then fit </w:t>
      </w:r>
      <w:r w:rsidRPr="00173569">
        <w:rPr>
          <w:rFonts w:ascii="Times New Roman" w:hAnsi="Times New Roman" w:cs="Times New Roman"/>
          <w:sz w:val="24"/>
          <w:szCs w:val="24"/>
        </w:rPr>
        <w:t xml:space="preserve">for </w:t>
      </w:r>
      <w:r w:rsidR="004732A7" w:rsidRPr="00173569">
        <w:rPr>
          <w:rFonts w:ascii="Times New Roman" w:hAnsi="Times New Roman" w:cs="Times New Roman"/>
          <w:sz w:val="24"/>
          <w:szCs w:val="24"/>
        </w:rPr>
        <w:t xml:space="preserve">the </w:t>
      </w:r>
      <w:r w:rsidRPr="00173569">
        <w:rPr>
          <w:rFonts w:ascii="Times New Roman" w:hAnsi="Times New Roman" w:cs="Times New Roman"/>
          <w:sz w:val="24"/>
          <w:szCs w:val="24"/>
        </w:rPr>
        <w:t>year, accounting for long-term increases or decreases in mortality, and</w:t>
      </w:r>
      <w:r w:rsidR="008768D4" w:rsidRPr="00173569">
        <w:rPr>
          <w:rFonts w:ascii="Times New Roman" w:hAnsi="Times New Roman" w:cs="Times New Roman"/>
          <w:sz w:val="24"/>
          <w:szCs w:val="24"/>
        </w:rPr>
        <w:t xml:space="preserve"> </w:t>
      </w:r>
      <w:r w:rsidRPr="00173569">
        <w:rPr>
          <w:rFonts w:ascii="Times New Roman" w:hAnsi="Times New Roman" w:cs="Times New Roman"/>
          <w:sz w:val="24"/>
          <w:szCs w:val="24"/>
        </w:rPr>
        <w:t xml:space="preserve">a fixed effect </w:t>
      </w:r>
      <w:r w:rsidR="002E4748" w:rsidRPr="00173569">
        <w:rPr>
          <w:rFonts w:ascii="Times New Roman" w:hAnsi="Times New Roman" w:cs="Times New Roman"/>
          <w:sz w:val="24"/>
          <w:szCs w:val="24"/>
        </w:rPr>
        <w:t xml:space="preserve">is implemented </w:t>
      </w:r>
      <w:r w:rsidRPr="00173569">
        <w:rPr>
          <w:rFonts w:ascii="Times New Roman" w:hAnsi="Times New Roman" w:cs="Times New Roman"/>
          <w:sz w:val="24"/>
          <w:szCs w:val="24"/>
        </w:rPr>
        <w:t>for each week or month up to February 2020</w:t>
      </w:r>
      <w:r w:rsidR="002E4748" w:rsidRPr="00173569">
        <w:rPr>
          <w:rFonts w:ascii="Times New Roman" w:hAnsi="Times New Roman" w:cs="Times New Roman"/>
          <w:sz w:val="24"/>
          <w:szCs w:val="24"/>
        </w:rPr>
        <w:t xml:space="preserve"> to account for short-term fluctuations</w:t>
      </w:r>
      <w:r w:rsidRPr="00173569">
        <w:rPr>
          <w:rFonts w:ascii="Times New Roman" w:hAnsi="Times New Roman" w:cs="Times New Roman"/>
          <w:sz w:val="24"/>
          <w:szCs w:val="24"/>
        </w:rPr>
        <w:t xml:space="preserve">. </w:t>
      </w:r>
    </w:p>
    <w:p w14:paraId="44C1CFD4" w14:textId="77777777" w:rsidR="00BF38B3" w:rsidRPr="00173569" w:rsidRDefault="00BF38B3" w:rsidP="00C82A25">
      <w:pPr>
        <w:autoSpaceDE w:val="0"/>
        <w:autoSpaceDN w:val="0"/>
        <w:adjustRightInd w:val="0"/>
        <w:spacing w:after="0" w:line="360" w:lineRule="auto"/>
        <w:ind w:firstLine="720"/>
        <w:jc w:val="both"/>
        <w:rPr>
          <w:rFonts w:ascii="Times New Roman" w:hAnsi="Times New Roman" w:cs="Times New Roman"/>
          <w:b/>
          <w:sz w:val="24"/>
          <w:szCs w:val="24"/>
        </w:rPr>
      </w:pPr>
    </w:p>
    <w:p w14:paraId="25850FC4" w14:textId="7845816E" w:rsidR="000F2211" w:rsidRPr="00173569" w:rsidRDefault="00B315D1" w:rsidP="00245CBF">
      <w:pPr>
        <w:pStyle w:val="ListParagraph"/>
        <w:numPr>
          <w:ilvl w:val="0"/>
          <w:numId w:val="15"/>
        </w:numPr>
        <w:ind w:hanging="720"/>
        <w:rPr>
          <w:rFonts w:ascii="Times New Roman" w:hAnsi="Times New Roman" w:cs="Times New Roman"/>
          <w:b/>
          <w:sz w:val="24"/>
          <w:szCs w:val="24"/>
        </w:rPr>
      </w:pPr>
      <w:r w:rsidRPr="00173569">
        <w:rPr>
          <w:rFonts w:ascii="Times New Roman" w:hAnsi="Times New Roman" w:cs="Times New Roman"/>
          <w:b/>
          <w:sz w:val="24"/>
          <w:szCs w:val="24"/>
        </w:rPr>
        <w:t>Quartile</w:t>
      </w:r>
      <w:r w:rsidR="000F2211" w:rsidRPr="00173569">
        <w:rPr>
          <w:rFonts w:ascii="Times New Roman" w:hAnsi="Times New Roman" w:cs="Times New Roman"/>
          <w:b/>
          <w:sz w:val="24"/>
          <w:szCs w:val="24"/>
        </w:rPr>
        <w:t xml:space="preserve"> </w:t>
      </w:r>
      <w:r w:rsidR="0005057D" w:rsidRPr="00173569">
        <w:rPr>
          <w:rFonts w:ascii="Times New Roman" w:hAnsi="Times New Roman" w:cs="Times New Roman"/>
          <w:b/>
          <w:sz w:val="24"/>
          <w:szCs w:val="24"/>
        </w:rPr>
        <w:t>Evidence</w:t>
      </w:r>
      <w:r w:rsidR="000F2211" w:rsidRPr="00173569">
        <w:rPr>
          <w:rFonts w:ascii="Times New Roman" w:hAnsi="Times New Roman" w:cs="Times New Roman"/>
          <w:b/>
          <w:sz w:val="24"/>
          <w:szCs w:val="24"/>
        </w:rPr>
        <w:t xml:space="preserve"> </w:t>
      </w:r>
      <w:r w:rsidR="0005057D" w:rsidRPr="00173569">
        <w:rPr>
          <w:rFonts w:ascii="Times New Roman" w:hAnsi="Times New Roman" w:cs="Times New Roman"/>
          <w:b/>
          <w:sz w:val="24"/>
          <w:szCs w:val="24"/>
        </w:rPr>
        <w:t>Contrasting</w:t>
      </w:r>
      <w:r w:rsidR="000F2211" w:rsidRPr="00173569">
        <w:rPr>
          <w:rFonts w:ascii="Times New Roman" w:hAnsi="Times New Roman" w:cs="Times New Roman"/>
          <w:b/>
          <w:sz w:val="24"/>
          <w:szCs w:val="24"/>
        </w:rPr>
        <w:t xml:space="preserve"> </w:t>
      </w:r>
      <w:r w:rsidR="00520DBA" w:rsidRPr="00173569">
        <w:rPr>
          <w:rFonts w:ascii="Times New Roman" w:hAnsi="Times New Roman" w:cs="Times New Roman"/>
          <w:b/>
          <w:color w:val="000000" w:themeColor="text1"/>
          <w:sz w:val="24"/>
          <w:szCs w:val="24"/>
        </w:rPr>
        <w:t>Official</w:t>
      </w:r>
      <w:r w:rsidR="000F2211" w:rsidRPr="00173569">
        <w:rPr>
          <w:rFonts w:ascii="Times New Roman" w:hAnsi="Times New Roman" w:cs="Times New Roman"/>
          <w:b/>
          <w:color w:val="000000" w:themeColor="text1"/>
          <w:sz w:val="24"/>
          <w:szCs w:val="24"/>
        </w:rPr>
        <w:t xml:space="preserve"> </w:t>
      </w:r>
      <w:r w:rsidR="00BB328F" w:rsidRPr="00173569">
        <w:rPr>
          <w:rFonts w:ascii="Times New Roman" w:hAnsi="Times New Roman" w:cs="Times New Roman"/>
          <w:b/>
          <w:color w:val="000000" w:themeColor="text1"/>
          <w:sz w:val="24"/>
          <w:szCs w:val="24"/>
        </w:rPr>
        <w:t xml:space="preserve">versus Excess </w:t>
      </w:r>
      <w:r w:rsidR="00BB328F" w:rsidRPr="00173569">
        <w:rPr>
          <w:rFonts w:ascii="Times New Roman" w:hAnsi="Times New Roman" w:cs="Times New Roman"/>
          <w:b/>
          <w:sz w:val="24"/>
          <w:szCs w:val="24"/>
        </w:rPr>
        <w:t xml:space="preserve">Cumulative </w:t>
      </w:r>
      <w:r w:rsidR="00525E77" w:rsidRPr="00173569">
        <w:rPr>
          <w:rFonts w:ascii="Times New Roman" w:hAnsi="Times New Roman" w:cs="Times New Roman"/>
          <w:b/>
          <w:color w:val="000000" w:themeColor="text1"/>
          <w:sz w:val="24"/>
          <w:szCs w:val="24"/>
        </w:rPr>
        <w:t>Covid</w:t>
      </w:r>
      <w:r w:rsidR="002E5803" w:rsidRPr="00173569">
        <w:rPr>
          <w:rFonts w:ascii="Times New Roman" w:hAnsi="Times New Roman" w:cs="Times New Roman"/>
          <w:b/>
          <w:color w:val="000000" w:themeColor="text1"/>
          <w:sz w:val="24"/>
          <w:szCs w:val="24"/>
        </w:rPr>
        <w:t>-19</w:t>
      </w:r>
      <w:r w:rsidR="000F2211" w:rsidRPr="00173569">
        <w:rPr>
          <w:rFonts w:ascii="Times New Roman" w:hAnsi="Times New Roman" w:cs="Times New Roman"/>
          <w:b/>
          <w:color w:val="000000" w:themeColor="text1"/>
          <w:sz w:val="24"/>
          <w:szCs w:val="24"/>
        </w:rPr>
        <w:t xml:space="preserve"> </w:t>
      </w:r>
      <w:r w:rsidR="0005057D" w:rsidRPr="00173569">
        <w:rPr>
          <w:rFonts w:ascii="Times New Roman" w:hAnsi="Times New Roman" w:cs="Times New Roman"/>
          <w:b/>
          <w:color w:val="000000" w:themeColor="text1"/>
          <w:sz w:val="24"/>
          <w:szCs w:val="24"/>
        </w:rPr>
        <w:t>M</w:t>
      </w:r>
      <w:r w:rsidR="000F2211" w:rsidRPr="00173569">
        <w:rPr>
          <w:rFonts w:ascii="Times New Roman" w:hAnsi="Times New Roman" w:cs="Times New Roman"/>
          <w:b/>
          <w:color w:val="000000" w:themeColor="text1"/>
          <w:sz w:val="24"/>
          <w:szCs w:val="24"/>
        </w:rPr>
        <w:t>ortality</w:t>
      </w:r>
      <w:r w:rsidR="004A27EE" w:rsidRPr="00173569">
        <w:rPr>
          <w:rFonts w:ascii="Times New Roman" w:hAnsi="Times New Roman" w:cs="Times New Roman"/>
          <w:b/>
          <w:sz w:val="24"/>
          <w:szCs w:val="24"/>
        </w:rPr>
        <w:t xml:space="preserve">, </w:t>
      </w:r>
      <w:r w:rsidR="00DE604E" w:rsidRPr="00173569">
        <w:rPr>
          <w:rFonts w:ascii="Times New Roman" w:hAnsi="Times New Roman" w:cs="Times New Roman"/>
          <w:b/>
          <w:sz w:val="24"/>
          <w:szCs w:val="24"/>
        </w:rPr>
        <w:t>2020</w:t>
      </w:r>
      <w:r w:rsidR="0002223B">
        <w:rPr>
          <w:rFonts w:ascii="Times New Roman" w:hAnsi="Times New Roman" w:cs="Times New Roman"/>
          <w:b/>
          <w:sz w:val="24"/>
          <w:szCs w:val="24"/>
        </w:rPr>
        <w:t xml:space="preserve"> </w:t>
      </w:r>
      <w:r w:rsidR="0002223B" w:rsidRPr="00974E51">
        <w:rPr>
          <w:rFonts w:ascii="Times New Roman" w:hAnsi="Times New Roman" w:cs="Times New Roman"/>
          <w:b/>
          <w:color w:val="222222"/>
          <w:sz w:val="24"/>
          <w:szCs w:val="24"/>
          <w:shd w:val="clear" w:color="auto" w:fill="FFFFFF"/>
        </w:rPr>
        <w:t xml:space="preserve">– </w:t>
      </w:r>
      <w:r w:rsidR="00DE604E" w:rsidRPr="00173569">
        <w:rPr>
          <w:rFonts w:ascii="Times New Roman" w:hAnsi="Times New Roman" w:cs="Times New Roman"/>
          <w:b/>
          <w:sz w:val="24"/>
          <w:szCs w:val="24"/>
        </w:rPr>
        <w:t>2021</w:t>
      </w:r>
    </w:p>
    <w:p w14:paraId="7B77D4B4" w14:textId="70B1ABE3" w:rsidR="00424F2B" w:rsidRPr="00173569" w:rsidRDefault="00DE604E" w:rsidP="00824F09">
      <w:pPr>
        <w:spacing w:line="360" w:lineRule="auto"/>
        <w:ind w:firstLine="360"/>
        <w:rPr>
          <w:rFonts w:ascii="Times New Roman" w:hAnsi="Times New Roman" w:cs="Times New Roman"/>
          <w:sz w:val="24"/>
          <w:szCs w:val="24"/>
        </w:rPr>
      </w:pPr>
      <w:r w:rsidRPr="00173569">
        <w:rPr>
          <w:rFonts w:ascii="Times New Roman" w:hAnsi="Times New Roman" w:cs="Times New Roman"/>
          <w:sz w:val="24"/>
          <w:szCs w:val="24"/>
        </w:rPr>
        <w:t xml:space="preserve">We start by tabulating the </w:t>
      </w:r>
      <w:r w:rsidR="00C45F31" w:rsidRPr="00173569">
        <w:rPr>
          <w:rFonts w:ascii="Times New Roman" w:hAnsi="Times New Roman" w:cs="Times New Roman"/>
          <w:sz w:val="24"/>
          <w:szCs w:val="24"/>
        </w:rPr>
        <w:t>quartile</w:t>
      </w:r>
      <w:r w:rsidR="00424F2B" w:rsidRPr="00173569">
        <w:rPr>
          <w:rFonts w:ascii="Times New Roman" w:hAnsi="Times New Roman" w:cs="Times New Roman"/>
          <w:sz w:val="24"/>
          <w:szCs w:val="24"/>
        </w:rPr>
        <w:t xml:space="preserve"> </w:t>
      </w:r>
      <w:r w:rsidRPr="00173569">
        <w:rPr>
          <w:rFonts w:ascii="Times New Roman" w:hAnsi="Times New Roman" w:cs="Times New Roman"/>
          <w:sz w:val="24"/>
          <w:szCs w:val="24"/>
        </w:rPr>
        <w:t>rank order of mor</w:t>
      </w:r>
      <w:r w:rsidR="00B315D1" w:rsidRPr="00173569">
        <w:rPr>
          <w:rFonts w:ascii="Times New Roman" w:hAnsi="Times New Roman" w:cs="Times New Roman"/>
          <w:sz w:val="24"/>
          <w:szCs w:val="24"/>
        </w:rPr>
        <w:t xml:space="preserve">tality </w:t>
      </w:r>
      <w:r w:rsidRPr="00173569">
        <w:rPr>
          <w:rFonts w:ascii="Times New Roman" w:hAnsi="Times New Roman" w:cs="Times New Roman"/>
          <w:sz w:val="24"/>
          <w:szCs w:val="24"/>
        </w:rPr>
        <w:t xml:space="preserve">per million during the first two </w:t>
      </w:r>
      <w:r w:rsidR="00525E77" w:rsidRPr="00173569">
        <w:rPr>
          <w:rFonts w:ascii="Times New Roman" w:hAnsi="Times New Roman" w:cs="Times New Roman"/>
          <w:sz w:val="24"/>
          <w:szCs w:val="24"/>
        </w:rPr>
        <w:t>Covid</w:t>
      </w:r>
      <w:r w:rsidR="00CF327A" w:rsidRPr="00173569">
        <w:rPr>
          <w:rFonts w:ascii="Times New Roman" w:hAnsi="Times New Roman" w:cs="Times New Roman"/>
          <w:sz w:val="24"/>
          <w:szCs w:val="24"/>
        </w:rPr>
        <w:t>-19</w:t>
      </w:r>
      <w:r w:rsidRPr="00173569">
        <w:rPr>
          <w:rFonts w:ascii="Times New Roman" w:hAnsi="Times New Roman" w:cs="Times New Roman"/>
          <w:sz w:val="24"/>
          <w:szCs w:val="24"/>
        </w:rPr>
        <w:t xml:space="preserve"> years</w:t>
      </w:r>
      <w:r w:rsidR="00D7451B" w:rsidRPr="00173569">
        <w:rPr>
          <w:rFonts w:ascii="Times New Roman" w:hAnsi="Times New Roman" w:cs="Times New Roman"/>
          <w:sz w:val="24"/>
          <w:szCs w:val="24"/>
        </w:rPr>
        <w:t xml:space="preserve"> (from the beginning of 2020 to the end of 2021)</w:t>
      </w:r>
      <w:r w:rsidR="00424F2B" w:rsidRPr="00173569">
        <w:rPr>
          <w:rFonts w:ascii="Times New Roman" w:hAnsi="Times New Roman" w:cs="Times New Roman"/>
          <w:sz w:val="24"/>
          <w:szCs w:val="24"/>
        </w:rPr>
        <w:t xml:space="preserve"> using the two </w:t>
      </w:r>
      <w:r w:rsidR="00D7451B" w:rsidRPr="00173569">
        <w:rPr>
          <w:rFonts w:ascii="Times New Roman" w:hAnsi="Times New Roman" w:cs="Times New Roman"/>
          <w:sz w:val="24"/>
          <w:szCs w:val="24"/>
        </w:rPr>
        <w:t xml:space="preserve">mortality measures, i.e., the </w:t>
      </w:r>
      <w:r w:rsidR="00520DBA" w:rsidRPr="00173569">
        <w:rPr>
          <w:rFonts w:ascii="Times New Roman" w:hAnsi="Times New Roman" w:cs="Times New Roman"/>
          <w:sz w:val="24"/>
          <w:szCs w:val="24"/>
        </w:rPr>
        <w:t>official</w:t>
      </w:r>
      <w:r w:rsidR="00D7451B" w:rsidRPr="00173569">
        <w:rPr>
          <w:rFonts w:ascii="Times New Roman" w:hAnsi="Times New Roman" w:cs="Times New Roman"/>
          <w:sz w:val="24"/>
          <w:szCs w:val="24"/>
        </w:rPr>
        <w:t xml:space="preserve"> (or </w:t>
      </w:r>
      <w:r w:rsidR="00103109" w:rsidRPr="00173569">
        <w:rPr>
          <w:rFonts w:ascii="Times New Roman" w:hAnsi="Times New Roman" w:cs="Times New Roman"/>
          <w:sz w:val="24"/>
          <w:szCs w:val="24"/>
        </w:rPr>
        <w:t>reported</w:t>
      </w:r>
      <w:r w:rsidR="00D7451B" w:rsidRPr="00173569">
        <w:rPr>
          <w:rFonts w:ascii="Times New Roman" w:hAnsi="Times New Roman" w:cs="Times New Roman"/>
          <w:sz w:val="24"/>
          <w:szCs w:val="24"/>
        </w:rPr>
        <w:t xml:space="preserve">) </w:t>
      </w:r>
      <w:r w:rsidR="008A55DE" w:rsidRPr="00173569">
        <w:rPr>
          <w:rFonts w:ascii="Times New Roman" w:hAnsi="Times New Roman" w:cs="Times New Roman"/>
          <w:sz w:val="24"/>
          <w:szCs w:val="24"/>
        </w:rPr>
        <w:t>mortality and the excess mortality</w:t>
      </w:r>
      <w:r w:rsidRPr="00173569">
        <w:rPr>
          <w:rFonts w:ascii="Times New Roman" w:hAnsi="Times New Roman" w:cs="Times New Roman"/>
          <w:sz w:val="24"/>
          <w:szCs w:val="24"/>
        </w:rPr>
        <w:t xml:space="preserve">. Next, we describe the large </w:t>
      </w:r>
      <w:r w:rsidR="00B315D1" w:rsidRPr="00173569">
        <w:rPr>
          <w:rFonts w:ascii="Times New Roman" w:hAnsi="Times New Roman" w:cs="Times New Roman"/>
          <w:sz w:val="24"/>
          <w:szCs w:val="24"/>
        </w:rPr>
        <w:t>discrepancies</w:t>
      </w:r>
      <w:r w:rsidRPr="00173569">
        <w:rPr>
          <w:rFonts w:ascii="Times New Roman" w:hAnsi="Times New Roman" w:cs="Times New Roman"/>
          <w:sz w:val="24"/>
          <w:szCs w:val="24"/>
        </w:rPr>
        <w:t xml:space="preserve"> of </w:t>
      </w:r>
      <w:r w:rsidR="00B315D1" w:rsidRPr="00173569">
        <w:rPr>
          <w:rFonts w:ascii="Times New Roman" w:hAnsi="Times New Roman" w:cs="Times New Roman"/>
          <w:sz w:val="24"/>
          <w:szCs w:val="24"/>
        </w:rPr>
        <w:t>countries</w:t>
      </w:r>
      <w:r w:rsidRPr="00173569">
        <w:rPr>
          <w:rFonts w:ascii="Times New Roman" w:hAnsi="Times New Roman" w:cs="Times New Roman"/>
          <w:sz w:val="24"/>
          <w:szCs w:val="24"/>
        </w:rPr>
        <w:t xml:space="preserve">’ ranking between the two </w:t>
      </w:r>
      <w:r w:rsidR="00F556B1" w:rsidRPr="00173569">
        <w:rPr>
          <w:rFonts w:ascii="Times New Roman" w:hAnsi="Times New Roman" w:cs="Times New Roman"/>
          <w:sz w:val="24"/>
          <w:szCs w:val="24"/>
        </w:rPr>
        <w:t>mortality</w:t>
      </w:r>
      <w:r w:rsidR="008A55DE" w:rsidRPr="00173569">
        <w:rPr>
          <w:rFonts w:ascii="Times New Roman" w:hAnsi="Times New Roman" w:cs="Times New Roman"/>
          <w:sz w:val="24"/>
          <w:szCs w:val="24"/>
        </w:rPr>
        <w:t xml:space="preserve"> </w:t>
      </w:r>
      <w:r w:rsidR="00F556B1" w:rsidRPr="00173569">
        <w:rPr>
          <w:rFonts w:ascii="Times New Roman" w:hAnsi="Times New Roman" w:cs="Times New Roman"/>
          <w:sz w:val="24"/>
          <w:szCs w:val="24"/>
        </w:rPr>
        <w:t>measures</w:t>
      </w:r>
      <w:r w:rsidRPr="00173569">
        <w:rPr>
          <w:rFonts w:ascii="Times New Roman" w:hAnsi="Times New Roman" w:cs="Times New Roman"/>
          <w:sz w:val="24"/>
          <w:szCs w:val="24"/>
        </w:rPr>
        <w:t xml:space="preserve">. To gain further insight, we </w:t>
      </w:r>
      <w:r w:rsidR="00103109" w:rsidRPr="00173569">
        <w:rPr>
          <w:rFonts w:ascii="Times New Roman" w:hAnsi="Times New Roman" w:cs="Times New Roman"/>
          <w:sz w:val="24"/>
          <w:szCs w:val="24"/>
        </w:rPr>
        <w:t>present regressions</w:t>
      </w:r>
      <w:r w:rsidRPr="00173569">
        <w:rPr>
          <w:rFonts w:ascii="Times New Roman" w:hAnsi="Times New Roman" w:cs="Times New Roman"/>
          <w:sz w:val="24"/>
          <w:szCs w:val="24"/>
        </w:rPr>
        <w:t xml:space="preserve"> </w:t>
      </w:r>
      <w:r w:rsidR="00B315D1" w:rsidRPr="00173569">
        <w:rPr>
          <w:rFonts w:ascii="Times New Roman" w:hAnsi="Times New Roman" w:cs="Times New Roman"/>
          <w:sz w:val="24"/>
          <w:szCs w:val="24"/>
        </w:rPr>
        <w:t>accounting</w:t>
      </w:r>
      <w:r w:rsidR="003E03B4" w:rsidRPr="00173569">
        <w:rPr>
          <w:rFonts w:ascii="Times New Roman" w:hAnsi="Times New Roman" w:cs="Times New Roman"/>
          <w:sz w:val="24"/>
          <w:szCs w:val="24"/>
        </w:rPr>
        <w:t xml:space="preserve"> for</w:t>
      </w:r>
      <w:r w:rsidRPr="00173569">
        <w:rPr>
          <w:rFonts w:ascii="Times New Roman" w:hAnsi="Times New Roman" w:cs="Times New Roman"/>
          <w:sz w:val="24"/>
          <w:szCs w:val="24"/>
        </w:rPr>
        <w:t xml:space="preserve"> </w:t>
      </w:r>
      <w:r w:rsidR="004E7F18" w:rsidRPr="00173569">
        <w:rPr>
          <w:rFonts w:ascii="Times New Roman" w:hAnsi="Times New Roman" w:cs="Times New Roman"/>
          <w:sz w:val="24"/>
          <w:szCs w:val="24"/>
        </w:rPr>
        <w:t>these differences</w:t>
      </w:r>
      <w:r w:rsidRPr="00173569">
        <w:rPr>
          <w:rFonts w:ascii="Times New Roman" w:hAnsi="Times New Roman" w:cs="Times New Roman"/>
          <w:sz w:val="24"/>
          <w:szCs w:val="24"/>
        </w:rPr>
        <w:t xml:space="preserve">, and close with discussion </w:t>
      </w:r>
      <w:r w:rsidR="007550A8" w:rsidRPr="00173569">
        <w:rPr>
          <w:rFonts w:ascii="Times New Roman" w:hAnsi="Times New Roman" w:cs="Times New Roman"/>
          <w:sz w:val="24"/>
          <w:szCs w:val="24"/>
        </w:rPr>
        <w:t xml:space="preserve">and </w:t>
      </w:r>
      <w:r w:rsidR="00F96761" w:rsidRPr="00173569">
        <w:rPr>
          <w:rFonts w:ascii="Times New Roman" w:hAnsi="Times New Roman" w:cs="Times New Roman"/>
          <w:sz w:val="24"/>
          <w:szCs w:val="24"/>
        </w:rPr>
        <w:t>interpretations</w:t>
      </w:r>
      <w:r w:rsidRPr="00173569">
        <w:rPr>
          <w:rFonts w:ascii="Times New Roman" w:hAnsi="Times New Roman" w:cs="Times New Roman"/>
          <w:sz w:val="24"/>
          <w:szCs w:val="24"/>
        </w:rPr>
        <w:t xml:space="preserve">.  </w:t>
      </w:r>
    </w:p>
    <w:p w14:paraId="1B4D87BB" w14:textId="2007F0D4" w:rsidR="00EE15B7" w:rsidRPr="00173569" w:rsidRDefault="000F2211" w:rsidP="00EE15B7">
      <w:pPr>
        <w:spacing w:line="360" w:lineRule="auto"/>
        <w:ind w:firstLine="360"/>
        <w:rPr>
          <w:rFonts w:ascii="Times New Roman" w:hAnsi="Times New Roman" w:cs="Times New Roman"/>
          <w:sz w:val="24"/>
          <w:szCs w:val="24"/>
        </w:rPr>
      </w:pPr>
      <w:r w:rsidRPr="00173569">
        <w:rPr>
          <w:rFonts w:ascii="Times New Roman" w:hAnsi="Times New Roman" w:cs="Times New Roman"/>
          <w:sz w:val="24"/>
          <w:szCs w:val="24"/>
        </w:rPr>
        <w:t xml:space="preserve">Table 1 reports the </w:t>
      </w:r>
      <w:r w:rsidR="00424F2B" w:rsidRPr="00173569">
        <w:rPr>
          <w:rFonts w:ascii="Times New Roman" w:hAnsi="Times New Roman" w:cs="Times New Roman"/>
          <w:sz w:val="24"/>
          <w:szCs w:val="24"/>
        </w:rPr>
        <w:t>a</w:t>
      </w:r>
      <w:r w:rsidRPr="00173569">
        <w:rPr>
          <w:rFonts w:ascii="Times New Roman" w:hAnsi="Times New Roman" w:cs="Times New Roman"/>
          <w:sz w:val="24"/>
          <w:szCs w:val="24"/>
        </w:rPr>
        <w:t>verage statistics of countries in quartile</w:t>
      </w:r>
      <w:r w:rsidR="00424F2B" w:rsidRPr="00173569">
        <w:rPr>
          <w:rFonts w:ascii="Times New Roman" w:hAnsi="Times New Roman" w:cs="Times New Roman"/>
          <w:sz w:val="24"/>
          <w:szCs w:val="24"/>
        </w:rPr>
        <w:t>s</w:t>
      </w:r>
      <w:r w:rsidRPr="00173569">
        <w:rPr>
          <w:rFonts w:ascii="Times New Roman" w:hAnsi="Times New Roman" w:cs="Times New Roman"/>
          <w:sz w:val="24"/>
          <w:szCs w:val="24"/>
        </w:rPr>
        <w:t xml:space="preserve"> </w:t>
      </w:r>
      <w:r w:rsidR="00424F2B" w:rsidRPr="00173569">
        <w:rPr>
          <w:rFonts w:ascii="Times New Roman" w:hAnsi="Times New Roman" w:cs="Times New Roman"/>
          <w:sz w:val="24"/>
          <w:szCs w:val="24"/>
        </w:rPr>
        <w:t xml:space="preserve">of </w:t>
      </w:r>
      <w:r w:rsidRPr="00173569">
        <w:rPr>
          <w:rFonts w:ascii="Times New Roman" w:hAnsi="Times New Roman" w:cs="Times New Roman"/>
          <w:sz w:val="24"/>
          <w:szCs w:val="24"/>
        </w:rPr>
        <w:t xml:space="preserve">cumulative </w:t>
      </w:r>
      <w:r w:rsidR="00520DBA" w:rsidRPr="00173569">
        <w:rPr>
          <w:rFonts w:ascii="Times New Roman" w:hAnsi="Times New Roman" w:cs="Times New Roman"/>
          <w:color w:val="000000" w:themeColor="text1"/>
          <w:sz w:val="24"/>
          <w:szCs w:val="24"/>
        </w:rPr>
        <w:t>official</w:t>
      </w:r>
      <w:r w:rsidRPr="00173569">
        <w:rPr>
          <w:rFonts w:ascii="Times New Roman" w:hAnsi="Times New Roman" w:cs="Times New Roman"/>
          <w:color w:val="000000" w:themeColor="text1"/>
          <w:sz w:val="24"/>
          <w:szCs w:val="24"/>
        </w:rPr>
        <w:t xml:space="preserve"> </w:t>
      </w:r>
      <w:r w:rsidR="00525E77" w:rsidRPr="00173569">
        <w:rPr>
          <w:rFonts w:ascii="Times New Roman" w:hAnsi="Times New Roman" w:cs="Times New Roman"/>
          <w:color w:val="000000" w:themeColor="text1"/>
          <w:sz w:val="24"/>
          <w:szCs w:val="24"/>
        </w:rPr>
        <w:t>Covid</w:t>
      </w:r>
      <w:r w:rsidR="002E5803" w:rsidRPr="00173569">
        <w:rPr>
          <w:rFonts w:ascii="Times New Roman" w:hAnsi="Times New Roman" w:cs="Times New Roman"/>
          <w:color w:val="000000" w:themeColor="text1"/>
          <w:sz w:val="24"/>
          <w:szCs w:val="24"/>
        </w:rPr>
        <w:t>-19</w:t>
      </w:r>
      <w:r w:rsidRPr="00173569">
        <w:rPr>
          <w:rFonts w:ascii="Times New Roman" w:hAnsi="Times New Roman" w:cs="Times New Roman"/>
          <w:color w:val="000000" w:themeColor="text1"/>
          <w:sz w:val="24"/>
          <w:szCs w:val="24"/>
        </w:rPr>
        <w:t xml:space="preserve"> mortality </w:t>
      </w:r>
      <w:r w:rsidRPr="00173569">
        <w:rPr>
          <w:rFonts w:ascii="Times New Roman" w:hAnsi="Times New Roman" w:cs="Times New Roman"/>
          <w:sz w:val="24"/>
          <w:szCs w:val="24"/>
        </w:rPr>
        <w:t>per million up to December 31, 2021</w:t>
      </w:r>
      <w:r w:rsidR="009B7FF6" w:rsidRPr="00173569">
        <w:rPr>
          <w:rFonts w:ascii="Times New Roman" w:hAnsi="Times New Roman" w:cs="Times New Roman"/>
          <w:sz w:val="24"/>
          <w:szCs w:val="24"/>
        </w:rPr>
        <w:t xml:space="preserve">. </w:t>
      </w:r>
      <w:r w:rsidR="00DE604E" w:rsidRPr="00173569">
        <w:rPr>
          <w:rFonts w:ascii="Times New Roman" w:hAnsi="Times New Roman" w:cs="Times New Roman"/>
          <w:sz w:val="24"/>
          <w:szCs w:val="24"/>
        </w:rPr>
        <w:t xml:space="preserve">Table </w:t>
      </w:r>
      <w:r w:rsidR="006454F0" w:rsidRPr="00173569">
        <w:rPr>
          <w:rFonts w:ascii="Times New Roman" w:hAnsi="Times New Roman" w:cs="Times New Roman"/>
          <w:sz w:val="24"/>
          <w:szCs w:val="24"/>
        </w:rPr>
        <w:t xml:space="preserve">2 </w:t>
      </w:r>
      <w:r w:rsidR="00DE604E" w:rsidRPr="00173569">
        <w:rPr>
          <w:rFonts w:ascii="Times New Roman" w:hAnsi="Times New Roman" w:cs="Times New Roman"/>
          <w:sz w:val="24"/>
          <w:szCs w:val="24"/>
        </w:rPr>
        <w:t>r</w:t>
      </w:r>
      <w:r w:rsidR="00103109" w:rsidRPr="00173569">
        <w:rPr>
          <w:rFonts w:ascii="Times New Roman" w:hAnsi="Times New Roman" w:cs="Times New Roman"/>
          <w:sz w:val="24"/>
          <w:szCs w:val="24"/>
        </w:rPr>
        <w:t xml:space="preserve">eplicates </w:t>
      </w:r>
      <w:r w:rsidR="00AE6CC2" w:rsidRPr="00173569">
        <w:rPr>
          <w:rFonts w:ascii="Times New Roman" w:hAnsi="Times New Roman" w:cs="Times New Roman"/>
          <w:sz w:val="24"/>
          <w:szCs w:val="24"/>
        </w:rPr>
        <w:t>T</w:t>
      </w:r>
      <w:r w:rsidR="00103109" w:rsidRPr="00173569">
        <w:rPr>
          <w:rFonts w:ascii="Times New Roman" w:hAnsi="Times New Roman" w:cs="Times New Roman"/>
          <w:sz w:val="24"/>
          <w:szCs w:val="24"/>
        </w:rPr>
        <w:t>able 1</w:t>
      </w:r>
      <w:r w:rsidR="001A4F7D" w:rsidRPr="00173569">
        <w:rPr>
          <w:rFonts w:ascii="Times New Roman" w:hAnsi="Times New Roman" w:cs="Times New Roman"/>
          <w:sz w:val="24"/>
          <w:szCs w:val="24"/>
        </w:rPr>
        <w:t>,</w:t>
      </w:r>
      <w:r w:rsidR="00103109" w:rsidRPr="00173569">
        <w:rPr>
          <w:rFonts w:ascii="Times New Roman" w:hAnsi="Times New Roman" w:cs="Times New Roman"/>
          <w:sz w:val="24"/>
          <w:szCs w:val="24"/>
        </w:rPr>
        <w:t xml:space="preserve"> </w:t>
      </w:r>
      <w:r w:rsidR="00AE6CC2" w:rsidRPr="00173569">
        <w:rPr>
          <w:rFonts w:ascii="Times New Roman" w:hAnsi="Times New Roman" w:cs="Times New Roman"/>
          <w:sz w:val="24"/>
          <w:szCs w:val="24"/>
        </w:rPr>
        <w:t xml:space="preserve">but for excess Covid-19 mortalities. Table 1A, relegated to the appendix, reports the country list within each quartile of official mortality. </w:t>
      </w:r>
      <w:r w:rsidR="00103109" w:rsidRPr="00173569">
        <w:rPr>
          <w:rFonts w:ascii="Times New Roman" w:hAnsi="Times New Roman" w:cs="Times New Roman"/>
          <w:sz w:val="24"/>
          <w:szCs w:val="24"/>
        </w:rPr>
        <w:t xml:space="preserve">Table </w:t>
      </w:r>
      <w:r w:rsidR="006454F0" w:rsidRPr="00173569">
        <w:rPr>
          <w:rFonts w:ascii="Times New Roman" w:hAnsi="Times New Roman" w:cs="Times New Roman"/>
          <w:sz w:val="24"/>
          <w:szCs w:val="24"/>
        </w:rPr>
        <w:t>2A</w:t>
      </w:r>
      <w:r w:rsidR="00103109" w:rsidRPr="00173569">
        <w:rPr>
          <w:rFonts w:ascii="Times New Roman" w:hAnsi="Times New Roman" w:cs="Times New Roman"/>
          <w:sz w:val="24"/>
          <w:szCs w:val="24"/>
        </w:rPr>
        <w:t xml:space="preserve"> </w:t>
      </w:r>
      <w:r w:rsidR="00830563" w:rsidRPr="00173569">
        <w:rPr>
          <w:rFonts w:ascii="Times New Roman" w:hAnsi="Times New Roman" w:cs="Times New Roman"/>
          <w:sz w:val="24"/>
          <w:szCs w:val="24"/>
        </w:rPr>
        <w:t>(</w:t>
      </w:r>
      <w:r w:rsidR="00AE6CC2" w:rsidRPr="00173569">
        <w:rPr>
          <w:rFonts w:ascii="Times New Roman" w:hAnsi="Times New Roman" w:cs="Times New Roman"/>
          <w:sz w:val="24"/>
          <w:szCs w:val="24"/>
        </w:rPr>
        <w:t xml:space="preserve">also </w:t>
      </w:r>
      <w:r w:rsidR="00103109" w:rsidRPr="00173569">
        <w:rPr>
          <w:rFonts w:ascii="Times New Roman" w:hAnsi="Times New Roman" w:cs="Times New Roman"/>
          <w:sz w:val="24"/>
          <w:szCs w:val="24"/>
        </w:rPr>
        <w:t xml:space="preserve">in </w:t>
      </w:r>
      <w:r w:rsidR="00AE6CC2" w:rsidRPr="00173569">
        <w:rPr>
          <w:rFonts w:ascii="Times New Roman" w:hAnsi="Times New Roman" w:cs="Times New Roman"/>
          <w:sz w:val="24"/>
          <w:szCs w:val="24"/>
        </w:rPr>
        <w:t xml:space="preserve">the </w:t>
      </w:r>
      <w:r w:rsidR="00103109" w:rsidRPr="00173569">
        <w:rPr>
          <w:rFonts w:ascii="Times New Roman" w:hAnsi="Times New Roman" w:cs="Times New Roman"/>
          <w:sz w:val="24"/>
          <w:szCs w:val="24"/>
        </w:rPr>
        <w:t>Appendix) replicates</w:t>
      </w:r>
      <w:r w:rsidR="00830563" w:rsidRPr="00173569">
        <w:rPr>
          <w:rFonts w:ascii="Times New Roman" w:hAnsi="Times New Roman" w:cs="Times New Roman"/>
          <w:sz w:val="24"/>
          <w:szCs w:val="24"/>
        </w:rPr>
        <w:t xml:space="preserve"> Table </w:t>
      </w:r>
      <w:r w:rsidR="005E0742" w:rsidRPr="00173569">
        <w:rPr>
          <w:rFonts w:ascii="Times New Roman" w:hAnsi="Times New Roman" w:cs="Times New Roman"/>
          <w:sz w:val="24"/>
          <w:szCs w:val="24"/>
        </w:rPr>
        <w:t>1A</w:t>
      </w:r>
      <w:r w:rsidR="00AE6CC2" w:rsidRPr="00173569">
        <w:rPr>
          <w:rFonts w:ascii="Times New Roman" w:hAnsi="Times New Roman" w:cs="Times New Roman"/>
          <w:sz w:val="24"/>
          <w:szCs w:val="24"/>
        </w:rPr>
        <w:t>, but for</w:t>
      </w:r>
      <w:r w:rsidR="00DE604E" w:rsidRPr="00173569">
        <w:rPr>
          <w:rFonts w:ascii="Times New Roman" w:hAnsi="Times New Roman" w:cs="Times New Roman"/>
          <w:sz w:val="24"/>
          <w:szCs w:val="24"/>
        </w:rPr>
        <w:t xml:space="preserve"> excess </w:t>
      </w:r>
      <w:r w:rsidR="00B315D1" w:rsidRPr="00173569">
        <w:rPr>
          <w:rFonts w:ascii="Times New Roman" w:hAnsi="Times New Roman" w:cs="Times New Roman"/>
          <w:sz w:val="24"/>
          <w:szCs w:val="24"/>
        </w:rPr>
        <w:t>mortality</w:t>
      </w:r>
      <w:r w:rsidR="00DE604E" w:rsidRPr="00173569">
        <w:rPr>
          <w:rFonts w:ascii="Times New Roman" w:hAnsi="Times New Roman" w:cs="Times New Roman"/>
          <w:sz w:val="24"/>
          <w:szCs w:val="24"/>
        </w:rPr>
        <w:t xml:space="preserve"> data</w:t>
      </w:r>
      <w:r w:rsidR="00424F2B" w:rsidRPr="00173569">
        <w:rPr>
          <w:rFonts w:ascii="Times New Roman" w:hAnsi="Times New Roman" w:cs="Times New Roman"/>
          <w:sz w:val="24"/>
          <w:szCs w:val="24"/>
        </w:rPr>
        <w:t>.</w:t>
      </w:r>
      <w:r w:rsidR="00A81A68" w:rsidRPr="00173569">
        <w:rPr>
          <w:rFonts w:ascii="Times New Roman" w:hAnsi="Times New Roman" w:cs="Times New Roman"/>
          <w:sz w:val="24"/>
          <w:szCs w:val="24"/>
        </w:rPr>
        <w:t xml:space="preserve"> We order the rank</w:t>
      </w:r>
      <w:r w:rsidR="00AE6CC2" w:rsidRPr="00173569">
        <w:rPr>
          <w:rFonts w:ascii="Times New Roman" w:hAnsi="Times New Roman" w:cs="Times New Roman"/>
          <w:sz w:val="24"/>
          <w:szCs w:val="24"/>
        </w:rPr>
        <w:t>s</w:t>
      </w:r>
      <w:r w:rsidR="00A81A68" w:rsidRPr="00173569">
        <w:rPr>
          <w:rFonts w:ascii="Times New Roman" w:hAnsi="Times New Roman" w:cs="Times New Roman"/>
          <w:sz w:val="24"/>
          <w:szCs w:val="24"/>
        </w:rPr>
        <w:t xml:space="preserve"> of the quartile</w:t>
      </w:r>
      <w:r w:rsidR="00AE6CC2" w:rsidRPr="00173569">
        <w:rPr>
          <w:rFonts w:ascii="Times New Roman" w:hAnsi="Times New Roman" w:cs="Times New Roman"/>
          <w:sz w:val="24"/>
          <w:szCs w:val="24"/>
        </w:rPr>
        <w:t>s</w:t>
      </w:r>
      <w:r w:rsidR="00A81A68" w:rsidRPr="00173569">
        <w:rPr>
          <w:rFonts w:ascii="Times New Roman" w:hAnsi="Times New Roman" w:cs="Times New Roman"/>
          <w:sz w:val="24"/>
          <w:szCs w:val="24"/>
        </w:rPr>
        <w:t xml:space="preserve"> so that a lower quartile consists of countries with lower cumulative mortalit</w:t>
      </w:r>
      <w:r w:rsidR="00AE6CC2" w:rsidRPr="00173569">
        <w:rPr>
          <w:rFonts w:ascii="Times New Roman" w:hAnsi="Times New Roman" w:cs="Times New Roman"/>
          <w:sz w:val="24"/>
          <w:szCs w:val="24"/>
        </w:rPr>
        <w:t>ies</w:t>
      </w:r>
      <w:r w:rsidR="00A81A68" w:rsidRPr="00173569">
        <w:rPr>
          <w:rFonts w:ascii="Times New Roman" w:hAnsi="Times New Roman" w:cs="Times New Roman"/>
          <w:sz w:val="24"/>
          <w:szCs w:val="24"/>
        </w:rPr>
        <w:t xml:space="preserve">. </w:t>
      </w:r>
    </w:p>
    <w:p w14:paraId="28712534" w14:textId="1D834649" w:rsidR="00EE15B7" w:rsidRPr="00173569" w:rsidRDefault="00EE15B7" w:rsidP="00EE15B7">
      <w:pPr>
        <w:spacing w:line="360" w:lineRule="auto"/>
        <w:ind w:firstLine="720"/>
        <w:rPr>
          <w:rFonts w:ascii="Times New Roman" w:hAnsi="Times New Roman" w:cs="Times New Roman"/>
          <w:sz w:val="24"/>
          <w:szCs w:val="24"/>
        </w:rPr>
      </w:pPr>
      <w:r w:rsidRPr="00173569">
        <w:rPr>
          <w:rFonts w:ascii="Times New Roman" w:hAnsi="Times New Roman" w:cs="Times New Roman"/>
          <w:sz w:val="24"/>
          <w:szCs w:val="24"/>
        </w:rPr>
        <w:t xml:space="preserve">Contrasting the average statistics in each quartile of cumulative official Covid-19 mortality per million up to December 2021 (Table 1) with those in the same quartiles of cumulative excess mortality per million in December 2021 (Table 2) reveals </w:t>
      </w:r>
      <w:r w:rsidR="006F157F">
        <w:rPr>
          <w:rFonts w:ascii="Times New Roman" w:hAnsi="Times New Roman" w:cs="Times New Roman"/>
          <w:sz w:val="24"/>
          <w:szCs w:val="24"/>
        </w:rPr>
        <w:t>intriguing</w:t>
      </w:r>
      <w:r w:rsidRPr="00173569">
        <w:rPr>
          <w:rFonts w:ascii="Times New Roman" w:hAnsi="Times New Roman" w:cs="Times New Roman"/>
          <w:sz w:val="24"/>
          <w:szCs w:val="24"/>
        </w:rPr>
        <w:t xml:space="preserve"> fundamental differences between these two mortality measures and the resulting country quartile rankings. </w:t>
      </w:r>
    </w:p>
    <w:p w14:paraId="17AD0326" w14:textId="7472493D" w:rsidR="00EE15B7" w:rsidRPr="00173569" w:rsidRDefault="00EE15B7" w:rsidP="00EE15B7">
      <w:pPr>
        <w:spacing w:line="360" w:lineRule="auto"/>
        <w:ind w:firstLine="720"/>
        <w:rPr>
          <w:rFonts w:ascii="Times New Roman" w:hAnsi="Times New Roman" w:cs="Times New Roman"/>
          <w:sz w:val="24"/>
          <w:szCs w:val="24"/>
        </w:rPr>
      </w:pPr>
      <w:r w:rsidRPr="00173569">
        <w:rPr>
          <w:rFonts w:ascii="Times New Roman" w:hAnsi="Times New Roman" w:cs="Times New Roman"/>
          <w:sz w:val="24"/>
          <w:szCs w:val="24"/>
        </w:rPr>
        <w:t xml:space="preserve">Table 1 indicates that, on average, higher GDP/capita countries performed poorly relative to low- and middle-income countries in terms of their cumulative official Covid-19 mortality ranking. </w:t>
      </w:r>
      <w:r w:rsidR="00D948DB" w:rsidRPr="00173569">
        <w:rPr>
          <w:rFonts w:ascii="Times New Roman" w:hAnsi="Times New Roman" w:cs="Times New Roman"/>
          <w:sz w:val="24"/>
          <w:szCs w:val="24"/>
        </w:rPr>
        <w:t xml:space="preserve">The </w:t>
      </w:r>
      <w:r w:rsidR="00D948DB">
        <w:rPr>
          <w:rFonts w:ascii="Times New Roman" w:hAnsi="Times New Roman" w:cs="Times New Roman"/>
          <w:sz w:val="24"/>
          <w:szCs w:val="24"/>
        </w:rPr>
        <w:t>best-performing</w:t>
      </w:r>
      <w:r w:rsidR="00D948DB" w:rsidRPr="00173569">
        <w:rPr>
          <w:rFonts w:ascii="Times New Roman" w:hAnsi="Times New Roman" w:cs="Times New Roman"/>
          <w:sz w:val="24"/>
          <w:szCs w:val="24"/>
        </w:rPr>
        <w:t xml:space="preserve"> </w:t>
      </w:r>
      <w:r w:rsidR="00D948DB">
        <w:rPr>
          <w:rFonts w:ascii="Times New Roman" w:hAnsi="Times New Roman" w:cs="Times New Roman"/>
          <w:sz w:val="24"/>
          <w:szCs w:val="24"/>
        </w:rPr>
        <w:t>official</w:t>
      </w:r>
      <w:r w:rsidR="00D948DB" w:rsidRPr="00173569">
        <w:rPr>
          <w:rFonts w:ascii="Times New Roman" w:hAnsi="Times New Roman" w:cs="Times New Roman"/>
          <w:sz w:val="24"/>
          <w:szCs w:val="24"/>
        </w:rPr>
        <w:t xml:space="preserve"> mortality quartile’s average income/capita is the </w:t>
      </w:r>
      <w:r w:rsidR="00D948DB">
        <w:rPr>
          <w:rFonts w:ascii="Times New Roman" w:hAnsi="Times New Roman" w:cs="Times New Roman"/>
          <w:i/>
          <w:iCs/>
          <w:sz w:val="24"/>
          <w:szCs w:val="24"/>
        </w:rPr>
        <w:t>low</w:t>
      </w:r>
      <w:r w:rsidR="00D948DB" w:rsidRPr="00173569">
        <w:rPr>
          <w:rFonts w:ascii="Times New Roman" w:hAnsi="Times New Roman" w:cs="Times New Roman"/>
          <w:i/>
          <w:iCs/>
          <w:sz w:val="24"/>
          <w:szCs w:val="24"/>
        </w:rPr>
        <w:t>est</w:t>
      </w:r>
      <w:r w:rsidR="00D948DB" w:rsidRPr="00173569">
        <w:rPr>
          <w:rFonts w:ascii="Times New Roman" w:hAnsi="Times New Roman" w:cs="Times New Roman"/>
          <w:sz w:val="24"/>
          <w:szCs w:val="24"/>
        </w:rPr>
        <w:t xml:space="preserve"> (</w:t>
      </w:r>
      <w:r w:rsidR="00D948DB">
        <w:rPr>
          <w:rFonts w:ascii="Times New Roman" w:hAnsi="Times New Roman" w:cs="Times New Roman"/>
          <w:sz w:val="24"/>
          <w:szCs w:val="24"/>
        </w:rPr>
        <w:t xml:space="preserve">about </w:t>
      </w:r>
      <w:r w:rsidR="00D948DB" w:rsidRPr="00173569">
        <w:rPr>
          <w:rFonts w:ascii="Times New Roman" w:hAnsi="Times New Roman" w:cs="Times New Roman"/>
          <w:sz w:val="24"/>
          <w:szCs w:val="24"/>
        </w:rPr>
        <w:t>$</w:t>
      </w:r>
      <w:r w:rsidR="00D948DB">
        <w:rPr>
          <w:rFonts w:ascii="Times New Roman" w:eastAsia="Times New Roman" w:hAnsi="Times New Roman" w:cs="Times New Roman"/>
          <w:sz w:val="24"/>
          <w:szCs w:val="24"/>
        </w:rPr>
        <w:t>7</w:t>
      </w:r>
      <w:r w:rsidR="00D948DB" w:rsidRPr="00173569">
        <w:rPr>
          <w:rFonts w:ascii="Times New Roman" w:eastAsia="Times New Roman" w:hAnsi="Times New Roman" w:cs="Times New Roman"/>
          <w:sz w:val="24"/>
          <w:szCs w:val="24"/>
        </w:rPr>
        <w:t>,</w:t>
      </w:r>
      <w:r w:rsidR="00D948DB">
        <w:rPr>
          <w:rFonts w:ascii="Times New Roman" w:eastAsia="Times New Roman" w:hAnsi="Times New Roman" w:cs="Times New Roman"/>
          <w:sz w:val="24"/>
          <w:szCs w:val="24"/>
        </w:rPr>
        <w:t>200</w:t>
      </w:r>
      <w:r w:rsidR="00D948DB" w:rsidRPr="00173569">
        <w:rPr>
          <w:rFonts w:ascii="Times New Roman" w:eastAsia="Times New Roman" w:hAnsi="Times New Roman" w:cs="Times New Roman"/>
          <w:sz w:val="24"/>
          <w:szCs w:val="24"/>
        </w:rPr>
        <w:t>) of all quartiles</w:t>
      </w:r>
      <w:r w:rsidR="00D948DB">
        <w:rPr>
          <w:rFonts w:ascii="Times New Roman" w:hAnsi="Times New Roman" w:cs="Times New Roman"/>
          <w:sz w:val="24"/>
          <w:szCs w:val="24"/>
        </w:rPr>
        <w:t xml:space="preserve">, only </w:t>
      </w:r>
      <w:r w:rsidR="003B048E">
        <w:rPr>
          <w:rFonts w:ascii="Times New Roman" w:hAnsi="Times New Roman" w:cs="Times New Roman"/>
          <w:sz w:val="24"/>
          <w:szCs w:val="24"/>
        </w:rPr>
        <w:t xml:space="preserve">1/3 </w:t>
      </w:r>
      <w:r w:rsidRPr="00173569">
        <w:rPr>
          <w:rFonts w:ascii="Times New Roman" w:hAnsi="Times New Roman" w:cs="Times New Roman"/>
          <w:sz w:val="24"/>
          <w:szCs w:val="24"/>
        </w:rPr>
        <w:t xml:space="preserve">of </w:t>
      </w:r>
      <w:r w:rsidR="00D948DB">
        <w:rPr>
          <w:rFonts w:ascii="Times New Roman" w:hAnsi="Times New Roman" w:cs="Times New Roman"/>
          <w:sz w:val="24"/>
          <w:szCs w:val="24"/>
        </w:rPr>
        <w:t xml:space="preserve">that of </w:t>
      </w:r>
      <w:r w:rsidRPr="00173569">
        <w:rPr>
          <w:rFonts w:ascii="Times New Roman" w:hAnsi="Times New Roman" w:cs="Times New Roman"/>
          <w:sz w:val="24"/>
          <w:szCs w:val="24"/>
        </w:rPr>
        <w:t>the higher mortality quartile</w:t>
      </w:r>
      <w:r w:rsidR="003B048E">
        <w:rPr>
          <w:rFonts w:ascii="Times New Roman" w:hAnsi="Times New Roman" w:cs="Times New Roman"/>
          <w:sz w:val="24"/>
          <w:szCs w:val="24"/>
        </w:rPr>
        <w:t>s</w:t>
      </w:r>
      <w:r w:rsidRPr="00173569">
        <w:rPr>
          <w:rFonts w:ascii="Times New Roman" w:hAnsi="Times New Roman" w:cs="Times New Roman"/>
          <w:sz w:val="24"/>
          <w:szCs w:val="24"/>
        </w:rPr>
        <w:t xml:space="preserve">. Similar observations apply to measures of institutional quality. Rule of law, voice and accountability, and government effectiveness are significantly higher </w:t>
      </w:r>
      <w:r w:rsidR="00D948DB">
        <w:rPr>
          <w:rFonts w:ascii="Times New Roman" w:hAnsi="Times New Roman" w:cs="Times New Roman"/>
          <w:sz w:val="24"/>
          <w:szCs w:val="24"/>
        </w:rPr>
        <w:t xml:space="preserve">and positive </w:t>
      </w:r>
      <w:r w:rsidRPr="00173569">
        <w:rPr>
          <w:rFonts w:ascii="Times New Roman" w:hAnsi="Times New Roman" w:cs="Times New Roman"/>
          <w:sz w:val="24"/>
          <w:szCs w:val="24"/>
        </w:rPr>
        <w:t>for the worst-performing quartile</w:t>
      </w:r>
      <w:r w:rsidR="003B048E">
        <w:rPr>
          <w:rFonts w:ascii="Times New Roman" w:hAnsi="Times New Roman" w:cs="Times New Roman"/>
          <w:sz w:val="24"/>
          <w:szCs w:val="24"/>
        </w:rPr>
        <w:t>s (e.g., the third and fourth quartiles)</w:t>
      </w:r>
      <w:r w:rsidRPr="00173569">
        <w:rPr>
          <w:rFonts w:ascii="Times New Roman" w:hAnsi="Times New Roman" w:cs="Times New Roman"/>
          <w:sz w:val="24"/>
          <w:szCs w:val="24"/>
        </w:rPr>
        <w:t xml:space="preserve">. </w:t>
      </w:r>
    </w:p>
    <w:p w14:paraId="635E98AD" w14:textId="5D4AF95B" w:rsidR="00EE15B7" w:rsidRDefault="00EE15B7" w:rsidP="00EE15B7">
      <w:pPr>
        <w:spacing w:line="360" w:lineRule="auto"/>
        <w:ind w:firstLine="720"/>
        <w:rPr>
          <w:rFonts w:ascii="Times New Roman" w:hAnsi="Times New Roman" w:cs="Times New Roman"/>
          <w:sz w:val="24"/>
          <w:szCs w:val="24"/>
        </w:rPr>
      </w:pPr>
      <w:r w:rsidRPr="00173569">
        <w:rPr>
          <w:rFonts w:ascii="Times New Roman" w:hAnsi="Times New Roman" w:cs="Times New Roman"/>
          <w:sz w:val="24"/>
          <w:szCs w:val="24"/>
        </w:rPr>
        <w:lastRenderedPageBreak/>
        <w:t xml:space="preserve">Intriguingly, almost the opposite patterns characterize the quartiles of cumulative excess mortality, reported in Table 2. The lowest excess mortality quartile’s average income/capita is the </w:t>
      </w:r>
      <w:r w:rsidRPr="00173569">
        <w:rPr>
          <w:rFonts w:ascii="Times New Roman" w:hAnsi="Times New Roman" w:cs="Times New Roman"/>
          <w:i/>
          <w:iCs/>
          <w:sz w:val="24"/>
          <w:szCs w:val="24"/>
        </w:rPr>
        <w:t>highest</w:t>
      </w:r>
      <w:r w:rsidRPr="00173569">
        <w:rPr>
          <w:rFonts w:ascii="Times New Roman" w:hAnsi="Times New Roman" w:cs="Times New Roman"/>
          <w:sz w:val="24"/>
          <w:szCs w:val="24"/>
        </w:rPr>
        <w:t xml:space="preserve"> (</w:t>
      </w:r>
      <w:r w:rsidR="003B048E">
        <w:rPr>
          <w:rFonts w:ascii="Times New Roman" w:hAnsi="Times New Roman" w:cs="Times New Roman"/>
          <w:sz w:val="24"/>
          <w:szCs w:val="24"/>
        </w:rPr>
        <w:t xml:space="preserve">about </w:t>
      </w:r>
      <w:r w:rsidRPr="00173569">
        <w:rPr>
          <w:rFonts w:ascii="Times New Roman" w:hAnsi="Times New Roman" w:cs="Times New Roman"/>
          <w:sz w:val="24"/>
          <w:szCs w:val="24"/>
        </w:rPr>
        <w:t>$</w:t>
      </w:r>
      <w:r w:rsidRPr="00173569">
        <w:rPr>
          <w:rFonts w:ascii="Times New Roman" w:eastAsia="Times New Roman" w:hAnsi="Times New Roman" w:cs="Times New Roman"/>
          <w:sz w:val="24"/>
          <w:szCs w:val="24"/>
        </w:rPr>
        <w:t>2</w:t>
      </w:r>
      <w:r w:rsidR="003B048E">
        <w:rPr>
          <w:rFonts w:ascii="Times New Roman" w:eastAsia="Times New Roman" w:hAnsi="Times New Roman" w:cs="Times New Roman"/>
          <w:sz w:val="24"/>
          <w:szCs w:val="24"/>
        </w:rPr>
        <w:t>4</w:t>
      </w:r>
      <w:r w:rsidRPr="00173569">
        <w:rPr>
          <w:rFonts w:ascii="Times New Roman" w:eastAsia="Times New Roman" w:hAnsi="Times New Roman" w:cs="Times New Roman"/>
          <w:sz w:val="24"/>
          <w:szCs w:val="24"/>
        </w:rPr>
        <w:t>,</w:t>
      </w:r>
      <w:r w:rsidR="003B048E">
        <w:rPr>
          <w:rFonts w:ascii="Times New Roman" w:eastAsia="Times New Roman" w:hAnsi="Times New Roman" w:cs="Times New Roman"/>
          <w:sz w:val="24"/>
          <w:szCs w:val="24"/>
        </w:rPr>
        <w:t>400</w:t>
      </w:r>
      <w:r w:rsidRPr="00173569">
        <w:rPr>
          <w:rFonts w:ascii="Times New Roman" w:eastAsia="Times New Roman" w:hAnsi="Times New Roman" w:cs="Times New Roman"/>
          <w:sz w:val="24"/>
          <w:szCs w:val="24"/>
        </w:rPr>
        <w:t>) of all quartiles</w:t>
      </w:r>
      <w:r w:rsidRPr="00173569">
        <w:rPr>
          <w:rFonts w:ascii="Times New Roman" w:hAnsi="Times New Roman" w:cs="Times New Roman"/>
          <w:sz w:val="24"/>
          <w:szCs w:val="24"/>
        </w:rPr>
        <w:t xml:space="preserve">. Average income/capita in the worst excess mortality quartile is only 3/5 of the average income/capita of the best performing quartile. The quartile with the lowest excess mortality is now characterized by the </w:t>
      </w:r>
      <w:r w:rsidR="00D948DB">
        <w:rPr>
          <w:rFonts w:ascii="Times New Roman" w:hAnsi="Times New Roman" w:cs="Times New Roman"/>
          <w:sz w:val="24"/>
          <w:szCs w:val="24"/>
        </w:rPr>
        <w:t>highest</w:t>
      </w:r>
      <w:r w:rsidRPr="00173569">
        <w:rPr>
          <w:rFonts w:ascii="Times New Roman" w:hAnsi="Times New Roman" w:cs="Times New Roman"/>
          <w:sz w:val="24"/>
          <w:szCs w:val="24"/>
        </w:rPr>
        <w:t xml:space="preserve"> rule of law, voice and accountability, and government effectiveness scores.</w:t>
      </w:r>
      <w:r w:rsidRPr="00173569">
        <w:rPr>
          <w:rStyle w:val="FootnoteReference"/>
          <w:rFonts w:ascii="Times New Roman" w:hAnsi="Times New Roman" w:cs="Times New Roman"/>
          <w:sz w:val="24"/>
          <w:szCs w:val="24"/>
        </w:rPr>
        <w:t xml:space="preserve"> </w:t>
      </w:r>
    </w:p>
    <w:p w14:paraId="20006E3A" w14:textId="77777777" w:rsidR="0002223B" w:rsidRPr="00173569" w:rsidRDefault="0002223B" w:rsidP="0002223B">
      <w:pPr>
        <w:spacing w:line="360" w:lineRule="auto"/>
        <w:ind w:firstLine="720"/>
        <w:rPr>
          <w:rFonts w:ascii="Times New Roman" w:hAnsi="Times New Roman" w:cs="Times New Roman"/>
          <w:sz w:val="24"/>
          <w:szCs w:val="24"/>
        </w:rPr>
      </w:pPr>
      <w:r w:rsidRPr="00173569">
        <w:rPr>
          <w:rFonts w:ascii="Times New Roman" w:hAnsi="Times New Roman" w:cs="Times New Roman"/>
          <w:sz w:val="24"/>
          <w:szCs w:val="24"/>
        </w:rPr>
        <w:t xml:space="preserve">These observations raise fundamental concerns about the quality of confirmed (or official) cumulative mortality data in Covid-19 times. It also challenges simplistic interpretations and generalizations, like the notion that on average, OECD countries failed in dealing with Covid-19 challenges relative to low- and middle-income countries. This view is supported by the quartiles’ average statistics when measured using </w:t>
      </w:r>
      <w:r w:rsidRPr="00173569">
        <w:rPr>
          <w:rFonts w:ascii="Times New Roman" w:hAnsi="Times New Roman" w:cs="Times New Roman"/>
          <w:color w:val="000000" w:themeColor="text1"/>
          <w:sz w:val="24"/>
          <w:szCs w:val="24"/>
        </w:rPr>
        <w:t>official Covid-19 mortality,</w:t>
      </w:r>
      <w:r w:rsidRPr="00173569">
        <w:rPr>
          <w:rFonts w:ascii="Times New Roman" w:hAnsi="Times New Roman" w:cs="Times New Roman"/>
          <w:sz w:val="24"/>
          <w:szCs w:val="24"/>
        </w:rPr>
        <w:t xml:space="preserve"> but is mostly rejected when measured using excess mortality data. The sharp contrast between the two tables suggests that countries which ranked higher in terms of rule of law, voice, accountability, and government effectiveness are also countries where the (mainly positive) gap between the official Covid-19 mortality and the excess mortality is smallest.   </w:t>
      </w:r>
    </w:p>
    <w:p w14:paraId="3CEA30D4" w14:textId="061937E1" w:rsidR="0002223B" w:rsidRDefault="0002223B" w:rsidP="00EE15B7">
      <w:pPr>
        <w:spacing w:line="360" w:lineRule="auto"/>
        <w:ind w:firstLine="720"/>
        <w:rPr>
          <w:rFonts w:ascii="Times New Roman" w:hAnsi="Times New Roman" w:cs="Times New Roman"/>
          <w:sz w:val="24"/>
          <w:szCs w:val="24"/>
        </w:rPr>
      </w:pPr>
    </w:p>
    <w:p w14:paraId="513A1C0C" w14:textId="20594234" w:rsidR="000F2211" w:rsidRPr="00173569" w:rsidRDefault="000F2211" w:rsidP="00B8672B">
      <w:pPr>
        <w:spacing w:line="360" w:lineRule="auto"/>
        <w:jc w:val="both"/>
        <w:rPr>
          <w:rFonts w:ascii="Times New Roman" w:hAnsi="Times New Roman" w:cs="Times New Roman"/>
          <w:sz w:val="24"/>
          <w:szCs w:val="24"/>
        </w:rPr>
      </w:pPr>
      <w:r w:rsidRPr="00173569">
        <w:rPr>
          <w:rFonts w:ascii="Times New Roman" w:hAnsi="Times New Roman" w:cs="Times New Roman"/>
          <w:b/>
          <w:sz w:val="24"/>
          <w:szCs w:val="24"/>
        </w:rPr>
        <w:t>Table 1:</w:t>
      </w:r>
      <w:r w:rsidRPr="00173569">
        <w:rPr>
          <w:rFonts w:ascii="Times New Roman" w:hAnsi="Times New Roman" w:cs="Times New Roman"/>
          <w:sz w:val="24"/>
          <w:szCs w:val="24"/>
        </w:rPr>
        <w:t xml:space="preserve"> Average </w:t>
      </w:r>
      <w:r w:rsidR="009B7FF6" w:rsidRPr="00173569">
        <w:rPr>
          <w:rFonts w:ascii="Times New Roman" w:hAnsi="Times New Roman" w:cs="Times New Roman"/>
          <w:sz w:val="24"/>
          <w:szCs w:val="24"/>
        </w:rPr>
        <w:t>Quartile</w:t>
      </w:r>
      <w:r w:rsidR="00FC0E81" w:rsidRPr="00173569">
        <w:rPr>
          <w:rFonts w:ascii="Times New Roman" w:hAnsi="Times New Roman" w:cs="Times New Roman"/>
          <w:sz w:val="24"/>
          <w:szCs w:val="24"/>
        </w:rPr>
        <w:t>s</w:t>
      </w:r>
      <w:r w:rsidR="009B7FF6" w:rsidRPr="00173569">
        <w:rPr>
          <w:rFonts w:ascii="Times New Roman" w:hAnsi="Times New Roman" w:cs="Times New Roman"/>
          <w:sz w:val="24"/>
          <w:szCs w:val="24"/>
        </w:rPr>
        <w:t xml:space="preserve"> </w:t>
      </w:r>
      <w:r w:rsidR="00424F2B" w:rsidRPr="00173569">
        <w:rPr>
          <w:rFonts w:ascii="Times New Roman" w:hAnsi="Times New Roman" w:cs="Times New Roman"/>
          <w:sz w:val="24"/>
          <w:szCs w:val="24"/>
        </w:rPr>
        <w:t>S</w:t>
      </w:r>
      <w:r w:rsidRPr="00173569">
        <w:rPr>
          <w:rFonts w:ascii="Times New Roman" w:hAnsi="Times New Roman" w:cs="Times New Roman"/>
          <w:sz w:val="24"/>
          <w:szCs w:val="24"/>
        </w:rPr>
        <w:t>tatistics</w:t>
      </w:r>
      <w:r w:rsidR="00DE604E" w:rsidRPr="00173569">
        <w:rPr>
          <w:rFonts w:ascii="Times New Roman" w:hAnsi="Times New Roman" w:cs="Times New Roman"/>
          <w:sz w:val="24"/>
          <w:szCs w:val="24"/>
        </w:rPr>
        <w:t xml:space="preserve"> of </w:t>
      </w:r>
      <w:r w:rsidR="00424F2B" w:rsidRPr="00173569">
        <w:rPr>
          <w:rFonts w:ascii="Times New Roman" w:hAnsi="Times New Roman" w:cs="Times New Roman"/>
          <w:sz w:val="24"/>
          <w:szCs w:val="24"/>
        </w:rPr>
        <w:t>C</w:t>
      </w:r>
      <w:r w:rsidR="00DE604E" w:rsidRPr="00173569">
        <w:rPr>
          <w:rFonts w:ascii="Times New Roman" w:hAnsi="Times New Roman" w:cs="Times New Roman"/>
          <w:sz w:val="24"/>
          <w:szCs w:val="24"/>
        </w:rPr>
        <w:t xml:space="preserve">umulative </w:t>
      </w:r>
      <w:r w:rsidR="00520DBA" w:rsidRPr="00173569">
        <w:rPr>
          <w:rFonts w:ascii="Times New Roman" w:hAnsi="Times New Roman" w:cs="Times New Roman"/>
          <w:color w:val="000000" w:themeColor="text1"/>
          <w:sz w:val="24"/>
          <w:szCs w:val="24"/>
        </w:rPr>
        <w:t>Official</w:t>
      </w:r>
      <w:r w:rsidR="00DE604E" w:rsidRPr="00173569">
        <w:rPr>
          <w:rFonts w:ascii="Times New Roman" w:hAnsi="Times New Roman" w:cs="Times New Roman"/>
          <w:color w:val="000000" w:themeColor="text1"/>
          <w:sz w:val="24"/>
          <w:szCs w:val="24"/>
        </w:rPr>
        <w:t xml:space="preserve"> </w:t>
      </w:r>
      <w:r w:rsidR="00525E77" w:rsidRPr="00173569">
        <w:rPr>
          <w:rFonts w:ascii="Times New Roman" w:hAnsi="Times New Roman" w:cs="Times New Roman"/>
          <w:color w:val="000000" w:themeColor="text1"/>
          <w:sz w:val="24"/>
          <w:szCs w:val="24"/>
        </w:rPr>
        <w:t>Covid</w:t>
      </w:r>
      <w:r w:rsidR="002E5803" w:rsidRPr="00173569">
        <w:rPr>
          <w:rFonts w:ascii="Times New Roman" w:hAnsi="Times New Roman" w:cs="Times New Roman"/>
          <w:color w:val="000000" w:themeColor="text1"/>
          <w:sz w:val="24"/>
          <w:szCs w:val="24"/>
        </w:rPr>
        <w:t>-19</w:t>
      </w:r>
      <w:r w:rsidR="00DE604E" w:rsidRPr="00173569">
        <w:rPr>
          <w:rFonts w:ascii="Times New Roman" w:hAnsi="Times New Roman" w:cs="Times New Roman"/>
          <w:color w:val="000000" w:themeColor="text1"/>
          <w:sz w:val="24"/>
          <w:szCs w:val="24"/>
        </w:rPr>
        <w:t xml:space="preserve"> </w:t>
      </w:r>
      <w:r w:rsidR="00424F2B" w:rsidRPr="00173569">
        <w:rPr>
          <w:rFonts w:ascii="Times New Roman" w:hAnsi="Times New Roman" w:cs="Times New Roman"/>
          <w:color w:val="000000" w:themeColor="text1"/>
          <w:sz w:val="24"/>
          <w:szCs w:val="24"/>
        </w:rPr>
        <w:t>M</w:t>
      </w:r>
      <w:r w:rsidR="00DE604E" w:rsidRPr="00173569">
        <w:rPr>
          <w:rFonts w:ascii="Times New Roman" w:hAnsi="Times New Roman" w:cs="Times New Roman"/>
          <w:color w:val="000000" w:themeColor="text1"/>
          <w:sz w:val="24"/>
          <w:szCs w:val="24"/>
        </w:rPr>
        <w:t>ortality</w:t>
      </w:r>
      <w:r w:rsidR="00FC0E81" w:rsidRPr="00173569">
        <w:rPr>
          <w:rFonts w:ascii="Times New Roman" w:hAnsi="Times New Roman" w:cs="Times New Roman"/>
          <w:color w:val="000000" w:themeColor="text1"/>
          <w:sz w:val="24"/>
          <w:szCs w:val="24"/>
        </w:rPr>
        <w:t>, December 31</w:t>
      </w:r>
      <w:r w:rsidR="003E03B4" w:rsidRPr="00173569">
        <w:rPr>
          <w:rFonts w:ascii="Times New Roman" w:hAnsi="Times New Roman" w:cs="Times New Roman"/>
          <w:color w:val="000000" w:themeColor="text1"/>
          <w:sz w:val="24"/>
          <w:szCs w:val="24"/>
        </w:rPr>
        <w:t>,</w:t>
      </w:r>
      <w:r w:rsidR="00FC0E81" w:rsidRPr="00173569">
        <w:rPr>
          <w:rFonts w:ascii="Times New Roman" w:hAnsi="Times New Roman" w:cs="Times New Roman"/>
          <w:color w:val="000000" w:themeColor="text1"/>
          <w:sz w:val="24"/>
          <w:szCs w:val="24"/>
        </w:rPr>
        <w:t xml:space="preserve"> 2021</w:t>
      </w:r>
    </w:p>
    <w:tbl>
      <w:tblPr>
        <w:tblStyle w:val="TableGrid"/>
        <w:tblW w:w="0" w:type="auto"/>
        <w:tblLayout w:type="fixed"/>
        <w:tblLook w:val="06A0" w:firstRow="1" w:lastRow="0" w:firstColumn="1" w:lastColumn="0" w:noHBand="1" w:noVBand="1"/>
      </w:tblPr>
      <w:tblGrid>
        <w:gridCol w:w="1795"/>
        <w:gridCol w:w="1872"/>
        <w:gridCol w:w="1872"/>
        <w:gridCol w:w="1872"/>
        <w:gridCol w:w="1872"/>
      </w:tblGrid>
      <w:tr w:rsidR="000F2211" w:rsidRPr="00173569" w14:paraId="744E81D6" w14:textId="77777777" w:rsidTr="00601CF2">
        <w:tc>
          <w:tcPr>
            <w:tcW w:w="1795" w:type="dxa"/>
            <w:vAlign w:val="center"/>
          </w:tcPr>
          <w:p w14:paraId="480AD735" w14:textId="44E1ABF0" w:rsidR="000F2211" w:rsidRPr="00173569" w:rsidRDefault="008A55DE" w:rsidP="008A55DE">
            <w:pPr>
              <w:spacing w:line="360" w:lineRule="auto"/>
              <w:jc w:val="center"/>
              <w:rPr>
                <w:rFonts w:ascii="Times New Roman" w:hAnsi="Times New Roman" w:cs="Times New Roman"/>
                <w:sz w:val="24"/>
                <w:szCs w:val="24"/>
              </w:rPr>
            </w:pPr>
            <w:r w:rsidRPr="00173569">
              <w:rPr>
                <w:rFonts w:ascii="Times New Roman" w:hAnsi="Times New Roman" w:cs="Times New Roman"/>
                <w:b/>
                <w:bCs/>
                <w:sz w:val="24"/>
                <w:szCs w:val="24"/>
              </w:rPr>
              <w:t>Variable</w:t>
            </w:r>
          </w:p>
        </w:tc>
        <w:tc>
          <w:tcPr>
            <w:tcW w:w="1872" w:type="dxa"/>
            <w:vAlign w:val="center"/>
          </w:tcPr>
          <w:p w14:paraId="62EEE8A4" w14:textId="77777777" w:rsidR="000F2211" w:rsidRPr="00173569" w:rsidRDefault="000F2211" w:rsidP="000F2211">
            <w:pPr>
              <w:jc w:val="center"/>
              <w:rPr>
                <w:rFonts w:ascii="Times New Roman" w:hAnsi="Times New Roman" w:cs="Times New Roman"/>
                <w:sz w:val="24"/>
                <w:szCs w:val="36"/>
              </w:rPr>
            </w:pPr>
            <w:r w:rsidRPr="00173569">
              <w:rPr>
                <w:rFonts w:ascii="Times New Roman" w:eastAsia="Times New Roman" w:hAnsi="Times New Roman" w:cs="Times New Roman"/>
                <w:b/>
                <w:bCs/>
                <w:sz w:val="24"/>
                <w:szCs w:val="36"/>
              </w:rPr>
              <w:t>1</w:t>
            </w:r>
            <w:r w:rsidRPr="00173569">
              <w:rPr>
                <w:rFonts w:ascii="Times New Roman" w:eastAsia="Times New Roman" w:hAnsi="Times New Roman" w:cs="Times New Roman"/>
                <w:b/>
                <w:bCs/>
                <w:sz w:val="24"/>
                <w:szCs w:val="36"/>
                <w:vertAlign w:val="superscript"/>
              </w:rPr>
              <w:t>st</w:t>
            </w:r>
            <w:r w:rsidRPr="00173569">
              <w:rPr>
                <w:rFonts w:ascii="Times New Roman" w:eastAsia="Times New Roman" w:hAnsi="Times New Roman" w:cs="Times New Roman"/>
                <w:b/>
                <w:bCs/>
                <w:sz w:val="24"/>
                <w:szCs w:val="36"/>
              </w:rPr>
              <w:t xml:space="preserve"> Quartile (Lowest Cum. Mortality)</w:t>
            </w:r>
          </w:p>
        </w:tc>
        <w:tc>
          <w:tcPr>
            <w:tcW w:w="1872" w:type="dxa"/>
            <w:vAlign w:val="center"/>
          </w:tcPr>
          <w:p w14:paraId="025FB3FF" w14:textId="77777777" w:rsidR="000F2211" w:rsidRPr="00173569" w:rsidRDefault="000F2211" w:rsidP="000F2211">
            <w:pPr>
              <w:jc w:val="center"/>
              <w:rPr>
                <w:rFonts w:ascii="Times New Roman" w:hAnsi="Times New Roman" w:cs="Times New Roman"/>
                <w:sz w:val="24"/>
                <w:szCs w:val="36"/>
              </w:rPr>
            </w:pPr>
            <w:r w:rsidRPr="00173569">
              <w:rPr>
                <w:rFonts w:ascii="Times New Roman" w:eastAsia="Times New Roman" w:hAnsi="Times New Roman" w:cs="Times New Roman"/>
                <w:b/>
                <w:bCs/>
                <w:sz w:val="24"/>
                <w:szCs w:val="36"/>
              </w:rPr>
              <w:t>2</w:t>
            </w:r>
            <w:r w:rsidRPr="00173569">
              <w:rPr>
                <w:rFonts w:ascii="Times New Roman" w:eastAsia="Times New Roman" w:hAnsi="Times New Roman" w:cs="Times New Roman"/>
                <w:b/>
                <w:bCs/>
                <w:sz w:val="24"/>
                <w:szCs w:val="36"/>
                <w:vertAlign w:val="superscript"/>
              </w:rPr>
              <w:t>nd</w:t>
            </w:r>
            <w:r w:rsidRPr="00173569">
              <w:rPr>
                <w:rFonts w:ascii="Times New Roman" w:eastAsia="Times New Roman" w:hAnsi="Times New Roman" w:cs="Times New Roman"/>
                <w:b/>
                <w:bCs/>
                <w:sz w:val="24"/>
                <w:szCs w:val="36"/>
              </w:rPr>
              <w:t xml:space="preserve"> Quartile</w:t>
            </w:r>
          </w:p>
        </w:tc>
        <w:tc>
          <w:tcPr>
            <w:tcW w:w="1872" w:type="dxa"/>
            <w:vAlign w:val="center"/>
          </w:tcPr>
          <w:p w14:paraId="2C88FE00" w14:textId="77777777" w:rsidR="000F2211" w:rsidRPr="00173569" w:rsidRDefault="000F2211" w:rsidP="000F2211">
            <w:pPr>
              <w:jc w:val="center"/>
              <w:rPr>
                <w:rFonts w:ascii="Times New Roman" w:hAnsi="Times New Roman" w:cs="Times New Roman"/>
                <w:sz w:val="24"/>
                <w:szCs w:val="36"/>
              </w:rPr>
            </w:pPr>
            <w:r w:rsidRPr="00173569">
              <w:rPr>
                <w:rFonts w:ascii="Times New Roman" w:eastAsia="Times New Roman" w:hAnsi="Times New Roman" w:cs="Times New Roman"/>
                <w:b/>
                <w:bCs/>
                <w:sz w:val="24"/>
                <w:szCs w:val="36"/>
              </w:rPr>
              <w:t>3</w:t>
            </w:r>
            <w:r w:rsidRPr="00173569">
              <w:rPr>
                <w:rFonts w:ascii="Times New Roman" w:eastAsia="Times New Roman" w:hAnsi="Times New Roman" w:cs="Times New Roman"/>
                <w:b/>
                <w:bCs/>
                <w:sz w:val="24"/>
                <w:szCs w:val="36"/>
                <w:vertAlign w:val="superscript"/>
              </w:rPr>
              <w:t>rd</w:t>
            </w:r>
            <w:r w:rsidRPr="00173569">
              <w:rPr>
                <w:rFonts w:ascii="Times New Roman" w:eastAsia="Times New Roman" w:hAnsi="Times New Roman" w:cs="Times New Roman"/>
                <w:b/>
                <w:bCs/>
                <w:sz w:val="24"/>
                <w:szCs w:val="36"/>
              </w:rPr>
              <w:t xml:space="preserve"> Quartile</w:t>
            </w:r>
          </w:p>
        </w:tc>
        <w:tc>
          <w:tcPr>
            <w:tcW w:w="1872" w:type="dxa"/>
            <w:vAlign w:val="center"/>
          </w:tcPr>
          <w:p w14:paraId="1E8520F8" w14:textId="77777777" w:rsidR="000F2211" w:rsidRPr="00173569" w:rsidRDefault="000F2211" w:rsidP="000F2211">
            <w:pPr>
              <w:jc w:val="center"/>
              <w:rPr>
                <w:rFonts w:ascii="Times New Roman" w:hAnsi="Times New Roman" w:cs="Times New Roman"/>
                <w:sz w:val="24"/>
                <w:szCs w:val="36"/>
              </w:rPr>
            </w:pPr>
            <w:r w:rsidRPr="00173569">
              <w:rPr>
                <w:rFonts w:ascii="Times New Roman" w:eastAsia="Times New Roman" w:hAnsi="Times New Roman" w:cs="Times New Roman"/>
                <w:b/>
                <w:bCs/>
                <w:sz w:val="24"/>
                <w:szCs w:val="36"/>
              </w:rPr>
              <w:t>4</w:t>
            </w:r>
            <w:r w:rsidRPr="00173569">
              <w:rPr>
                <w:rFonts w:ascii="Times New Roman" w:eastAsia="Times New Roman" w:hAnsi="Times New Roman" w:cs="Times New Roman"/>
                <w:b/>
                <w:bCs/>
                <w:sz w:val="24"/>
                <w:szCs w:val="36"/>
                <w:vertAlign w:val="superscript"/>
              </w:rPr>
              <w:t>th</w:t>
            </w:r>
            <w:r w:rsidRPr="00173569">
              <w:rPr>
                <w:rFonts w:ascii="Times New Roman" w:eastAsia="Times New Roman" w:hAnsi="Times New Roman" w:cs="Times New Roman"/>
                <w:b/>
                <w:bCs/>
                <w:sz w:val="24"/>
                <w:szCs w:val="36"/>
              </w:rPr>
              <w:t xml:space="preserve"> Quartile (Highest Cum. Mortality)</w:t>
            </w:r>
          </w:p>
        </w:tc>
      </w:tr>
      <w:tr w:rsidR="003B048E" w:rsidRPr="00173569" w14:paraId="0F0E9394" w14:textId="77777777" w:rsidTr="00274218">
        <w:tc>
          <w:tcPr>
            <w:tcW w:w="1795" w:type="dxa"/>
            <w:vAlign w:val="center"/>
          </w:tcPr>
          <w:p w14:paraId="02D7F458" w14:textId="0A381D50" w:rsidR="003B048E" w:rsidRPr="00274218" w:rsidRDefault="003B048E" w:rsidP="00274218">
            <w:pPr>
              <w:spacing w:line="276" w:lineRule="auto"/>
              <w:jc w:val="center"/>
              <w:rPr>
                <w:rFonts w:ascii="Times New Roman" w:hAnsi="Times New Roman" w:cs="Times New Roman"/>
                <w:szCs w:val="24"/>
              </w:rPr>
            </w:pPr>
            <w:r w:rsidRPr="00274218">
              <w:rPr>
                <w:rFonts w:ascii="Times New Roman" w:hAnsi="Times New Roman" w:cs="Times New Roman"/>
                <w:color w:val="000000"/>
                <w:szCs w:val="24"/>
              </w:rPr>
              <w:t>Population</w:t>
            </w:r>
          </w:p>
        </w:tc>
        <w:tc>
          <w:tcPr>
            <w:tcW w:w="1872" w:type="dxa"/>
            <w:vAlign w:val="center"/>
          </w:tcPr>
          <w:p w14:paraId="31C5825A" w14:textId="25C93C76"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58162373</w:t>
            </w:r>
          </w:p>
        </w:tc>
        <w:tc>
          <w:tcPr>
            <w:tcW w:w="1872" w:type="dxa"/>
            <w:vAlign w:val="center"/>
          </w:tcPr>
          <w:p w14:paraId="01267AE3" w14:textId="34214FC3"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68463139</w:t>
            </w:r>
          </w:p>
        </w:tc>
        <w:tc>
          <w:tcPr>
            <w:tcW w:w="1872" w:type="dxa"/>
            <w:vAlign w:val="center"/>
          </w:tcPr>
          <w:p w14:paraId="3C4505D2" w14:textId="7CFDBDF5"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12154505</w:t>
            </w:r>
          </w:p>
        </w:tc>
        <w:tc>
          <w:tcPr>
            <w:tcW w:w="1872" w:type="dxa"/>
            <w:vAlign w:val="center"/>
          </w:tcPr>
          <w:p w14:paraId="3EFD1B56" w14:textId="2D6D6334"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33903606</w:t>
            </w:r>
          </w:p>
        </w:tc>
      </w:tr>
      <w:tr w:rsidR="003B048E" w:rsidRPr="00173569" w14:paraId="0D13D5BF" w14:textId="77777777" w:rsidTr="00274218">
        <w:tc>
          <w:tcPr>
            <w:tcW w:w="1795" w:type="dxa"/>
            <w:vAlign w:val="center"/>
          </w:tcPr>
          <w:p w14:paraId="3D40465E" w14:textId="58839DD4" w:rsidR="003B048E" w:rsidRPr="00274218" w:rsidRDefault="003B048E" w:rsidP="00274218">
            <w:pPr>
              <w:spacing w:line="276" w:lineRule="auto"/>
              <w:jc w:val="center"/>
              <w:rPr>
                <w:rFonts w:ascii="Times New Roman" w:hAnsi="Times New Roman" w:cs="Times New Roman"/>
                <w:szCs w:val="24"/>
              </w:rPr>
            </w:pPr>
            <w:r w:rsidRPr="00274218">
              <w:rPr>
                <w:rFonts w:ascii="Times New Roman" w:hAnsi="Times New Roman" w:cs="Times New Roman"/>
                <w:color w:val="000000"/>
                <w:szCs w:val="24"/>
              </w:rPr>
              <w:t>Population Density</w:t>
            </w:r>
          </w:p>
        </w:tc>
        <w:tc>
          <w:tcPr>
            <w:tcW w:w="1872" w:type="dxa"/>
            <w:vAlign w:val="center"/>
          </w:tcPr>
          <w:p w14:paraId="65D8676D" w14:textId="4C4AA2FC"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239</w:t>
            </w:r>
          </w:p>
        </w:tc>
        <w:tc>
          <w:tcPr>
            <w:tcW w:w="1872" w:type="dxa"/>
            <w:vAlign w:val="center"/>
          </w:tcPr>
          <w:p w14:paraId="3A04B44A" w14:textId="665B76A2"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399.2</w:t>
            </w:r>
          </w:p>
        </w:tc>
        <w:tc>
          <w:tcPr>
            <w:tcW w:w="1872" w:type="dxa"/>
            <w:vAlign w:val="center"/>
          </w:tcPr>
          <w:p w14:paraId="61853FBD" w14:textId="5DE323EE"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229.8</w:t>
            </w:r>
          </w:p>
        </w:tc>
        <w:tc>
          <w:tcPr>
            <w:tcW w:w="1872" w:type="dxa"/>
            <w:vAlign w:val="center"/>
          </w:tcPr>
          <w:p w14:paraId="4FEB3317" w14:textId="6DE63DB2"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104.6</w:t>
            </w:r>
          </w:p>
        </w:tc>
      </w:tr>
      <w:tr w:rsidR="003B048E" w:rsidRPr="00173569" w14:paraId="54A68108" w14:textId="77777777" w:rsidTr="00274218">
        <w:tc>
          <w:tcPr>
            <w:tcW w:w="1795" w:type="dxa"/>
            <w:vAlign w:val="center"/>
          </w:tcPr>
          <w:p w14:paraId="4CFBB270" w14:textId="34D9C682" w:rsidR="003B048E" w:rsidRPr="00274218" w:rsidRDefault="003B048E" w:rsidP="00274218">
            <w:pPr>
              <w:spacing w:line="276" w:lineRule="auto"/>
              <w:jc w:val="center"/>
              <w:rPr>
                <w:rFonts w:ascii="Times New Roman" w:hAnsi="Times New Roman" w:cs="Times New Roman"/>
                <w:szCs w:val="24"/>
              </w:rPr>
            </w:pPr>
            <w:r w:rsidRPr="00274218">
              <w:rPr>
                <w:rFonts w:ascii="Times New Roman" w:hAnsi="Times New Roman" w:cs="Times New Roman"/>
                <w:color w:val="000000"/>
                <w:szCs w:val="24"/>
              </w:rPr>
              <w:t>Urban Population Share</w:t>
            </w:r>
          </w:p>
        </w:tc>
        <w:tc>
          <w:tcPr>
            <w:tcW w:w="1872" w:type="dxa"/>
            <w:vAlign w:val="center"/>
          </w:tcPr>
          <w:p w14:paraId="6EF95969" w14:textId="21A131FC"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44</w:t>
            </w:r>
          </w:p>
        </w:tc>
        <w:tc>
          <w:tcPr>
            <w:tcW w:w="1872" w:type="dxa"/>
            <w:vAlign w:val="center"/>
          </w:tcPr>
          <w:p w14:paraId="6EE81278" w14:textId="40075256"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56.3</w:t>
            </w:r>
          </w:p>
        </w:tc>
        <w:tc>
          <w:tcPr>
            <w:tcW w:w="1872" w:type="dxa"/>
            <w:vAlign w:val="center"/>
          </w:tcPr>
          <w:p w14:paraId="58197336" w14:textId="73EE7326"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66</w:t>
            </w:r>
          </w:p>
        </w:tc>
        <w:tc>
          <w:tcPr>
            <w:tcW w:w="1872" w:type="dxa"/>
            <w:vAlign w:val="center"/>
          </w:tcPr>
          <w:p w14:paraId="6365D4ED" w14:textId="1DC464B4"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69</w:t>
            </w:r>
          </w:p>
        </w:tc>
      </w:tr>
      <w:tr w:rsidR="003B048E" w:rsidRPr="00173569" w14:paraId="47F918C8" w14:textId="77777777" w:rsidTr="00274218">
        <w:tc>
          <w:tcPr>
            <w:tcW w:w="1795" w:type="dxa"/>
            <w:vAlign w:val="center"/>
          </w:tcPr>
          <w:p w14:paraId="12B0F031" w14:textId="12581673" w:rsidR="003B048E" w:rsidRPr="00274218" w:rsidRDefault="003B048E" w:rsidP="00274218">
            <w:pPr>
              <w:spacing w:line="276" w:lineRule="auto"/>
              <w:jc w:val="center"/>
              <w:rPr>
                <w:rFonts w:ascii="Times New Roman" w:hAnsi="Times New Roman" w:cs="Times New Roman"/>
                <w:szCs w:val="24"/>
              </w:rPr>
            </w:pPr>
            <w:r w:rsidRPr="00274218">
              <w:rPr>
                <w:rFonts w:ascii="Times New Roman" w:hAnsi="Times New Roman" w:cs="Times New Roman"/>
                <w:color w:val="000000"/>
                <w:szCs w:val="24"/>
              </w:rPr>
              <w:t>Aged 65+ Population Share</w:t>
            </w:r>
          </w:p>
        </w:tc>
        <w:tc>
          <w:tcPr>
            <w:tcW w:w="1872" w:type="dxa"/>
            <w:vAlign w:val="center"/>
          </w:tcPr>
          <w:p w14:paraId="28FB4AF0" w14:textId="5861F113"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4.5</w:t>
            </w:r>
          </w:p>
        </w:tc>
        <w:tc>
          <w:tcPr>
            <w:tcW w:w="1872" w:type="dxa"/>
            <w:vAlign w:val="center"/>
          </w:tcPr>
          <w:p w14:paraId="4B76A96F" w14:textId="406A41B1"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6.5</w:t>
            </w:r>
          </w:p>
        </w:tc>
        <w:tc>
          <w:tcPr>
            <w:tcW w:w="1872" w:type="dxa"/>
            <w:vAlign w:val="center"/>
          </w:tcPr>
          <w:p w14:paraId="224EF5C5" w14:textId="4766EA55"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9.5</w:t>
            </w:r>
          </w:p>
        </w:tc>
        <w:tc>
          <w:tcPr>
            <w:tcW w:w="1872" w:type="dxa"/>
            <w:vAlign w:val="center"/>
          </w:tcPr>
          <w:p w14:paraId="4A37565D" w14:textId="5238A036"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13.9</w:t>
            </w:r>
          </w:p>
        </w:tc>
      </w:tr>
      <w:tr w:rsidR="003B048E" w:rsidRPr="00173569" w14:paraId="2DBFD8F9" w14:textId="77777777" w:rsidTr="00274218">
        <w:tc>
          <w:tcPr>
            <w:tcW w:w="1795" w:type="dxa"/>
            <w:vAlign w:val="center"/>
          </w:tcPr>
          <w:p w14:paraId="5A7AEF82" w14:textId="61670F95" w:rsidR="003B048E" w:rsidRPr="00274218" w:rsidRDefault="003B048E" w:rsidP="00274218">
            <w:pPr>
              <w:spacing w:line="276" w:lineRule="auto"/>
              <w:jc w:val="center"/>
              <w:rPr>
                <w:rFonts w:ascii="Times New Roman" w:hAnsi="Times New Roman" w:cs="Times New Roman"/>
                <w:szCs w:val="24"/>
                <w:highlight w:val="yellow"/>
              </w:rPr>
            </w:pPr>
            <w:r w:rsidRPr="00274218">
              <w:rPr>
                <w:rFonts w:ascii="Times New Roman" w:hAnsi="Times New Roman" w:cs="Times New Roman"/>
                <w:color w:val="000000"/>
                <w:szCs w:val="24"/>
                <w:highlight w:val="yellow"/>
              </w:rPr>
              <w:t>GDP per Capita (in $1,000)</w:t>
            </w:r>
          </w:p>
        </w:tc>
        <w:tc>
          <w:tcPr>
            <w:tcW w:w="1872" w:type="dxa"/>
            <w:vAlign w:val="center"/>
          </w:tcPr>
          <w:p w14:paraId="39434118" w14:textId="49CDAA69"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7.2</w:t>
            </w:r>
          </w:p>
        </w:tc>
        <w:tc>
          <w:tcPr>
            <w:tcW w:w="1872" w:type="dxa"/>
            <w:vAlign w:val="center"/>
          </w:tcPr>
          <w:p w14:paraId="6424FAA7" w14:textId="720F4B78"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20.5</w:t>
            </w:r>
          </w:p>
        </w:tc>
        <w:tc>
          <w:tcPr>
            <w:tcW w:w="1872" w:type="dxa"/>
            <w:vAlign w:val="center"/>
          </w:tcPr>
          <w:p w14:paraId="79B0B6B3" w14:textId="4FCF25D1"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25</w:t>
            </w:r>
          </w:p>
        </w:tc>
        <w:tc>
          <w:tcPr>
            <w:tcW w:w="1872" w:type="dxa"/>
            <w:vAlign w:val="center"/>
          </w:tcPr>
          <w:p w14:paraId="0B5DEFA9" w14:textId="58EA9A11"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22.3</w:t>
            </w:r>
          </w:p>
        </w:tc>
      </w:tr>
      <w:tr w:rsidR="003B048E" w:rsidRPr="00173569" w14:paraId="54275496" w14:textId="77777777" w:rsidTr="00274218">
        <w:tc>
          <w:tcPr>
            <w:tcW w:w="1795" w:type="dxa"/>
            <w:vAlign w:val="center"/>
          </w:tcPr>
          <w:p w14:paraId="057497B6" w14:textId="3B256188" w:rsidR="003B048E" w:rsidRPr="00274218" w:rsidRDefault="003B048E" w:rsidP="00274218">
            <w:pPr>
              <w:spacing w:line="276" w:lineRule="auto"/>
              <w:jc w:val="center"/>
              <w:rPr>
                <w:rFonts w:ascii="Times New Roman" w:hAnsi="Times New Roman" w:cs="Times New Roman"/>
                <w:szCs w:val="24"/>
                <w:highlight w:val="yellow"/>
              </w:rPr>
            </w:pPr>
            <w:r w:rsidRPr="00274218">
              <w:rPr>
                <w:rFonts w:ascii="Times New Roman" w:hAnsi="Times New Roman" w:cs="Times New Roman"/>
                <w:color w:val="000000"/>
                <w:szCs w:val="24"/>
                <w:highlight w:val="yellow"/>
              </w:rPr>
              <w:t>Rule of Law</w:t>
            </w:r>
          </w:p>
        </w:tc>
        <w:tc>
          <w:tcPr>
            <w:tcW w:w="1872" w:type="dxa"/>
            <w:vAlign w:val="center"/>
          </w:tcPr>
          <w:p w14:paraId="64ECD8A3" w14:textId="241B72B4"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-0.6</w:t>
            </w:r>
          </w:p>
        </w:tc>
        <w:tc>
          <w:tcPr>
            <w:tcW w:w="1872" w:type="dxa"/>
            <w:vAlign w:val="center"/>
          </w:tcPr>
          <w:p w14:paraId="6D3FD5E8" w14:textId="4C0C2421"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-0.2</w:t>
            </w:r>
          </w:p>
        </w:tc>
        <w:tc>
          <w:tcPr>
            <w:tcW w:w="1872" w:type="dxa"/>
            <w:vAlign w:val="center"/>
          </w:tcPr>
          <w:p w14:paraId="44FE0650" w14:textId="08D2DD6F"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0.3</w:t>
            </w:r>
          </w:p>
        </w:tc>
        <w:tc>
          <w:tcPr>
            <w:tcW w:w="1872" w:type="dxa"/>
            <w:vAlign w:val="center"/>
          </w:tcPr>
          <w:p w14:paraId="60450D97" w14:textId="1C859DD4"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0.2</w:t>
            </w:r>
          </w:p>
        </w:tc>
      </w:tr>
      <w:tr w:rsidR="003B048E" w:rsidRPr="00173569" w14:paraId="03DF1FAF" w14:textId="77777777" w:rsidTr="00274218">
        <w:tc>
          <w:tcPr>
            <w:tcW w:w="1795" w:type="dxa"/>
            <w:vAlign w:val="center"/>
          </w:tcPr>
          <w:p w14:paraId="03E4EC91" w14:textId="4D0491D3" w:rsidR="003B048E" w:rsidRPr="00274218" w:rsidRDefault="003B048E" w:rsidP="00274218">
            <w:pPr>
              <w:spacing w:line="276" w:lineRule="auto"/>
              <w:jc w:val="center"/>
              <w:rPr>
                <w:rFonts w:ascii="Times New Roman" w:hAnsi="Times New Roman" w:cs="Times New Roman"/>
                <w:szCs w:val="24"/>
                <w:highlight w:val="yellow"/>
              </w:rPr>
            </w:pPr>
            <w:r w:rsidRPr="00274218">
              <w:rPr>
                <w:rFonts w:ascii="Times New Roman" w:hAnsi="Times New Roman" w:cs="Times New Roman"/>
                <w:color w:val="000000"/>
                <w:szCs w:val="24"/>
                <w:highlight w:val="yellow"/>
              </w:rPr>
              <w:t>Voice and Accountability</w:t>
            </w:r>
          </w:p>
        </w:tc>
        <w:tc>
          <w:tcPr>
            <w:tcW w:w="1872" w:type="dxa"/>
            <w:vAlign w:val="center"/>
          </w:tcPr>
          <w:p w14:paraId="005423A3" w14:textId="435B3441"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-0.6</w:t>
            </w:r>
          </w:p>
        </w:tc>
        <w:tc>
          <w:tcPr>
            <w:tcW w:w="1872" w:type="dxa"/>
            <w:vAlign w:val="center"/>
          </w:tcPr>
          <w:p w14:paraId="36E7D718" w14:textId="1CF06AF8"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-0.5</w:t>
            </w:r>
          </w:p>
        </w:tc>
        <w:tc>
          <w:tcPr>
            <w:tcW w:w="1872" w:type="dxa"/>
            <w:vAlign w:val="center"/>
          </w:tcPr>
          <w:p w14:paraId="77337401" w14:textId="4E447F43"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0.3</w:t>
            </w:r>
          </w:p>
        </w:tc>
        <w:tc>
          <w:tcPr>
            <w:tcW w:w="1872" w:type="dxa"/>
            <w:vAlign w:val="center"/>
          </w:tcPr>
          <w:p w14:paraId="0BF6531C" w14:textId="34D31F02"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0.5</w:t>
            </w:r>
          </w:p>
        </w:tc>
      </w:tr>
      <w:tr w:rsidR="003B048E" w:rsidRPr="00173569" w14:paraId="3FB6CBB0" w14:textId="77777777" w:rsidTr="00274218">
        <w:tc>
          <w:tcPr>
            <w:tcW w:w="1795" w:type="dxa"/>
            <w:vAlign w:val="center"/>
          </w:tcPr>
          <w:p w14:paraId="21CF2D21" w14:textId="22595842" w:rsidR="003B048E" w:rsidRPr="00274218" w:rsidRDefault="003B048E" w:rsidP="00274218">
            <w:pPr>
              <w:spacing w:line="276" w:lineRule="auto"/>
              <w:jc w:val="center"/>
              <w:rPr>
                <w:rFonts w:ascii="Times New Roman" w:hAnsi="Times New Roman" w:cs="Times New Roman"/>
                <w:szCs w:val="24"/>
                <w:highlight w:val="yellow"/>
              </w:rPr>
            </w:pPr>
            <w:r w:rsidRPr="00274218">
              <w:rPr>
                <w:rFonts w:ascii="Times New Roman" w:hAnsi="Times New Roman" w:cs="Times New Roman"/>
                <w:color w:val="000000"/>
                <w:szCs w:val="24"/>
                <w:highlight w:val="yellow"/>
              </w:rPr>
              <w:t>Government Effectiveness</w:t>
            </w:r>
          </w:p>
        </w:tc>
        <w:tc>
          <w:tcPr>
            <w:tcW w:w="1872" w:type="dxa"/>
            <w:vAlign w:val="center"/>
          </w:tcPr>
          <w:p w14:paraId="24031971" w14:textId="679DEFFA"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-0.7</w:t>
            </w:r>
          </w:p>
        </w:tc>
        <w:tc>
          <w:tcPr>
            <w:tcW w:w="1872" w:type="dxa"/>
            <w:vAlign w:val="center"/>
          </w:tcPr>
          <w:p w14:paraId="25F3BE59" w14:textId="310C3498"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-0.1</w:t>
            </w:r>
          </w:p>
        </w:tc>
        <w:tc>
          <w:tcPr>
            <w:tcW w:w="1872" w:type="dxa"/>
            <w:vAlign w:val="center"/>
          </w:tcPr>
          <w:p w14:paraId="12DA1BF3" w14:textId="3C4A7ED7"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0.3</w:t>
            </w:r>
          </w:p>
        </w:tc>
        <w:tc>
          <w:tcPr>
            <w:tcW w:w="1872" w:type="dxa"/>
            <w:vAlign w:val="center"/>
          </w:tcPr>
          <w:p w14:paraId="546EF4EB" w14:textId="10F0CCDC"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0.2</w:t>
            </w:r>
          </w:p>
        </w:tc>
      </w:tr>
      <w:tr w:rsidR="003B048E" w:rsidRPr="00173569" w14:paraId="46E03F67" w14:textId="77777777" w:rsidTr="00274218">
        <w:tc>
          <w:tcPr>
            <w:tcW w:w="1795" w:type="dxa"/>
            <w:vAlign w:val="center"/>
          </w:tcPr>
          <w:p w14:paraId="40E2C39E" w14:textId="1209F803" w:rsidR="003B048E" w:rsidRPr="00274218" w:rsidRDefault="003B048E" w:rsidP="00274218">
            <w:pPr>
              <w:spacing w:line="276" w:lineRule="auto"/>
              <w:jc w:val="center"/>
              <w:rPr>
                <w:rFonts w:ascii="Times New Roman" w:eastAsia="Times New Roman" w:hAnsi="Times New Roman" w:cs="Times New Roman"/>
                <w:szCs w:val="24"/>
                <w:highlight w:val="yellow"/>
              </w:rPr>
            </w:pPr>
            <w:r w:rsidRPr="00274218">
              <w:rPr>
                <w:rFonts w:ascii="Times New Roman" w:hAnsi="Times New Roman" w:cs="Times New Roman"/>
                <w:color w:val="000000"/>
                <w:szCs w:val="24"/>
                <w:highlight w:val="yellow"/>
              </w:rPr>
              <w:t>Vaccinations</w:t>
            </w:r>
          </w:p>
        </w:tc>
        <w:tc>
          <w:tcPr>
            <w:tcW w:w="1872" w:type="dxa"/>
            <w:vAlign w:val="center"/>
          </w:tcPr>
          <w:p w14:paraId="56775F6F" w14:textId="237C568B" w:rsidR="003B048E" w:rsidRPr="003B048E" w:rsidRDefault="003B048E" w:rsidP="00274218">
            <w:pPr>
              <w:spacing w:line="276" w:lineRule="auto"/>
              <w:jc w:val="center"/>
              <w:rPr>
                <w:rFonts w:ascii="Times New Roman" w:eastAsia="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33.9</w:t>
            </w:r>
          </w:p>
        </w:tc>
        <w:tc>
          <w:tcPr>
            <w:tcW w:w="1872" w:type="dxa"/>
            <w:vAlign w:val="center"/>
          </w:tcPr>
          <w:p w14:paraId="3C9519C3" w14:textId="7410E8F6" w:rsidR="003B048E" w:rsidRPr="003B048E" w:rsidRDefault="003B048E" w:rsidP="00274218">
            <w:pPr>
              <w:spacing w:line="276" w:lineRule="auto"/>
              <w:jc w:val="center"/>
              <w:rPr>
                <w:rFonts w:ascii="Times New Roman" w:eastAsia="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87.9</w:t>
            </w:r>
          </w:p>
        </w:tc>
        <w:tc>
          <w:tcPr>
            <w:tcW w:w="1872" w:type="dxa"/>
            <w:vAlign w:val="center"/>
          </w:tcPr>
          <w:p w14:paraId="3F0A3205" w14:textId="47C616BC" w:rsidR="003B048E" w:rsidRPr="003B048E" w:rsidRDefault="003B048E" w:rsidP="00274218">
            <w:pPr>
              <w:spacing w:line="276" w:lineRule="auto"/>
              <w:jc w:val="center"/>
              <w:rPr>
                <w:rFonts w:ascii="Times New Roman" w:eastAsia="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103.3</w:t>
            </w:r>
          </w:p>
        </w:tc>
        <w:tc>
          <w:tcPr>
            <w:tcW w:w="1872" w:type="dxa"/>
            <w:vAlign w:val="center"/>
          </w:tcPr>
          <w:p w14:paraId="052DBE0A" w14:textId="1562FD65" w:rsidR="003B048E" w:rsidRPr="003B048E" w:rsidRDefault="003B048E" w:rsidP="00274218">
            <w:pPr>
              <w:spacing w:line="276" w:lineRule="auto"/>
              <w:jc w:val="center"/>
              <w:rPr>
                <w:rFonts w:ascii="Times New Roman" w:eastAsia="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117.5</w:t>
            </w:r>
          </w:p>
        </w:tc>
      </w:tr>
    </w:tbl>
    <w:p w14:paraId="00BC0DF8" w14:textId="45D23446" w:rsidR="00EE15B7" w:rsidRDefault="00EC4053" w:rsidP="00EC4053">
      <w:pPr>
        <w:spacing w:after="0" w:line="240" w:lineRule="auto"/>
        <w:rPr>
          <w:rFonts w:ascii="Times New Roman" w:eastAsia="Times New Roman" w:hAnsi="Times New Roman" w:cs="Times New Roman"/>
          <w:color w:val="24292F"/>
          <w:sz w:val="20"/>
          <w:szCs w:val="20"/>
        </w:rPr>
      </w:pPr>
      <w:r w:rsidRPr="00601CF2">
        <w:rPr>
          <w:rFonts w:ascii="Times New Roman" w:hAnsi="Times New Roman" w:cs="Times New Roman"/>
          <w:b/>
          <w:sz w:val="20"/>
          <w:szCs w:val="20"/>
        </w:rPr>
        <w:t>Notes:</w:t>
      </w:r>
      <w:r w:rsidRPr="00601CF2">
        <w:rPr>
          <w:rFonts w:ascii="Times New Roman" w:hAnsi="Times New Roman" w:cs="Times New Roman"/>
          <w:sz w:val="20"/>
          <w:szCs w:val="20"/>
        </w:rPr>
        <w:t xml:space="preserve"> Each row </w:t>
      </w:r>
      <w:r>
        <w:rPr>
          <w:rFonts w:ascii="Times New Roman" w:hAnsi="Times New Roman" w:cs="Times New Roman"/>
          <w:sz w:val="20"/>
          <w:szCs w:val="20"/>
        </w:rPr>
        <w:t xml:space="preserve">in Tables 1 and 2 </w:t>
      </w:r>
      <w:r w:rsidRPr="00601CF2">
        <w:rPr>
          <w:rFonts w:ascii="Times New Roman" w:hAnsi="Times New Roman" w:cs="Times New Roman"/>
          <w:sz w:val="20"/>
          <w:szCs w:val="20"/>
        </w:rPr>
        <w:t xml:space="preserve">captures </w:t>
      </w:r>
      <w:r w:rsidRPr="00601CF2">
        <w:rPr>
          <w:rFonts w:ascii="Times New Roman" w:hAnsi="Times New Roman" w:cs="Times New Roman"/>
          <w:i/>
          <w:iCs/>
          <w:sz w:val="20"/>
          <w:szCs w:val="20"/>
        </w:rPr>
        <w:t>average demographic indicators</w:t>
      </w:r>
      <w:r w:rsidRPr="00601CF2">
        <w:rPr>
          <w:rFonts w:ascii="Times New Roman" w:hAnsi="Times New Roman" w:cs="Times New Roman"/>
          <w:sz w:val="20"/>
          <w:szCs w:val="20"/>
        </w:rPr>
        <w:t xml:space="preserve"> within each quartile. Population is calculated as cumulative totals as reported by the </w:t>
      </w:r>
      <w:hyperlink r:id="rId11" w:history="1">
        <w:r w:rsidRPr="00601CF2">
          <w:rPr>
            <w:rStyle w:val="Hyperlink"/>
            <w:rFonts w:ascii="Times New Roman" w:hAnsi="Times New Roman" w:cs="Times New Roman"/>
            <w:sz w:val="20"/>
            <w:szCs w:val="20"/>
          </w:rPr>
          <w:t>United Nations</w:t>
        </w:r>
      </w:hyperlink>
      <w:r w:rsidRPr="00601CF2">
        <w:rPr>
          <w:rFonts w:ascii="Times New Roman" w:hAnsi="Times New Roman" w:cs="Times New Roman"/>
          <w:sz w:val="20"/>
          <w:szCs w:val="20"/>
        </w:rPr>
        <w:t xml:space="preserve"> in 2020; p</w:t>
      </w:r>
      <w:r w:rsidRPr="00601CF2">
        <w:rPr>
          <w:rFonts w:ascii="Times New Roman" w:eastAsia="Times New Roman" w:hAnsi="Times New Roman" w:cs="Times New Roman"/>
          <w:color w:val="000000" w:themeColor="text1"/>
          <w:sz w:val="20"/>
          <w:szCs w:val="20"/>
          <w:shd w:val="clear" w:color="auto" w:fill="FFFFFF"/>
        </w:rPr>
        <w:t xml:space="preserve">opulation density is calculated as the number of people divided by </w:t>
      </w:r>
      <w:r w:rsidR="001D1615">
        <w:rPr>
          <w:rFonts w:ascii="Times New Roman" w:eastAsia="Times New Roman" w:hAnsi="Times New Roman" w:cs="Times New Roman"/>
          <w:color w:val="000000" w:themeColor="text1"/>
          <w:sz w:val="20"/>
          <w:szCs w:val="20"/>
          <w:shd w:val="clear" w:color="auto" w:fill="FFFFFF"/>
        </w:rPr>
        <w:t xml:space="preserve">total </w:t>
      </w:r>
      <w:r w:rsidRPr="00601CF2">
        <w:rPr>
          <w:rFonts w:ascii="Times New Roman" w:eastAsia="Times New Roman" w:hAnsi="Times New Roman" w:cs="Times New Roman"/>
          <w:color w:val="000000" w:themeColor="text1"/>
          <w:sz w:val="20"/>
          <w:szCs w:val="20"/>
          <w:shd w:val="clear" w:color="auto" w:fill="FFFFFF"/>
        </w:rPr>
        <w:t>land area</w:t>
      </w:r>
      <w:r w:rsidR="001D1615">
        <w:rPr>
          <w:rFonts w:ascii="Times New Roman" w:eastAsia="Times New Roman" w:hAnsi="Times New Roman" w:cs="Times New Roman"/>
          <w:color w:val="000000" w:themeColor="text1"/>
          <w:sz w:val="20"/>
          <w:szCs w:val="20"/>
          <w:shd w:val="clear" w:color="auto" w:fill="FFFFFF"/>
        </w:rPr>
        <w:t xml:space="preserve"> </w:t>
      </w:r>
      <w:r w:rsidRPr="00601CF2">
        <w:rPr>
          <w:rFonts w:ascii="Times New Roman" w:eastAsia="Times New Roman" w:hAnsi="Times New Roman" w:cs="Times New Roman"/>
          <w:color w:val="000000" w:themeColor="text1"/>
          <w:sz w:val="20"/>
          <w:szCs w:val="20"/>
          <w:shd w:val="clear" w:color="auto" w:fill="FFFFFF"/>
        </w:rPr>
        <w:t xml:space="preserve">measured in square kilometers; and </w:t>
      </w:r>
      <w:r w:rsidRPr="00601CF2">
        <w:rPr>
          <w:rFonts w:ascii="Times New Roman" w:eastAsia="Times New Roman" w:hAnsi="Times New Roman" w:cs="Times New Roman"/>
          <w:color w:val="24292F"/>
          <w:sz w:val="20"/>
          <w:szCs w:val="20"/>
        </w:rPr>
        <w:t xml:space="preserve">gross domestic product is calculated at purchasing power parity (constant 2011 international dollars) – all from </w:t>
      </w:r>
      <w:hyperlink r:id="rId12" w:history="1">
        <w:r w:rsidR="001D1615" w:rsidRPr="00601CF2">
          <w:rPr>
            <w:rStyle w:val="Hyperlink"/>
            <w:rFonts w:ascii="Times New Roman" w:eastAsia="Times New Roman" w:hAnsi="Times New Roman" w:cs="Times New Roman"/>
            <w:sz w:val="20"/>
            <w:szCs w:val="20"/>
          </w:rPr>
          <w:t>O</w:t>
        </w:r>
        <w:r w:rsidR="001D1615">
          <w:rPr>
            <w:rStyle w:val="Hyperlink"/>
            <w:rFonts w:ascii="Times New Roman" w:eastAsia="Times New Roman" w:hAnsi="Times New Roman" w:cs="Times New Roman"/>
            <w:sz w:val="20"/>
            <w:szCs w:val="20"/>
          </w:rPr>
          <w:t>ur</w:t>
        </w:r>
      </w:hyperlink>
      <w:r w:rsidR="001D1615">
        <w:rPr>
          <w:rStyle w:val="Hyperlink"/>
          <w:rFonts w:ascii="Times New Roman" w:eastAsia="Times New Roman" w:hAnsi="Times New Roman" w:cs="Times New Roman"/>
          <w:sz w:val="20"/>
          <w:szCs w:val="20"/>
        </w:rPr>
        <w:t xml:space="preserve"> World in Data</w:t>
      </w:r>
      <w:r w:rsidRPr="00601CF2">
        <w:rPr>
          <w:rFonts w:ascii="Times New Roman" w:eastAsia="Times New Roman" w:hAnsi="Times New Roman" w:cs="Times New Roman"/>
          <w:color w:val="24292F"/>
          <w:sz w:val="20"/>
          <w:szCs w:val="20"/>
        </w:rPr>
        <w:t>.</w:t>
      </w:r>
      <w:r w:rsidR="003B048E">
        <w:rPr>
          <w:rFonts w:ascii="Times New Roman" w:eastAsia="Times New Roman" w:hAnsi="Times New Roman" w:cs="Times New Roman"/>
          <w:color w:val="24292F"/>
          <w:sz w:val="20"/>
          <w:szCs w:val="20"/>
        </w:rPr>
        <w:t xml:space="preserve"> </w:t>
      </w:r>
      <w:r w:rsidR="001D1615">
        <w:rPr>
          <w:rFonts w:ascii="Times New Roman" w:eastAsia="Times New Roman" w:hAnsi="Times New Roman" w:cs="Times New Roman"/>
          <w:color w:val="24292F"/>
          <w:sz w:val="20"/>
          <w:szCs w:val="20"/>
        </w:rPr>
        <w:t xml:space="preserve">Rule of Law, Voice and Accountability, and Government Effectiveness are ranked on a scale of -1 to 1 (with 1 representing a higher country score), and were pulled from the Worldwide Governance Indicators. </w:t>
      </w:r>
      <w:r w:rsidR="003B048E">
        <w:rPr>
          <w:rFonts w:ascii="Times New Roman" w:eastAsia="Times New Roman" w:hAnsi="Times New Roman" w:cs="Times New Roman"/>
          <w:color w:val="24292F"/>
          <w:sz w:val="20"/>
          <w:szCs w:val="20"/>
        </w:rPr>
        <w:t>Vaccinations is the number of Covid-19 vaccines administered per hundred population</w:t>
      </w:r>
      <w:r w:rsidR="001D1615">
        <w:rPr>
          <w:rFonts w:ascii="Times New Roman" w:eastAsia="Times New Roman" w:hAnsi="Times New Roman" w:cs="Times New Roman"/>
          <w:color w:val="24292F"/>
          <w:sz w:val="20"/>
          <w:szCs w:val="20"/>
        </w:rPr>
        <w:t xml:space="preserve"> (also pulled from OWID)</w:t>
      </w:r>
      <w:r w:rsidR="003B048E">
        <w:rPr>
          <w:rFonts w:ascii="Times New Roman" w:eastAsia="Times New Roman" w:hAnsi="Times New Roman" w:cs="Times New Roman"/>
          <w:color w:val="24292F"/>
          <w:sz w:val="20"/>
          <w:szCs w:val="20"/>
        </w:rPr>
        <w:t>.</w:t>
      </w:r>
    </w:p>
    <w:p w14:paraId="1F5A042F" w14:textId="77777777" w:rsidR="00A92170" w:rsidRPr="00601CF2" w:rsidRDefault="00A92170" w:rsidP="00601CF2">
      <w:pPr>
        <w:spacing w:after="0" w:line="240" w:lineRule="auto"/>
        <w:rPr>
          <w:rFonts w:ascii="Times New Roman" w:eastAsia="Times New Roman" w:hAnsi="Times New Roman" w:cs="Times New Roman"/>
          <w:color w:val="24292F"/>
          <w:sz w:val="20"/>
          <w:szCs w:val="20"/>
        </w:rPr>
      </w:pPr>
    </w:p>
    <w:p w14:paraId="7BA58A94" w14:textId="3F1416D0" w:rsidR="00642EE0" w:rsidRPr="00601CF2" w:rsidRDefault="00695B92" w:rsidP="00642EE0">
      <w:pPr>
        <w:spacing w:line="360" w:lineRule="auto"/>
        <w:rPr>
          <w:rFonts w:ascii="Times New Roman" w:hAnsi="Times New Roman" w:cs="Times New Roman"/>
          <w:b/>
          <w:sz w:val="24"/>
          <w:szCs w:val="24"/>
        </w:rPr>
      </w:pPr>
      <w:r w:rsidRPr="00173569">
        <w:rPr>
          <w:rFonts w:ascii="Times New Roman" w:hAnsi="Times New Roman" w:cs="Times New Roman"/>
          <w:b/>
          <w:sz w:val="24"/>
          <w:szCs w:val="24"/>
        </w:rPr>
        <w:lastRenderedPageBreak/>
        <w:t xml:space="preserve">Table </w:t>
      </w:r>
      <w:r w:rsidR="006454F0" w:rsidRPr="00173569">
        <w:rPr>
          <w:rFonts w:ascii="Times New Roman" w:hAnsi="Times New Roman" w:cs="Times New Roman"/>
          <w:b/>
          <w:sz w:val="24"/>
          <w:szCs w:val="24"/>
        </w:rPr>
        <w:t>2</w:t>
      </w:r>
      <w:r w:rsidRPr="00173569">
        <w:rPr>
          <w:rFonts w:ascii="Times New Roman" w:hAnsi="Times New Roman" w:cs="Times New Roman"/>
          <w:b/>
          <w:sz w:val="24"/>
          <w:szCs w:val="24"/>
        </w:rPr>
        <w:t>:</w:t>
      </w:r>
      <w:r w:rsidRPr="00173569">
        <w:rPr>
          <w:rFonts w:ascii="Times New Roman" w:hAnsi="Times New Roman" w:cs="Times New Roman"/>
          <w:sz w:val="24"/>
          <w:szCs w:val="24"/>
        </w:rPr>
        <w:t xml:space="preserve"> Average Statistics of Excess </w:t>
      </w:r>
      <w:r w:rsidR="00424F2B" w:rsidRPr="00173569">
        <w:rPr>
          <w:rFonts w:ascii="Times New Roman" w:hAnsi="Times New Roman" w:cs="Times New Roman"/>
          <w:sz w:val="24"/>
          <w:szCs w:val="24"/>
        </w:rPr>
        <w:t>M</w:t>
      </w:r>
      <w:r w:rsidR="00B315D1" w:rsidRPr="00173569">
        <w:rPr>
          <w:rFonts w:ascii="Times New Roman" w:hAnsi="Times New Roman" w:cs="Times New Roman"/>
          <w:sz w:val="24"/>
          <w:szCs w:val="24"/>
        </w:rPr>
        <w:t>ortality</w:t>
      </w:r>
      <w:r w:rsidR="00642EE0" w:rsidRPr="00173569">
        <w:rPr>
          <w:rFonts w:ascii="Times New Roman" w:hAnsi="Times New Roman" w:cs="Times New Roman"/>
          <w:sz w:val="24"/>
          <w:szCs w:val="24"/>
        </w:rPr>
        <w:t>/</w:t>
      </w:r>
      <w:r w:rsidR="00424F2B" w:rsidRPr="00173569">
        <w:rPr>
          <w:rFonts w:ascii="Times New Roman" w:hAnsi="Times New Roman" w:cs="Times New Roman"/>
          <w:sz w:val="24"/>
          <w:szCs w:val="24"/>
        </w:rPr>
        <w:t>M</w:t>
      </w:r>
      <w:r w:rsidR="00B315D1" w:rsidRPr="00173569">
        <w:rPr>
          <w:rFonts w:ascii="Times New Roman" w:hAnsi="Times New Roman" w:cs="Times New Roman"/>
          <w:sz w:val="24"/>
          <w:szCs w:val="24"/>
        </w:rPr>
        <w:t>illions</w:t>
      </w:r>
      <w:r w:rsidRPr="00173569">
        <w:rPr>
          <w:rFonts w:ascii="Times New Roman" w:hAnsi="Times New Roman" w:cs="Times New Roman"/>
          <w:sz w:val="24"/>
          <w:szCs w:val="24"/>
        </w:rPr>
        <w:t xml:space="preserve"> </w:t>
      </w:r>
      <w:r w:rsidR="00642EE0" w:rsidRPr="00173569">
        <w:rPr>
          <w:rFonts w:ascii="Times New Roman" w:hAnsi="Times New Roman" w:cs="Times New Roman"/>
          <w:sz w:val="24"/>
          <w:szCs w:val="24"/>
        </w:rPr>
        <w:t xml:space="preserve">of </w:t>
      </w:r>
      <w:r w:rsidR="00424F2B" w:rsidRPr="00173569">
        <w:rPr>
          <w:rFonts w:ascii="Times New Roman" w:hAnsi="Times New Roman" w:cs="Times New Roman"/>
          <w:sz w:val="24"/>
          <w:szCs w:val="24"/>
        </w:rPr>
        <w:t>C</w:t>
      </w:r>
      <w:r w:rsidR="00642EE0" w:rsidRPr="00173569">
        <w:rPr>
          <w:rFonts w:ascii="Times New Roman" w:hAnsi="Times New Roman" w:cs="Times New Roman"/>
          <w:sz w:val="24"/>
          <w:szCs w:val="24"/>
        </w:rPr>
        <w:t xml:space="preserve">ountries in </w:t>
      </w:r>
      <w:r w:rsidR="00424F2B" w:rsidRPr="00173569">
        <w:rPr>
          <w:rFonts w:ascii="Times New Roman" w:hAnsi="Times New Roman" w:cs="Times New Roman"/>
          <w:sz w:val="24"/>
          <w:szCs w:val="24"/>
        </w:rPr>
        <w:t>Q</w:t>
      </w:r>
      <w:r w:rsidR="00642EE0" w:rsidRPr="00173569">
        <w:rPr>
          <w:rFonts w:ascii="Times New Roman" w:hAnsi="Times New Roman" w:cs="Times New Roman"/>
          <w:sz w:val="24"/>
          <w:szCs w:val="24"/>
        </w:rPr>
        <w:t>uartile</w:t>
      </w:r>
      <w:r w:rsidR="00424F2B" w:rsidRPr="00173569">
        <w:rPr>
          <w:rFonts w:ascii="Times New Roman" w:hAnsi="Times New Roman" w:cs="Times New Roman"/>
          <w:sz w:val="24"/>
          <w:szCs w:val="24"/>
        </w:rPr>
        <w:t>,</w:t>
      </w:r>
      <w:r w:rsidR="00642EE0" w:rsidRPr="00173569">
        <w:rPr>
          <w:rFonts w:ascii="Times New Roman" w:hAnsi="Times New Roman" w:cs="Times New Roman"/>
          <w:sz w:val="24"/>
          <w:szCs w:val="24"/>
        </w:rPr>
        <w:t xml:space="preserve"> </w:t>
      </w:r>
      <w:r w:rsidRPr="00173569">
        <w:rPr>
          <w:rFonts w:ascii="Times New Roman" w:hAnsi="Times New Roman" w:cs="Times New Roman"/>
          <w:color w:val="000000" w:themeColor="text1"/>
          <w:sz w:val="24"/>
          <w:szCs w:val="24"/>
        </w:rPr>
        <w:t xml:space="preserve">December 31, </w:t>
      </w:r>
      <w:r w:rsidRPr="00173569">
        <w:rPr>
          <w:rFonts w:ascii="Times New Roman" w:hAnsi="Times New Roman" w:cs="Times New Roman"/>
          <w:sz w:val="24"/>
          <w:szCs w:val="24"/>
        </w:rPr>
        <w:t>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642EE0" w:rsidRPr="00173569" w14:paraId="6CE18E89" w14:textId="77777777" w:rsidTr="006C10A9">
        <w:tc>
          <w:tcPr>
            <w:tcW w:w="1872" w:type="dxa"/>
            <w:vAlign w:val="center"/>
          </w:tcPr>
          <w:p w14:paraId="18C25511" w14:textId="2F4B1441" w:rsidR="00642EE0" w:rsidRPr="00173569" w:rsidRDefault="008A55DE" w:rsidP="00CC51CC">
            <w:pPr>
              <w:spacing w:line="276" w:lineRule="auto"/>
              <w:jc w:val="center"/>
              <w:rPr>
                <w:rFonts w:ascii="Times New Roman" w:hAnsi="Times New Roman" w:cs="Times New Roman"/>
                <w:b/>
                <w:bCs/>
                <w:sz w:val="24"/>
                <w:szCs w:val="24"/>
              </w:rPr>
            </w:pPr>
            <w:r w:rsidRPr="00173569">
              <w:rPr>
                <w:rFonts w:ascii="Times New Roman" w:hAnsi="Times New Roman" w:cs="Times New Roman"/>
                <w:b/>
                <w:bCs/>
                <w:sz w:val="24"/>
                <w:szCs w:val="24"/>
              </w:rPr>
              <w:t>Variable</w:t>
            </w:r>
          </w:p>
        </w:tc>
        <w:tc>
          <w:tcPr>
            <w:tcW w:w="1872" w:type="dxa"/>
            <w:vAlign w:val="center"/>
          </w:tcPr>
          <w:p w14:paraId="7246260B" w14:textId="77777777" w:rsidR="00642EE0" w:rsidRPr="00173569" w:rsidRDefault="00642EE0" w:rsidP="00CC51CC">
            <w:pPr>
              <w:spacing w:line="276" w:lineRule="auto"/>
              <w:jc w:val="center"/>
              <w:rPr>
                <w:rFonts w:ascii="Times New Roman" w:hAnsi="Times New Roman" w:cs="Times New Roman"/>
                <w:sz w:val="24"/>
                <w:szCs w:val="24"/>
              </w:rPr>
            </w:pPr>
            <w:r w:rsidRPr="00173569">
              <w:rPr>
                <w:rFonts w:ascii="Times New Roman" w:eastAsia="Times New Roman" w:hAnsi="Times New Roman" w:cs="Times New Roman"/>
                <w:b/>
                <w:bCs/>
                <w:sz w:val="24"/>
                <w:szCs w:val="24"/>
              </w:rPr>
              <w:t>1</w:t>
            </w:r>
            <w:r w:rsidRPr="00173569">
              <w:rPr>
                <w:rFonts w:ascii="Times New Roman" w:eastAsia="Times New Roman" w:hAnsi="Times New Roman" w:cs="Times New Roman"/>
                <w:b/>
                <w:bCs/>
                <w:sz w:val="24"/>
                <w:szCs w:val="24"/>
                <w:vertAlign w:val="superscript"/>
              </w:rPr>
              <w:t>st</w:t>
            </w:r>
            <w:r w:rsidRPr="00173569">
              <w:rPr>
                <w:rFonts w:ascii="Times New Roman" w:eastAsia="Times New Roman" w:hAnsi="Times New Roman" w:cs="Times New Roman"/>
                <w:b/>
                <w:bCs/>
                <w:sz w:val="24"/>
                <w:szCs w:val="24"/>
              </w:rPr>
              <w:t xml:space="preserve"> Quartile (Lowest Cum. Mortality)</w:t>
            </w:r>
          </w:p>
        </w:tc>
        <w:tc>
          <w:tcPr>
            <w:tcW w:w="1872" w:type="dxa"/>
            <w:vAlign w:val="center"/>
          </w:tcPr>
          <w:p w14:paraId="082E6F08" w14:textId="77777777" w:rsidR="00642EE0" w:rsidRPr="00173569" w:rsidRDefault="00642EE0" w:rsidP="00CC51CC">
            <w:pPr>
              <w:spacing w:line="276" w:lineRule="auto"/>
              <w:jc w:val="center"/>
              <w:rPr>
                <w:rFonts w:ascii="Times New Roman" w:hAnsi="Times New Roman" w:cs="Times New Roman"/>
                <w:sz w:val="24"/>
                <w:szCs w:val="24"/>
              </w:rPr>
            </w:pPr>
            <w:r w:rsidRPr="00173569">
              <w:rPr>
                <w:rFonts w:ascii="Times New Roman" w:eastAsia="Times New Roman" w:hAnsi="Times New Roman" w:cs="Times New Roman"/>
                <w:b/>
                <w:bCs/>
                <w:sz w:val="24"/>
                <w:szCs w:val="24"/>
              </w:rPr>
              <w:t>2</w:t>
            </w:r>
            <w:r w:rsidRPr="00173569">
              <w:rPr>
                <w:rFonts w:ascii="Times New Roman" w:eastAsia="Times New Roman" w:hAnsi="Times New Roman" w:cs="Times New Roman"/>
                <w:b/>
                <w:bCs/>
                <w:sz w:val="24"/>
                <w:szCs w:val="24"/>
                <w:vertAlign w:val="superscript"/>
              </w:rPr>
              <w:t>nd</w:t>
            </w:r>
            <w:r w:rsidRPr="00173569">
              <w:rPr>
                <w:rFonts w:ascii="Times New Roman" w:eastAsia="Times New Roman" w:hAnsi="Times New Roman" w:cs="Times New Roman"/>
                <w:b/>
                <w:bCs/>
                <w:sz w:val="24"/>
                <w:szCs w:val="24"/>
              </w:rPr>
              <w:t xml:space="preserve"> Quartile</w:t>
            </w:r>
          </w:p>
        </w:tc>
        <w:tc>
          <w:tcPr>
            <w:tcW w:w="1872" w:type="dxa"/>
            <w:vAlign w:val="center"/>
          </w:tcPr>
          <w:p w14:paraId="78664345" w14:textId="77777777" w:rsidR="00642EE0" w:rsidRPr="00173569" w:rsidRDefault="00642EE0" w:rsidP="00CC51CC">
            <w:pPr>
              <w:spacing w:line="276" w:lineRule="auto"/>
              <w:jc w:val="center"/>
              <w:rPr>
                <w:rFonts w:ascii="Times New Roman" w:hAnsi="Times New Roman" w:cs="Times New Roman"/>
                <w:sz w:val="24"/>
                <w:szCs w:val="24"/>
              </w:rPr>
            </w:pPr>
            <w:r w:rsidRPr="00173569">
              <w:rPr>
                <w:rFonts w:ascii="Times New Roman" w:eastAsia="Times New Roman" w:hAnsi="Times New Roman" w:cs="Times New Roman"/>
                <w:b/>
                <w:bCs/>
                <w:sz w:val="24"/>
                <w:szCs w:val="24"/>
              </w:rPr>
              <w:t>3</w:t>
            </w:r>
            <w:r w:rsidRPr="00173569">
              <w:rPr>
                <w:rFonts w:ascii="Times New Roman" w:eastAsia="Times New Roman" w:hAnsi="Times New Roman" w:cs="Times New Roman"/>
                <w:b/>
                <w:bCs/>
                <w:sz w:val="24"/>
                <w:szCs w:val="24"/>
                <w:vertAlign w:val="superscript"/>
              </w:rPr>
              <w:t>rd</w:t>
            </w:r>
            <w:r w:rsidRPr="00173569">
              <w:rPr>
                <w:rFonts w:ascii="Times New Roman" w:eastAsia="Times New Roman" w:hAnsi="Times New Roman" w:cs="Times New Roman"/>
                <w:b/>
                <w:bCs/>
                <w:sz w:val="24"/>
                <w:szCs w:val="24"/>
              </w:rPr>
              <w:t xml:space="preserve"> Quartile</w:t>
            </w:r>
          </w:p>
        </w:tc>
        <w:tc>
          <w:tcPr>
            <w:tcW w:w="1872" w:type="dxa"/>
            <w:vAlign w:val="center"/>
          </w:tcPr>
          <w:p w14:paraId="062FA535" w14:textId="77777777" w:rsidR="00642EE0" w:rsidRPr="00173569" w:rsidRDefault="00642EE0" w:rsidP="00CC51CC">
            <w:pPr>
              <w:spacing w:line="276" w:lineRule="auto"/>
              <w:jc w:val="center"/>
              <w:rPr>
                <w:rFonts w:ascii="Times New Roman" w:hAnsi="Times New Roman" w:cs="Times New Roman"/>
                <w:sz w:val="24"/>
                <w:szCs w:val="24"/>
              </w:rPr>
            </w:pPr>
            <w:r w:rsidRPr="00173569">
              <w:rPr>
                <w:rFonts w:ascii="Times New Roman" w:eastAsia="Times New Roman" w:hAnsi="Times New Roman" w:cs="Times New Roman"/>
                <w:b/>
                <w:bCs/>
                <w:sz w:val="24"/>
                <w:szCs w:val="24"/>
              </w:rPr>
              <w:t>4</w:t>
            </w:r>
            <w:r w:rsidRPr="00173569">
              <w:rPr>
                <w:rFonts w:ascii="Times New Roman" w:eastAsia="Times New Roman" w:hAnsi="Times New Roman" w:cs="Times New Roman"/>
                <w:b/>
                <w:bCs/>
                <w:sz w:val="24"/>
                <w:szCs w:val="24"/>
                <w:vertAlign w:val="superscript"/>
              </w:rPr>
              <w:t>th</w:t>
            </w:r>
            <w:r w:rsidRPr="00173569">
              <w:rPr>
                <w:rFonts w:ascii="Times New Roman" w:eastAsia="Times New Roman" w:hAnsi="Times New Roman" w:cs="Times New Roman"/>
                <w:b/>
                <w:bCs/>
                <w:sz w:val="24"/>
                <w:szCs w:val="24"/>
              </w:rPr>
              <w:t xml:space="preserve"> Quartile (Highest Cum. Mortality)</w:t>
            </w:r>
          </w:p>
        </w:tc>
      </w:tr>
      <w:tr w:rsidR="003B048E" w:rsidRPr="00173569" w14:paraId="4B23376B" w14:textId="77777777" w:rsidTr="00274218">
        <w:tc>
          <w:tcPr>
            <w:tcW w:w="1872" w:type="dxa"/>
            <w:vAlign w:val="center"/>
          </w:tcPr>
          <w:p w14:paraId="24260506" w14:textId="00EFC3BB" w:rsidR="003B048E" w:rsidRPr="00274218" w:rsidRDefault="003B048E" w:rsidP="00274218">
            <w:pPr>
              <w:spacing w:line="276" w:lineRule="auto"/>
              <w:jc w:val="center"/>
              <w:rPr>
                <w:rFonts w:ascii="Times New Roman" w:hAnsi="Times New Roman" w:cs="Times New Roman"/>
                <w:szCs w:val="24"/>
              </w:rPr>
            </w:pPr>
            <w:r w:rsidRPr="00274218">
              <w:rPr>
                <w:rFonts w:ascii="Times New Roman" w:hAnsi="Times New Roman" w:cs="Times New Roman"/>
                <w:color w:val="000000"/>
                <w:szCs w:val="24"/>
              </w:rPr>
              <w:t>Population</w:t>
            </w:r>
          </w:p>
        </w:tc>
        <w:tc>
          <w:tcPr>
            <w:tcW w:w="1872" w:type="dxa"/>
            <w:vAlign w:val="center"/>
          </w:tcPr>
          <w:p w14:paraId="619B7658" w14:textId="09348C11"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40485718</w:t>
            </w:r>
          </w:p>
        </w:tc>
        <w:tc>
          <w:tcPr>
            <w:tcW w:w="1872" w:type="dxa"/>
            <w:vAlign w:val="center"/>
          </w:tcPr>
          <w:p w14:paraId="2417EC88" w14:textId="3FEE2552"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25673282</w:t>
            </w:r>
          </w:p>
        </w:tc>
        <w:tc>
          <w:tcPr>
            <w:tcW w:w="1872" w:type="dxa"/>
            <w:vAlign w:val="center"/>
          </w:tcPr>
          <w:p w14:paraId="44D9D9B9" w14:textId="2E1A8229"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26800349</w:t>
            </w:r>
          </w:p>
        </w:tc>
        <w:tc>
          <w:tcPr>
            <w:tcW w:w="1872" w:type="dxa"/>
            <w:vAlign w:val="center"/>
          </w:tcPr>
          <w:p w14:paraId="74827083" w14:textId="4A002613"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69443370</w:t>
            </w:r>
          </w:p>
        </w:tc>
      </w:tr>
      <w:tr w:rsidR="003B048E" w:rsidRPr="00173569" w14:paraId="0310019D" w14:textId="77777777" w:rsidTr="00274218">
        <w:tc>
          <w:tcPr>
            <w:tcW w:w="1872" w:type="dxa"/>
            <w:vAlign w:val="center"/>
          </w:tcPr>
          <w:p w14:paraId="2111D805" w14:textId="02C1962D" w:rsidR="003B048E" w:rsidRPr="00274218" w:rsidRDefault="003B048E" w:rsidP="00274218">
            <w:pPr>
              <w:spacing w:line="276" w:lineRule="auto"/>
              <w:jc w:val="center"/>
              <w:rPr>
                <w:rFonts w:ascii="Times New Roman" w:hAnsi="Times New Roman" w:cs="Times New Roman"/>
                <w:szCs w:val="24"/>
              </w:rPr>
            </w:pPr>
            <w:r w:rsidRPr="00274218">
              <w:rPr>
                <w:rFonts w:ascii="Times New Roman" w:hAnsi="Times New Roman" w:cs="Times New Roman"/>
                <w:color w:val="000000"/>
                <w:szCs w:val="24"/>
              </w:rPr>
              <w:t>Population Density</w:t>
            </w:r>
          </w:p>
        </w:tc>
        <w:tc>
          <w:tcPr>
            <w:tcW w:w="1872" w:type="dxa"/>
            <w:vAlign w:val="center"/>
          </w:tcPr>
          <w:p w14:paraId="4498EA9E" w14:textId="57AAE5B5"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491.1</w:t>
            </w:r>
          </w:p>
        </w:tc>
        <w:tc>
          <w:tcPr>
            <w:tcW w:w="1872" w:type="dxa"/>
            <w:vAlign w:val="center"/>
          </w:tcPr>
          <w:p w14:paraId="396D8F15" w14:textId="523B34C9"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242.5</w:t>
            </w:r>
          </w:p>
        </w:tc>
        <w:tc>
          <w:tcPr>
            <w:tcW w:w="1872" w:type="dxa"/>
            <w:vAlign w:val="center"/>
          </w:tcPr>
          <w:p w14:paraId="3B16F0BF" w14:textId="4464E04E"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114.3</w:t>
            </w:r>
          </w:p>
        </w:tc>
        <w:tc>
          <w:tcPr>
            <w:tcW w:w="1872" w:type="dxa"/>
            <w:vAlign w:val="center"/>
          </w:tcPr>
          <w:p w14:paraId="7A1E9A3D" w14:textId="6CFDEFA4"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122.3</w:t>
            </w:r>
          </w:p>
        </w:tc>
      </w:tr>
      <w:tr w:rsidR="003B048E" w:rsidRPr="00173569" w14:paraId="1CBE909C" w14:textId="77777777" w:rsidTr="00274218">
        <w:tc>
          <w:tcPr>
            <w:tcW w:w="1872" w:type="dxa"/>
            <w:vAlign w:val="center"/>
          </w:tcPr>
          <w:p w14:paraId="181A836F" w14:textId="64DF6894" w:rsidR="003B048E" w:rsidRPr="00274218" w:rsidRDefault="003B048E" w:rsidP="00274218">
            <w:pPr>
              <w:spacing w:line="276" w:lineRule="auto"/>
              <w:jc w:val="center"/>
              <w:rPr>
                <w:rFonts w:ascii="Times New Roman" w:hAnsi="Times New Roman" w:cs="Times New Roman"/>
                <w:szCs w:val="24"/>
              </w:rPr>
            </w:pPr>
            <w:r w:rsidRPr="00274218">
              <w:rPr>
                <w:rFonts w:ascii="Times New Roman" w:hAnsi="Times New Roman" w:cs="Times New Roman"/>
                <w:color w:val="000000"/>
                <w:szCs w:val="24"/>
              </w:rPr>
              <w:t>Urban Population Share</w:t>
            </w:r>
          </w:p>
        </w:tc>
        <w:tc>
          <w:tcPr>
            <w:tcW w:w="1872" w:type="dxa"/>
            <w:vAlign w:val="center"/>
          </w:tcPr>
          <w:p w14:paraId="4C30F0EC" w14:textId="69BBD54C"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62.3</w:t>
            </w:r>
          </w:p>
        </w:tc>
        <w:tc>
          <w:tcPr>
            <w:tcW w:w="1872" w:type="dxa"/>
            <w:vAlign w:val="center"/>
          </w:tcPr>
          <w:p w14:paraId="0C97760A" w14:textId="65F2B526"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52.1</w:t>
            </w:r>
          </w:p>
        </w:tc>
        <w:tc>
          <w:tcPr>
            <w:tcW w:w="1872" w:type="dxa"/>
            <w:vAlign w:val="center"/>
          </w:tcPr>
          <w:p w14:paraId="29980B1E" w14:textId="2B1C6C44"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57.8</w:t>
            </w:r>
          </w:p>
        </w:tc>
        <w:tc>
          <w:tcPr>
            <w:tcW w:w="1872" w:type="dxa"/>
            <w:vAlign w:val="center"/>
          </w:tcPr>
          <w:p w14:paraId="48EF3B31" w14:textId="7C723109"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62.8</w:t>
            </w:r>
          </w:p>
        </w:tc>
      </w:tr>
      <w:tr w:rsidR="003B048E" w:rsidRPr="00173569" w14:paraId="1ED15736" w14:textId="77777777" w:rsidTr="00274218">
        <w:tc>
          <w:tcPr>
            <w:tcW w:w="1872" w:type="dxa"/>
            <w:vAlign w:val="center"/>
          </w:tcPr>
          <w:p w14:paraId="55BE60ED" w14:textId="43D01949" w:rsidR="003B048E" w:rsidRPr="00274218" w:rsidRDefault="003B048E" w:rsidP="00274218">
            <w:pPr>
              <w:spacing w:line="276" w:lineRule="auto"/>
              <w:jc w:val="center"/>
              <w:rPr>
                <w:rFonts w:ascii="Times New Roman" w:hAnsi="Times New Roman" w:cs="Times New Roman"/>
                <w:szCs w:val="24"/>
              </w:rPr>
            </w:pPr>
            <w:r w:rsidRPr="00274218">
              <w:rPr>
                <w:rFonts w:ascii="Times New Roman" w:hAnsi="Times New Roman" w:cs="Times New Roman"/>
                <w:color w:val="000000"/>
                <w:szCs w:val="24"/>
              </w:rPr>
              <w:t>Aged 65+ Population Share</w:t>
            </w:r>
          </w:p>
        </w:tc>
        <w:tc>
          <w:tcPr>
            <w:tcW w:w="1872" w:type="dxa"/>
            <w:vAlign w:val="center"/>
          </w:tcPr>
          <w:p w14:paraId="03993D0B" w14:textId="2166D878"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8.4</w:t>
            </w:r>
          </w:p>
        </w:tc>
        <w:tc>
          <w:tcPr>
            <w:tcW w:w="1872" w:type="dxa"/>
            <w:vAlign w:val="center"/>
          </w:tcPr>
          <w:p w14:paraId="28C7736A" w14:textId="018B29FF"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7.1</w:t>
            </w:r>
          </w:p>
        </w:tc>
        <w:tc>
          <w:tcPr>
            <w:tcW w:w="1872" w:type="dxa"/>
            <w:vAlign w:val="center"/>
          </w:tcPr>
          <w:p w14:paraId="06A367A1" w14:textId="52D6CA2B"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7.6</w:t>
            </w:r>
          </w:p>
        </w:tc>
        <w:tc>
          <w:tcPr>
            <w:tcW w:w="1872" w:type="dxa"/>
            <w:vAlign w:val="center"/>
          </w:tcPr>
          <w:p w14:paraId="45CB2EDB" w14:textId="1516A5BF" w:rsidR="003B048E" w:rsidRPr="003B048E" w:rsidRDefault="003B048E" w:rsidP="00274218">
            <w:pPr>
              <w:spacing w:line="276" w:lineRule="auto"/>
              <w:jc w:val="center"/>
              <w:rPr>
                <w:rFonts w:ascii="Times New Roman" w:hAnsi="Times New Roman" w:cs="Times New Roman"/>
                <w:sz w:val="24"/>
                <w:szCs w:val="24"/>
              </w:rPr>
            </w:pPr>
            <w:r w:rsidRPr="00274218">
              <w:rPr>
                <w:rFonts w:ascii="Times New Roman" w:hAnsi="Times New Roman" w:cs="Times New Roman"/>
                <w:color w:val="000000"/>
                <w:sz w:val="24"/>
                <w:szCs w:val="24"/>
              </w:rPr>
              <w:t>10.9</w:t>
            </w:r>
          </w:p>
        </w:tc>
      </w:tr>
      <w:tr w:rsidR="003B048E" w:rsidRPr="00173569" w14:paraId="43B1F464" w14:textId="77777777" w:rsidTr="00274218">
        <w:tc>
          <w:tcPr>
            <w:tcW w:w="1872" w:type="dxa"/>
            <w:vAlign w:val="center"/>
          </w:tcPr>
          <w:p w14:paraId="365F23B8" w14:textId="20E15253" w:rsidR="003B048E" w:rsidRPr="00274218" w:rsidRDefault="003B048E" w:rsidP="00274218">
            <w:pPr>
              <w:spacing w:line="276" w:lineRule="auto"/>
              <w:jc w:val="center"/>
              <w:rPr>
                <w:rFonts w:ascii="Times New Roman" w:hAnsi="Times New Roman" w:cs="Times New Roman"/>
                <w:b/>
                <w:szCs w:val="24"/>
                <w:highlight w:val="yellow"/>
              </w:rPr>
            </w:pPr>
            <w:r w:rsidRPr="00274218">
              <w:rPr>
                <w:rFonts w:ascii="Times New Roman" w:hAnsi="Times New Roman" w:cs="Times New Roman"/>
                <w:color w:val="000000"/>
                <w:szCs w:val="24"/>
                <w:highlight w:val="yellow"/>
              </w:rPr>
              <w:t>GDP per Capita (in $1,000)</w:t>
            </w:r>
          </w:p>
        </w:tc>
        <w:tc>
          <w:tcPr>
            <w:tcW w:w="1872" w:type="dxa"/>
            <w:vAlign w:val="center"/>
          </w:tcPr>
          <w:p w14:paraId="7AEA1D89" w14:textId="7F200DFE"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24.4</w:t>
            </w:r>
          </w:p>
        </w:tc>
        <w:tc>
          <w:tcPr>
            <w:tcW w:w="1872" w:type="dxa"/>
            <w:vAlign w:val="center"/>
          </w:tcPr>
          <w:p w14:paraId="027C0CDB" w14:textId="0BC5D34B"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16.5</w:t>
            </w:r>
          </w:p>
        </w:tc>
        <w:tc>
          <w:tcPr>
            <w:tcW w:w="1872" w:type="dxa"/>
            <w:vAlign w:val="center"/>
          </w:tcPr>
          <w:p w14:paraId="6C05D93D" w14:textId="3F47AE33"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15.6</w:t>
            </w:r>
          </w:p>
        </w:tc>
        <w:tc>
          <w:tcPr>
            <w:tcW w:w="1872" w:type="dxa"/>
            <w:vAlign w:val="center"/>
          </w:tcPr>
          <w:p w14:paraId="376BF565" w14:textId="3BF2BF15"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17.1</w:t>
            </w:r>
          </w:p>
        </w:tc>
      </w:tr>
      <w:tr w:rsidR="003B048E" w:rsidRPr="00173569" w14:paraId="1F118D86" w14:textId="77777777" w:rsidTr="00274218">
        <w:tc>
          <w:tcPr>
            <w:tcW w:w="1872" w:type="dxa"/>
            <w:vAlign w:val="center"/>
          </w:tcPr>
          <w:p w14:paraId="1EBC0AFE" w14:textId="6A995953" w:rsidR="003B048E" w:rsidRPr="00274218" w:rsidRDefault="003B048E" w:rsidP="00274218">
            <w:pPr>
              <w:spacing w:line="276" w:lineRule="auto"/>
              <w:jc w:val="center"/>
              <w:rPr>
                <w:rFonts w:ascii="Times New Roman" w:hAnsi="Times New Roman" w:cs="Times New Roman"/>
                <w:b/>
                <w:szCs w:val="24"/>
                <w:highlight w:val="yellow"/>
              </w:rPr>
            </w:pPr>
            <w:r w:rsidRPr="00274218">
              <w:rPr>
                <w:rFonts w:ascii="Times New Roman" w:hAnsi="Times New Roman" w:cs="Times New Roman"/>
                <w:color w:val="000000"/>
                <w:szCs w:val="24"/>
                <w:highlight w:val="yellow"/>
              </w:rPr>
              <w:t>Rule of Law</w:t>
            </w:r>
          </w:p>
        </w:tc>
        <w:tc>
          <w:tcPr>
            <w:tcW w:w="1872" w:type="dxa"/>
            <w:vAlign w:val="center"/>
          </w:tcPr>
          <w:p w14:paraId="2EFE7915" w14:textId="1804B70C"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0.4</w:t>
            </w:r>
          </w:p>
        </w:tc>
        <w:tc>
          <w:tcPr>
            <w:tcW w:w="1872" w:type="dxa"/>
            <w:vAlign w:val="center"/>
          </w:tcPr>
          <w:p w14:paraId="7377E70E" w14:textId="07EEFE6F"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-0.1</w:t>
            </w:r>
          </w:p>
        </w:tc>
        <w:tc>
          <w:tcPr>
            <w:tcW w:w="1872" w:type="dxa"/>
            <w:vAlign w:val="center"/>
          </w:tcPr>
          <w:p w14:paraId="59E7E86A" w14:textId="76A3AF34"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-0.3</w:t>
            </w:r>
          </w:p>
        </w:tc>
        <w:tc>
          <w:tcPr>
            <w:tcW w:w="1872" w:type="dxa"/>
            <w:vAlign w:val="center"/>
          </w:tcPr>
          <w:p w14:paraId="30CC0CBD" w14:textId="008557A7"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-0.2</w:t>
            </w:r>
          </w:p>
        </w:tc>
      </w:tr>
      <w:tr w:rsidR="003B048E" w:rsidRPr="00173569" w14:paraId="145FBE1A" w14:textId="77777777" w:rsidTr="00274218">
        <w:tc>
          <w:tcPr>
            <w:tcW w:w="1872" w:type="dxa"/>
            <w:vAlign w:val="center"/>
          </w:tcPr>
          <w:p w14:paraId="7F6EFF81" w14:textId="16805B97" w:rsidR="003B048E" w:rsidRPr="00274218" w:rsidRDefault="003B048E" w:rsidP="00274218">
            <w:pPr>
              <w:spacing w:line="276" w:lineRule="auto"/>
              <w:jc w:val="center"/>
              <w:rPr>
                <w:rFonts w:ascii="Times New Roman" w:hAnsi="Times New Roman" w:cs="Times New Roman"/>
                <w:b/>
                <w:szCs w:val="24"/>
                <w:highlight w:val="yellow"/>
              </w:rPr>
            </w:pPr>
            <w:r w:rsidRPr="00274218">
              <w:rPr>
                <w:rFonts w:ascii="Times New Roman" w:hAnsi="Times New Roman" w:cs="Times New Roman"/>
                <w:color w:val="000000"/>
                <w:szCs w:val="24"/>
                <w:highlight w:val="yellow"/>
              </w:rPr>
              <w:t>Voice and Accountability</w:t>
            </w:r>
          </w:p>
        </w:tc>
        <w:tc>
          <w:tcPr>
            <w:tcW w:w="1872" w:type="dxa"/>
            <w:vAlign w:val="center"/>
          </w:tcPr>
          <w:p w14:paraId="604CF00C" w14:textId="554672FE"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0.3</w:t>
            </w:r>
          </w:p>
        </w:tc>
        <w:tc>
          <w:tcPr>
            <w:tcW w:w="1872" w:type="dxa"/>
            <w:vAlign w:val="center"/>
          </w:tcPr>
          <w:p w14:paraId="02A1E3B1" w14:textId="0AB65607"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-0.2</w:t>
            </w:r>
          </w:p>
        </w:tc>
        <w:tc>
          <w:tcPr>
            <w:tcW w:w="1872" w:type="dxa"/>
            <w:vAlign w:val="center"/>
          </w:tcPr>
          <w:p w14:paraId="17A89CEC" w14:textId="100EFAF3"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-0.3</w:t>
            </w:r>
          </w:p>
        </w:tc>
        <w:tc>
          <w:tcPr>
            <w:tcW w:w="1872" w:type="dxa"/>
            <w:vAlign w:val="center"/>
          </w:tcPr>
          <w:p w14:paraId="3A98D63D" w14:textId="29BDFCCB"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w:t>
            </w:r>
          </w:p>
        </w:tc>
      </w:tr>
      <w:tr w:rsidR="003B048E" w:rsidRPr="00173569" w14:paraId="14316893" w14:textId="77777777" w:rsidTr="00274218">
        <w:tc>
          <w:tcPr>
            <w:tcW w:w="1872" w:type="dxa"/>
            <w:vAlign w:val="center"/>
          </w:tcPr>
          <w:p w14:paraId="380C9A0D" w14:textId="6FD24162" w:rsidR="003B048E" w:rsidRPr="00274218" w:rsidRDefault="003B048E" w:rsidP="00274218">
            <w:pPr>
              <w:spacing w:line="276" w:lineRule="auto"/>
              <w:jc w:val="center"/>
              <w:rPr>
                <w:rFonts w:ascii="Times New Roman" w:hAnsi="Times New Roman" w:cs="Times New Roman"/>
                <w:b/>
                <w:szCs w:val="24"/>
                <w:highlight w:val="yellow"/>
              </w:rPr>
            </w:pPr>
            <w:r w:rsidRPr="00274218">
              <w:rPr>
                <w:rFonts w:ascii="Times New Roman" w:hAnsi="Times New Roman" w:cs="Times New Roman"/>
                <w:color w:val="000000"/>
                <w:szCs w:val="24"/>
                <w:highlight w:val="yellow"/>
              </w:rPr>
              <w:t>Government Effectiveness</w:t>
            </w:r>
          </w:p>
        </w:tc>
        <w:tc>
          <w:tcPr>
            <w:tcW w:w="1872" w:type="dxa"/>
            <w:vAlign w:val="center"/>
          </w:tcPr>
          <w:p w14:paraId="567EBDD0" w14:textId="702335B9"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0.3</w:t>
            </w:r>
          </w:p>
        </w:tc>
        <w:tc>
          <w:tcPr>
            <w:tcW w:w="1872" w:type="dxa"/>
            <w:vAlign w:val="center"/>
          </w:tcPr>
          <w:p w14:paraId="5744AD47" w14:textId="11D0F46B"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-0.2</w:t>
            </w:r>
          </w:p>
        </w:tc>
        <w:tc>
          <w:tcPr>
            <w:tcW w:w="1872" w:type="dxa"/>
            <w:vAlign w:val="center"/>
          </w:tcPr>
          <w:p w14:paraId="00B85909" w14:textId="183D6A3D"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-0.2</w:t>
            </w:r>
          </w:p>
        </w:tc>
        <w:tc>
          <w:tcPr>
            <w:tcW w:w="1872" w:type="dxa"/>
            <w:vAlign w:val="center"/>
          </w:tcPr>
          <w:p w14:paraId="3B3C5263" w14:textId="072176F0" w:rsidR="003B048E" w:rsidRPr="003B048E" w:rsidRDefault="003B048E" w:rsidP="00274218">
            <w:pPr>
              <w:spacing w:line="276" w:lineRule="auto"/>
              <w:jc w:val="center"/>
              <w:rPr>
                <w:rFonts w:ascii="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-0.1</w:t>
            </w:r>
          </w:p>
        </w:tc>
      </w:tr>
      <w:tr w:rsidR="003B048E" w:rsidRPr="00173569" w14:paraId="0C5BE6C2" w14:textId="77777777" w:rsidTr="00274218">
        <w:tc>
          <w:tcPr>
            <w:tcW w:w="1872" w:type="dxa"/>
            <w:vAlign w:val="center"/>
          </w:tcPr>
          <w:p w14:paraId="242E9692" w14:textId="5466F62D" w:rsidR="003B048E" w:rsidRPr="00274218" w:rsidRDefault="003B048E" w:rsidP="00274218">
            <w:pPr>
              <w:spacing w:line="276" w:lineRule="auto"/>
              <w:jc w:val="center"/>
              <w:rPr>
                <w:rFonts w:ascii="Times New Roman" w:eastAsia="Times New Roman" w:hAnsi="Times New Roman" w:cs="Times New Roman"/>
                <w:b/>
                <w:szCs w:val="24"/>
                <w:highlight w:val="yellow"/>
              </w:rPr>
            </w:pPr>
            <w:proofErr w:type="spellStart"/>
            <w:r w:rsidRPr="00274218">
              <w:rPr>
                <w:rFonts w:ascii="Times New Roman" w:hAnsi="Times New Roman" w:cs="Times New Roman"/>
                <w:color w:val="000000"/>
                <w:szCs w:val="24"/>
                <w:highlight w:val="yellow"/>
              </w:rPr>
              <w:t>Vaccinatiions</w:t>
            </w:r>
            <w:proofErr w:type="spellEnd"/>
          </w:p>
        </w:tc>
        <w:tc>
          <w:tcPr>
            <w:tcW w:w="1872" w:type="dxa"/>
            <w:vAlign w:val="center"/>
          </w:tcPr>
          <w:p w14:paraId="2A5320FA" w14:textId="0CFEEE53" w:rsidR="003B048E" w:rsidRPr="003B048E" w:rsidRDefault="003B048E" w:rsidP="00274218">
            <w:pPr>
              <w:spacing w:line="276" w:lineRule="auto"/>
              <w:jc w:val="center"/>
              <w:rPr>
                <w:rFonts w:ascii="Times New Roman" w:eastAsia="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95.8</w:t>
            </w:r>
          </w:p>
        </w:tc>
        <w:tc>
          <w:tcPr>
            <w:tcW w:w="1872" w:type="dxa"/>
            <w:vAlign w:val="center"/>
          </w:tcPr>
          <w:p w14:paraId="5224EAAA" w14:textId="2B098EB1" w:rsidR="003B048E" w:rsidRPr="003B048E" w:rsidRDefault="003B048E" w:rsidP="00274218">
            <w:pPr>
              <w:spacing w:line="276" w:lineRule="auto"/>
              <w:jc w:val="center"/>
              <w:rPr>
                <w:rFonts w:ascii="Times New Roman" w:eastAsia="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79.2</w:t>
            </w:r>
          </w:p>
        </w:tc>
        <w:tc>
          <w:tcPr>
            <w:tcW w:w="1872" w:type="dxa"/>
            <w:vAlign w:val="center"/>
          </w:tcPr>
          <w:p w14:paraId="6D4B5F69" w14:textId="28B3DA0B" w:rsidR="003B048E" w:rsidRPr="003B048E" w:rsidRDefault="003B048E" w:rsidP="00274218">
            <w:pPr>
              <w:spacing w:line="276" w:lineRule="auto"/>
              <w:jc w:val="center"/>
              <w:rPr>
                <w:rFonts w:ascii="Times New Roman" w:eastAsia="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74</w:t>
            </w:r>
          </w:p>
        </w:tc>
        <w:tc>
          <w:tcPr>
            <w:tcW w:w="1872" w:type="dxa"/>
            <w:vAlign w:val="center"/>
          </w:tcPr>
          <w:p w14:paraId="7F982F4F" w14:textId="16C0A540" w:rsidR="003B048E" w:rsidRPr="003B048E" w:rsidRDefault="003B048E" w:rsidP="00274218">
            <w:pPr>
              <w:spacing w:line="276" w:lineRule="auto"/>
              <w:jc w:val="center"/>
              <w:rPr>
                <w:rFonts w:ascii="Times New Roman" w:eastAsia="Times New Roman" w:hAnsi="Times New Roman" w:cs="Times New Roman"/>
                <w:b/>
                <w:sz w:val="24"/>
                <w:szCs w:val="24"/>
                <w:highlight w:val="yellow"/>
              </w:rPr>
            </w:pPr>
            <w:r w:rsidRPr="00274218">
              <w:rPr>
                <w:rFonts w:ascii="Times New Roman" w:hAnsi="Times New Roman" w:cs="Times New Roman"/>
                <w:color w:val="000000"/>
                <w:sz w:val="24"/>
                <w:szCs w:val="24"/>
                <w:highlight w:val="yellow"/>
              </w:rPr>
              <w:t>87.1</w:t>
            </w:r>
          </w:p>
        </w:tc>
      </w:tr>
    </w:tbl>
    <w:p w14:paraId="132C50FE" w14:textId="77777777" w:rsidR="00BB7F76" w:rsidRPr="00173569" w:rsidRDefault="00BB7F76" w:rsidP="00C82A25">
      <w:pPr>
        <w:spacing w:line="360" w:lineRule="auto"/>
        <w:rPr>
          <w:rFonts w:ascii="Times New Roman" w:hAnsi="Times New Roman" w:cs="Times New Roman"/>
          <w:sz w:val="24"/>
          <w:szCs w:val="24"/>
        </w:rPr>
      </w:pPr>
    </w:p>
    <w:p w14:paraId="4095D0A3" w14:textId="77777777" w:rsidR="0002223B" w:rsidRDefault="0005057D" w:rsidP="00CC51CC">
      <w:pPr>
        <w:pStyle w:val="ListParagraph"/>
        <w:numPr>
          <w:ilvl w:val="0"/>
          <w:numId w:val="15"/>
        </w:numPr>
        <w:ind w:hanging="720"/>
        <w:rPr>
          <w:rFonts w:ascii="Times New Roman" w:hAnsi="Times New Roman" w:cs="Times New Roman"/>
          <w:b/>
          <w:sz w:val="24"/>
          <w:szCs w:val="24"/>
        </w:rPr>
      </w:pPr>
      <w:r w:rsidRPr="00173569">
        <w:rPr>
          <w:rFonts w:ascii="Times New Roman" w:hAnsi="Times New Roman" w:cs="Times New Roman"/>
          <w:b/>
          <w:sz w:val="24"/>
          <w:szCs w:val="24"/>
        </w:rPr>
        <w:t xml:space="preserve">Statistical Analysis of the Gap between </w:t>
      </w:r>
      <w:r w:rsidR="00520DBA" w:rsidRPr="00173569">
        <w:rPr>
          <w:rFonts w:ascii="Times New Roman" w:hAnsi="Times New Roman" w:cs="Times New Roman"/>
          <w:b/>
          <w:color w:val="000000" w:themeColor="text1"/>
          <w:sz w:val="24"/>
          <w:szCs w:val="24"/>
        </w:rPr>
        <w:t>Official</w:t>
      </w:r>
      <w:r w:rsidRPr="00173569">
        <w:rPr>
          <w:rFonts w:ascii="Times New Roman" w:hAnsi="Times New Roman" w:cs="Times New Roman"/>
          <w:b/>
          <w:color w:val="000000" w:themeColor="text1"/>
          <w:sz w:val="24"/>
          <w:szCs w:val="24"/>
        </w:rPr>
        <w:t xml:space="preserve"> </w:t>
      </w:r>
      <w:r w:rsidR="00BB328F" w:rsidRPr="00173569">
        <w:rPr>
          <w:rFonts w:ascii="Times New Roman" w:hAnsi="Times New Roman" w:cs="Times New Roman"/>
          <w:b/>
          <w:color w:val="000000" w:themeColor="text1"/>
          <w:sz w:val="24"/>
          <w:szCs w:val="24"/>
        </w:rPr>
        <w:t xml:space="preserve">and Excess </w:t>
      </w:r>
      <w:r w:rsidR="00BB328F" w:rsidRPr="00173569">
        <w:rPr>
          <w:rFonts w:ascii="Times New Roman" w:hAnsi="Times New Roman" w:cs="Times New Roman"/>
          <w:b/>
          <w:sz w:val="24"/>
          <w:szCs w:val="24"/>
        </w:rPr>
        <w:t xml:space="preserve">Cumulative </w:t>
      </w:r>
      <w:r w:rsidR="00525E77" w:rsidRPr="00173569">
        <w:rPr>
          <w:rFonts w:ascii="Times New Roman" w:hAnsi="Times New Roman" w:cs="Times New Roman"/>
          <w:b/>
          <w:color w:val="000000" w:themeColor="text1"/>
          <w:sz w:val="24"/>
          <w:szCs w:val="24"/>
        </w:rPr>
        <w:t>Covid</w:t>
      </w:r>
      <w:r w:rsidR="002E5803" w:rsidRPr="00173569">
        <w:rPr>
          <w:rFonts w:ascii="Times New Roman" w:hAnsi="Times New Roman" w:cs="Times New Roman"/>
          <w:b/>
          <w:color w:val="000000" w:themeColor="text1"/>
          <w:sz w:val="24"/>
          <w:szCs w:val="24"/>
        </w:rPr>
        <w:t>-19</w:t>
      </w:r>
      <w:r w:rsidRPr="00173569">
        <w:rPr>
          <w:rFonts w:ascii="Times New Roman" w:hAnsi="Times New Roman" w:cs="Times New Roman"/>
          <w:b/>
          <w:color w:val="000000" w:themeColor="text1"/>
          <w:sz w:val="24"/>
          <w:szCs w:val="24"/>
        </w:rPr>
        <w:t xml:space="preserve"> Mortality</w:t>
      </w:r>
      <w:r w:rsidRPr="00173569">
        <w:rPr>
          <w:rFonts w:ascii="Times New Roman" w:hAnsi="Times New Roman" w:cs="Times New Roman"/>
          <w:b/>
          <w:sz w:val="24"/>
          <w:szCs w:val="24"/>
        </w:rPr>
        <w:t xml:space="preserve">, </w:t>
      </w:r>
    </w:p>
    <w:p w14:paraId="0E6B3627" w14:textId="0A9E2899" w:rsidR="00CC51CC" w:rsidRPr="00173569" w:rsidRDefault="0005057D" w:rsidP="00C82A25">
      <w:pPr>
        <w:pStyle w:val="ListParagraph"/>
        <w:rPr>
          <w:rFonts w:ascii="Times New Roman" w:hAnsi="Times New Roman" w:cs="Times New Roman"/>
          <w:b/>
          <w:sz w:val="24"/>
          <w:szCs w:val="24"/>
        </w:rPr>
      </w:pPr>
      <w:r w:rsidRPr="00173569">
        <w:rPr>
          <w:rFonts w:ascii="Times New Roman" w:hAnsi="Times New Roman" w:cs="Times New Roman"/>
          <w:b/>
          <w:sz w:val="24"/>
          <w:szCs w:val="24"/>
        </w:rPr>
        <w:t>2020</w:t>
      </w:r>
      <w:r w:rsidR="0002223B">
        <w:rPr>
          <w:rFonts w:ascii="Times New Roman" w:hAnsi="Times New Roman" w:cs="Times New Roman"/>
          <w:b/>
          <w:sz w:val="24"/>
          <w:szCs w:val="24"/>
        </w:rPr>
        <w:t xml:space="preserve"> </w:t>
      </w:r>
      <w:r w:rsidR="0002223B" w:rsidRPr="00974E51">
        <w:rPr>
          <w:rFonts w:ascii="Times New Roman" w:hAnsi="Times New Roman" w:cs="Times New Roman"/>
          <w:b/>
          <w:color w:val="222222"/>
          <w:sz w:val="24"/>
          <w:szCs w:val="24"/>
          <w:shd w:val="clear" w:color="auto" w:fill="FFFFFF"/>
        </w:rPr>
        <w:t xml:space="preserve">– </w:t>
      </w:r>
      <w:r w:rsidRPr="00173569">
        <w:rPr>
          <w:rFonts w:ascii="Times New Roman" w:hAnsi="Times New Roman" w:cs="Times New Roman"/>
          <w:b/>
          <w:sz w:val="24"/>
          <w:szCs w:val="24"/>
        </w:rPr>
        <w:t>2021</w:t>
      </w:r>
    </w:p>
    <w:p w14:paraId="60185DBD" w14:textId="767568CE" w:rsidR="00DC21BB" w:rsidRPr="00C82A25" w:rsidRDefault="00B85725" w:rsidP="00530BF6">
      <w:pPr>
        <w:spacing w:line="360" w:lineRule="auto"/>
        <w:ind w:firstLine="720"/>
        <w:rPr>
          <w:rFonts w:ascii="Times New Roman" w:eastAsia="Times New Roman" w:hAnsi="Times New Roman" w:cs="Times New Roman"/>
          <w:sz w:val="24"/>
          <w:szCs w:val="24"/>
        </w:rPr>
      </w:pPr>
      <w:r w:rsidRPr="00173569">
        <w:rPr>
          <w:rFonts w:ascii="Times New Roman" w:hAnsi="Times New Roman" w:cs="Times New Roman"/>
          <w:sz w:val="24"/>
          <w:szCs w:val="24"/>
          <w:shd w:val="clear" w:color="auto" w:fill="FCFCFC"/>
        </w:rPr>
        <w:t>T</w:t>
      </w:r>
      <w:r w:rsidR="0005057D" w:rsidRPr="00173569">
        <w:rPr>
          <w:rFonts w:ascii="Times New Roman" w:hAnsi="Times New Roman" w:cs="Times New Roman"/>
          <w:sz w:val="24"/>
          <w:szCs w:val="24"/>
          <w:shd w:val="clear" w:color="auto" w:fill="FCFCFC"/>
        </w:rPr>
        <w:t xml:space="preserve">o </w:t>
      </w:r>
      <w:r w:rsidR="0099682C" w:rsidRPr="00173569">
        <w:rPr>
          <w:rFonts w:ascii="Times New Roman" w:hAnsi="Times New Roman" w:cs="Times New Roman"/>
          <w:sz w:val="24"/>
          <w:szCs w:val="24"/>
          <w:shd w:val="clear" w:color="auto" w:fill="FCFCFC"/>
        </w:rPr>
        <w:t>obtain</w:t>
      </w:r>
      <w:r w:rsidR="0005057D" w:rsidRPr="00173569">
        <w:rPr>
          <w:rFonts w:ascii="Times New Roman" w:hAnsi="Times New Roman" w:cs="Times New Roman"/>
          <w:sz w:val="24"/>
          <w:szCs w:val="24"/>
          <w:shd w:val="clear" w:color="auto" w:fill="FCFCFC"/>
        </w:rPr>
        <w:t xml:space="preserve"> further insight on </w:t>
      </w:r>
      <w:r w:rsidR="00BB328F" w:rsidRPr="00173569">
        <w:rPr>
          <w:rFonts w:ascii="Times New Roman" w:hAnsi="Times New Roman" w:cs="Times New Roman"/>
          <w:sz w:val="24"/>
          <w:szCs w:val="24"/>
          <w:shd w:val="clear" w:color="auto" w:fill="FCFCFC"/>
        </w:rPr>
        <w:t xml:space="preserve">the gap between </w:t>
      </w:r>
      <w:r w:rsidR="00520DBA" w:rsidRPr="00173569">
        <w:rPr>
          <w:rFonts w:ascii="Times New Roman" w:hAnsi="Times New Roman" w:cs="Times New Roman"/>
          <w:sz w:val="24"/>
          <w:szCs w:val="24"/>
          <w:shd w:val="clear" w:color="auto" w:fill="FCFCFC"/>
        </w:rPr>
        <w:t>official</w:t>
      </w:r>
      <w:r w:rsidR="00BB328F" w:rsidRPr="00173569">
        <w:rPr>
          <w:rFonts w:ascii="Times New Roman" w:hAnsi="Times New Roman" w:cs="Times New Roman"/>
          <w:sz w:val="24"/>
          <w:szCs w:val="24"/>
          <w:shd w:val="clear" w:color="auto" w:fill="FCFCFC"/>
        </w:rPr>
        <w:t xml:space="preserve"> and excess </w:t>
      </w:r>
      <w:r w:rsidR="00F556B1" w:rsidRPr="00173569">
        <w:rPr>
          <w:rFonts w:ascii="Times New Roman" w:hAnsi="Times New Roman" w:cs="Times New Roman"/>
          <w:sz w:val="24"/>
          <w:szCs w:val="24"/>
          <w:shd w:val="clear" w:color="auto" w:fill="FCFCFC"/>
        </w:rPr>
        <w:t>cumulative</w:t>
      </w:r>
      <w:r w:rsidR="00BB328F" w:rsidRPr="00173569">
        <w:rPr>
          <w:rFonts w:ascii="Times New Roman" w:hAnsi="Times New Roman" w:cs="Times New Roman"/>
          <w:sz w:val="24"/>
          <w:szCs w:val="24"/>
          <w:shd w:val="clear" w:color="auto" w:fill="FCFCFC"/>
        </w:rPr>
        <w:t xml:space="preserve"> </w:t>
      </w:r>
      <w:r w:rsidR="00525E77" w:rsidRPr="00173569">
        <w:rPr>
          <w:rFonts w:ascii="Times New Roman" w:hAnsi="Times New Roman" w:cs="Times New Roman"/>
          <w:sz w:val="24"/>
          <w:szCs w:val="24"/>
          <w:shd w:val="clear" w:color="auto" w:fill="FCFCFC"/>
        </w:rPr>
        <w:t>Covid</w:t>
      </w:r>
      <w:r w:rsidR="002E5803" w:rsidRPr="00173569">
        <w:rPr>
          <w:rFonts w:ascii="Times New Roman" w:hAnsi="Times New Roman" w:cs="Times New Roman"/>
          <w:sz w:val="24"/>
          <w:szCs w:val="24"/>
          <w:shd w:val="clear" w:color="auto" w:fill="FCFCFC"/>
        </w:rPr>
        <w:t>-19</w:t>
      </w:r>
      <w:r w:rsidR="00BB328F" w:rsidRPr="00173569">
        <w:rPr>
          <w:rFonts w:ascii="Times New Roman" w:hAnsi="Times New Roman" w:cs="Times New Roman"/>
          <w:sz w:val="24"/>
          <w:szCs w:val="24"/>
          <w:shd w:val="clear" w:color="auto" w:fill="FCFCFC"/>
        </w:rPr>
        <w:t xml:space="preserve"> mortality</w:t>
      </w:r>
      <w:r w:rsidR="0005057D" w:rsidRPr="00173569">
        <w:rPr>
          <w:rFonts w:ascii="Times New Roman" w:hAnsi="Times New Roman" w:cs="Times New Roman"/>
          <w:sz w:val="24"/>
          <w:szCs w:val="24"/>
          <w:shd w:val="clear" w:color="auto" w:fill="FCFCFC"/>
        </w:rPr>
        <w:t xml:space="preserve">, we run regressions accounting </w:t>
      </w:r>
      <w:r w:rsidR="00525E77" w:rsidRPr="00173569">
        <w:rPr>
          <w:rFonts w:ascii="Times New Roman" w:hAnsi="Times New Roman" w:cs="Times New Roman"/>
          <w:sz w:val="24"/>
          <w:szCs w:val="24"/>
          <w:shd w:val="clear" w:color="auto" w:fill="FCFCFC"/>
        </w:rPr>
        <w:t xml:space="preserve">for </w:t>
      </w:r>
      <w:r w:rsidR="0005057D" w:rsidRPr="00173569">
        <w:rPr>
          <w:rFonts w:ascii="Times New Roman" w:hAnsi="Times New Roman" w:cs="Times New Roman"/>
          <w:sz w:val="24"/>
          <w:szCs w:val="24"/>
          <w:shd w:val="clear" w:color="auto" w:fill="FCFCFC"/>
        </w:rPr>
        <w:t xml:space="preserve">the ratio of </w:t>
      </w:r>
      <w:r w:rsidR="0005057D" w:rsidRPr="00173569">
        <w:rPr>
          <w:rFonts w:ascii="Times New Roman" w:eastAsia="Calibri" w:hAnsi="Times New Roman" w:cs="Times New Roman"/>
          <w:color w:val="000000" w:themeColor="text1"/>
          <w:sz w:val="24"/>
          <w:szCs w:val="24"/>
        </w:rPr>
        <w:t xml:space="preserve">Cumulative Excess/Official </w:t>
      </w:r>
      <w:r w:rsidR="00525E77" w:rsidRPr="00173569">
        <w:rPr>
          <w:rFonts w:ascii="Times New Roman" w:eastAsia="Calibri" w:hAnsi="Times New Roman" w:cs="Times New Roman"/>
          <w:color w:val="000000" w:themeColor="text1"/>
          <w:sz w:val="24"/>
          <w:szCs w:val="24"/>
        </w:rPr>
        <w:t>Covid</w:t>
      </w:r>
      <w:r w:rsidR="0005057D" w:rsidRPr="00173569">
        <w:rPr>
          <w:rFonts w:ascii="Times New Roman" w:eastAsia="Calibri" w:hAnsi="Times New Roman" w:cs="Times New Roman"/>
          <w:color w:val="000000" w:themeColor="text1"/>
          <w:sz w:val="24"/>
          <w:szCs w:val="24"/>
        </w:rPr>
        <w:t>-19 mortalit</w:t>
      </w:r>
      <w:r w:rsidR="00525E77" w:rsidRPr="00173569">
        <w:rPr>
          <w:rFonts w:ascii="Times New Roman" w:eastAsia="Calibri" w:hAnsi="Times New Roman" w:cs="Times New Roman"/>
          <w:color w:val="000000" w:themeColor="text1"/>
          <w:sz w:val="24"/>
          <w:szCs w:val="24"/>
        </w:rPr>
        <w:t>ies</w:t>
      </w:r>
      <w:r w:rsidR="00AA5003" w:rsidRPr="00173569">
        <w:rPr>
          <w:rFonts w:ascii="Times New Roman" w:eastAsia="Calibri" w:hAnsi="Times New Roman" w:cs="Times New Roman"/>
          <w:color w:val="000000" w:themeColor="text1"/>
          <w:sz w:val="24"/>
          <w:szCs w:val="24"/>
        </w:rPr>
        <w:t xml:space="preserve"> </w:t>
      </w:r>
      <w:r w:rsidR="00AA5003" w:rsidRPr="00173569">
        <w:rPr>
          <w:rFonts w:ascii="Times New Roman" w:hAnsi="Times New Roman" w:cs="Times New Roman"/>
          <w:sz w:val="24"/>
          <w:szCs w:val="24"/>
        </w:rPr>
        <w:t xml:space="preserve">(henceforth, </w:t>
      </w:r>
      <w:r w:rsidR="00AA5003" w:rsidRPr="00173569">
        <w:rPr>
          <w:rFonts w:ascii="Times New Roman" w:hAnsi="Times New Roman" w:cs="Times New Roman"/>
          <w:b/>
          <w:bCs/>
          <w:sz w:val="24"/>
          <w:szCs w:val="24"/>
        </w:rPr>
        <w:t xml:space="preserve">E/O </w:t>
      </w:r>
      <w:r w:rsidR="005B30B8" w:rsidRPr="00173569">
        <w:rPr>
          <w:rFonts w:ascii="Times New Roman" w:hAnsi="Times New Roman" w:cs="Times New Roman"/>
          <w:b/>
          <w:bCs/>
          <w:sz w:val="24"/>
          <w:szCs w:val="24"/>
        </w:rPr>
        <w:t>ratio</w:t>
      </w:r>
      <w:r w:rsidR="005B30B8" w:rsidRPr="00173569">
        <w:rPr>
          <w:rFonts w:ascii="Times New Roman" w:hAnsi="Times New Roman" w:cs="Times New Roman"/>
          <w:sz w:val="24"/>
          <w:szCs w:val="24"/>
        </w:rPr>
        <w:t xml:space="preserve">) </w:t>
      </w:r>
      <w:r w:rsidR="005B30B8" w:rsidRPr="00173569">
        <w:rPr>
          <w:rFonts w:ascii="Times New Roman" w:eastAsia="Calibri" w:hAnsi="Times New Roman" w:cs="Times New Roman"/>
          <w:color w:val="000000" w:themeColor="text1"/>
          <w:sz w:val="24"/>
          <w:szCs w:val="24"/>
        </w:rPr>
        <w:t>across</w:t>
      </w:r>
      <w:r w:rsidR="0005057D" w:rsidRPr="00173569">
        <w:rPr>
          <w:rFonts w:ascii="Times New Roman" w:eastAsia="Calibri" w:hAnsi="Times New Roman" w:cs="Times New Roman"/>
          <w:color w:val="000000" w:themeColor="text1"/>
          <w:sz w:val="24"/>
          <w:szCs w:val="24"/>
        </w:rPr>
        <w:t xml:space="preserve"> countries. </w:t>
      </w:r>
      <w:r w:rsidR="00483E3D" w:rsidRPr="00483E3D">
        <w:rPr>
          <w:rFonts w:ascii="Times New Roman" w:eastAsia="Calibri" w:hAnsi="Times New Roman" w:cs="Times New Roman"/>
          <w:color w:val="000000" w:themeColor="text1"/>
          <w:sz w:val="24"/>
          <w:szCs w:val="24"/>
        </w:rPr>
        <w:t xml:space="preserve">. A higher E/O ratio implies that the excess mortality is larger than official mortality, and vice versa. Because excess mortality is estimated consistently across countries, it serves as cross-country benchmark against which official mortality can be compared with in a cross-country setup. </w:t>
      </w:r>
      <w:r w:rsidR="00F54D25" w:rsidRPr="00173569">
        <w:rPr>
          <w:rFonts w:ascii="Times New Roman" w:eastAsia="Calibri" w:hAnsi="Times New Roman" w:cs="Times New Roman"/>
          <w:color w:val="000000" w:themeColor="text1"/>
          <w:sz w:val="24"/>
          <w:szCs w:val="24"/>
        </w:rPr>
        <w:t>Th</w:t>
      </w:r>
      <w:r w:rsidR="00FD2EE6" w:rsidRPr="00173569">
        <w:rPr>
          <w:rFonts w:ascii="Times New Roman" w:eastAsia="Calibri" w:hAnsi="Times New Roman" w:cs="Times New Roman"/>
          <w:color w:val="000000" w:themeColor="text1"/>
          <w:sz w:val="24"/>
          <w:szCs w:val="24"/>
        </w:rPr>
        <w:t>e</w:t>
      </w:r>
      <w:r w:rsidR="00F54D25" w:rsidRPr="00173569">
        <w:rPr>
          <w:rFonts w:ascii="Times New Roman" w:eastAsia="Calibri" w:hAnsi="Times New Roman" w:cs="Times New Roman"/>
          <w:color w:val="000000" w:themeColor="text1"/>
          <w:sz w:val="24"/>
          <w:szCs w:val="24"/>
        </w:rPr>
        <w:t>se regressions are</w:t>
      </w:r>
      <w:r w:rsidR="0005057D" w:rsidRPr="00173569">
        <w:rPr>
          <w:rFonts w:ascii="Times New Roman" w:eastAsia="Calibri" w:hAnsi="Times New Roman" w:cs="Times New Roman"/>
          <w:color w:val="000000" w:themeColor="text1"/>
          <w:sz w:val="24"/>
          <w:szCs w:val="24"/>
        </w:rPr>
        <w:t xml:space="preserve"> </w:t>
      </w:r>
      <w:r w:rsidR="00F54D25" w:rsidRPr="00173569">
        <w:rPr>
          <w:rFonts w:ascii="Times New Roman" w:eastAsia="Calibri" w:hAnsi="Times New Roman" w:cs="Times New Roman"/>
          <w:color w:val="000000" w:themeColor="text1"/>
          <w:sz w:val="24"/>
          <w:szCs w:val="24"/>
        </w:rPr>
        <w:t xml:space="preserve">run </w:t>
      </w:r>
      <w:r w:rsidR="0005057D" w:rsidRPr="00173569">
        <w:rPr>
          <w:rFonts w:ascii="Times New Roman" w:eastAsia="Calibri" w:hAnsi="Times New Roman" w:cs="Times New Roman"/>
          <w:color w:val="000000" w:themeColor="text1"/>
          <w:sz w:val="24"/>
          <w:szCs w:val="24"/>
        </w:rPr>
        <w:t>for two dates;</w:t>
      </w:r>
      <w:r w:rsidR="00525E77" w:rsidRPr="00173569">
        <w:rPr>
          <w:rFonts w:ascii="Times New Roman" w:eastAsia="Calibri" w:hAnsi="Times New Roman" w:cs="Times New Roman"/>
          <w:color w:val="000000" w:themeColor="text1"/>
          <w:sz w:val="24"/>
          <w:szCs w:val="24"/>
        </w:rPr>
        <w:t xml:space="preserve"> </w:t>
      </w:r>
      <w:r w:rsidR="00FD2EE6" w:rsidRPr="00173569">
        <w:rPr>
          <w:rFonts w:ascii="Times New Roman" w:eastAsia="Calibri" w:hAnsi="Times New Roman" w:cs="Times New Roman"/>
          <w:color w:val="000000" w:themeColor="text1"/>
          <w:sz w:val="24"/>
          <w:szCs w:val="24"/>
        </w:rPr>
        <w:t xml:space="preserve">at </w:t>
      </w:r>
      <w:r w:rsidR="0005057D" w:rsidRPr="00173569">
        <w:rPr>
          <w:rFonts w:ascii="Times New Roman" w:eastAsia="Calibri" w:hAnsi="Times New Roman" w:cs="Times New Roman"/>
          <w:color w:val="000000" w:themeColor="text1"/>
          <w:sz w:val="24"/>
          <w:szCs w:val="24"/>
        </w:rPr>
        <w:t xml:space="preserve">the end of 2020, </w:t>
      </w:r>
      <w:r w:rsidR="00525E77" w:rsidRPr="00173569">
        <w:rPr>
          <w:rFonts w:ascii="Times New Roman" w:eastAsia="Calibri" w:hAnsi="Times New Roman" w:cs="Times New Roman"/>
          <w:color w:val="000000" w:themeColor="text1"/>
          <w:sz w:val="24"/>
          <w:szCs w:val="24"/>
        </w:rPr>
        <w:t>and</w:t>
      </w:r>
      <w:r w:rsidR="00FD2EE6" w:rsidRPr="00173569">
        <w:rPr>
          <w:rFonts w:ascii="Times New Roman" w:eastAsia="Calibri" w:hAnsi="Times New Roman" w:cs="Times New Roman"/>
          <w:color w:val="000000" w:themeColor="text1"/>
          <w:sz w:val="24"/>
          <w:szCs w:val="24"/>
        </w:rPr>
        <w:t xml:space="preserve"> at</w:t>
      </w:r>
      <w:r w:rsidR="00525E77" w:rsidRPr="00173569">
        <w:rPr>
          <w:rFonts w:ascii="Times New Roman" w:eastAsia="Calibri" w:hAnsi="Times New Roman" w:cs="Times New Roman"/>
          <w:color w:val="000000" w:themeColor="text1"/>
          <w:sz w:val="24"/>
          <w:szCs w:val="24"/>
        </w:rPr>
        <w:t xml:space="preserve"> the</w:t>
      </w:r>
      <w:r w:rsidR="0005057D" w:rsidRPr="00173569">
        <w:rPr>
          <w:rFonts w:ascii="Times New Roman" w:eastAsia="Calibri" w:hAnsi="Times New Roman" w:cs="Times New Roman"/>
          <w:color w:val="000000" w:themeColor="text1"/>
          <w:sz w:val="24"/>
          <w:szCs w:val="24"/>
        </w:rPr>
        <w:t xml:space="preserve"> end </w:t>
      </w:r>
      <w:r w:rsidR="00525E77" w:rsidRPr="00173569">
        <w:rPr>
          <w:rFonts w:ascii="Times New Roman" w:eastAsia="Calibri" w:hAnsi="Times New Roman" w:cs="Times New Roman"/>
          <w:color w:val="000000" w:themeColor="text1"/>
          <w:sz w:val="24"/>
          <w:szCs w:val="24"/>
        </w:rPr>
        <w:t xml:space="preserve">of </w:t>
      </w:r>
      <w:r w:rsidR="0005057D" w:rsidRPr="00173569">
        <w:rPr>
          <w:rFonts w:ascii="Times New Roman" w:eastAsia="Calibri" w:hAnsi="Times New Roman" w:cs="Times New Roman"/>
          <w:color w:val="000000" w:themeColor="text1"/>
          <w:sz w:val="24"/>
          <w:szCs w:val="24"/>
        </w:rPr>
        <w:t>2021</w:t>
      </w:r>
      <w:r w:rsidR="00FD2EE6" w:rsidRPr="00173569">
        <w:rPr>
          <w:rFonts w:ascii="Times New Roman" w:eastAsia="Calibri" w:hAnsi="Times New Roman" w:cs="Times New Roman"/>
          <w:color w:val="000000" w:themeColor="text1"/>
          <w:sz w:val="24"/>
          <w:szCs w:val="24"/>
        </w:rPr>
        <w:t xml:space="preserve">. </w:t>
      </w:r>
      <w:r w:rsidR="00AA5003" w:rsidRPr="00173569">
        <w:rPr>
          <w:rFonts w:ascii="Times New Roman" w:eastAsia="Calibri" w:hAnsi="Times New Roman" w:cs="Times New Roman"/>
          <w:color w:val="000000" w:themeColor="text1"/>
          <w:sz w:val="24"/>
          <w:szCs w:val="24"/>
        </w:rPr>
        <w:t xml:space="preserve">We focus on countries </w:t>
      </w:r>
      <w:r w:rsidR="00836A77">
        <w:rPr>
          <w:rFonts w:ascii="Times New Roman" w:eastAsia="Calibri" w:hAnsi="Times New Roman" w:cs="Times New Roman"/>
          <w:color w:val="000000" w:themeColor="text1"/>
          <w:sz w:val="24"/>
          <w:szCs w:val="24"/>
        </w:rPr>
        <w:t>in which</w:t>
      </w:r>
      <w:r w:rsidR="00AA5003" w:rsidRPr="00173569">
        <w:rPr>
          <w:rFonts w:ascii="Times New Roman" w:eastAsia="Calibri" w:hAnsi="Times New Roman" w:cs="Times New Roman"/>
          <w:color w:val="000000" w:themeColor="text1"/>
          <w:sz w:val="24"/>
          <w:szCs w:val="24"/>
        </w:rPr>
        <w:t xml:space="preserve"> cumulative excess mortality </w:t>
      </w:r>
      <w:r w:rsidR="00836A77">
        <w:rPr>
          <w:rFonts w:ascii="Times New Roman" w:eastAsia="Calibri" w:hAnsi="Times New Roman" w:cs="Times New Roman"/>
          <w:color w:val="000000" w:themeColor="text1"/>
          <w:sz w:val="24"/>
          <w:szCs w:val="24"/>
        </w:rPr>
        <w:t xml:space="preserve">exceeds cumulative </w:t>
      </w:r>
      <w:r w:rsidR="00AA5003" w:rsidRPr="00173569">
        <w:rPr>
          <w:rFonts w:ascii="Times New Roman" w:eastAsia="Calibri" w:hAnsi="Times New Roman" w:cs="Times New Roman"/>
          <w:color w:val="000000" w:themeColor="text1"/>
          <w:sz w:val="24"/>
          <w:szCs w:val="24"/>
        </w:rPr>
        <w:t>official mortality</w:t>
      </w:r>
      <w:r w:rsidR="00FB0B6D" w:rsidRPr="00173569">
        <w:rPr>
          <w:rFonts w:ascii="Times New Roman" w:eastAsia="Calibri" w:hAnsi="Times New Roman" w:cs="Times New Roman"/>
          <w:color w:val="000000" w:themeColor="text1"/>
          <w:sz w:val="24"/>
          <w:szCs w:val="24"/>
        </w:rPr>
        <w:t>. This is the case for the vast majority of countries. The sample includes more than 120 countries as of end-2020, and more than 140 countries as of end-2021.</w:t>
      </w:r>
      <w:r w:rsidR="00DC21BB">
        <w:rPr>
          <w:rFonts w:ascii="Times New Roman" w:eastAsia="Calibri" w:hAnsi="Times New Roman" w:cs="Times New Roman"/>
          <w:color w:val="000000" w:themeColor="text1"/>
          <w:sz w:val="24"/>
          <w:szCs w:val="24"/>
        </w:rPr>
        <w:t xml:space="preserve"> We use the following specification:</w:t>
      </w:r>
    </w:p>
    <w:p w14:paraId="1EA3F2AF" w14:textId="49342B5E" w:rsidR="003E2BB9" w:rsidRPr="00C82A25" w:rsidRDefault="003E2BB9" w:rsidP="00C82A25">
      <w:pPr>
        <w:pStyle w:val="ListParagraph"/>
        <w:numPr>
          <w:ilvl w:val="0"/>
          <w:numId w:val="16"/>
        </w:numPr>
        <w:rPr>
          <w:b/>
        </w:rPr>
      </w:pPr>
      <w:r w:rsidRPr="00C82A25">
        <w:rPr>
          <w:rFonts w:ascii="Times New Roman" w:eastAsia="Times New Roman" w:hAnsi="Times New Roman" w:cs="Times New Roman"/>
          <w:b/>
          <w:color w:val="000000"/>
          <w:sz w:val="24"/>
          <w:szCs w:val="24"/>
          <w:bdr w:val="none" w:sz="0" w:space="0" w:color="auto" w:frame="1"/>
        </w:rPr>
        <w:t xml:space="preserve">    </w:t>
      </w:r>
      <w:r w:rsidR="00DC21BB" w:rsidRPr="00C82A25">
        <w:rPr>
          <w:rFonts w:ascii="Times New Roman" w:eastAsia="Times New Roman" w:hAnsi="Times New Roman" w:cs="Times New Roman"/>
          <w:b/>
          <w:color w:val="000000"/>
          <w:sz w:val="24"/>
          <w:szCs w:val="24"/>
          <w:bdr w:val="none" w:sz="0" w:space="0" w:color="auto" w:frame="1"/>
        </w:rPr>
        <w:t>E</w:t>
      </w:r>
      <w:r w:rsidR="00483E3D">
        <w:rPr>
          <w:rFonts w:ascii="Times New Roman" w:eastAsia="Times New Roman" w:hAnsi="Times New Roman" w:cs="Times New Roman"/>
          <w:b/>
          <w:color w:val="000000"/>
          <w:sz w:val="24"/>
          <w:szCs w:val="24"/>
          <w:bdr w:val="none" w:sz="0" w:space="0" w:color="auto" w:frame="1"/>
        </w:rPr>
        <w:t xml:space="preserve">/O </w:t>
      </w:r>
      <w:proofErr w:type="spellStart"/>
      <w:r w:rsidR="00483E3D">
        <w:rPr>
          <w:rFonts w:ascii="Times New Roman" w:eastAsia="Times New Roman" w:hAnsi="Times New Roman" w:cs="Times New Roman"/>
          <w:b/>
          <w:color w:val="000000"/>
          <w:sz w:val="24"/>
          <w:szCs w:val="24"/>
          <w:bdr w:val="none" w:sz="0" w:space="0" w:color="auto" w:frame="1"/>
        </w:rPr>
        <w:t>ratio</w:t>
      </w:r>
      <w:r w:rsidR="00DC21BB" w:rsidRPr="00C82A25">
        <w:rPr>
          <w:rFonts w:ascii="Times New Roman" w:eastAsia="Times New Roman" w:hAnsi="Times New Roman" w:cs="Times New Roman"/>
          <w:b/>
          <w:color w:val="000000"/>
          <w:sz w:val="24"/>
          <w:szCs w:val="24"/>
          <w:bdr w:val="none" w:sz="0" w:space="0" w:color="auto" w:frame="1"/>
          <w:vertAlign w:val="subscript"/>
        </w:rPr>
        <w:t>i,t</w:t>
      </w:r>
      <w:proofErr w:type="spellEnd"/>
      <w:r w:rsidR="00483E3D" w:rsidDel="00483E3D">
        <w:rPr>
          <w:rFonts w:ascii="Times New Roman" w:eastAsia="Times New Roman" w:hAnsi="Times New Roman" w:cs="Times New Roman"/>
          <w:b/>
          <w:color w:val="000000"/>
          <w:sz w:val="24"/>
          <w:szCs w:val="24"/>
          <w:bdr w:val="none" w:sz="0" w:space="0" w:color="auto" w:frame="1"/>
        </w:rPr>
        <w:t xml:space="preserve"> </w:t>
      </w:r>
      <w:r w:rsidR="00DC21BB" w:rsidRPr="00C82A25">
        <w:rPr>
          <w:rFonts w:ascii="Times New Roman" w:eastAsia="Times New Roman" w:hAnsi="Times New Roman" w:cs="Times New Roman"/>
          <w:b/>
          <w:color w:val="000000"/>
          <w:sz w:val="24"/>
          <w:szCs w:val="24"/>
          <w:bdr w:val="none" w:sz="0" w:space="0" w:color="auto" w:frame="1"/>
        </w:rPr>
        <w:t xml:space="preserve">= </w:t>
      </w:r>
      <w:r w:rsidR="00DC21BB" w:rsidRPr="00C82A25">
        <w:rPr>
          <w:rFonts w:ascii="Times New Roman" w:eastAsia="Times New Roman" w:hAnsi="Times New Roman" w:cs="Times New Roman" w:hint="eastAsia"/>
          <w:b/>
          <w:color w:val="000000"/>
          <w:sz w:val="24"/>
          <w:szCs w:val="24"/>
          <w:bdr w:val="none" w:sz="0" w:space="0" w:color="auto" w:frame="1"/>
        </w:rPr>
        <w:t>Γ</w:t>
      </w:r>
      <w:r w:rsidR="00DC21BB" w:rsidRPr="00C82A25">
        <w:rPr>
          <w:rFonts w:ascii="Times New Roman" w:eastAsia="Times New Roman" w:hAnsi="Times New Roman" w:cs="Times New Roman"/>
          <w:b/>
          <w:color w:val="000000"/>
          <w:sz w:val="24"/>
          <w:szCs w:val="24"/>
          <w:bdr w:val="none" w:sz="0" w:space="0" w:color="auto" w:frame="1"/>
        </w:rPr>
        <w:t>X</w:t>
      </w:r>
      <w:r w:rsidR="00DC21BB" w:rsidRPr="00C82A25">
        <w:rPr>
          <w:rFonts w:ascii="Times New Roman" w:eastAsia="Times New Roman" w:hAnsi="Times New Roman" w:cs="Times New Roman"/>
          <w:b/>
          <w:color w:val="000000"/>
          <w:sz w:val="24"/>
          <w:szCs w:val="24"/>
          <w:bdr w:val="none" w:sz="0" w:space="0" w:color="auto" w:frame="1"/>
          <w:vertAlign w:val="subscript"/>
        </w:rPr>
        <w:t>i,2019</w:t>
      </w:r>
      <w:r w:rsidR="00DC21BB" w:rsidRPr="00C82A25">
        <w:rPr>
          <w:rFonts w:ascii="Times New Roman" w:eastAsia="Times New Roman" w:hAnsi="Times New Roman" w:cs="Times New Roman"/>
          <w:b/>
          <w:color w:val="000000"/>
          <w:sz w:val="24"/>
          <w:szCs w:val="24"/>
          <w:bdr w:val="none" w:sz="0" w:space="0" w:color="auto" w:frame="1"/>
        </w:rPr>
        <w:t xml:space="preserve"> + </w:t>
      </w:r>
      <w:r w:rsidR="00DC21BB" w:rsidRPr="00C82A25">
        <w:rPr>
          <w:rFonts w:ascii="Times New Roman" w:eastAsia="Times New Roman" w:hAnsi="Times New Roman" w:cs="Times New Roman" w:hint="eastAsia"/>
          <w:b/>
          <w:color w:val="000000"/>
          <w:sz w:val="24"/>
          <w:szCs w:val="24"/>
          <w:bdr w:val="none" w:sz="0" w:space="0" w:color="auto" w:frame="1"/>
        </w:rPr>
        <w:t>β</w:t>
      </w:r>
      <w:proofErr w:type="spellStart"/>
      <w:r w:rsidR="00DC21BB" w:rsidRPr="00C82A25">
        <w:rPr>
          <w:rFonts w:ascii="Times New Roman" w:eastAsia="Times New Roman" w:hAnsi="Times New Roman" w:cs="Times New Roman"/>
          <w:b/>
          <w:color w:val="000000"/>
          <w:sz w:val="24"/>
          <w:szCs w:val="24"/>
          <w:bdr w:val="none" w:sz="0" w:space="0" w:color="auto" w:frame="1"/>
        </w:rPr>
        <w:t>Vaccination</w:t>
      </w:r>
      <w:r w:rsidR="00DC21BB" w:rsidRPr="00C82A25">
        <w:rPr>
          <w:rFonts w:ascii="Times New Roman" w:eastAsia="Times New Roman" w:hAnsi="Times New Roman" w:cs="Times New Roman"/>
          <w:b/>
          <w:color w:val="000000"/>
          <w:sz w:val="24"/>
          <w:szCs w:val="24"/>
          <w:bdr w:val="none" w:sz="0" w:space="0" w:color="auto" w:frame="1"/>
          <w:vertAlign w:val="subscript"/>
        </w:rPr>
        <w:t>i,t</w:t>
      </w:r>
      <w:proofErr w:type="spellEnd"/>
      <w:r w:rsidR="00DC21BB" w:rsidRPr="00C82A25">
        <w:rPr>
          <w:rFonts w:ascii="Times New Roman" w:eastAsia="Times New Roman" w:hAnsi="Times New Roman" w:cs="Times New Roman"/>
          <w:b/>
          <w:color w:val="000000"/>
          <w:sz w:val="24"/>
          <w:szCs w:val="24"/>
          <w:bdr w:val="none" w:sz="0" w:space="0" w:color="auto" w:frame="1"/>
        </w:rPr>
        <w:t xml:space="preserve"> + c + </w:t>
      </w:r>
      <w:proofErr w:type="spellStart"/>
      <w:r w:rsidR="00DC21BB" w:rsidRPr="00C82A25">
        <w:rPr>
          <w:rFonts w:ascii="Times New Roman" w:eastAsia="Times New Roman" w:hAnsi="Times New Roman" w:cs="Times New Roman" w:hint="eastAsia"/>
          <w:b/>
          <w:color w:val="000000"/>
          <w:sz w:val="24"/>
          <w:szCs w:val="24"/>
          <w:bdr w:val="none" w:sz="0" w:space="0" w:color="auto" w:frame="1"/>
        </w:rPr>
        <w:t>ε</w:t>
      </w:r>
      <w:r w:rsidR="00DC21BB" w:rsidRPr="00C82A25">
        <w:rPr>
          <w:rFonts w:ascii="Times New Roman" w:eastAsia="Times New Roman" w:hAnsi="Times New Roman" w:cs="Times New Roman"/>
          <w:b/>
          <w:color w:val="000000"/>
          <w:sz w:val="24"/>
          <w:szCs w:val="24"/>
          <w:bdr w:val="none" w:sz="0" w:space="0" w:color="auto" w:frame="1"/>
          <w:vertAlign w:val="subscript"/>
        </w:rPr>
        <w:t>i,t</w:t>
      </w:r>
      <w:proofErr w:type="spellEnd"/>
      <w:r w:rsidRPr="00C82A25">
        <w:rPr>
          <w:rFonts w:ascii="Times New Roman" w:eastAsia="Times New Roman" w:hAnsi="Times New Roman" w:cs="Times New Roman"/>
          <w:b/>
          <w:color w:val="0078D4"/>
          <w:sz w:val="24"/>
          <w:szCs w:val="24"/>
          <w:u w:val="single"/>
        </w:rPr>
        <w:t xml:space="preserve"> </w:t>
      </w:r>
      <w:r w:rsidR="00DC21BB" w:rsidRPr="00C82A25">
        <w:rPr>
          <w:b/>
          <w:color w:val="0078D4"/>
          <w:u w:val="single"/>
        </w:rPr>
        <w:t>,</w:t>
      </w:r>
      <w:r w:rsidR="00DC21BB" w:rsidRPr="00C82A25">
        <w:rPr>
          <w:b/>
        </w:rPr>
        <w:t> </w:t>
      </w:r>
    </w:p>
    <w:p w14:paraId="6553C470" w14:textId="77777777" w:rsidR="003E2BB9" w:rsidRDefault="003E2BB9" w:rsidP="003E2BB9">
      <w:pPr>
        <w:shd w:val="clear" w:color="auto" w:fill="FFFFFF"/>
        <w:spacing w:after="0" w:line="240" w:lineRule="auto"/>
        <w:jc w:val="center"/>
        <w:rPr>
          <w:rFonts w:ascii="Times New Roman" w:eastAsia="Times New Roman" w:hAnsi="Times New Roman" w:cs="Times New Roman"/>
          <w:sz w:val="24"/>
          <w:szCs w:val="24"/>
        </w:rPr>
      </w:pPr>
    </w:p>
    <w:p w14:paraId="27FE6AD0" w14:textId="33A9EE23" w:rsidR="00FB0B6D" w:rsidRPr="00CD2BFD" w:rsidRDefault="00DC21BB" w:rsidP="00C82A25">
      <w:pPr>
        <w:shd w:val="clear" w:color="auto" w:fill="FFFFFF"/>
        <w:spacing w:after="0" w:line="360" w:lineRule="auto"/>
        <w:rPr>
          <w:rFonts w:ascii="Times New Roman" w:eastAsia="Times New Roman" w:hAnsi="Times New Roman" w:cs="Times New Roman"/>
          <w:b/>
          <w:color w:val="000000" w:themeColor="text1"/>
          <w:sz w:val="24"/>
          <w:szCs w:val="24"/>
        </w:rPr>
      </w:pPr>
      <w:r w:rsidRPr="00CD2BFD">
        <w:rPr>
          <w:rFonts w:ascii="Times New Roman" w:eastAsia="Times New Roman" w:hAnsi="Times New Roman" w:cs="Times New Roman"/>
          <w:b/>
          <w:color w:val="000000" w:themeColor="text1"/>
          <w:sz w:val="24"/>
          <w:szCs w:val="24"/>
        </w:rPr>
        <w:t xml:space="preserve">where </w:t>
      </w:r>
      <w:proofErr w:type="spellStart"/>
      <w:r w:rsidRPr="00CD2BFD">
        <w:rPr>
          <w:rFonts w:ascii="Times New Roman" w:eastAsia="Times New Roman" w:hAnsi="Times New Roman" w:cs="Times New Roman"/>
          <w:b/>
          <w:color w:val="000000" w:themeColor="text1"/>
          <w:sz w:val="24"/>
          <w:szCs w:val="24"/>
        </w:rPr>
        <w:t>i</w:t>
      </w:r>
      <w:proofErr w:type="spellEnd"/>
      <w:r w:rsidRPr="00CD2BFD">
        <w:rPr>
          <w:rFonts w:ascii="Times New Roman" w:eastAsia="Times New Roman" w:hAnsi="Times New Roman" w:cs="Times New Roman"/>
          <w:b/>
          <w:color w:val="000000" w:themeColor="text1"/>
          <w:sz w:val="24"/>
          <w:szCs w:val="24"/>
        </w:rPr>
        <w:t xml:space="preserve"> denotes country; t denotes the sub-samples</w:t>
      </w:r>
      <w:r w:rsidR="00836A77" w:rsidRPr="00CD2BFD">
        <w:rPr>
          <w:rFonts w:ascii="Times New Roman" w:eastAsia="Times New Roman" w:hAnsi="Times New Roman" w:cs="Times New Roman"/>
          <w:b/>
          <w:color w:val="000000" w:themeColor="text1"/>
          <w:sz w:val="24"/>
          <w:szCs w:val="24"/>
        </w:rPr>
        <w:t>, i.e.</w:t>
      </w:r>
      <w:r w:rsidRPr="00CD2BFD">
        <w:rPr>
          <w:rFonts w:ascii="Times New Roman" w:eastAsia="Times New Roman" w:hAnsi="Times New Roman" w:cs="Times New Roman"/>
          <w:b/>
          <w:color w:val="000000" w:themeColor="text1"/>
          <w:sz w:val="24"/>
          <w:szCs w:val="24"/>
        </w:rPr>
        <w:t xml:space="preserve"> the excess mortality as of 12/28/2020 and 12/27/2021; X is a matrix of socioeconomic variables, including GDP</w:t>
      </w:r>
      <w:r w:rsidR="00836A77" w:rsidRPr="00CD2BFD">
        <w:rPr>
          <w:rFonts w:ascii="Times New Roman" w:eastAsia="Times New Roman" w:hAnsi="Times New Roman" w:cs="Times New Roman"/>
          <w:b/>
          <w:color w:val="000000" w:themeColor="text1"/>
          <w:sz w:val="24"/>
          <w:szCs w:val="24"/>
        </w:rPr>
        <w:t xml:space="preserve"> per-capita</w:t>
      </w:r>
      <w:r w:rsidRPr="00CD2BFD">
        <w:rPr>
          <w:rFonts w:ascii="Times New Roman" w:eastAsia="Times New Roman" w:hAnsi="Times New Roman" w:cs="Times New Roman"/>
          <w:b/>
          <w:color w:val="000000" w:themeColor="text1"/>
          <w:sz w:val="24"/>
          <w:szCs w:val="24"/>
        </w:rPr>
        <w:t xml:space="preserve">, population density, urban share, age above-65 share, rule of law, voice and accountability, and government effectiveness, all </w:t>
      </w:r>
      <w:proofErr w:type="spellStart"/>
      <w:r w:rsidR="00836A77" w:rsidRPr="00CD2BFD">
        <w:rPr>
          <w:rFonts w:ascii="Times New Roman" w:eastAsia="Times New Roman" w:hAnsi="Times New Roman" w:cs="Times New Roman"/>
          <w:b/>
          <w:color w:val="000000" w:themeColor="text1"/>
          <w:sz w:val="24"/>
          <w:szCs w:val="24"/>
        </w:rPr>
        <w:lastRenderedPageBreak/>
        <w:t>refering</w:t>
      </w:r>
      <w:proofErr w:type="spellEnd"/>
      <w:r w:rsidRPr="00CD2BFD">
        <w:rPr>
          <w:rFonts w:ascii="Times New Roman" w:eastAsia="Times New Roman" w:hAnsi="Times New Roman" w:cs="Times New Roman"/>
          <w:b/>
          <w:color w:val="000000" w:themeColor="text1"/>
          <w:sz w:val="24"/>
          <w:szCs w:val="24"/>
        </w:rPr>
        <w:t xml:space="preserve"> </w:t>
      </w:r>
      <w:r w:rsidR="00836A77" w:rsidRPr="00CD2BFD">
        <w:rPr>
          <w:rFonts w:ascii="Times New Roman" w:eastAsia="Times New Roman" w:hAnsi="Times New Roman" w:cs="Times New Roman"/>
          <w:b/>
          <w:color w:val="000000" w:themeColor="text1"/>
          <w:sz w:val="24"/>
          <w:szCs w:val="24"/>
        </w:rPr>
        <w:t xml:space="preserve">to </w:t>
      </w:r>
      <w:r w:rsidRPr="00CD2BFD">
        <w:rPr>
          <w:rFonts w:ascii="Times New Roman" w:eastAsia="Times New Roman" w:hAnsi="Times New Roman" w:cs="Times New Roman"/>
          <w:b/>
          <w:color w:val="000000" w:themeColor="text1"/>
          <w:sz w:val="24"/>
          <w:szCs w:val="24"/>
        </w:rPr>
        <w:t>the pre-pandemic values of year 2019</w:t>
      </w:r>
      <w:r w:rsidR="00836A77" w:rsidRPr="00CD2BFD">
        <w:rPr>
          <w:rFonts w:ascii="Times New Roman" w:eastAsia="Times New Roman" w:hAnsi="Times New Roman" w:cs="Times New Roman"/>
          <w:b/>
          <w:color w:val="000000" w:themeColor="text1"/>
          <w:sz w:val="24"/>
          <w:szCs w:val="24"/>
        </w:rPr>
        <w:t>.</w:t>
      </w:r>
      <w:r w:rsidRPr="00CD2BFD">
        <w:rPr>
          <w:rFonts w:ascii="Times New Roman" w:eastAsia="Times New Roman" w:hAnsi="Times New Roman" w:cs="Times New Roman"/>
          <w:b/>
          <w:color w:val="000000" w:themeColor="text1"/>
          <w:sz w:val="24"/>
          <w:szCs w:val="24"/>
        </w:rPr>
        <w:t xml:space="preserve"> Vaccination is the total vaccinations per hundred of the population; and c is the constant term. </w:t>
      </w:r>
    </w:p>
    <w:p w14:paraId="064C3079" w14:textId="77777777" w:rsidR="00DC21BB" w:rsidRPr="00C82A25" w:rsidRDefault="00DC21BB" w:rsidP="00C82A25">
      <w:pPr>
        <w:spacing w:after="0" w:line="240" w:lineRule="auto"/>
        <w:ind w:left="90" w:right="285"/>
        <w:textAlignment w:val="baseline"/>
        <w:rPr>
          <w:rFonts w:ascii="Times New Roman" w:eastAsia="Times New Roman" w:hAnsi="Times New Roman" w:cs="Times New Roman"/>
          <w:sz w:val="24"/>
          <w:szCs w:val="24"/>
        </w:rPr>
      </w:pPr>
    </w:p>
    <w:p w14:paraId="6F1F1D30" w14:textId="37E80970" w:rsidR="00AA5003" w:rsidRPr="00173569" w:rsidRDefault="00AA5003" w:rsidP="00245CBF">
      <w:pPr>
        <w:spacing w:line="360" w:lineRule="auto"/>
        <w:ind w:firstLine="720"/>
        <w:rPr>
          <w:rFonts w:ascii="Times New Roman" w:hAnsi="Times New Roman" w:cs="Times New Roman"/>
          <w:sz w:val="24"/>
          <w:szCs w:val="24"/>
        </w:rPr>
      </w:pPr>
      <w:r w:rsidRPr="00173569">
        <w:rPr>
          <w:rFonts w:ascii="Times New Roman" w:hAnsi="Times New Roman" w:cs="Times New Roman"/>
          <w:sz w:val="24"/>
          <w:szCs w:val="24"/>
        </w:rPr>
        <w:t xml:space="preserve">Table 3 provides the estimation of the E/O ratio </w:t>
      </w:r>
      <w:r w:rsidR="00836A77">
        <w:rPr>
          <w:rFonts w:ascii="Times New Roman" w:hAnsi="Times New Roman" w:cs="Times New Roman"/>
          <w:sz w:val="24"/>
          <w:szCs w:val="24"/>
        </w:rPr>
        <w:t>using</w:t>
      </w:r>
      <w:r w:rsidRPr="00173569">
        <w:rPr>
          <w:rFonts w:ascii="Times New Roman" w:hAnsi="Times New Roman" w:cs="Times New Roman"/>
          <w:sz w:val="24"/>
          <w:szCs w:val="24"/>
        </w:rPr>
        <w:t xml:space="preserve"> a set of structural regressors, including the level of income (as measured by GDP per capita), a set of demographic variables including population density, urban population share, </w:t>
      </w:r>
      <w:r w:rsidR="00836A77">
        <w:rPr>
          <w:rFonts w:ascii="Times New Roman" w:hAnsi="Times New Roman" w:cs="Times New Roman"/>
          <w:sz w:val="24"/>
          <w:szCs w:val="24"/>
        </w:rPr>
        <w:t>share of individuals above 65</w:t>
      </w:r>
      <w:r w:rsidRPr="00173569">
        <w:rPr>
          <w:rFonts w:ascii="Times New Roman" w:hAnsi="Times New Roman" w:cs="Times New Roman"/>
          <w:sz w:val="24"/>
          <w:szCs w:val="24"/>
        </w:rPr>
        <w:t xml:space="preserve">, and a set of variables from the World Governance Indicators database measuring the quality of governance </w:t>
      </w:r>
      <w:r w:rsidRPr="00173569">
        <w:rPr>
          <w:rFonts w:ascii="Times New Roman" w:hAnsi="Times New Roman" w:cs="Times New Roman"/>
          <w:sz w:val="24"/>
          <w:szCs w:val="24"/>
        </w:rPr>
        <w:noBreakHyphen/>
        <w:t xml:space="preserve"> including rule of law, voice and accountability, and government effectiveness; as well as a Covid-19 vaccination level (as measured by the number of Covid-19 vaccinations administered per hundred population). </w:t>
      </w:r>
    </w:p>
    <w:p w14:paraId="28E32F69" w14:textId="6A6A07F1" w:rsidR="00150D4C" w:rsidRPr="00173569" w:rsidRDefault="00AA5003" w:rsidP="00245CBF">
      <w:pPr>
        <w:spacing w:line="360" w:lineRule="auto"/>
        <w:ind w:firstLine="720"/>
        <w:rPr>
          <w:rFonts w:ascii="Times New Roman" w:hAnsi="Times New Roman" w:cs="Times New Roman"/>
          <w:sz w:val="24"/>
          <w:szCs w:val="24"/>
        </w:rPr>
      </w:pPr>
      <w:r w:rsidRPr="00173569">
        <w:rPr>
          <w:rFonts w:ascii="Times New Roman" w:hAnsi="Times New Roman" w:cs="Times New Roman"/>
          <w:sz w:val="24"/>
          <w:szCs w:val="24"/>
        </w:rPr>
        <w:t>Columns (1) and (3) of Table 3 shows the regression results with only</w:t>
      </w:r>
      <w:r w:rsidR="35C1C7C1" w:rsidRPr="00173569">
        <w:rPr>
          <w:rFonts w:ascii="Times New Roman" w:hAnsi="Times New Roman" w:cs="Times New Roman"/>
          <w:sz w:val="24"/>
          <w:szCs w:val="24"/>
        </w:rPr>
        <w:t xml:space="preserve"> the level of income (as measured by GDP per capita) and the level of vaccination (</w:t>
      </w:r>
      <w:r w:rsidRPr="00173569">
        <w:rPr>
          <w:rFonts w:ascii="Times New Roman" w:hAnsi="Times New Roman" w:cs="Times New Roman"/>
          <w:sz w:val="24"/>
          <w:szCs w:val="24"/>
        </w:rPr>
        <w:t>as measured by the number of Covid-19 vaccinations administered per hundred population</w:t>
      </w:r>
      <w:r w:rsidR="35C1C7C1" w:rsidRPr="00173569">
        <w:rPr>
          <w:rFonts w:ascii="Times New Roman" w:hAnsi="Times New Roman" w:cs="Times New Roman"/>
          <w:sz w:val="24"/>
          <w:szCs w:val="24"/>
        </w:rPr>
        <w:t>)</w:t>
      </w:r>
      <w:r w:rsidRPr="00173569">
        <w:rPr>
          <w:rFonts w:ascii="Times New Roman" w:hAnsi="Times New Roman" w:cs="Times New Roman"/>
          <w:sz w:val="24"/>
          <w:szCs w:val="24"/>
        </w:rPr>
        <w:t>, as of end-</w:t>
      </w:r>
      <w:r w:rsidR="35C1C7C1" w:rsidRPr="00173569">
        <w:rPr>
          <w:rFonts w:ascii="Times New Roman" w:hAnsi="Times New Roman" w:cs="Times New Roman"/>
          <w:sz w:val="24"/>
          <w:szCs w:val="24"/>
        </w:rPr>
        <w:t xml:space="preserve">2020 and </w:t>
      </w:r>
      <w:r w:rsidRPr="00173569">
        <w:rPr>
          <w:rFonts w:ascii="Times New Roman" w:hAnsi="Times New Roman" w:cs="Times New Roman"/>
          <w:sz w:val="24"/>
          <w:szCs w:val="24"/>
        </w:rPr>
        <w:t>end-</w:t>
      </w:r>
      <w:r w:rsidR="35C1C7C1" w:rsidRPr="00173569">
        <w:rPr>
          <w:rFonts w:ascii="Times New Roman" w:hAnsi="Times New Roman" w:cs="Times New Roman"/>
          <w:sz w:val="24"/>
          <w:szCs w:val="24"/>
        </w:rPr>
        <w:t>2021</w:t>
      </w:r>
      <w:r w:rsidRPr="00173569">
        <w:rPr>
          <w:rFonts w:ascii="Times New Roman" w:hAnsi="Times New Roman" w:cs="Times New Roman"/>
          <w:sz w:val="24"/>
          <w:szCs w:val="24"/>
        </w:rPr>
        <w:t xml:space="preserve"> </w:t>
      </w:r>
      <w:r w:rsidR="005B30B8" w:rsidRPr="00173569">
        <w:rPr>
          <w:rFonts w:ascii="Times New Roman" w:hAnsi="Times New Roman" w:cs="Times New Roman"/>
          <w:sz w:val="24"/>
          <w:szCs w:val="24"/>
        </w:rPr>
        <w:t>separately</w:t>
      </w:r>
      <w:r w:rsidR="35C1C7C1" w:rsidRPr="00173569">
        <w:rPr>
          <w:rFonts w:ascii="Times New Roman" w:hAnsi="Times New Roman" w:cs="Times New Roman"/>
          <w:sz w:val="24"/>
          <w:szCs w:val="24"/>
        </w:rPr>
        <w:t xml:space="preserve">. </w:t>
      </w:r>
      <w:r w:rsidRPr="00173569">
        <w:rPr>
          <w:rFonts w:ascii="Times New Roman" w:hAnsi="Times New Roman" w:cs="Times New Roman"/>
          <w:sz w:val="24"/>
          <w:szCs w:val="24"/>
        </w:rPr>
        <w:t xml:space="preserve">Results </w:t>
      </w:r>
      <w:r w:rsidR="35C1C7C1" w:rsidRPr="00173569">
        <w:rPr>
          <w:rFonts w:ascii="Times New Roman" w:hAnsi="Times New Roman" w:cs="Times New Roman"/>
          <w:sz w:val="24"/>
          <w:szCs w:val="24"/>
        </w:rPr>
        <w:t>show that, at the end of 2020</w:t>
      </w:r>
      <w:r w:rsidRPr="00173569">
        <w:rPr>
          <w:rFonts w:ascii="Times New Roman" w:hAnsi="Times New Roman" w:cs="Times New Roman"/>
          <w:sz w:val="24"/>
          <w:szCs w:val="24"/>
        </w:rPr>
        <w:t xml:space="preserve"> and 2021</w:t>
      </w:r>
      <w:r w:rsidR="35C1C7C1" w:rsidRPr="00173569">
        <w:rPr>
          <w:rFonts w:ascii="Times New Roman" w:hAnsi="Times New Roman" w:cs="Times New Roman"/>
          <w:sz w:val="24"/>
          <w:szCs w:val="24"/>
        </w:rPr>
        <w:t>, the association</w:t>
      </w:r>
      <w:r w:rsidRPr="00173569">
        <w:rPr>
          <w:rFonts w:ascii="Times New Roman" w:hAnsi="Times New Roman" w:cs="Times New Roman"/>
          <w:sz w:val="24"/>
          <w:szCs w:val="24"/>
        </w:rPr>
        <w:t>s</w:t>
      </w:r>
      <w:r w:rsidR="35C1C7C1" w:rsidRPr="00173569">
        <w:rPr>
          <w:rFonts w:ascii="Times New Roman" w:hAnsi="Times New Roman" w:cs="Times New Roman"/>
          <w:sz w:val="24"/>
          <w:szCs w:val="24"/>
        </w:rPr>
        <w:t xml:space="preserve"> between E/O </w:t>
      </w:r>
      <w:r w:rsidRPr="00173569">
        <w:rPr>
          <w:rFonts w:ascii="Times New Roman" w:hAnsi="Times New Roman" w:cs="Times New Roman"/>
          <w:sz w:val="24"/>
          <w:szCs w:val="24"/>
        </w:rPr>
        <w:t xml:space="preserve">ratio </w:t>
      </w:r>
      <w:r w:rsidR="35C1C7C1" w:rsidRPr="00173569">
        <w:rPr>
          <w:rFonts w:ascii="Times New Roman" w:hAnsi="Times New Roman" w:cs="Times New Roman"/>
          <w:sz w:val="24"/>
          <w:szCs w:val="24"/>
        </w:rPr>
        <w:t xml:space="preserve">and GDP per capita </w:t>
      </w:r>
      <w:r w:rsidRPr="00173569">
        <w:rPr>
          <w:rFonts w:ascii="Times New Roman" w:hAnsi="Times New Roman" w:cs="Times New Roman"/>
          <w:sz w:val="24"/>
          <w:szCs w:val="24"/>
        </w:rPr>
        <w:t>are both</w:t>
      </w:r>
      <w:r w:rsidR="35C1C7C1" w:rsidRPr="00173569">
        <w:rPr>
          <w:rFonts w:ascii="Times New Roman" w:hAnsi="Times New Roman" w:cs="Times New Roman"/>
          <w:sz w:val="24"/>
          <w:szCs w:val="24"/>
        </w:rPr>
        <w:t xml:space="preserve"> negative but statistically insignificant. In 2021, however, as </w:t>
      </w:r>
      <w:r w:rsidR="00525E77" w:rsidRPr="00173569">
        <w:rPr>
          <w:rFonts w:ascii="Times New Roman" w:hAnsi="Times New Roman" w:cs="Times New Roman"/>
          <w:sz w:val="24"/>
          <w:szCs w:val="24"/>
        </w:rPr>
        <w:t>Covid</w:t>
      </w:r>
      <w:r w:rsidR="35C1C7C1" w:rsidRPr="00173569">
        <w:rPr>
          <w:rFonts w:ascii="Times New Roman" w:hAnsi="Times New Roman" w:cs="Times New Roman"/>
          <w:sz w:val="24"/>
          <w:szCs w:val="24"/>
        </w:rPr>
        <w:t>-19 vaccines became widely available throughout the year for a large number of countries, the association between E/O</w:t>
      </w:r>
      <w:r w:rsidRPr="00173569">
        <w:rPr>
          <w:rFonts w:ascii="Times New Roman" w:hAnsi="Times New Roman" w:cs="Times New Roman"/>
          <w:sz w:val="24"/>
          <w:szCs w:val="24"/>
        </w:rPr>
        <w:t xml:space="preserve"> ratio</w:t>
      </w:r>
      <w:r w:rsidR="35C1C7C1" w:rsidRPr="00173569">
        <w:rPr>
          <w:rFonts w:ascii="Times New Roman" w:hAnsi="Times New Roman" w:cs="Times New Roman"/>
          <w:sz w:val="24"/>
          <w:szCs w:val="24"/>
        </w:rPr>
        <w:t xml:space="preserve"> and </w:t>
      </w:r>
      <w:r w:rsidRPr="00173569">
        <w:rPr>
          <w:rFonts w:ascii="Times New Roman" w:hAnsi="Times New Roman" w:cs="Times New Roman"/>
          <w:sz w:val="24"/>
          <w:szCs w:val="24"/>
        </w:rPr>
        <w:t xml:space="preserve">the </w:t>
      </w:r>
      <w:r w:rsidR="35C1C7C1" w:rsidRPr="00173569">
        <w:rPr>
          <w:rFonts w:ascii="Times New Roman" w:hAnsi="Times New Roman" w:cs="Times New Roman"/>
          <w:sz w:val="24"/>
          <w:szCs w:val="24"/>
        </w:rPr>
        <w:t xml:space="preserve">vaccination </w:t>
      </w:r>
      <w:r w:rsidRPr="00173569">
        <w:rPr>
          <w:rFonts w:ascii="Times New Roman" w:hAnsi="Times New Roman" w:cs="Times New Roman"/>
          <w:sz w:val="24"/>
          <w:szCs w:val="24"/>
        </w:rPr>
        <w:t xml:space="preserve">level </w:t>
      </w:r>
      <w:r w:rsidR="35C1C7C1" w:rsidRPr="00173569">
        <w:rPr>
          <w:rFonts w:ascii="Times New Roman" w:hAnsi="Times New Roman" w:cs="Times New Roman"/>
          <w:sz w:val="24"/>
          <w:szCs w:val="24"/>
        </w:rPr>
        <w:t>in the international sample</w:t>
      </w:r>
      <w:r w:rsidRPr="00173569">
        <w:rPr>
          <w:rFonts w:ascii="Times New Roman" w:hAnsi="Times New Roman" w:cs="Times New Roman"/>
          <w:sz w:val="24"/>
          <w:szCs w:val="24"/>
        </w:rPr>
        <w:t xml:space="preserve"> is significantly negative</w:t>
      </w:r>
      <w:r w:rsidR="35C1C7C1" w:rsidRPr="00173569">
        <w:rPr>
          <w:rFonts w:ascii="Times New Roman" w:hAnsi="Times New Roman" w:cs="Times New Roman"/>
          <w:sz w:val="24"/>
          <w:szCs w:val="24"/>
        </w:rPr>
        <w:t>.</w:t>
      </w:r>
      <w:r w:rsidR="00BE6180" w:rsidRPr="00173569">
        <w:rPr>
          <w:rStyle w:val="FootnoteReference"/>
          <w:rFonts w:ascii="Times New Roman" w:hAnsi="Times New Roman" w:cs="Times New Roman"/>
          <w:sz w:val="24"/>
          <w:szCs w:val="24"/>
        </w:rPr>
        <w:footnoteReference w:id="9"/>
      </w:r>
    </w:p>
    <w:p w14:paraId="4BB73FB1" w14:textId="729AF941" w:rsidR="009D1A15" w:rsidRPr="00173569" w:rsidRDefault="008449AE" w:rsidP="004C2E84">
      <w:pPr>
        <w:spacing w:line="360" w:lineRule="auto"/>
        <w:ind w:firstLine="720"/>
        <w:rPr>
          <w:rFonts w:ascii="Times New Roman" w:hAnsi="Times New Roman" w:cs="Times New Roman"/>
          <w:sz w:val="24"/>
          <w:szCs w:val="24"/>
        </w:rPr>
      </w:pPr>
      <w:r w:rsidRPr="00173569">
        <w:rPr>
          <w:rFonts w:ascii="Times New Roman" w:hAnsi="Times New Roman" w:cs="Times New Roman"/>
          <w:sz w:val="24"/>
          <w:szCs w:val="24"/>
        </w:rPr>
        <w:t>Columns (2) and (4) of Table 3 shows the regression results with the addition of more structural variables. Colum (2)</w:t>
      </w:r>
      <w:r w:rsidR="009D1A15" w:rsidRPr="00173569">
        <w:rPr>
          <w:rFonts w:ascii="Times New Roman" w:hAnsi="Times New Roman" w:cs="Times New Roman"/>
          <w:sz w:val="24"/>
          <w:szCs w:val="24"/>
        </w:rPr>
        <w:t xml:space="preserve"> shows that, at the end of 2020, the association between E/O and</w:t>
      </w:r>
      <w:r w:rsidRPr="00173569">
        <w:rPr>
          <w:rFonts w:ascii="Times New Roman" w:hAnsi="Times New Roman" w:cs="Times New Roman"/>
          <w:sz w:val="24"/>
          <w:szCs w:val="24"/>
        </w:rPr>
        <w:t xml:space="preserve"> urban population share is significantly negative </w:t>
      </w:r>
      <w:r w:rsidR="009D1A15" w:rsidRPr="00173569">
        <w:rPr>
          <w:rFonts w:ascii="Times New Roman" w:hAnsi="Times New Roman" w:cs="Times New Roman"/>
          <w:sz w:val="24"/>
          <w:szCs w:val="24"/>
        </w:rPr>
        <w:t>while the associations with other</w:t>
      </w:r>
      <w:r w:rsidR="00DA19D1" w:rsidRPr="00173569">
        <w:rPr>
          <w:rFonts w:ascii="Times New Roman" w:hAnsi="Times New Roman" w:cs="Times New Roman"/>
          <w:sz w:val="24"/>
          <w:szCs w:val="24"/>
        </w:rPr>
        <w:t xml:space="preserve"> indicators</w:t>
      </w:r>
      <w:r w:rsidR="009D1A15" w:rsidRPr="00173569">
        <w:rPr>
          <w:rFonts w:ascii="Times New Roman" w:hAnsi="Times New Roman" w:cs="Times New Roman"/>
          <w:sz w:val="24"/>
          <w:szCs w:val="24"/>
        </w:rPr>
        <w:t xml:space="preserve"> are all insignificant. At the end of 2021, </w:t>
      </w:r>
      <w:r w:rsidRPr="00173569">
        <w:rPr>
          <w:rFonts w:ascii="Times New Roman" w:hAnsi="Times New Roman" w:cs="Times New Roman"/>
          <w:sz w:val="24"/>
          <w:szCs w:val="24"/>
        </w:rPr>
        <w:t xml:space="preserve">as shown in column (4), </w:t>
      </w:r>
      <w:r w:rsidR="009D1A15" w:rsidRPr="00173569">
        <w:rPr>
          <w:rFonts w:ascii="Times New Roman" w:hAnsi="Times New Roman" w:cs="Times New Roman"/>
          <w:sz w:val="24"/>
          <w:szCs w:val="24"/>
        </w:rPr>
        <w:t xml:space="preserve">in addition to the significant and negative association with </w:t>
      </w:r>
      <w:r w:rsidRPr="00173569">
        <w:rPr>
          <w:rFonts w:ascii="Times New Roman" w:hAnsi="Times New Roman" w:cs="Times New Roman"/>
          <w:sz w:val="24"/>
          <w:szCs w:val="24"/>
        </w:rPr>
        <w:t>urban population share</w:t>
      </w:r>
      <w:r w:rsidR="009D1A15" w:rsidRPr="00173569">
        <w:rPr>
          <w:rFonts w:ascii="Times New Roman" w:hAnsi="Times New Roman" w:cs="Times New Roman"/>
          <w:sz w:val="24"/>
          <w:szCs w:val="24"/>
        </w:rPr>
        <w:t xml:space="preserve">, E/O </w:t>
      </w:r>
      <w:r w:rsidRPr="00173569">
        <w:rPr>
          <w:rFonts w:ascii="Times New Roman" w:hAnsi="Times New Roman" w:cs="Times New Roman"/>
          <w:sz w:val="24"/>
          <w:szCs w:val="24"/>
        </w:rPr>
        <w:t xml:space="preserve">ratio </w:t>
      </w:r>
      <w:r w:rsidR="009D1A15" w:rsidRPr="00173569">
        <w:rPr>
          <w:rFonts w:ascii="Times New Roman" w:hAnsi="Times New Roman" w:cs="Times New Roman"/>
          <w:sz w:val="24"/>
          <w:szCs w:val="24"/>
        </w:rPr>
        <w:t>is significantly and negatively correlated with voice and accountability.</w:t>
      </w:r>
      <w:r w:rsidR="00C511B4" w:rsidRPr="00173569">
        <w:rPr>
          <w:rFonts w:ascii="Times New Roman" w:hAnsi="Times New Roman" w:cs="Times New Roman"/>
          <w:sz w:val="24"/>
          <w:szCs w:val="24"/>
        </w:rPr>
        <w:t xml:space="preserve"> Notably, the </w:t>
      </w:r>
      <w:r w:rsidR="00C511B4" w:rsidRPr="00173569">
        <w:rPr>
          <w:rFonts w:ascii="Times New Roman" w:eastAsia="Calibri" w:hAnsi="Times New Roman" w:cs="Times New Roman"/>
          <w:color w:val="000000" w:themeColor="text1"/>
          <w:sz w:val="24"/>
          <w:szCs w:val="24"/>
        </w:rPr>
        <w:t xml:space="preserve">vaccination </w:t>
      </w:r>
      <w:r w:rsidRPr="00173569">
        <w:rPr>
          <w:rFonts w:ascii="Times New Roman" w:eastAsia="Calibri" w:hAnsi="Times New Roman" w:cs="Times New Roman"/>
          <w:color w:val="000000" w:themeColor="text1"/>
          <w:sz w:val="24"/>
          <w:szCs w:val="24"/>
        </w:rPr>
        <w:t>level</w:t>
      </w:r>
      <w:r w:rsidR="00C511B4" w:rsidRPr="00173569">
        <w:rPr>
          <w:rFonts w:ascii="Times New Roman" w:eastAsia="Calibri" w:hAnsi="Times New Roman" w:cs="Times New Roman"/>
          <w:color w:val="000000" w:themeColor="text1"/>
          <w:sz w:val="24"/>
          <w:szCs w:val="24"/>
        </w:rPr>
        <w:t xml:space="preserve"> that ha</w:t>
      </w:r>
      <w:r w:rsidR="00FD2EE6" w:rsidRPr="00173569">
        <w:rPr>
          <w:rFonts w:ascii="Times New Roman" w:eastAsia="Calibri" w:hAnsi="Times New Roman" w:cs="Times New Roman"/>
          <w:color w:val="000000" w:themeColor="text1"/>
          <w:sz w:val="24"/>
          <w:szCs w:val="24"/>
        </w:rPr>
        <w:t>d</w:t>
      </w:r>
      <w:r w:rsidR="00C511B4" w:rsidRPr="00173569">
        <w:rPr>
          <w:rFonts w:ascii="Times New Roman" w:eastAsia="Calibri" w:hAnsi="Times New Roman" w:cs="Times New Roman"/>
          <w:color w:val="000000" w:themeColor="text1"/>
          <w:sz w:val="24"/>
          <w:szCs w:val="24"/>
        </w:rPr>
        <w:t xml:space="preserve"> a significantly negative impact on the E/O ratio at the end of 2021 </w:t>
      </w:r>
      <w:r w:rsidR="00271891" w:rsidRPr="00173569">
        <w:rPr>
          <w:rFonts w:ascii="Times New Roman" w:eastAsia="Calibri" w:hAnsi="Times New Roman" w:cs="Times New Roman"/>
          <w:color w:val="000000" w:themeColor="text1"/>
          <w:sz w:val="24"/>
          <w:szCs w:val="24"/>
        </w:rPr>
        <w:t xml:space="preserve">in </w:t>
      </w:r>
      <w:r w:rsidRPr="00173569">
        <w:rPr>
          <w:rFonts w:ascii="Times New Roman" w:eastAsia="Calibri" w:hAnsi="Times New Roman" w:cs="Times New Roman"/>
          <w:color w:val="000000" w:themeColor="text1"/>
          <w:sz w:val="24"/>
          <w:szCs w:val="24"/>
        </w:rPr>
        <w:t xml:space="preserve">column (3) </w:t>
      </w:r>
      <w:r w:rsidR="00FD2EE6" w:rsidRPr="00173569">
        <w:rPr>
          <w:rFonts w:ascii="Times New Roman" w:eastAsia="Calibri" w:hAnsi="Times New Roman" w:cs="Times New Roman"/>
          <w:color w:val="000000" w:themeColor="text1"/>
          <w:sz w:val="24"/>
          <w:szCs w:val="24"/>
        </w:rPr>
        <w:t>is</w:t>
      </w:r>
      <w:r w:rsidR="00C511B4" w:rsidRPr="00173569">
        <w:rPr>
          <w:rFonts w:ascii="Times New Roman" w:eastAsia="Calibri" w:hAnsi="Times New Roman" w:cs="Times New Roman"/>
          <w:color w:val="000000" w:themeColor="text1"/>
          <w:sz w:val="24"/>
          <w:szCs w:val="24"/>
        </w:rPr>
        <w:t xml:space="preserve"> </w:t>
      </w:r>
      <w:r w:rsidR="00FD2EE6" w:rsidRPr="00173569">
        <w:rPr>
          <w:rFonts w:ascii="Times New Roman" w:eastAsia="Calibri" w:hAnsi="Times New Roman" w:cs="Times New Roman"/>
          <w:color w:val="000000" w:themeColor="text1"/>
          <w:sz w:val="24"/>
          <w:szCs w:val="24"/>
        </w:rPr>
        <w:t xml:space="preserve">now </w:t>
      </w:r>
      <w:r w:rsidR="00C511B4" w:rsidRPr="00173569">
        <w:rPr>
          <w:rFonts w:ascii="Times New Roman" w:eastAsia="Calibri" w:hAnsi="Times New Roman" w:cs="Times New Roman"/>
          <w:color w:val="000000" w:themeColor="text1"/>
          <w:sz w:val="24"/>
          <w:szCs w:val="24"/>
        </w:rPr>
        <w:t xml:space="preserve">insignificant </w:t>
      </w:r>
      <w:r w:rsidR="006979CF">
        <w:rPr>
          <w:rFonts w:ascii="Times New Roman" w:eastAsia="Calibri" w:hAnsi="Times New Roman" w:cs="Times New Roman"/>
          <w:color w:val="000000" w:themeColor="text1"/>
          <w:sz w:val="24"/>
          <w:szCs w:val="24"/>
        </w:rPr>
        <w:t xml:space="preserve">although </w:t>
      </w:r>
      <w:r w:rsidRPr="00173569">
        <w:rPr>
          <w:rFonts w:ascii="Times New Roman" w:eastAsia="Calibri" w:hAnsi="Times New Roman" w:cs="Times New Roman"/>
          <w:color w:val="000000" w:themeColor="text1"/>
          <w:sz w:val="24"/>
          <w:szCs w:val="24"/>
        </w:rPr>
        <w:t xml:space="preserve">still negative </w:t>
      </w:r>
      <w:r w:rsidR="00C511B4" w:rsidRPr="00173569">
        <w:rPr>
          <w:rFonts w:ascii="Times New Roman" w:eastAsia="Calibri" w:hAnsi="Times New Roman" w:cs="Times New Roman"/>
          <w:color w:val="000000" w:themeColor="text1"/>
          <w:sz w:val="24"/>
          <w:szCs w:val="24"/>
        </w:rPr>
        <w:t xml:space="preserve">in </w:t>
      </w:r>
      <w:r w:rsidR="006979CF">
        <w:rPr>
          <w:rFonts w:ascii="Times New Roman" w:eastAsia="Calibri" w:hAnsi="Times New Roman" w:cs="Times New Roman"/>
          <w:color w:val="000000" w:themeColor="text1"/>
          <w:sz w:val="24"/>
          <w:szCs w:val="24"/>
        </w:rPr>
        <w:t xml:space="preserve">spite of </w:t>
      </w:r>
      <w:r w:rsidR="00C511B4" w:rsidRPr="00173569">
        <w:rPr>
          <w:rFonts w:ascii="Times New Roman" w:eastAsia="Calibri" w:hAnsi="Times New Roman" w:cs="Times New Roman"/>
          <w:color w:val="000000" w:themeColor="text1"/>
          <w:sz w:val="24"/>
          <w:szCs w:val="24"/>
        </w:rPr>
        <w:t xml:space="preserve">the presence of the additional variables above. It is likely that this is due to a high degree of multicollinearity between vaccinations and </w:t>
      </w:r>
      <w:r w:rsidR="00FD2EE6" w:rsidRPr="00173569">
        <w:rPr>
          <w:rFonts w:ascii="Times New Roman" w:eastAsia="Calibri" w:hAnsi="Times New Roman" w:cs="Times New Roman"/>
          <w:color w:val="000000" w:themeColor="text1"/>
          <w:sz w:val="24"/>
          <w:szCs w:val="24"/>
        </w:rPr>
        <w:t>other</w:t>
      </w:r>
      <w:r w:rsidR="00C511B4" w:rsidRPr="00173569">
        <w:rPr>
          <w:rFonts w:ascii="Times New Roman" w:eastAsia="Calibri" w:hAnsi="Times New Roman" w:cs="Times New Roman"/>
          <w:color w:val="000000" w:themeColor="text1"/>
          <w:sz w:val="24"/>
          <w:szCs w:val="24"/>
        </w:rPr>
        <w:t xml:space="preserve"> </w:t>
      </w:r>
      <w:r w:rsidR="00FD2EE6" w:rsidRPr="00173569">
        <w:rPr>
          <w:rFonts w:ascii="Times New Roman" w:eastAsia="Calibri" w:hAnsi="Times New Roman" w:cs="Times New Roman"/>
          <w:color w:val="000000" w:themeColor="text1"/>
          <w:sz w:val="24"/>
          <w:szCs w:val="24"/>
        </w:rPr>
        <w:t>controls.</w:t>
      </w:r>
      <w:r w:rsidR="00C511B4" w:rsidRPr="00173569">
        <w:rPr>
          <w:rFonts w:ascii="Times New Roman" w:eastAsia="Calibri" w:hAnsi="Times New Roman" w:cs="Times New Roman"/>
          <w:color w:val="000000" w:themeColor="text1"/>
          <w:sz w:val="24"/>
          <w:szCs w:val="24"/>
        </w:rPr>
        <w:t xml:space="preserve"> </w:t>
      </w:r>
      <w:r w:rsidR="00FD2EE6" w:rsidRPr="00173569">
        <w:rPr>
          <w:rFonts w:ascii="Times New Roman" w:eastAsia="Calibri" w:hAnsi="Times New Roman" w:cs="Times New Roman"/>
          <w:color w:val="000000" w:themeColor="text1"/>
          <w:sz w:val="24"/>
          <w:szCs w:val="24"/>
        </w:rPr>
        <w:t>Table 3A in the appendix presents a</w:t>
      </w:r>
      <w:r w:rsidR="00C511B4" w:rsidRPr="00173569">
        <w:rPr>
          <w:rFonts w:ascii="Times New Roman" w:eastAsia="Calibri" w:hAnsi="Times New Roman" w:cs="Times New Roman"/>
          <w:color w:val="000000" w:themeColor="text1"/>
          <w:sz w:val="24"/>
          <w:szCs w:val="24"/>
        </w:rPr>
        <w:t xml:space="preserve"> correlation matrix </w:t>
      </w:r>
      <w:r w:rsidR="00FD2EE6" w:rsidRPr="00173569">
        <w:rPr>
          <w:rFonts w:ascii="Times New Roman" w:eastAsia="Calibri" w:hAnsi="Times New Roman" w:cs="Times New Roman"/>
          <w:color w:val="000000" w:themeColor="text1"/>
          <w:sz w:val="24"/>
          <w:szCs w:val="24"/>
        </w:rPr>
        <w:t xml:space="preserve">of our core variables which </w:t>
      </w:r>
      <w:r w:rsidR="006979CF">
        <w:rPr>
          <w:rFonts w:ascii="Times New Roman" w:eastAsia="Calibri" w:hAnsi="Times New Roman" w:cs="Times New Roman"/>
          <w:color w:val="000000" w:themeColor="text1"/>
          <w:sz w:val="24"/>
          <w:szCs w:val="24"/>
        </w:rPr>
        <w:t xml:space="preserve">appears to </w:t>
      </w:r>
      <w:r w:rsidR="00FD2EE6" w:rsidRPr="00173569">
        <w:rPr>
          <w:rFonts w:ascii="Times New Roman" w:eastAsia="Calibri" w:hAnsi="Times New Roman" w:cs="Times New Roman"/>
          <w:color w:val="000000" w:themeColor="text1"/>
          <w:sz w:val="24"/>
          <w:szCs w:val="24"/>
        </w:rPr>
        <w:t>confirms th</w:t>
      </w:r>
      <w:r w:rsidR="006979CF">
        <w:rPr>
          <w:rFonts w:ascii="Times New Roman" w:eastAsia="Calibri" w:hAnsi="Times New Roman" w:cs="Times New Roman"/>
          <w:color w:val="000000" w:themeColor="text1"/>
          <w:sz w:val="24"/>
          <w:szCs w:val="24"/>
        </w:rPr>
        <w:t>o</w:t>
      </w:r>
      <w:r w:rsidR="00FD2EE6" w:rsidRPr="00173569">
        <w:rPr>
          <w:rFonts w:ascii="Times New Roman" w:eastAsia="Calibri" w:hAnsi="Times New Roman" w:cs="Times New Roman"/>
          <w:color w:val="000000" w:themeColor="text1"/>
          <w:sz w:val="24"/>
          <w:szCs w:val="24"/>
        </w:rPr>
        <w:t>se suspicions.</w:t>
      </w:r>
    </w:p>
    <w:p w14:paraId="653F7641" w14:textId="16256060" w:rsidR="00EF7289" w:rsidRPr="00173569" w:rsidRDefault="00E2307B">
      <w:pPr>
        <w:spacing w:line="360" w:lineRule="auto"/>
        <w:rPr>
          <w:rFonts w:ascii="Times New Roman" w:eastAsia="Calibri" w:hAnsi="Times New Roman" w:cs="Times New Roman"/>
          <w:b/>
          <w:color w:val="000000" w:themeColor="text1"/>
          <w:sz w:val="24"/>
          <w:szCs w:val="24"/>
        </w:rPr>
      </w:pPr>
      <w:r w:rsidRPr="00173569">
        <w:rPr>
          <w:rFonts w:ascii="Times New Roman" w:hAnsi="Times New Roman" w:cs="Times New Roman"/>
          <w:sz w:val="24"/>
          <w:szCs w:val="24"/>
        </w:rPr>
        <w:tab/>
        <w:t xml:space="preserve">These results show that on average, countries </w:t>
      </w:r>
      <w:r w:rsidR="00BB427C" w:rsidRPr="00173569">
        <w:rPr>
          <w:rFonts w:ascii="Times New Roman" w:hAnsi="Times New Roman" w:cs="Times New Roman"/>
          <w:sz w:val="24"/>
          <w:szCs w:val="24"/>
        </w:rPr>
        <w:t>which record</w:t>
      </w:r>
      <w:r w:rsidRPr="00173569">
        <w:rPr>
          <w:rFonts w:ascii="Times New Roman" w:hAnsi="Times New Roman" w:cs="Times New Roman"/>
          <w:sz w:val="24"/>
          <w:szCs w:val="24"/>
        </w:rPr>
        <w:t xml:space="preserve"> higher perceptions of </w:t>
      </w:r>
      <w:r w:rsidR="00BB427C" w:rsidRPr="00173569">
        <w:rPr>
          <w:rFonts w:ascii="Times New Roman" w:hAnsi="Times New Roman" w:cs="Times New Roman"/>
          <w:sz w:val="24"/>
          <w:szCs w:val="24"/>
        </w:rPr>
        <w:t>citizens’ ability to</w:t>
      </w:r>
      <w:r w:rsidRPr="00173569">
        <w:rPr>
          <w:rFonts w:ascii="Times New Roman" w:hAnsi="Times New Roman" w:cs="Times New Roman"/>
          <w:sz w:val="24"/>
          <w:szCs w:val="24"/>
        </w:rPr>
        <w:t xml:space="preserve"> participate in selecting their government, </w:t>
      </w:r>
      <w:r w:rsidR="00BB427C" w:rsidRPr="00173569">
        <w:rPr>
          <w:rFonts w:ascii="Times New Roman" w:hAnsi="Times New Roman" w:cs="Times New Roman"/>
          <w:sz w:val="24"/>
          <w:szCs w:val="24"/>
        </w:rPr>
        <w:t xml:space="preserve">and rank higher on </w:t>
      </w:r>
      <w:r w:rsidRPr="00173569">
        <w:rPr>
          <w:rFonts w:ascii="Times New Roman" w:hAnsi="Times New Roman" w:cs="Times New Roman"/>
          <w:sz w:val="24"/>
          <w:szCs w:val="24"/>
        </w:rPr>
        <w:t xml:space="preserve">freedom of expression, freedom of association, and a free media are likely to </w:t>
      </w:r>
      <w:r w:rsidR="006979CF">
        <w:rPr>
          <w:rFonts w:ascii="Times New Roman" w:hAnsi="Times New Roman" w:cs="Times New Roman"/>
          <w:sz w:val="24"/>
          <w:szCs w:val="24"/>
        </w:rPr>
        <w:t>experience</w:t>
      </w:r>
      <w:r w:rsidRPr="00173569">
        <w:rPr>
          <w:rFonts w:ascii="Times New Roman" w:hAnsi="Times New Roman" w:cs="Times New Roman"/>
          <w:sz w:val="24"/>
          <w:szCs w:val="24"/>
        </w:rPr>
        <w:t xml:space="preserve"> a smaller gap between their cumulative excess and official mortalit</w:t>
      </w:r>
      <w:r w:rsidR="006979CF">
        <w:rPr>
          <w:rFonts w:ascii="Times New Roman" w:hAnsi="Times New Roman" w:cs="Times New Roman"/>
          <w:sz w:val="24"/>
          <w:szCs w:val="24"/>
        </w:rPr>
        <w:t>ies</w:t>
      </w:r>
      <w:r w:rsidRPr="00173569">
        <w:rPr>
          <w:rFonts w:ascii="Times New Roman" w:hAnsi="Times New Roman" w:cs="Times New Roman"/>
          <w:sz w:val="24"/>
          <w:szCs w:val="24"/>
        </w:rPr>
        <w:t xml:space="preserve">. One possible explanation of this result is that it would be harder for a country with higher perceptions of voice and accountability to manipulate officially reported mortality. Relatedly, countries with a higher urban population </w:t>
      </w:r>
      <w:r w:rsidRPr="00173569">
        <w:rPr>
          <w:rFonts w:ascii="Times New Roman" w:hAnsi="Times New Roman" w:cs="Times New Roman"/>
          <w:sz w:val="24"/>
          <w:szCs w:val="24"/>
        </w:rPr>
        <w:lastRenderedPageBreak/>
        <w:t>share would find it harder to manipulate officially reported mortality because urban population</w:t>
      </w:r>
      <w:r w:rsidR="009716D4" w:rsidRPr="00173569">
        <w:rPr>
          <w:rFonts w:ascii="Times New Roman" w:hAnsi="Times New Roman" w:cs="Times New Roman"/>
          <w:sz w:val="24"/>
          <w:szCs w:val="24"/>
        </w:rPr>
        <w:t>s</w:t>
      </w:r>
      <w:r w:rsidRPr="00173569">
        <w:rPr>
          <w:rFonts w:ascii="Times New Roman" w:hAnsi="Times New Roman" w:cs="Times New Roman"/>
          <w:sz w:val="24"/>
          <w:szCs w:val="24"/>
        </w:rPr>
        <w:t xml:space="preserve"> are likely to have better access to both domestic and international information. </w:t>
      </w:r>
    </w:p>
    <w:p w14:paraId="0C66ED62" w14:textId="04565068" w:rsidR="009C480D" w:rsidRDefault="009D1A15" w:rsidP="009C480D">
      <w:pPr>
        <w:spacing w:line="360" w:lineRule="auto"/>
        <w:rPr>
          <w:rFonts w:ascii="Times New Roman" w:eastAsia="Calibri" w:hAnsi="Times New Roman" w:cs="Times New Roman"/>
          <w:color w:val="000000" w:themeColor="text1"/>
          <w:sz w:val="24"/>
          <w:szCs w:val="24"/>
        </w:rPr>
      </w:pPr>
      <w:r w:rsidRPr="00173569">
        <w:rPr>
          <w:rFonts w:ascii="Times New Roman" w:eastAsia="Calibri" w:hAnsi="Times New Roman" w:cs="Times New Roman"/>
          <w:b/>
          <w:color w:val="000000" w:themeColor="text1"/>
          <w:sz w:val="24"/>
          <w:szCs w:val="24"/>
        </w:rPr>
        <w:t xml:space="preserve">Table </w:t>
      </w:r>
      <w:r w:rsidR="00AA5003" w:rsidRPr="00173569">
        <w:rPr>
          <w:rFonts w:ascii="Times New Roman" w:eastAsia="Calibri" w:hAnsi="Times New Roman" w:cs="Times New Roman"/>
          <w:b/>
          <w:color w:val="000000" w:themeColor="text1"/>
          <w:sz w:val="24"/>
          <w:szCs w:val="24"/>
        </w:rPr>
        <w:t>3</w:t>
      </w:r>
      <w:r w:rsidR="00383D0D" w:rsidRPr="00173569">
        <w:rPr>
          <w:rFonts w:ascii="Times New Roman" w:eastAsia="Calibri" w:hAnsi="Times New Roman" w:cs="Times New Roman"/>
          <w:b/>
          <w:color w:val="000000" w:themeColor="text1"/>
          <w:sz w:val="24"/>
          <w:szCs w:val="24"/>
        </w:rPr>
        <w:t>:</w:t>
      </w:r>
      <w:r w:rsidRPr="00173569">
        <w:rPr>
          <w:rFonts w:ascii="Times New Roman" w:eastAsia="Calibri" w:hAnsi="Times New Roman" w:cs="Times New Roman"/>
          <w:color w:val="000000" w:themeColor="text1"/>
          <w:sz w:val="24"/>
          <w:szCs w:val="24"/>
        </w:rPr>
        <w:t xml:space="preserve"> </w:t>
      </w:r>
      <w:r w:rsidR="00ED4EAD" w:rsidRPr="00173569">
        <w:rPr>
          <w:rFonts w:ascii="Times New Roman" w:eastAsia="Calibri" w:hAnsi="Times New Roman" w:cs="Times New Roman"/>
          <w:color w:val="000000" w:themeColor="text1"/>
          <w:sz w:val="24"/>
          <w:szCs w:val="24"/>
        </w:rPr>
        <w:t xml:space="preserve">Broad </w:t>
      </w:r>
      <w:r w:rsidR="00580C81" w:rsidRPr="00173569">
        <w:rPr>
          <w:rFonts w:ascii="Times New Roman" w:eastAsia="Calibri" w:hAnsi="Times New Roman" w:cs="Times New Roman"/>
          <w:color w:val="000000" w:themeColor="text1"/>
          <w:sz w:val="24"/>
          <w:szCs w:val="24"/>
        </w:rPr>
        <w:t xml:space="preserve">Regressions of </w:t>
      </w:r>
      <w:r w:rsidRPr="00173569">
        <w:rPr>
          <w:rFonts w:ascii="Times New Roman" w:eastAsia="Calibri" w:hAnsi="Times New Roman" w:cs="Times New Roman"/>
          <w:color w:val="000000" w:themeColor="text1"/>
          <w:sz w:val="24"/>
          <w:szCs w:val="24"/>
        </w:rPr>
        <w:t xml:space="preserve">Cumulative Excess/Official </w:t>
      </w:r>
      <w:r w:rsidR="00525E77" w:rsidRPr="00173569">
        <w:rPr>
          <w:rFonts w:ascii="Times New Roman" w:eastAsia="Calibri" w:hAnsi="Times New Roman" w:cs="Times New Roman"/>
          <w:color w:val="000000" w:themeColor="text1"/>
          <w:sz w:val="24"/>
          <w:szCs w:val="24"/>
        </w:rPr>
        <w:t>Covid</w:t>
      </w:r>
      <w:r w:rsidRPr="00173569">
        <w:rPr>
          <w:rFonts w:ascii="Times New Roman" w:eastAsia="Calibri" w:hAnsi="Times New Roman" w:cs="Times New Roman"/>
          <w:color w:val="000000" w:themeColor="text1"/>
          <w:sz w:val="24"/>
          <w:szCs w:val="24"/>
        </w:rPr>
        <w:t xml:space="preserve">-19 </w:t>
      </w:r>
      <w:r w:rsidR="00EF57EE" w:rsidRPr="00173569">
        <w:rPr>
          <w:rFonts w:ascii="Times New Roman" w:eastAsia="Calibri" w:hAnsi="Times New Roman" w:cs="Times New Roman"/>
          <w:color w:val="000000" w:themeColor="text1"/>
          <w:sz w:val="24"/>
          <w:szCs w:val="24"/>
        </w:rPr>
        <w:t>Mortality</w:t>
      </w:r>
      <w:r w:rsidRPr="00173569">
        <w:rPr>
          <w:rFonts w:ascii="Times New Roman" w:eastAsia="Calibri" w:hAnsi="Times New Roman" w:cs="Times New Roman"/>
          <w:color w:val="000000" w:themeColor="text1"/>
          <w:sz w:val="24"/>
          <w:szCs w:val="24"/>
        </w:rPr>
        <w:t xml:space="preserve"> across Countries with Additional Controls, 2020 and 2021.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1"/>
        <w:gridCol w:w="1666"/>
        <w:gridCol w:w="1666"/>
        <w:gridCol w:w="1606"/>
        <w:gridCol w:w="1621"/>
      </w:tblGrid>
      <w:tr w:rsidR="0067054D" w:rsidRPr="0067054D" w14:paraId="17E307D6" w14:textId="77777777" w:rsidTr="0067054D">
        <w:trPr>
          <w:tblCellSpacing w:w="15" w:type="dxa"/>
        </w:trPr>
        <w:tc>
          <w:tcPr>
            <w:tcW w:w="0" w:type="auto"/>
            <w:gridSpan w:val="5"/>
            <w:tcBorders>
              <w:bottom w:val="single" w:sz="6" w:space="0" w:color="000000"/>
            </w:tcBorders>
            <w:vAlign w:val="center"/>
            <w:hideMark/>
          </w:tcPr>
          <w:p w14:paraId="1DC7DFD7" w14:textId="77777777" w:rsidR="0067054D" w:rsidRPr="0067054D" w:rsidRDefault="0067054D" w:rsidP="00274218">
            <w:pPr>
              <w:spacing w:after="0" w:line="240" w:lineRule="auto"/>
              <w:rPr>
                <w:rFonts w:ascii="Times New Roman" w:eastAsia="Times New Roman" w:hAnsi="Times New Roman" w:cs="Times New Roman"/>
                <w:sz w:val="24"/>
                <w:szCs w:val="24"/>
                <w:lang w:eastAsia="zh-CN"/>
              </w:rPr>
            </w:pPr>
          </w:p>
        </w:tc>
      </w:tr>
      <w:tr w:rsidR="0067054D" w:rsidRPr="0067054D" w14:paraId="1044E0FF" w14:textId="77777777" w:rsidTr="0067054D">
        <w:trPr>
          <w:tblCellSpacing w:w="15" w:type="dxa"/>
        </w:trPr>
        <w:tc>
          <w:tcPr>
            <w:tcW w:w="0" w:type="auto"/>
            <w:vAlign w:val="center"/>
            <w:hideMark/>
          </w:tcPr>
          <w:p w14:paraId="7BB05037"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c>
          <w:tcPr>
            <w:tcW w:w="0" w:type="auto"/>
            <w:gridSpan w:val="4"/>
            <w:vAlign w:val="center"/>
            <w:hideMark/>
          </w:tcPr>
          <w:p w14:paraId="36024604"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i/>
                <w:iCs/>
                <w:sz w:val="24"/>
                <w:szCs w:val="24"/>
                <w:lang w:eastAsia="zh-CN"/>
              </w:rPr>
              <w:t>Dependent variable:</w:t>
            </w:r>
          </w:p>
        </w:tc>
      </w:tr>
      <w:tr w:rsidR="0067054D" w:rsidRPr="0067054D" w14:paraId="1F27F942" w14:textId="77777777" w:rsidTr="0067054D">
        <w:trPr>
          <w:tblCellSpacing w:w="15" w:type="dxa"/>
        </w:trPr>
        <w:tc>
          <w:tcPr>
            <w:tcW w:w="0" w:type="auto"/>
            <w:vAlign w:val="center"/>
            <w:hideMark/>
          </w:tcPr>
          <w:p w14:paraId="3D784C70"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gridSpan w:val="4"/>
            <w:tcBorders>
              <w:bottom w:val="single" w:sz="6" w:space="0" w:color="000000"/>
            </w:tcBorders>
            <w:vAlign w:val="center"/>
            <w:hideMark/>
          </w:tcPr>
          <w:p w14:paraId="4B192833"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r>
      <w:tr w:rsidR="0067054D" w:rsidRPr="0067054D" w14:paraId="1D3DF7F4" w14:textId="77777777" w:rsidTr="0067054D">
        <w:trPr>
          <w:tblCellSpacing w:w="15" w:type="dxa"/>
        </w:trPr>
        <w:tc>
          <w:tcPr>
            <w:tcW w:w="0" w:type="auto"/>
            <w:vAlign w:val="center"/>
            <w:hideMark/>
          </w:tcPr>
          <w:p w14:paraId="5B920C73"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c>
          <w:tcPr>
            <w:tcW w:w="0" w:type="auto"/>
            <w:gridSpan w:val="4"/>
            <w:vAlign w:val="center"/>
            <w:hideMark/>
          </w:tcPr>
          <w:p w14:paraId="0CF48FD1" w14:textId="77777777" w:rsidR="0067054D" w:rsidRPr="00274218" w:rsidRDefault="0067054D" w:rsidP="0067054D">
            <w:pPr>
              <w:spacing w:after="0" w:line="240" w:lineRule="auto"/>
              <w:jc w:val="center"/>
              <w:rPr>
                <w:rFonts w:ascii="Times New Roman" w:eastAsia="Times New Roman" w:hAnsi="Times New Roman" w:cs="Times New Roman"/>
                <w:b/>
                <w:bCs/>
                <w:sz w:val="24"/>
                <w:szCs w:val="24"/>
                <w:lang w:eastAsia="zh-CN"/>
              </w:rPr>
            </w:pPr>
            <w:r w:rsidRPr="00274218">
              <w:rPr>
                <w:rFonts w:ascii="Times New Roman" w:eastAsia="Times New Roman" w:hAnsi="Times New Roman" w:cs="Times New Roman"/>
                <w:b/>
                <w:bCs/>
                <w:sz w:val="24"/>
                <w:szCs w:val="24"/>
                <w:lang w:eastAsia="zh-CN"/>
              </w:rPr>
              <w:t>E/O</w:t>
            </w:r>
          </w:p>
        </w:tc>
      </w:tr>
      <w:tr w:rsidR="0067054D" w:rsidRPr="0067054D" w14:paraId="2F7B5F72" w14:textId="77777777" w:rsidTr="0067054D">
        <w:trPr>
          <w:tblCellSpacing w:w="15" w:type="dxa"/>
        </w:trPr>
        <w:tc>
          <w:tcPr>
            <w:tcW w:w="0" w:type="auto"/>
            <w:vAlign w:val="center"/>
            <w:hideMark/>
          </w:tcPr>
          <w:p w14:paraId="6D5E19DD"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gridSpan w:val="2"/>
            <w:vAlign w:val="center"/>
            <w:hideMark/>
          </w:tcPr>
          <w:p w14:paraId="4E132567"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As of 12/28/2020</w:t>
            </w:r>
          </w:p>
        </w:tc>
        <w:tc>
          <w:tcPr>
            <w:tcW w:w="0" w:type="auto"/>
            <w:gridSpan w:val="2"/>
            <w:vAlign w:val="center"/>
            <w:hideMark/>
          </w:tcPr>
          <w:p w14:paraId="4F8EAC78"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As of 12/27/2021</w:t>
            </w:r>
          </w:p>
        </w:tc>
      </w:tr>
      <w:tr w:rsidR="0067054D" w:rsidRPr="0067054D" w14:paraId="2BDB88F8" w14:textId="77777777" w:rsidTr="0067054D">
        <w:trPr>
          <w:tblCellSpacing w:w="15" w:type="dxa"/>
        </w:trPr>
        <w:tc>
          <w:tcPr>
            <w:tcW w:w="0" w:type="auto"/>
            <w:vAlign w:val="center"/>
            <w:hideMark/>
          </w:tcPr>
          <w:p w14:paraId="2B0968D0"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2306C995"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(1)</w:t>
            </w:r>
          </w:p>
        </w:tc>
        <w:tc>
          <w:tcPr>
            <w:tcW w:w="0" w:type="auto"/>
            <w:vAlign w:val="center"/>
            <w:hideMark/>
          </w:tcPr>
          <w:p w14:paraId="567020AF"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(2)</w:t>
            </w:r>
          </w:p>
        </w:tc>
        <w:tc>
          <w:tcPr>
            <w:tcW w:w="0" w:type="auto"/>
            <w:vAlign w:val="center"/>
            <w:hideMark/>
          </w:tcPr>
          <w:p w14:paraId="26A2C553"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(3)</w:t>
            </w:r>
          </w:p>
        </w:tc>
        <w:tc>
          <w:tcPr>
            <w:tcW w:w="0" w:type="auto"/>
            <w:vAlign w:val="center"/>
            <w:hideMark/>
          </w:tcPr>
          <w:p w14:paraId="4D78BC45"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(4)</w:t>
            </w:r>
          </w:p>
        </w:tc>
      </w:tr>
      <w:tr w:rsidR="0067054D" w:rsidRPr="0067054D" w14:paraId="63C17F6D" w14:textId="77777777" w:rsidTr="0067054D">
        <w:trPr>
          <w:tblCellSpacing w:w="15" w:type="dxa"/>
        </w:trPr>
        <w:tc>
          <w:tcPr>
            <w:tcW w:w="0" w:type="auto"/>
            <w:gridSpan w:val="5"/>
            <w:tcBorders>
              <w:bottom w:val="single" w:sz="6" w:space="0" w:color="000000"/>
            </w:tcBorders>
            <w:vAlign w:val="center"/>
            <w:hideMark/>
          </w:tcPr>
          <w:p w14:paraId="20226D22"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r>
      <w:tr w:rsidR="0067054D" w:rsidRPr="0067054D" w14:paraId="0B92579A" w14:textId="77777777" w:rsidTr="0067054D">
        <w:trPr>
          <w:tblCellSpacing w:w="15" w:type="dxa"/>
        </w:trPr>
        <w:tc>
          <w:tcPr>
            <w:tcW w:w="0" w:type="auto"/>
            <w:vAlign w:val="center"/>
            <w:hideMark/>
          </w:tcPr>
          <w:p w14:paraId="11425CC8" w14:textId="77777777" w:rsidR="0067054D" w:rsidRPr="0067054D" w:rsidRDefault="0067054D" w:rsidP="0067054D">
            <w:pPr>
              <w:spacing w:after="0" w:line="240" w:lineRule="auto"/>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GDP per Capita</w:t>
            </w:r>
          </w:p>
        </w:tc>
        <w:tc>
          <w:tcPr>
            <w:tcW w:w="0" w:type="auto"/>
            <w:vAlign w:val="center"/>
            <w:hideMark/>
          </w:tcPr>
          <w:p w14:paraId="39EE1283"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-2.6829</w:t>
            </w:r>
          </w:p>
        </w:tc>
        <w:tc>
          <w:tcPr>
            <w:tcW w:w="0" w:type="auto"/>
            <w:vAlign w:val="center"/>
            <w:hideMark/>
          </w:tcPr>
          <w:p w14:paraId="7D490BB8"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2.0157</w:t>
            </w:r>
          </w:p>
        </w:tc>
        <w:tc>
          <w:tcPr>
            <w:tcW w:w="0" w:type="auto"/>
            <w:vAlign w:val="center"/>
            <w:hideMark/>
          </w:tcPr>
          <w:p w14:paraId="765393C4"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-0.2222</w:t>
            </w:r>
          </w:p>
        </w:tc>
        <w:tc>
          <w:tcPr>
            <w:tcW w:w="0" w:type="auto"/>
            <w:vAlign w:val="center"/>
            <w:hideMark/>
          </w:tcPr>
          <w:p w14:paraId="7F58C534"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0.2980</w:t>
            </w:r>
          </w:p>
        </w:tc>
      </w:tr>
      <w:tr w:rsidR="0067054D" w:rsidRPr="0067054D" w14:paraId="1FF2C03B" w14:textId="77777777" w:rsidTr="0067054D">
        <w:trPr>
          <w:tblCellSpacing w:w="15" w:type="dxa"/>
        </w:trPr>
        <w:tc>
          <w:tcPr>
            <w:tcW w:w="0" w:type="auto"/>
            <w:vAlign w:val="center"/>
            <w:hideMark/>
          </w:tcPr>
          <w:p w14:paraId="08375E3B"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4F26A226"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(2.0413)</w:t>
            </w:r>
          </w:p>
        </w:tc>
        <w:tc>
          <w:tcPr>
            <w:tcW w:w="0" w:type="auto"/>
            <w:vAlign w:val="center"/>
            <w:hideMark/>
          </w:tcPr>
          <w:p w14:paraId="182765CC"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(4.0279)</w:t>
            </w:r>
          </w:p>
        </w:tc>
        <w:tc>
          <w:tcPr>
            <w:tcW w:w="0" w:type="auto"/>
            <w:vAlign w:val="center"/>
            <w:hideMark/>
          </w:tcPr>
          <w:p w14:paraId="3A78FC5B"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(0.2809)</w:t>
            </w:r>
          </w:p>
        </w:tc>
        <w:tc>
          <w:tcPr>
            <w:tcW w:w="0" w:type="auto"/>
            <w:vAlign w:val="center"/>
            <w:hideMark/>
          </w:tcPr>
          <w:p w14:paraId="4E760035"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(0.3966)</w:t>
            </w:r>
          </w:p>
        </w:tc>
      </w:tr>
      <w:tr w:rsidR="0067054D" w:rsidRPr="0067054D" w14:paraId="7C438731" w14:textId="77777777" w:rsidTr="0067054D">
        <w:trPr>
          <w:tblCellSpacing w:w="15" w:type="dxa"/>
        </w:trPr>
        <w:tc>
          <w:tcPr>
            <w:tcW w:w="0" w:type="auto"/>
            <w:vAlign w:val="center"/>
            <w:hideMark/>
          </w:tcPr>
          <w:p w14:paraId="3EC55C25"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346CC093" w14:textId="77777777" w:rsidR="0067054D" w:rsidRPr="0067054D" w:rsidRDefault="0067054D" w:rsidP="0067054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4B2485AB"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5328C8C9"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5EABB4CA"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r>
      <w:tr w:rsidR="0067054D" w:rsidRPr="0067054D" w14:paraId="4392C85E" w14:textId="77777777" w:rsidTr="0067054D">
        <w:trPr>
          <w:tblCellSpacing w:w="15" w:type="dxa"/>
        </w:trPr>
        <w:tc>
          <w:tcPr>
            <w:tcW w:w="0" w:type="auto"/>
            <w:vAlign w:val="center"/>
            <w:hideMark/>
          </w:tcPr>
          <w:p w14:paraId="45A64C86" w14:textId="77777777" w:rsidR="0067054D" w:rsidRPr="0067054D" w:rsidRDefault="0067054D" w:rsidP="0067054D">
            <w:pPr>
              <w:spacing w:after="0" w:line="240" w:lineRule="auto"/>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Population Density</w:t>
            </w:r>
          </w:p>
        </w:tc>
        <w:tc>
          <w:tcPr>
            <w:tcW w:w="0" w:type="auto"/>
            <w:vAlign w:val="center"/>
            <w:hideMark/>
          </w:tcPr>
          <w:p w14:paraId="17D295E9" w14:textId="77777777" w:rsidR="0067054D" w:rsidRPr="0067054D" w:rsidRDefault="0067054D" w:rsidP="0067054D">
            <w:pPr>
              <w:spacing w:after="0" w:line="240" w:lineRule="auto"/>
              <w:rPr>
                <w:rFonts w:ascii="Times New Roman" w:eastAsia="Times New Roman" w:hAnsi="Times New Roman" w:cs="Times New Roman"/>
                <w:sz w:val="24"/>
                <w:szCs w:val="24"/>
                <w:lang w:eastAsia="zh-CN"/>
              </w:rPr>
            </w:pPr>
          </w:p>
        </w:tc>
        <w:tc>
          <w:tcPr>
            <w:tcW w:w="0" w:type="auto"/>
            <w:vAlign w:val="center"/>
            <w:hideMark/>
          </w:tcPr>
          <w:p w14:paraId="04CDCE56"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0.0310</w:t>
            </w:r>
          </w:p>
        </w:tc>
        <w:tc>
          <w:tcPr>
            <w:tcW w:w="0" w:type="auto"/>
            <w:vAlign w:val="center"/>
            <w:hideMark/>
          </w:tcPr>
          <w:p w14:paraId="66715FAE"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26707705"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0.0032</w:t>
            </w:r>
          </w:p>
        </w:tc>
      </w:tr>
      <w:tr w:rsidR="0067054D" w:rsidRPr="0067054D" w14:paraId="173B8387" w14:textId="77777777" w:rsidTr="0067054D">
        <w:trPr>
          <w:tblCellSpacing w:w="15" w:type="dxa"/>
        </w:trPr>
        <w:tc>
          <w:tcPr>
            <w:tcW w:w="0" w:type="auto"/>
            <w:vAlign w:val="center"/>
            <w:hideMark/>
          </w:tcPr>
          <w:p w14:paraId="711D97E9"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1759B6B7" w14:textId="77777777" w:rsidR="0067054D" w:rsidRPr="0067054D" w:rsidRDefault="0067054D" w:rsidP="0067054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7C341B3"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(0.0582)</w:t>
            </w:r>
          </w:p>
        </w:tc>
        <w:tc>
          <w:tcPr>
            <w:tcW w:w="0" w:type="auto"/>
            <w:vAlign w:val="center"/>
            <w:hideMark/>
          </w:tcPr>
          <w:p w14:paraId="48BC6B36"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F69C1C4"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(0.0062)</w:t>
            </w:r>
          </w:p>
        </w:tc>
      </w:tr>
      <w:tr w:rsidR="0067054D" w:rsidRPr="0067054D" w14:paraId="053E82E4" w14:textId="77777777" w:rsidTr="0067054D">
        <w:trPr>
          <w:tblCellSpacing w:w="15" w:type="dxa"/>
        </w:trPr>
        <w:tc>
          <w:tcPr>
            <w:tcW w:w="0" w:type="auto"/>
            <w:vAlign w:val="center"/>
            <w:hideMark/>
          </w:tcPr>
          <w:p w14:paraId="61318751"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44210DE2" w14:textId="77777777" w:rsidR="0067054D" w:rsidRPr="0067054D" w:rsidRDefault="0067054D" w:rsidP="0067054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431E80AD"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043B4411"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70AF0422"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r>
      <w:tr w:rsidR="0067054D" w:rsidRPr="0067054D" w14:paraId="3A3FEB01" w14:textId="77777777" w:rsidTr="0067054D">
        <w:trPr>
          <w:tblCellSpacing w:w="15" w:type="dxa"/>
        </w:trPr>
        <w:tc>
          <w:tcPr>
            <w:tcW w:w="0" w:type="auto"/>
            <w:vAlign w:val="center"/>
            <w:hideMark/>
          </w:tcPr>
          <w:p w14:paraId="4A302617" w14:textId="77777777" w:rsidR="0067054D" w:rsidRPr="0067054D" w:rsidRDefault="0067054D" w:rsidP="0067054D">
            <w:pPr>
              <w:spacing w:after="0" w:line="240" w:lineRule="auto"/>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Urban Population Share</w:t>
            </w:r>
          </w:p>
        </w:tc>
        <w:tc>
          <w:tcPr>
            <w:tcW w:w="0" w:type="auto"/>
            <w:vAlign w:val="center"/>
            <w:hideMark/>
          </w:tcPr>
          <w:p w14:paraId="34322236" w14:textId="77777777" w:rsidR="0067054D" w:rsidRPr="0067054D" w:rsidRDefault="0067054D" w:rsidP="0067054D">
            <w:pPr>
              <w:spacing w:after="0" w:line="240" w:lineRule="auto"/>
              <w:rPr>
                <w:rFonts w:ascii="Times New Roman" w:eastAsia="Times New Roman" w:hAnsi="Times New Roman" w:cs="Times New Roman"/>
                <w:sz w:val="24"/>
                <w:szCs w:val="24"/>
                <w:lang w:eastAsia="zh-CN"/>
              </w:rPr>
            </w:pPr>
          </w:p>
        </w:tc>
        <w:tc>
          <w:tcPr>
            <w:tcW w:w="0" w:type="auto"/>
            <w:vAlign w:val="center"/>
            <w:hideMark/>
          </w:tcPr>
          <w:p w14:paraId="02575401"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-5.5658</w:t>
            </w:r>
            <w:r w:rsidRPr="0067054D">
              <w:rPr>
                <w:rFonts w:ascii="Times New Roman" w:eastAsia="Times New Roman" w:hAnsi="Times New Roman" w:cs="Times New Roman"/>
                <w:sz w:val="24"/>
                <w:szCs w:val="24"/>
                <w:vertAlign w:val="superscript"/>
                <w:lang w:eastAsia="zh-CN"/>
              </w:rPr>
              <w:t>**</w:t>
            </w:r>
          </w:p>
        </w:tc>
        <w:tc>
          <w:tcPr>
            <w:tcW w:w="0" w:type="auto"/>
            <w:vAlign w:val="center"/>
            <w:hideMark/>
          </w:tcPr>
          <w:p w14:paraId="6B3E4A6E"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4FBA5446"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-0.7608</w:t>
            </w:r>
            <w:r w:rsidRPr="0067054D">
              <w:rPr>
                <w:rFonts w:ascii="Times New Roman" w:eastAsia="Times New Roman" w:hAnsi="Times New Roman" w:cs="Times New Roman"/>
                <w:sz w:val="24"/>
                <w:szCs w:val="24"/>
                <w:vertAlign w:val="superscript"/>
                <w:lang w:eastAsia="zh-CN"/>
              </w:rPr>
              <w:t>***</w:t>
            </w:r>
          </w:p>
        </w:tc>
      </w:tr>
      <w:tr w:rsidR="0067054D" w:rsidRPr="0067054D" w14:paraId="1C16226C" w14:textId="77777777" w:rsidTr="0067054D">
        <w:trPr>
          <w:tblCellSpacing w:w="15" w:type="dxa"/>
        </w:trPr>
        <w:tc>
          <w:tcPr>
            <w:tcW w:w="0" w:type="auto"/>
            <w:vAlign w:val="center"/>
            <w:hideMark/>
          </w:tcPr>
          <w:p w14:paraId="41275C94"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1E178417" w14:textId="77777777" w:rsidR="0067054D" w:rsidRPr="0067054D" w:rsidRDefault="0067054D" w:rsidP="0067054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07333688"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(2.4446)</w:t>
            </w:r>
          </w:p>
        </w:tc>
        <w:tc>
          <w:tcPr>
            <w:tcW w:w="0" w:type="auto"/>
            <w:vAlign w:val="center"/>
            <w:hideMark/>
          </w:tcPr>
          <w:p w14:paraId="52BFC085"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2149823D"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(0.2455)</w:t>
            </w:r>
          </w:p>
        </w:tc>
      </w:tr>
      <w:tr w:rsidR="0067054D" w:rsidRPr="0067054D" w14:paraId="182653C4" w14:textId="77777777" w:rsidTr="0067054D">
        <w:trPr>
          <w:tblCellSpacing w:w="15" w:type="dxa"/>
        </w:trPr>
        <w:tc>
          <w:tcPr>
            <w:tcW w:w="0" w:type="auto"/>
            <w:vAlign w:val="center"/>
            <w:hideMark/>
          </w:tcPr>
          <w:p w14:paraId="18334EEC"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367645E" w14:textId="77777777" w:rsidR="0067054D" w:rsidRPr="0067054D" w:rsidRDefault="0067054D" w:rsidP="0067054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30821934"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0A0DBC6E"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4C0287F3"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r>
      <w:tr w:rsidR="0067054D" w:rsidRPr="0067054D" w14:paraId="7975ABC0" w14:textId="77777777" w:rsidTr="0067054D">
        <w:trPr>
          <w:tblCellSpacing w:w="15" w:type="dxa"/>
        </w:trPr>
        <w:tc>
          <w:tcPr>
            <w:tcW w:w="0" w:type="auto"/>
            <w:vAlign w:val="center"/>
            <w:hideMark/>
          </w:tcPr>
          <w:p w14:paraId="11683B8E" w14:textId="77777777" w:rsidR="0067054D" w:rsidRPr="0067054D" w:rsidRDefault="0067054D" w:rsidP="0067054D">
            <w:pPr>
              <w:spacing w:after="0" w:line="240" w:lineRule="auto"/>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Aged 65+ Population Share</w:t>
            </w:r>
          </w:p>
        </w:tc>
        <w:tc>
          <w:tcPr>
            <w:tcW w:w="0" w:type="auto"/>
            <w:vAlign w:val="center"/>
            <w:hideMark/>
          </w:tcPr>
          <w:p w14:paraId="66C176A6" w14:textId="77777777" w:rsidR="0067054D" w:rsidRPr="0067054D" w:rsidRDefault="0067054D" w:rsidP="0067054D">
            <w:pPr>
              <w:spacing w:after="0" w:line="240" w:lineRule="auto"/>
              <w:rPr>
                <w:rFonts w:ascii="Times New Roman" w:eastAsia="Times New Roman" w:hAnsi="Times New Roman" w:cs="Times New Roman"/>
                <w:sz w:val="24"/>
                <w:szCs w:val="24"/>
                <w:lang w:eastAsia="zh-CN"/>
              </w:rPr>
            </w:pPr>
          </w:p>
        </w:tc>
        <w:tc>
          <w:tcPr>
            <w:tcW w:w="0" w:type="auto"/>
            <w:vAlign w:val="center"/>
            <w:hideMark/>
          </w:tcPr>
          <w:p w14:paraId="26F1A3C2"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6.1060</w:t>
            </w:r>
          </w:p>
        </w:tc>
        <w:tc>
          <w:tcPr>
            <w:tcW w:w="0" w:type="auto"/>
            <w:vAlign w:val="center"/>
            <w:hideMark/>
          </w:tcPr>
          <w:p w14:paraId="1F242112"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48156FFA"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0.6140</w:t>
            </w:r>
          </w:p>
        </w:tc>
      </w:tr>
      <w:tr w:rsidR="0067054D" w:rsidRPr="0067054D" w14:paraId="26A5E6F4" w14:textId="77777777" w:rsidTr="0067054D">
        <w:trPr>
          <w:tblCellSpacing w:w="15" w:type="dxa"/>
        </w:trPr>
        <w:tc>
          <w:tcPr>
            <w:tcW w:w="0" w:type="auto"/>
            <w:vAlign w:val="center"/>
            <w:hideMark/>
          </w:tcPr>
          <w:p w14:paraId="324ACE1A"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AD17DE7" w14:textId="77777777" w:rsidR="0067054D" w:rsidRPr="0067054D" w:rsidRDefault="0067054D" w:rsidP="0067054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51D80B8A"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(9.3970)</w:t>
            </w:r>
          </w:p>
        </w:tc>
        <w:tc>
          <w:tcPr>
            <w:tcW w:w="0" w:type="auto"/>
            <w:vAlign w:val="center"/>
            <w:hideMark/>
          </w:tcPr>
          <w:p w14:paraId="683F9A73"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6B152E80"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(0.9260)</w:t>
            </w:r>
          </w:p>
        </w:tc>
      </w:tr>
      <w:tr w:rsidR="0067054D" w:rsidRPr="0067054D" w14:paraId="3237251B" w14:textId="77777777" w:rsidTr="0067054D">
        <w:trPr>
          <w:tblCellSpacing w:w="15" w:type="dxa"/>
        </w:trPr>
        <w:tc>
          <w:tcPr>
            <w:tcW w:w="0" w:type="auto"/>
            <w:vAlign w:val="center"/>
            <w:hideMark/>
          </w:tcPr>
          <w:p w14:paraId="4599DB42"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3A7D4ACB" w14:textId="77777777" w:rsidR="0067054D" w:rsidRPr="0067054D" w:rsidRDefault="0067054D" w:rsidP="0067054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73AB2316"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076DFEED"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21D98E5C"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r>
      <w:tr w:rsidR="0067054D" w:rsidRPr="0067054D" w14:paraId="40BF2651" w14:textId="77777777" w:rsidTr="0067054D">
        <w:trPr>
          <w:tblCellSpacing w:w="15" w:type="dxa"/>
        </w:trPr>
        <w:tc>
          <w:tcPr>
            <w:tcW w:w="0" w:type="auto"/>
            <w:vAlign w:val="center"/>
            <w:hideMark/>
          </w:tcPr>
          <w:p w14:paraId="089753CE" w14:textId="77777777" w:rsidR="0067054D" w:rsidRPr="0067054D" w:rsidRDefault="0067054D" w:rsidP="0067054D">
            <w:pPr>
              <w:spacing w:after="0" w:line="240" w:lineRule="auto"/>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Rule of Law</w:t>
            </w:r>
          </w:p>
        </w:tc>
        <w:tc>
          <w:tcPr>
            <w:tcW w:w="0" w:type="auto"/>
            <w:vAlign w:val="center"/>
            <w:hideMark/>
          </w:tcPr>
          <w:p w14:paraId="3076B4E4" w14:textId="77777777" w:rsidR="0067054D" w:rsidRPr="0067054D" w:rsidRDefault="0067054D" w:rsidP="0067054D">
            <w:pPr>
              <w:spacing w:after="0" w:line="240" w:lineRule="auto"/>
              <w:rPr>
                <w:rFonts w:ascii="Times New Roman" w:eastAsia="Times New Roman" w:hAnsi="Times New Roman" w:cs="Times New Roman"/>
                <w:sz w:val="24"/>
                <w:szCs w:val="24"/>
                <w:lang w:eastAsia="zh-CN"/>
              </w:rPr>
            </w:pPr>
          </w:p>
        </w:tc>
        <w:tc>
          <w:tcPr>
            <w:tcW w:w="0" w:type="auto"/>
            <w:vAlign w:val="center"/>
            <w:hideMark/>
          </w:tcPr>
          <w:p w14:paraId="55066B5D"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-29.0065</w:t>
            </w:r>
          </w:p>
        </w:tc>
        <w:tc>
          <w:tcPr>
            <w:tcW w:w="0" w:type="auto"/>
            <w:vAlign w:val="center"/>
            <w:hideMark/>
          </w:tcPr>
          <w:p w14:paraId="7251B522"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439EDE33"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-3.5680</w:t>
            </w:r>
          </w:p>
        </w:tc>
      </w:tr>
      <w:tr w:rsidR="0067054D" w:rsidRPr="0067054D" w14:paraId="4DCAE473" w14:textId="77777777" w:rsidTr="0067054D">
        <w:trPr>
          <w:tblCellSpacing w:w="15" w:type="dxa"/>
        </w:trPr>
        <w:tc>
          <w:tcPr>
            <w:tcW w:w="0" w:type="auto"/>
            <w:vAlign w:val="center"/>
            <w:hideMark/>
          </w:tcPr>
          <w:p w14:paraId="002DB876"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50A41D5" w14:textId="77777777" w:rsidR="0067054D" w:rsidRPr="0067054D" w:rsidRDefault="0067054D" w:rsidP="0067054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258C86B6"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(150.0266)</w:t>
            </w:r>
          </w:p>
        </w:tc>
        <w:tc>
          <w:tcPr>
            <w:tcW w:w="0" w:type="auto"/>
            <w:vAlign w:val="center"/>
            <w:hideMark/>
          </w:tcPr>
          <w:p w14:paraId="1B18BF6C"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1F745AC4"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(13.7032)</w:t>
            </w:r>
          </w:p>
        </w:tc>
      </w:tr>
      <w:tr w:rsidR="0067054D" w:rsidRPr="0067054D" w14:paraId="387E2F02" w14:textId="77777777" w:rsidTr="0067054D">
        <w:trPr>
          <w:tblCellSpacing w:w="15" w:type="dxa"/>
        </w:trPr>
        <w:tc>
          <w:tcPr>
            <w:tcW w:w="0" w:type="auto"/>
            <w:vAlign w:val="center"/>
            <w:hideMark/>
          </w:tcPr>
          <w:p w14:paraId="7BAAE20C"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65AED121" w14:textId="77777777" w:rsidR="0067054D" w:rsidRPr="0067054D" w:rsidRDefault="0067054D" w:rsidP="0067054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7E99D90B"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6F287713"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7E6D0C4F"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r>
      <w:tr w:rsidR="0067054D" w:rsidRPr="0067054D" w14:paraId="75FA5591" w14:textId="77777777" w:rsidTr="0067054D">
        <w:trPr>
          <w:tblCellSpacing w:w="15" w:type="dxa"/>
        </w:trPr>
        <w:tc>
          <w:tcPr>
            <w:tcW w:w="0" w:type="auto"/>
            <w:vAlign w:val="center"/>
            <w:hideMark/>
          </w:tcPr>
          <w:p w14:paraId="5BDE2063" w14:textId="77777777" w:rsidR="0067054D" w:rsidRPr="0067054D" w:rsidRDefault="0067054D" w:rsidP="0067054D">
            <w:pPr>
              <w:spacing w:after="0" w:line="240" w:lineRule="auto"/>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Voice and Accountability</w:t>
            </w:r>
          </w:p>
        </w:tc>
        <w:tc>
          <w:tcPr>
            <w:tcW w:w="0" w:type="auto"/>
            <w:vAlign w:val="center"/>
            <w:hideMark/>
          </w:tcPr>
          <w:p w14:paraId="738D6CCC" w14:textId="77777777" w:rsidR="0067054D" w:rsidRPr="0067054D" w:rsidRDefault="0067054D" w:rsidP="0067054D">
            <w:pPr>
              <w:spacing w:after="0" w:line="240" w:lineRule="auto"/>
              <w:rPr>
                <w:rFonts w:ascii="Times New Roman" w:eastAsia="Times New Roman" w:hAnsi="Times New Roman" w:cs="Times New Roman"/>
                <w:sz w:val="24"/>
                <w:szCs w:val="24"/>
                <w:lang w:eastAsia="zh-CN"/>
              </w:rPr>
            </w:pPr>
          </w:p>
        </w:tc>
        <w:tc>
          <w:tcPr>
            <w:tcW w:w="0" w:type="auto"/>
            <w:vAlign w:val="center"/>
            <w:hideMark/>
          </w:tcPr>
          <w:p w14:paraId="1393D176"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-85.4492</w:t>
            </w:r>
          </w:p>
        </w:tc>
        <w:tc>
          <w:tcPr>
            <w:tcW w:w="0" w:type="auto"/>
            <w:vAlign w:val="center"/>
            <w:hideMark/>
          </w:tcPr>
          <w:p w14:paraId="28D75F61"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6972D8F6"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-13.6045</w:t>
            </w:r>
            <w:r w:rsidRPr="0067054D">
              <w:rPr>
                <w:rFonts w:ascii="Times New Roman" w:eastAsia="Times New Roman" w:hAnsi="Times New Roman" w:cs="Times New Roman"/>
                <w:sz w:val="24"/>
                <w:szCs w:val="24"/>
                <w:vertAlign w:val="superscript"/>
                <w:lang w:eastAsia="zh-CN"/>
              </w:rPr>
              <w:t>*</w:t>
            </w:r>
          </w:p>
        </w:tc>
      </w:tr>
      <w:tr w:rsidR="0067054D" w:rsidRPr="0067054D" w14:paraId="4D748606" w14:textId="77777777" w:rsidTr="0067054D">
        <w:trPr>
          <w:tblCellSpacing w:w="15" w:type="dxa"/>
        </w:trPr>
        <w:tc>
          <w:tcPr>
            <w:tcW w:w="0" w:type="auto"/>
            <w:vAlign w:val="center"/>
            <w:hideMark/>
          </w:tcPr>
          <w:p w14:paraId="1FB193B7"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A7C86A7" w14:textId="77777777" w:rsidR="0067054D" w:rsidRPr="0067054D" w:rsidRDefault="0067054D" w:rsidP="0067054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1646B732"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(79.6006)</w:t>
            </w:r>
          </w:p>
        </w:tc>
        <w:tc>
          <w:tcPr>
            <w:tcW w:w="0" w:type="auto"/>
            <w:vAlign w:val="center"/>
            <w:hideMark/>
          </w:tcPr>
          <w:p w14:paraId="31EEBCD3"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2ECEC551"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(7.0166)</w:t>
            </w:r>
          </w:p>
        </w:tc>
      </w:tr>
      <w:tr w:rsidR="0067054D" w:rsidRPr="0067054D" w14:paraId="26387BC5" w14:textId="77777777" w:rsidTr="0067054D">
        <w:trPr>
          <w:tblCellSpacing w:w="15" w:type="dxa"/>
        </w:trPr>
        <w:tc>
          <w:tcPr>
            <w:tcW w:w="0" w:type="auto"/>
            <w:vAlign w:val="center"/>
            <w:hideMark/>
          </w:tcPr>
          <w:p w14:paraId="0A46669B"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49DAF44B" w14:textId="77777777" w:rsidR="0067054D" w:rsidRPr="0067054D" w:rsidRDefault="0067054D" w:rsidP="0067054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FDAAC9F"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331D45A0"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0504DA54"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r>
      <w:tr w:rsidR="0067054D" w:rsidRPr="0067054D" w14:paraId="2DCD4397" w14:textId="77777777" w:rsidTr="0067054D">
        <w:trPr>
          <w:tblCellSpacing w:w="15" w:type="dxa"/>
        </w:trPr>
        <w:tc>
          <w:tcPr>
            <w:tcW w:w="0" w:type="auto"/>
            <w:vAlign w:val="center"/>
            <w:hideMark/>
          </w:tcPr>
          <w:p w14:paraId="5FF0F155" w14:textId="77777777" w:rsidR="0067054D" w:rsidRPr="0067054D" w:rsidRDefault="0067054D" w:rsidP="0067054D">
            <w:pPr>
              <w:spacing w:after="0" w:line="240" w:lineRule="auto"/>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Government Effectiveness</w:t>
            </w:r>
          </w:p>
        </w:tc>
        <w:tc>
          <w:tcPr>
            <w:tcW w:w="0" w:type="auto"/>
            <w:vAlign w:val="center"/>
            <w:hideMark/>
          </w:tcPr>
          <w:p w14:paraId="39672FA2" w14:textId="77777777" w:rsidR="0067054D" w:rsidRPr="0067054D" w:rsidRDefault="0067054D" w:rsidP="0067054D">
            <w:pPr>
              <w:spacing w:after="0" w:line="240" w:lineRule="auto"/>
              <w:rPr>
                <w:rFonts w:ascii="Times New Roman" w:eastAsia="Times New Roman" w:hAnsi="Times New Roman" w:cs="Times New Roman"/>
                <w:sz w:val="24"/>
                <w:szCs w:val="24"/>
                <w:lang w:eastAsia="zh-CN"/>
              </w:rPr>
            </w:pPr>
          </w:p>
        </w:tc>
        <w:tc>
          <w:tcPr>
            <w:tcW w:w="0" w:type="auto"/>
            <w:vAlign w:val="center"/>
            <w:hideMark/>
          </w:tcPr>
          <w:p w14:paraId="469B26F4"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27.1762</w:t>
            </w:r>
          </w:p>
        </w:tc>
        <w:tc>
          <w:tcPr>
            <w:tcW w:w="0" w:type="auto"/>
            <w:vAlign w:val="center"/>
            <w:hideMark/>
          </w:tcPr>
          <w:p w14:paraId="493234F5"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26267E70"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3.6186</w:t>
            </w:r>
          </w:p>
        </w:tc>
      </w:tr>
      <w:tr w:rsidR="0067054D" w:rsidRPr="0067054D" w14:paraId="64FCE148" w14:textId="77777777" w:rsidTr="0067054D">
        <w:trPr>
          <w:tblCellSpacing w:w="15" w:type="dxa"/>
        </w:trPr>
        <w:tc>
          <w:tcPr>
            <w:tcW w:w="0" w:type="auto"/>
            <w:vAlign w:val="center"/>
            <w:hideMark/>
          </w:tcPr>
          <w:p w14:paraId="36A6B479"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34665DC6" w14:textId="77777777" w:rsidR="0067054D" w:rsidRPr="0067054D" w:rsidRDefault="0067054D" w:rsidP="0067054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56284A46"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(127.2772)</w:t>
            </w:r>
          </w:p>
        </w:tc>
        <w:tc>
          <w:tcPr>
            <w:tcW w:w="0" w:type="auto"/>
            <w:vAlign w:val="center"/>
            <w:hideMark/>
          </w:tcPr>
          <w:p w14:paraId="62B634FF"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31C051D"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(12.7480)</w:t>
            </w:r>
          </w:p>
        </w:tc>
      </w:tr>
      <w:tr w:rsidR="0067054D" w:rsidRPr="0067054D" w14:paraId="0D271CC7" w14:textId="77777777" w:rsidTr="0067054D">
        <w:trPr>
          <w:tblCellSpacing w:w="15" w:type="dxa"/>
        </w:trPr>
        <w:tc>
          <w:tcPr>
            <w:tcW w:w="0" w:type="auto"/>
            <w:vAlign w:val="center"/>
            <w:hideMark/>
          </w:tcPr>
          <w:p w14:paraId="545B6664"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5173F600" w14:textId="77777777" w:rsidR="0067054D" w:rsidRPr="0067054D" w:rsidRDefault="0067054D" w:rsidP="0067054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8B13883"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71D1E39C"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1C15D8B3"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r>
      <w:tr w:rsidR="0067054D" w:rsidRPr="0067054D" w14:paraId="652EF13E" w14:textId="77777777" w:rsidTr="0067054D">
        <w:trPr>
          <w:tblCellSpacing w:w="15" w:type="dxa"/>
        </w:trPr>
        <w:tc>
          <w:tcPr>
            <w:tcW w:w="0" w:type="auto"/>
            <w:vAlign w:val="center"/>
            <w:hideMark/>
          </w:tcPr>
          <w:p w14:paraId="3087B84A" w14:textId="77777777" w:rsidR="0067054D" w:rsidRPr="0067054D" w:rsidRDefault="0067054D" w:rsidP="0067054D">
            <w:pPr>
              <w:spacing w:after="0" w:line="240" w:lineRule="auto"/>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Total Vaccinations per Hundred Population</w:t>
            </w:r>
          </w:p>
        </w:tc>
        <w:tc>
          <w:tcPr>
            <w:tcW w:w="0" w:type="auto"/>
            <w:vAlign w:val="center"/>
            <w:hideMark/>
          </w:tcPr>
          <w:p w14:paraId="61B5B8FC" w14:textId="77777777" w:rsidR="0067054D" w:rsidRPr="0067054D" w:rsidRDefault="0067054D" w:rsidP="0067054D">
            <w:pPr>
              <w:spacing w:after="0" w:line="240" w:lineRule="auto"/>
              <w:rPr>
                <w:rFonts w:ascii="Times New Roman" w:eastAsia="Times New Roman" w:hAnsi="Times New Roman" w:cs="Times New Roman"/>
                <w:sz w:val="24"/>
                <w:szCs w:val="24"/>
                <w:lang w:eastAsia="zh-CN"/>
              </w:rPr>
            </w:pPr>
          </w:p>
        </w:tc>
        <w:tc>
          <w:tcPr>
            <w:tcW w:w="0" w:type="auto"/>
            <w:vAlign w:val="center"/>
            <w:hideMark/>
          </w:tcPr>
          <w:p w14:paraId="13868E0A"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2C03DE17"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-0.2105</w:t>
            </w:r>
            <w:r w:rsidRPr="0067054D">
              <w:rPr>
                <w:rFonts w:ascii="Times New Roman" w:eastAsia="Times New Roman" w:hAnsi="Times New Roman" w:cs="Times New Roman"/>
                <w:sz w:val="24"/>
                <w:szCs w:val="24"/>
                <w:vertAlign w:val="superscript"/>
                <w:lang w:eastAsia="zh-CN"/>
              </w:rPr>
              <w:t>**</w:t>
            </w:r>
          </w:p>
        </w:tc>
        <w:tc>
          <w:tcPr>
            <w:tcW w:w="0" w:type="auto"/>
            <w:vAlign w:val="center"/>
            <w:hideMark/>
          </w:tcPr>
          <w:p w14:paraId="2B6BE4A2"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-0.1220</w:t>
            </w:r>
          </w:p>
        </w:tc>
      </w:tr>
      <w:tr w:rsidR="0067054D" w:rsidRPr="0067054D" w14:paraId="4273366D" w14:textId="77777777" w:rsidTr="0067054D">
        <w:trPr>
          <w:tblCellSpacing w:w="15" w:type="dxa"/>
        </w:trPr>
        <w:tc>
          <w:tcPr>
            <w:tcW w:w="0" w:type="auto"/>
            <w:vAlign w:val="center"/>
            <w:hideMark/>
          </w:tcPr>
          <w:p w14:paraId="54E9C1EC"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26C151E1" w14:textId="77777777" w:rsidR="0067054D" w:rsidRPr="0067054D" w:rsidRDefault="0067054D" w:rsidP="0067054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16EE1BA"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75D6973A"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(0.0813)</w:t>
            </w:r>
          </w:p>
        </w:tc>
        <w:tc>
          <w:tcPr>
            <w:tcW w:w="0" w:type="auto"/>
            <w:vAlign w:val="center"/>
            <w:hideMark/>
          </w:tcPr>
          <w:p w14:paraId="4474732C"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(0.0858)</w:t>
            </w:r>
          </w:p>
        </w:tc>
      </w:tr>
      <w:tr w:rsidR="0067054D" w:rsidRPr="0067054D" w14:paraId="0E48DFC8" w14:textId="77777777" w:rsidTr="0067054D">
        <w:trPr>
          <w:tblCellSpacing w:w="15" w:type="dxa"/>
        </w:trPr>
        <w:tc>
          <w:tcPr>
            <w:tcW w:w="0" w:type="auto"/>
            <w:vAlign w:val="center"/>
            <w:hideMark/>
          </w:tcPr>
          <w:p w14:paraId="58FBCC76"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4EDFB50A" w14:textId="77777777" w:rsidR="0067054D" w:rsidRPr="0067054D" w:rsidRDefault="0067054D" w:rsidP="0067054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7731293B"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3407AC27"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2564276A"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r>
      <w:tr w:rsidR="0067054D" w:rsidRPr="0067054D" w14:paraId="5AF72069" w14:textId="77777777" w:rsidTr="0067054D">
        <w:trPr>
          <w:tblCellSpacing w:w="15" w:type="dxa"/>
        </w:trPr>
        <w:tc>
          <w:tcPr>
            <w:tcW w:w="0" w:type="auto"/>
            <w:vAlign w:val="center"/>
            <w:hideMark/>
          </w:tcPr>
          <w:p w14:paraId="1CBDC011" w14:textId="77777777" w:rsidR="0067054D" w:rsidRPr="0067054D" w:rsidRDefault="0067054D" w:rsidP="0067054D">
            <w:pPr>
              <w:spacing w:after="0" w:line="240" w:lineRule="auto"/>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Constant</w:t>
            </w:r>
          </w:p>
        </w:tc>
        <w:tc>
          <w:tcPr>
            <w:tcW w:w="0" w:type="auto"/>
            <w:vAlign w:val="center"/>
            <w:hideMark/>
          </w:tcPr>
          <w:p w14:paraId="367E1FCC"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109.6314</w:t>
            </w:r>
            <w:r w:rsidRPr="0067054D">
              <w:rPr>
                <w:rFonts w:ascii="Times New Roman" w:eastAsia="Times New Roman" w:hAnsi="Times New Roman" w:cs="Times New Roman"/>
                <w:sz w:val="24"/>
                <w:szCs w:val="24"/>
                <w:vertAlign w:val="superscript"/>
                <w:lang w:eastAsia="zh-CN"/>
              </w:rPr>
              <w:t>**</w:t>
            </w:r>
          </w:p>
        </w:tc>
        <w:tc>
          <w:tcPr>
            <w:tcW w:w="0" w:type="auto"/>
            <w:vAlign w:val="center"/>
            <w:hideMark/>
          </w:tcPr>
          <w:p w14:paraId="1F96A3DC"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268.2816</w:t>
            </w:r>
            <w:r w:rsidRPr="0067054D">
              <w:rPr>
                <w:rFonts w:ascii="Times New Roman" w:eastAsia="Times New Roman" w:hAnsi="Times New Roman" w:cs="Times New Roman"/>
                <w:sz w:val="24"/>
                <w:szCs w:val="24"/>
                <w:vertAlign w:val="superscript"/>
                <w:lang w:eastAsia="zh-CN"/>
              </w:rPr>
              <w:t>*</w:t>
            </w:r>
          </w:p>
        </w:tc>
        <w:tc>
          <w:tcPr>
            <w:tcW w:w="0" w:type="auto"/>
            <w:vAlign w:val="center"/>
            <w:hideMark/>
          </w:tcPr>
          <w:p w14:paraId="71190516"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38.8660</w:t>
            </w:r>
            <w:r w:rsidRPr="0067054D">
              <w:rPr>
                <w:rFonts w:ascii="Times New Roman" w:eastAsia="Times New Roman" w:hAnsi="Times New Roman" w:cs="Times New Roman"/>
                <w:sz w:val="24"/>
                <w:szCs w:val="24"/>
                <w:vertAlign w:val="superscript"/>
                <w:lang w:eastAsia="zh-CN"/>
              </w:rPr>
              <w:t>***</w:t>
            </w:r>
          </w:p>
        </w:tc>
        <w:tc>
          <w:tcPr>
            <w:tcW w:w="0" w:type="auto"/>
            <w:vAlign w:val="center"/>
            <w:hideMark/>
          </w:tcPr>
          <w:p w14:paraId="67E518D9"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57.1352</w:t>
            </w:r>
            <w:r w:rsidRPr="0067054D">
              <w:rPr>
                <w:rFonts w:ascii="Times New Roman" w:eastAsia="Times New Roman" w:hAnsi="Times New Roman" w:cs="Times New Roman"/>
                <w:sz w:val="24"/>
                <w:szCs w:val="24"/>
                <w:vertAlign w:val="superscript"/>
                <w:lang w:eastAsia="zh-CN"/>
              </w:rPr>
              <w:t>***</w:t>
            </w:r>
          </w:p>
        </w:tc>
      </w:tr>
      <w:tr w:rsidR="0067054D" w:rsidRPr="0067054D" w14:paraId="04D2670F" w14:textId="77777777" w:rsidTr="0067054D">
        <w:trPr>
          <w:tblCellSpacing w:w="15" w:type="dxa"/>
        </w:trPr>
        <w:tc>
          <w:tcPr>
            <w:tcW w:w="0" w:type="auto"/>
            <w:vAlign w:val="center"/>
            <w:hideMark/>
          </w:tcPr>
          <w:p w14:paraId="55A34558"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3A81BB4"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(50.6259)</w:t>
            </w:r>
          </w:p>
        </w:tc>
        <w:tc>
          <w:tcPr>
            <w:tcW w:w="0" w:type="auto"/>
            <w:vAlign w:val="center"/>
            <w:hideMark/>
          </w:tcPr>
          <w:p w14:paraId="133BC752"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(141.5579)</w:t>
            </w:r>
          </w:p>
        </w:tc>
        <w:tc>
          <w:tcPr>
            <w:tcW w:w="0" w:type="auto"/>
            <w:vAlign w:val="center"/>
            <w:hideMark/>
          </w:tcPr>
          <w:p w14:paraId="775A633C"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(6.3376)</w:t>
            </w:r>
          </w:p>
        </w:tc>
        <w:tc>
          <w:tcPr>
            <w:tcW w:w="0" w:type="auto"/>
            <w:vAlign w:val="center"/>
            <w:hideMark/>
          </w:tcPr>
          <w:p w14:paraId="619DFBD1"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(13.8960)</w:t>
            </w:r>
          </w:p>
        </w:tc>
      </w:tr>
      <w:tr w:rsidR="0067054D" w:rsidRPr="0067054D" w14:paraId="3F3C3EB8" w14:textId="77777777" w:rsidTr="0067054D">
        <w:trPr>
          <w:tblCellSpacing w:w="15" w:type="dxa"/>
        </w:trPr>
        <w:tc>
          <w:tcPr>
            <w:tcW w:w="0" w:type="auto"/>
            <w:vAlign w:val="center"/>
            <w:hideMark/>
          </w:tcPr>
          <w:p w14:paraId="16C84DAB"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1D585AD6" w14:textId="77777777" w:rsidR="0067054D" w:rsidRPr="0067054D" w:rsidRDefault="0067054D" w:rsidP="0067054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1A182AE"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0C1F3D3B"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257CC91E"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r>
      <w:tr w:rsidR="0067054D" w:rsidRPr="0067054D" w14:paraId="58927088" w14:textId="77777777" w:rsidTr="0067054D">
        <w:trPr>
          <w:tblCellSpacing w:w="15" w:type="dxa"/>
        </w:trPr>
        <w:tc>
          <w:tcPr>
            <w:tcW w:w="0" w:type="auto"/>
            <w:gridSpan w:val="5"/>
            <w:tcBorders>
              <w:bottom w:val="single" w:sz="6" w:space="0" w:color="000000"/>
            </w:tcBorders>
            <w:vAlign w:val="center"/>
            <w:hideMark/>
          </w:tcPr>
          <w:p w14:paraId="053EE2E0" w14:textId="77777777" w:rsidR="0067054D" w:rsidRPr="0067054D" w:rsidRDefault="0067054D" w:rsidP="0067054D">
            <w:pPr>
              <w:spacing w:after="0" w:line="240" w:lineRule="auto"/>
              <w:jc w:val="center"/>
              <w:rPr>
                <w:rFonts w:ascii="Times New Roman" w:eastAsia="Times New Roman" w:hAnsi="Times New Roman" w:cs="Times New Roman"/>
                <w:sz w:val="20"/>
                <w:szCs w:val="20"/>
                <w:lang w:eastAsia="zh-CN"/>
              </w:rPr>
            </w:pPr>
          </w:p>
        </w:tc>
      </w:tr>
      <w:tr w:rsidR="0067054D" w:rsidRPr="0067054D" w14:paraId="35928FFD" w14:textId="77777777" w:rsidTr="0067054D">
        <w:trPr>
          <w:tblCellSpacing w:w="15" w:type="dxa"/>
        </w:trPr>
        <w:tc>
          <w:tcPr>
            <w:tcW w:w="0" w:type="auto"/>
            <w:vAlign w:val="center"/>
            <w:hideMark/>
          </w:tcPr>
          <w:p w14:paraId="04F4045A" w14:textId="77777777" w:rsidR="0067054D" w:rsidRPr="0067054D" w:rsidRDefault="0067054D" w:rsidP="0067054D">
            <w:pPr>
              <w:spacing w:after="0" w:line="240" w:lineRule="auto"/>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Observations</w:t>
            </w:r>
          </w:p>
        </w:tc>
        <w:tc>
          <w:tcPr>
            <w:tcW w:w="0" w:type="auto"/>
            <w:vAlign w:val="center"/>
            <w:hideMark/>
          </w:tcPr>
          <w:p w14:paraId="2057963D"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123</w:t>
            </w:r>
          </w:p>
        </w:tc>
        <w:tc>
          <w:tcPr>
            <w:tcW w:w="0" w:type="auto"/>
            <w:vAlign w:val="center"/>
            <w:hideMark/>
          </w:tcPr>
          <w:p w14:paraId="5B2B55B6"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121</w:t>
            </w:r>
          </w:p>
        </w:tc>
        <w:tc>
          <w:tcPr>
            <w:tcW w:w="0" w:type="auto"/>
            <w:vAlign w:val="center"/>
            <w:hideMark/>
          </w:tcPr>
          <w:p w14:paraId="2883FFC2"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147</w:t>
            </w:r>
          </w:p>
        </w:tc>
        <w:tc>
          <w:tcPr>
            <w:tcW w:w="0" w:type="auto"/>
            <w:vAlign w:val="center"/>
            <w:hideMark/>
          </w:tcPr>
          <w:p w14:paraId="6AF78ABE"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145</w:t>
            </w:r>
          </w:p>
        </w:tc>
      </w:tr>
      <w:tr w:rsidR="0067054D" w:rsidRPr="0067054D" w14:paraId="7AE966AF" w14:textId="77777777" w:rsidTr="0067054D">
        <w:trPr>
          <w:tblCellSpacing w:w="15" w:type="dxa"/>
        </w:trPr>
        <w:tc>
          <w:tcPr>
            <w:tcW w:w="0" w:type="auto"/>
            <w:vAlign w:val="center"/>
            <w:hideMark/>
          </w:tcPr>
          <w:p w14:paraId="52AAA537" w14:textId="77777777" w:rsidR="0067054D" w:rsidRPr="0067054D" w:rsidRDefault="0067054D" w:rsidP="0067054D">
            <w:pPr>
              <w:spacing w:after="0" w:line="240" w:lineRule="auto"/>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R</w:t>
            </w:r>
            <w:r w:rsidRPr="0067054D">
              <w:rPr>
                <w:rFonts w:ascii="Times New Roman" w:eastAsia="Times New Roman" w:hAnsi="Times New Roman" w:cs="Times New Roman"/>
                <w:sz w:val="24"/>
                <w:szCs w:val="24"/>
                <w:vertAlign w:val="superscript"/>
                <w:lang w:eastAsia="zh-CN"/>
              </w:rPr>
              <w:t>2</w:t>
            </w:r>
          </w:p>
        </w:tc>
        <w:tc>
          <w:tcPr>
            <w:tcW w:w="0" w:type="auto"/>
            <w:vAlign w:val="center"/>
            <w:hideMark/>
          </w:tcPr>
          <w:p w14:paraId="779113AE"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0.0141</w:t>
            </w:r>
          </w:p>
        </w:tc>
        <w:tc>
          <w:tcPr>
            <w:tcW w:w="0" w:type="auto"/>
            <w:vAlign w:val="center"/>
            <w:hideMark/>
          </w:tcPr>
          <w:p w14:paraId="13ACFF36"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0.0823</w:t>
            </w:r>
          </w:p>
        </w:tc>
        <w:tc>
          <w:tcPr>
            <w:tcW w:w="0" w:type="auto"/>
            <w:vAlign w:val="center"/>
            <w:hideMark/>
          </w:tcPr>
          <w:p w14:paraId="6EC77DFA"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0.1004</w:t>
            </w:r>
          </w:p>
        </w:tc>
        <w:tc>
          <w:tcPr>
            <w:tcW w:w="0" w:type="auto"/>
            <w:vAlign w:val="center"/>
            <w:hideMark/>
          </w:tcPr>
          <w:p w14:paraId="7638C4F8"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0.2013</w:t>
            </w:r>
          </w:p>
        </w:tc>
      </w:tr>
      <w:tr w:rsidR="0067054D" w:rsidRPr="0067054D" w14:paraId="7ED2293D" w14:textId="77777777" w:rsidTr="0067054D">
        <w:trPr>
          <w:tblCellSpacing w:w="15" w:type="dxa"/>
        </w:trPr>
        <w:tc>
          <w:tcPr>
            <w:tcW w:w="0" w:type="auto"/>
            <w:vAlign w:val="center"/>
            <w:hideMark/>
          </w:tcPr>
          <w:p w14:paraId="67154CDF" w14:textId="77777777" w:rsidR="0067054D" w:rsidRPr="0067054D" w:rsidRDefault="0067054D" w:rsidP="0067054D">
            <w:pPr>
              <w:spacing w:after="0" w:line="240" w:lineRule="auto"/>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Residual Std. Error</w:t>
            </w:r>
          </w:p>
        </w:tc>
        <w:tc>
          <w:tcPr>
            <w:tcW w:w="0" w:type="auto"/>
            <w:vAlign w:val="center"/>
            <w:hideMark/>
          </w:tcPr>
          <w:p w14:paraId="3732E63F"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415.9638</w:t>
            </w:r>
          </w:p>
        </w:tc>
        <w:tc>
          <w:tcPr>
            <w:tcW w:w="0" w:type="auto"/>
            <w:vAlign w:val="center"/>
            <w:hideMark/>
          </w:tcPr>
          <w:p w14:paraId="36B7D38E"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415.1160</w:t>
            </w:r>
          </w:p>
        </w:tc>
        <w:tc>
          <w:tcPr>
            <w:tcW w:w="0" w:type="auto"/>
            <w:vAlign w:val="center"/>
            <w:hideMark/>
          </w:tcPr>
          <w:p w14:paraId="453BD22A"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48.2743</w:t>
            </w:r>
          </w:p>
        </w:tc>
        <w:tc>
          <w:tcPr>
            <w:tcW w:w="0" w:type="auto"/>
            <w:vAlign w:val="center"/>
            <w:hideMark/>
          </w:tcPr>
          <w:p w14:paraId="22FA7E76"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44.8026</w:t>
            </w:r>
          </w:p>
        </w:tc>
      </w:tr>
      <w:tr w:rsidR="0067054D" w:rsidRPr="0067054D" w14:paraId="3713296F" w14:textId="77777777" w:rsidTr="0067054D">
        <w:trPr>
          <w:tblCellSpacing w:w="15" w:type="dxa"/>
        </w:trPr>
        <w:tc>
          <w:tcPr>
            <w:tcW w:w="0" w:type="auto"/>
            <w:vAlign w:val="center"/>
            <w:hideMark/>
          </w:tcPr>
          <w:p w14:paraId="5F850816" w14:textId="77777777" w:rsidR="0067054D" w:rsidRPr="0067054D" w:rsidRDefault="0067054D" w:rsidP="0067054D">
            <w:pPr>
              <w:spacing w:after="0" w:line="240" w:lineRule="auto"/>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F Statistic</w:t>
            </w:r>
          </w:p>
        </w:tc>
        <w:tc>
          <w:tcPr>
            <w:tcW w:w="0" w:type="auto"/>
            <w:vAlign w:val="center"/>
            <w:hideMark/>
          </w:tcPr>
          <w:p w14:paraId="0D9428CF"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1.7275</w:t>
            </w:r>
          </w:p>
        </w:tc>
        <w:tc>
          <w:tcPr>
            <w:tcW w:w="0" w:type="auto"/>
            <w:vAlign w:val="center"/>
            <w:hideMark/>
          </w:tcPr>
          <w:p w14:paraId="07EE477F"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1.4485</w:t>
            </w:r>
          </w:p>
        </w:tc>
        <w:tc>
          <w:tcPr>
            <w:tcW w:w="0" w:type="auto"/>
            <w:vAlign w:val="center"/>
            <w:hideMark/>
          </w:tcPr>
          <w:p w14:paraId="5B3992C0"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8.0318</w:t>
            </w:r>
            <w:r w:rsidRPr="0067054D">
              <w:rPr>
                <w:rFonts w:ascii="Times New Roman" w:eastAsia="Times New Roman" w:hAnsi="Times New Roman" w:cs="Times New Roman"/>
                <w:sz w:val="24"/>
                <w:szCs w:val="24"/>
                <w:vertAlign w:val="superscript"/>
                <w:lang w:eastAsia="zh-CN"/>
              </w:rPr>
              <w:t>***</w:t>
            </w:r>
          </w:p>
        </w:tc>
        <w:tc>
          <w:tcPr>
            <w:tcW w:w="0" w:type="auto"/>
            <w:vAlign w:val="center"/>
            <w:hideMark/>
          </w:tcPr>
          <w:p w14:paraId="4ABFB1C2"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4.2836</w:t>
            </w:r>
            <w:r w:rsidRPr="0067054D">
              <w:rPr>
                <w:rFonts w:ascii="Times New Roman" w:eastAsia="Times New Roman" w:hAnsi="Times New Roman" w:cs="Times New Roman"/>
                <w:sz w:val="24"/>
                <w:szCs w:val="24"/>
                <w:vertAlign w:val="superscript"/>
                <w:lang w:eastAsia="zh-CN"/>
              </w:rPr>
              <w:t>***</w:t>
            </w:r>
          </w:p>
        </w:tc>
      </w:tr>
      <w:tr w:rsidR="0067054D" w:rsidRPr="0067054D" w14:paraId="4B5CA9A7" w14:textId="77777777" w:rsidTr="0067054D">
        <w:trPr>
          <w:tblCellSpacing w:w="15" w:type="dxa"/>
        </w:trPr>
        <w:tc>
          <w:tcPr>
            <w:tcW w:w="0" w:type="auto"/>
            <w:gridSpan w:val="5"/>
            <w:tcBorders>
              <w:bottom w:val="single" w:sz="6" w:space="0" w:color="000000"/>
            </w:tcBorders>
            <w:vAlign w:val="center"/>
            <w:hideMark/>
          </w:tcPr>
          <w:p w14:paraId="75294583" w14:textId="77777777" w:rsidR="0067054D" w:rsidRPr="0067054D" w:rsidRDefault="0067054D" w:rsidP="0067054D">
            <w:pPr>
              <w:spacing w:after="0" w:line="240" w:lineRule="auto"/>
              <w:jc w:val="center"/>
              <w:rPr>
                <w:rFonts w:ascii="Times New Roman" w:eastAsia="Times New Roman" w:hAnsi="Times New Roman" w:cs="Times New Roman"/>
                <w:sz w:val="24"/>
                <w:szCs w:val="24"/>
                <w:lang w:eastAsia="zh-CN"/>
              </w:rPr>
            </w:pPr>
          </w:p>
        </w:tc>
      </w:tr>
      <w:tr w:rsidR="0067054D" w:rsidRPr="0067054D" w14:paraId="77E482B7" w14:textId="77777777" w:rsidTr="0067054D">
        <w:trPr>
          <w:tblCellSpacing w:w="15" w:type="dxa"/>
        </w:trPr>
        <w:tc>
          <w:tcPr>
            <w:tcW w:w="0" w:type="auto"/>
            <w:vAlign w:val="center"/>
            <w:hideMark/>
          </w:tcPr>
          <w:p w14:paraId="3CE53745" w14:textId="77777777" w:rsidR="0067054D" w:rsidRPr="0067054D" w:rsidRDefault="0067054D" w:rsidP="0067054D">
            <w:pPr>
              <w:spacing w:after="0" w:line="240" w:lineRule="auto"/>
              <w:rPr>
                <w:rFonts w:ascii="Times New Roman" w:eastAsia="Times New Roman" w:hAnsi="Times New Roman" w:cs="Times New Roman"/>
                <w:sz w:val="24"/>
                <w:szCs w:val="24"/>
                <w:lang w:eastAsia="zh-CN"/>
              </w:rPr>
            </w:pPr>
            <w:r w:rsidRPr="0067054D">
              <w:rPr>
                <w:rFonts w:ascii="Times New Roman" w:eastAsia="Times New Roman" w:hAnsi="Times New Roman" w:cs="Times New Roman"/>
                <w:i/>
                <w:iCs/>
                <w:sz w:val="24"/>
                <w:szCs w:val="24"/>
                <w:lang w:eastAsia="zh-CN"/>
              </w:rPr>
              <w:t>Note:</w:t>
            </w:r>
          </w:p>
        </w:tc>
        <w:tc>
          <w:tcPr>
            <w:tcW w:w="0" w:type="auto"/>
            <w:gridSpan w:val="4"/>
            <w:vAlign w:val="center"/>
            <w:hideMark/>
          </w:tcPr>
          <w:p w14:paraId="40863678" w14:textId="77777777" w:rsidR="0067054D" w:rsidRPr="0067054D" w:rsidRDefault="0067054D" w:rsidP="0067054D">
            <w:pPr>
              <w:spacing w:after="0" w:line="240" w:lineRule="auto"/>
              <w:rPr>
                <w:rFonts w:ascii="Times New Roman" w:eastAsia="Times New Roman" w:hAnsi="Times New Roman" w:cs="Times New Roman"/>
                <w:sz w:val="24"/>
                <w:szCs w:val="24"/>
                <w:lang w:eastAsia="zh-CN"/>
              </w:rPr>
            </w:pPr>
            <w:r w:rsidRPr="0067054D">
              <w:rPr>
                <w:rFonts w:ascii="Times New Roman" w:eastAsia="Times New Roman" w:hAnsi="Times New Roman" w:cs="Times New Roman"/>
                <w:sz w:val="24"/>
                <w:szCs w:val="24"/>
                <w:lang w:eastAsia="zh-CN"/>
              </w:rPr>
              <w:t>*,**,*** correspond to 10%, 5% and 1% significance, respectively.</w:t>
            </w:r>
          </w:p>
        </w:tc>
      </w:tr>
    </w:tbl>
    <w:p w14:paraId="42B0D85C" w14:textId="77777777" w:rsidR="00CB6220" w:rsidRPr="00173569" w:rsidRDefault="00CB6220" w:rsidP="00274218">
      <w:pPr>
        <w:spacing w:after="0" w:line="360" w:lineRule="auto"/>
        <w:contextualSpacing/>
        <w:rPr>
          <w:rFonts w:ascii="Times New Roman" w:hAnsi="Times New Roman" w:cs="Times New Roman"/>
          <w:sz w:val="24"/>
          <w:szCs w:val="24"/>
        </w:rPr>
      </w:pPr>
    </w:p>
    <w:p w14:paraId="2C7559BD" w14:textId="3252F0E6" w:rsidR="00BB427C" w:rsidRPr="00CD2BFD" w:rsidRDefault="00580C81" w:rsidP="00245CBF">
      <w:pPr>
        <w:spacing w:after="0" w:line="360" w:lineRule="auto"/>
        <w:ind w:firstLine="720"/>
        <w:contextualSpacing/>
        <w:rPr>
          <w:rFonts w:ascii="Times New Roman" w:hAnsi="Times New Roman" w:cs="Times New Roman"/>
          <w:b/>
          <w:color w:val="222222"/>
          <w:sz w:val="24"/>
          <w:szCs w:val="24"/>
          <w:shd w:val="clear" w:color="auto" w:fill="FFFFFF"/>
        </w:rPr>
      </w:pPr>
      <w:r w:rsidRPr="002C6241">
        <w:rPr>
          <w:rFonts w:ascii="Times New Roman" w:hAnsi="Times New Roman" w:cs="Times New Roman"/>
          <w:bCs/>
          <w:sz w:val="24"/>
          <w:szCs w:val="24"/>
        </w:rPr>
        <w:t xml:space="preserve">Table </w:t>
      </w:r>
      <w:r w:rsidR="008449AE" w:rsidRPr="002C6241">
        <w:rPr>
          <w:rFonts w:ascii="Times New Roman" w:hAnsi="Times New Roman" w:cs="Times New Roman"/>
          <w:bCs/>
          <w:sz w:val="24"/>
          <w:szCs w:val="24"/>
        </w:rPr>
        <w:t>4</w:t>
      </w:r>
      <w:r w:rsidR="006454F0" w:rsidRPr="002C6241">
        <w:rPr>
          <w:rFonts w:ascii="Times New Roman" w:hAnsi="Times New Roman" w:cs="Times New Roman"/>
          <w:bCs/>
          <w:sz w:val="24"/>
          <w:szCs w:val="24"/>
        </w:rPr>
        <w:t xml:space="preserve"> </w:t>
      </w:r>
      <w:r w:rsidRPr="002C6241">
        <w:rPr>
          <w:rFonts w:ascii="Times New Roman" w:hAnsi="Times New Roman" w:cs="Times New Roman"/>
          <w:bCs/>
          <w:sz w:val="24"/>
          <w:szCs w:val="24"/>
        </w:rPr>
        <w:t xml:space="preserve">reports </w:t>
      </w:r>
      <w:r w:rsidRPr="002C6241">
        <w:rPr>
          <w:rFonts w:ascii="Times New Roman" w:hAnsi="Times New Roman" w:cs="Times New Roman"/>
          <w:bCs/>
          <w:color w:val="222222"/>
          <w:sz w:val="24"/>
          <w:szCs w:val="24"/>
          <w:shd w:val="clear" w:color="auto" w:fill="FFFFFF"/>
        </w:rPr>
        <w:t>country mortality quartile</w:t>
      </w:r>
      <w:r w:rsidR="006839A8" w:rsidRPr="002C6241">
        <w:rPr>
          <w:rFonts w:ascii="Times New Roman" w:hAnsi="Times New Roman" w:cs="Times New Roman"/>
          <w:bCs/>
          <w:color w:val="222222"/>
          <w:sz w:val="24"/>
          <w:szCs w:val="24"/>
          <w:shd w:val="clear" w:color="auto" w:fill="FFFFFF"/>
        </w:rPr>
        <w:t>s</w:t>
      </w:r>
      <w:r w:rsidRPr="002C6241">
        <w:rPr>
          <w:rFonts w:ascii="Times New Roman" w:hAnsi="Times New Roman" w:cs="Times New Roman"/>
          <w:bCs/>
          <w:color w:val="222222"/>
          <w:sz w:val="24"/>
          <w:szCs w:val="24"/>
          <w:shd w:val="clear" w:color="auto" w:fill="FFFFFF"/>
        </w:rPr>
        <w:t xml:space="preserve"> as ranked by </w:t>
      </w:r>
      <w:r w:rsidR="006839A8" w:rsidRPr="002C6241">
        <w:rPr>
          <w:rFonts w:ascii="Times New Roman" w:hAnsi="Times New Roman" w:cs="Times New Roman"/>
          <w:bCs/>
          <w:color w:val="222222"/>
          <w:sz w:val="24"/>
          <w:szCs w:val="24"/>
          <w:shd w:val="clear" w:color="auto" w:fill="FFFFFF"/>
        </w:rPr>
        <w:t xml:space="preserve">their </w:t>
      </w:r>
      <w:r w:rsidR="00520DBA" w:rsidRPr="002C6241">
        <w:rPr>
          <w:rFonts w:ascii="Times New Roman" w:hAnsi="Times New Roman" w:cs="Times New Roman"/>
          <w:bCs/>
          <w:color w:val="222222"/>
          <w:sz w:val="24"/>
          <w:szCs w:val="24"/>
          <w:shd w:val="clear" w:color="auto" w:fill="FFFFFF"/>
        </w:rPr>
        <w:t>official</w:t>
      </w:r>
      <w:r w:rsidRPr="002C6241">
        <w:rPr>
          <w:rFonts w:ascii="Times New Roman" w:hAnsi="Times New Roman" w:cs="Times New Roman"/>
          <w:bCs/>
          <w:color w:val="222222"/>
          <w:sz w:val="24"/>
          <w:szCs w:val="24"/>
          <w:shd w:val="clear" w:color="auto" w:fill="FFFFFF"/>
        </w:rPr>
        <w:t xml:space="preserve"> (or </w:t>
      </w:r>
      <w:r w:rsidR="00D51694" w:rsidRPr="002C6241">
        <w:rPr>
          <w:rFonts w:ascii="Times New Roman" w:hAnsi="Times New Roman" w:cs="Times New Roman"/>
          <w:bCs/>
          <w:color w:val="222222"/>
          <w:sz w:val="24"/>
          <w:szCs w:val="24"/>
          <w:shd w:val="clear" w:color="auto" w:fill="FFFFFF"/>
        </w:rPr>
        <w:t>reported</w:t>
      </w:r>
      <w:r w:rsidRPr="002C6241">
        <w:rPr>
          <w:rFonts w:ascii="Times New Roman" w:hAnsi="Times New Roman" w:cs="Times New Roman"/>
          <w:bCs/>
          <w:color w:val="222222"/>
          <w:sz w:val="24"/>
          <w:szCs w:val="24"/>
          <w:shd w:val="clear" w:color="auto" w:fill="FFFFFF"/>
        </w:rPr>
        <w:t xml:space="preserve">) </w:t>
      </w:r>
      <w:r w:rsidR="00525E77" w:rsidRPr="002C6241">
        <w:rPr>
          <w:rFonts w:ascii="Times New Roman" w:hAnsi="Times New Roman" w:cs="Times New Roman"/>
          <w:bCs/>
          <w:color w:val="222222"/>
          <w:sz w:val="24"/>
          <w:szCs w:val="24"/>
          <w:shd w:val="clear" w:color="auto" w:fill="FFFFFF"/>
        </w:rPr>
        <w:t>Covid</w:t>
      </w:r>
      <w:r w:rsidR="002E5803" w:rsidRPr="002C6241">
        <w:rPr>
          <w:rFonts w:ascii="Times New Roman" w:hAnsi="Times New Roman" w:cs="Times New Roman"/>
          <w:bCs/>
          <w:color w:val="222222"/>
          <w:sz w:val="24"/>
          <w:szCs w:val="24"/>
          <w:shd w:val="clear" w:color="auto" w:fill="FFFFFF"/>
        </w:rPr>
        <w:t>-19</w:t>
      </w:r>
      <w:r w:rsidRPr="002C6241">
        <w:rPr>
          <w:rFonts w:ascii="Times New Roman" w:hAnsi="Times New Roman" w:cs="Times New Roman"/>
          <w:bCs/>
          <w:color w:val="222222"/>
          <w:sz w:val="24"/>
          <w:szCs w:val="24"/>
          <w:shd w:val="clear" w:color="auto" w:fill="FFFFFF"/>
        </w:rPr>
        <w:t xml:space="preserve"> mortality (rows) against </w:t>
      </w:r>
      <w:r w:rsidR="006839A8" w:rsidRPr="002C6241">
        <w:rPr>
          <w:rFonts w:ascii="Times New Roman" w:hAnsi="Times New Roman" w:cs="Times New Roman"/>
          <w:bCs/>
          <w:color w:val="222222"/>
          <w:sz w:val="24"/>
          <w:szCs w:val="24"/>
          <w:shd w:val="clear" w:color="auto" w:fill="FFFFFF"/>
        </w:rPr>
        <w:t xml:space="preserve">their </w:t>
      </w:r>
      <w:r w:rsidRPr="002C6241">
        <w:rPr>
          <w:rFonts w:ascii="Times New Roman" w:hAnsi="Times New Roman" w:cs="Times New Roman"/>
          <w:bCs/>
          <w:color w:val="222222"/>
          <w:sz w:val="24"/>
          <w:szCs w:val="24"/>
          <w:shd w:val="clear" w:color="auto" w:fill="FFFFFF"/>
        </w:rPr>
        <w:t>mortality quartile</w:t>
      </w:r>
      <w:r w:rsidR="006839A8" w:rsidRPr="002C6241">
        <w:rPr>
          <w:rFonts w:ascii="Times New Roman" w:hAnsi="Times New Roman" w:cs="Times New Roman"/>
          <w:bCs/>
          <w:color w:val="222222"/>
          <w:sz w:val="24"/>
          <w:szCs w:val="24"/>
          <w:shd w:val="clear" w:color="auto" w:fill="FFFFFF"/>
        </w:rPr>
        <w:t xml:space="preserve">s </w:t>
      </w:r>
      <w:r w:rsidRPr="002C6241">
        <w:rPr>
          <w:rFonts w:ascii="Times New Roman" w:hAnsi="Times New Roman" w:cs="Times New Roman"/>
          <w:bCs/>
          <w:color w:val="222222"/>
          <w:sz w:val="24"/>
          <w:szCs w:val="24"/>
          <w:shd w:val="clear" w:color="auto" w:fill="FFFFFF"/>
        </w:rPr>
        <w:t xml:space="preserve">as ranked by excess </w:t>
      </w:r>
      <w:r w:rsidR="00525E77" w:rsidRPr="002C6241">
        <w:rPr>
          <w:rFonts w:ascii="Times New Roman" w:hAnsi="Times New Roman" w:cs="Times New Roman"/>
          <w:bCs/>
          <w:color w:val="222222"/>
          <w:sz w:val="24"/>
          <w:szCs w:val="24"/>
          <w:shd w:val="clear" w:color="auto" w:fill="FFFFFF"/>
        </w:rPr>
        <w:t>Covid</w:t>
      </w:r>
      <w:r w:rsidR="002E5803" w:rsidRPr="002C6241">
        <w:rPr>
          <w:rFonts w:ascii="Times New Roman" w:hAnsi="Times New Roman" w:cs="Times New Roman"/>
          <w:bCs/>
          <w:color w:val="222222"/>
          <w:sz w:val="24"/>
          <w:szCs w:val="24"/>
          <w:shd w:val="clear" w:color="auto" w:fill="FFFFFF"/>
        </w:rPr>
        <w:t>-19</w:t>
      </w:r>
      <w:r w:rsidRPr="002C6241">
        <w:rPr>
          <w:rFonts w:ascii="Times New Roman" w:hAnsi="Times New Roman" w:cs="Times New Roman"/>
          <w:bCs/>
          <w:color w:val="222222"/>
          <w:sz w:val="24"/>
          <w:szCs w:val="24"/>
          <w:shd w:val="clear" w:color="auto" w:fill="FFFFFF"/>
        </w:rPr>
        <w:t xml:space="preserve"> mortality (columns) in a 4 by 4 </w:t>
      </w:r>
      <w:r w:rsidRPr="002C6241">
        <w:rPr>
          <w:rFonts w:ascii="Times New Roman" w:eastAsia="Book Antiqua" w:hAnsi="Times New Roman" w:cs="Times New Roman"/>
          <w:bCs/>
          <w:sz w:val="24"/>
          <w:szCs w:val="24"/>
        </w:rPr>
        <w:t>matrix</w:t>
      </w:r>
      <w:r w:rsidRPr="002C6241">
        <w:rPr>
          <w:rFonts w:ascii="Times New Roman" w:hAnsi="Times New Roman" w:cs="Times New Roman"/>
          <w:bCs/>
          <w:color w:val="222222"/>
          <w:sz w:val="24"/>
          <w:szCs w:val="24"/>
          <w:shd w:val="clear" w:color="auto" w:fill="FFFFFF"/>
        </w:rPr>
        <w:t xml:space="preserve">. </w:t>
      </w:r>
      <w:r w:rsidR="006839A8" w:rsidRPr="002C6241">
        <w:rPr>
          <w:rFonts w:ascii="Times New Roman" w:hAnsi="Times New Roman" w:cs="Times New Roman"/>
          <w:bCs/>
          <w:color w:val="222222"/>
          <w:sz w:val="24"/>
          <w:szCs w:val="24"/>
          <w:shd w:val="clear" w:color="auto" w:fill="FFFFFF"/>
        </w:rPr>
        <w:lastRenderedPageBreak/>
        <w:t>Based on this construction, the</w:t>
      </w:r>
      <w:r w:rsidRPr="002C6241">
        <w:rPr>
          <w:rFonts w:ascii="Times New Roman" w:hAnsi="Times New Roman" w:cs="Times New Roman"/>
          <w:bCs/>
          <w:color w:val="222222"/>
          <w:sz w:val="24"/>
          <w:szCs w:val="24"/>
          <w:shd w:val="clear" w:color="auto" w:fill="FFFFFF"/>
        </w:rPr>
        <w:t xml:space="preserve"> diagonal of this </w:t>
      </w:r>
      <w:r w:rsidRPr="002C6241">
        <w:rPr>
          <w:rFonts w:ascii="Times New Roman" w:eastAsia="Book Antiqua" w:hAnsi="Times New Roman" w:cs="Times New Roman"/>
          <w:bCs/>
          <w:sz w:val="24"/>
          <w:szCs w:val="24"/>
        </w:rPr>
        <w:t>matrix</w:t>
      </w:r>
      <w:r w:rsidRPr="002C6241">
        <w:rPr>
          <w:rFonts w:ascii="Times New Roman" w:hAnsi="Times New Roman" w:cs="Times New Roman"/>
          <w:bCs/>
          <w:color w:val="222222"/>
          <w:sz w:val="24"/>
          <w:szCs w:val="24"/>
          <w:shd w:val="clear" w:color="auto" w:fill="FFFFFF"/>
        </w:rPr>
        <w:t xml:space="preserve"> reports 6</w:t>
      </w:r>
      <w:r w:rsidR="006841AE" w:rsidRPr="002C6241">
        <w:rPr>
          <w:rFonts w:ascii="Times New Roman" w:hAnsi="Times New Roman" w:cs="Times New Roman"/>
          <w:bCs/>
          <w:color w:val="222222"/>
          <w:sz w:val="24"/>
          <w:szCs w:val="24"/>
          <w:shd w:val="clear" w:color="auto" w:fill="FFFFFF"/>
        </w:rPr>
        <w:t>8</w:t>
      </w:r>
      <w:r w:rsidRPr="002C6241">
        <w:rPr>
          <w:rFonts w:ascii="Times New Roman" w:hAnsi="Times New Roman" w:cs="Times New Roman"/>
          <w:bCs/>
          <w:color w:val="222222"/>
          <w:sz w:val="24"/>
          <w:szCs w:val="24"/>
          <w:shd w:val="clear" w:color="auto" w:fill="FFFFFF"/>
        </w:rPr>
        <w:t xml:space="preserve"> countries that are in the same mortality quartile under both the official and excess counts</w:t>
      </w:r>
      <w:r w:rsidR="006839A8" w:rsidRPr="002C6241">
        <w:rPr>
          <w:rFonts w:ascii="Times New Roman" w:hAnsi="Times New Roman" w:cs="Times New Roman"/>
          <w:bCs/>
          <w:color w:val="222222"/>
          <w:sz w:val="24"/>
          <w:szCs w:val="24"/>
          <w:shd w:val="clear" w:color="auto" w:fill="FFFFFF"/>
        </w:rPr>
        <w:t xml:space="preserve"> (i.e., Australia is ranked in the lowest mortality quartile regardless of whether this is calculated based on their official deaths or their excess deaths)</w:t>
      </w:r>
      <w:r w:rsidRPr="002C6241">
        <w:rPr>
          <w:rFonts w:ascii="Times New Roman" w:hAnsi="Times New Roman" w:cs="Times New Roman"/>
          <w:bCs/>
          <w:color w:val="222222"/>
          <w:sz w:val="24"/>
          <w:szCs w:val="24"/>
          <w:shd w:val="clear" w:color="auto" w:fill="FFFFFF"/>
        </w:rPr>
        <w:t>. Th</w:t>
      </w:r>
      <w:r w:rsidR="006839A8" w:rsidRPr="002C6241">
        <w:rPr>
          <w:rFonts w:ascii="Times New Roman" w:hAnsi="Times New Roman" w:cs="Times New Roman"/>
          <w:bCs/>
          <w:color w:val="222222"/>
          <w:sz w:val="24"/>
          <w:szCs w:val="24"/>
          <w:shd w:val="clear" w:color="auto" w:fill="FFFFFF"/>
        </w:rPr>
        <w:t>ese countries</w:t>
      </w:r>
      <w:r w:rsidRPr="002C6241">
        <w:rPr>
          <w:rFonts w:ascii="Times New Roman" w:hAnsi="Times New Roman" w:cs="Times New Roman"/>
          <w:bCs/>
          <w:color w:val="222222"/>
          <w:sz w:val="24"/>
          <w:szCs w:val="24"/>
          <w:shd w:val="clear" w:color="auto" w:fill="FFFFFF"/>
        </w:rPr>
        <w:t xml:space="preserve"> </w:t>
      </w:r>
      <w:r w:rsidR="00870A18" w:rsidRPr="002C6241">
        <w:rPr>
          <w:rFonts w:ascii="Times New Roman" w:hAnsi="Times New Roman" w:cs="Times New Roman"/>
          <w:bCs/>
          <w:color w:val="222222"/>
          <w:sz w:val="24"/>
          <w:szCs w:val="24"/>
          <w:shd w:val="clear" w:color="auto" w:fill="FFFFFF"/>
        </w:rPr>
        <w:t>represent</w:t>
      </w:r>
      <w:r w:rsidRPr="002C6241">
        <w:rPr>
          <w:rFonts w:ascii="Times New Roman" w:hAnsi="Times New Roman" w:cs="Times New Roman"/>
          <w:bCs/>
          <w:color w:val="222222"/>
          <w:sz w:val="24"/>
          <w:szCs w:val="24"/>
          <w:shd w:val="clear" w:color="auto" w:fill="FFFFFF"/>
        </w:rPr>
        <w:t xml:space="preserve"> </w:t>
      </w:r>
      <w:r w:rsidR="00870A18" w:rsidRPr="002C6241">
        <w:rPr>
          <w:rFonts w:ascii="Times New Roman" w:hAnsi="Times New Roman" w:cs="Times New Roman"/>
          <w:bCs/>
          <w:color w:val="222222"/>
          <w:sz w:val="24"/>
          <w:szCs w:val="24"/>
          <w:shd w:val="clear" w:color="auto" w:fill="FFFFFF"/>
        </w:rPr>
        <w:t>a</w:t>
      </w:r>
      <w:r w:rsidR="00A530B7" w:rsidRPr="002C6241">
        <w:rPr>
          <w:rFonts w:ascii="Times New Roman" w:hAnsi="Times New Roman" w:cs="Times New Roman"/>
          <w:bCs/>
          <w:color w:val="222222"/>
          <w:sz w:val="24"/>
          <w:szCs w:val="24"/>
          <w:shd w:val="clear" w:color="auto" w:fill="FFFFFF"/>
        </w:rPr>
        <w:t>bout</w:t>
      </w:r>
      <w:r w:rsidR="0080119E" w:rsidRPr="002C6241">
        <w:rPr>
          <w:rFonts w:ascii="Times New Roman" w:hAnsi="Times New Roman" w:cs="Times New Roman"/>
          <w:bCs/>
          <w:color w:val="222222"/>
          <w:sz w:val="24"/>
          <w:szCs w:val="24"/>
          <w:shd w:val="clear" w:color="auto" w:fill="FFFFFF"/>
        </w:rPr>
        <w:t xml:space="preserve"> 37</w:t>
      </w:r>
      <w:r w:rsidR="00870A18" w:rsidRPr="002C6241">
        <w:rPr>
          <w:rFonts w:ascii="Times New Roman" w:hAnsi="Times New Roman" w:cs="Times New Roman"/>
          <w:bCs/>
          <w:color w:val="222222"/>
          <w:sz w:val="24"/>
          <w:szCs w:val="24"/>
          <w:shd w:val="clear" w:color="auto" w:fill="FFFFFF"/>
        </w:rPr>
        <w:t xml:space="preserve">% </w:t>
      </w:r>
      <w:r w:rsidRPr="002C6241">
        <w:rPr>
          <w:rFonts w:ascii="Times New Roman" w:hAnsi="Times New Roman" w:cs="Times New Roman"/>
          <w:bCs/>
          <w:color w:val="222222"/>
          <w:sz w:val="24"/>
          <w:szCs w:val="24"/>
          <w:shd w:val="clear" w:color="auto" w:fill="FFFFFF"/>
        </w:rPr>
        <w:t xml:space="preserve">of the </w:t>
      </w:r>
      <w:r w:rsidR="006839A8" w:rsidRPr="002C6241">
        <w:rPr>
          <w:rFonts w:ascii="Times New Roman" w:hAnsi="Times New Roman" w:cs="Times New Roman"/>
          <w:bCs/>
          <w:color w:val="222222"/>
          <w:sz w:val="24"/>
          <w:szCs w:val="24"/>
          <w:shd w:val="clear" w:color="auto" w:fill="FFFFFF"/>
        </w:rPr>
        <w:t xml:space="preserve">global </w:t>
      </w:r>
      <w:r w:rsidRPr="002C6241">
        <w:rPr>
          <w:rFonts w:ascii="Times New Roman" w:hAnsi="Times New Roman" w:cs="Times New Roman"/>
          <w:bCs/>
          <w:color w:val="222222"/>
          <w:sz w:val="24"/>
          <w:szCs w:val="24"/>
          <w:shd w:val="clear" w:color="auto" w:fill="FFFFFF"/>
        </w:rPr>
        <w:t xml:space="preserve">sample. In contrast, the ranking of countries that are further away from the </w:t>
      </w:r>
      <w:r w:rsidR="00822A55" w:rsidRPr="002C6241">
        <w:rPr>
          <w:rFonts w:ascii="Times New Roman" w:hAnsi="Times New Roman" w:cs="Times New Roman"/>
          <w:bCs/>
          <w:color w:val="222222"/>
          <w:sz w:val="24"/>
          <w:szCs w:val="24"/>
          <w:shd w:val="clear" w:color="auto" w:fill="FFFFFF"/>
        </w:rPr>
        <w:t xml:space="preserve">main </w:t>
      </w:r>
      <w:r w:rsidRPr="002C6241">
        <w:rPr>
          <w:rFonts w:ascii="Times New Roman" w:hAnsi="Times New Roman" w:cs="Times New Roman"/>
          <w:bCs/>
          <w:color w:val="222222"/>
          <w:sz w:val="24"/>
          <w:szCs w:val="24"/>
          <w:shd w:val="clear" w:color="auto" w:fill="FFFFFF"/>
        </w:rPr>
        <w:t>diagonal differ more between the</w:t>
      </w:r>
      <w:r w:rsidR="00CD5A48" w:rsidRPr="002C6241">
        <w:rPr>
          <w:rFonts w:ascii="Times New Roman" w:hAnsi="Times New Roman" w:cs="Times New Roman"/>
          <w:bCs/>
          <w:color w:val="222222"/>
          <w:sz w:val="24"/>
          <w:szCs w:val="24"/>
          <w:shd w:val="clear" w:color="auto" w:fill="FFFFFF"/>
        </w:rPr>
        <w:t>ir</w:t>
      </w:r>
      <w:r w:rsidRPr="002C6241">
        <w:rPr>
          <w:rFonts w:ascii="Times New Roman" w:hAnsi="Times New Roman" w:cs="Times New Roman"/>
          <w:bCs/>
          <w:color w:val="222222"/>
          <w:sz w:val="24"/>
          <w:szCs w:val="24"/>
          <w:shd w:val="clear" w:color="auto" w:fill="FFFFFF"/>
        </w:rPr>
        <w:t xml:space="preserve"> official and excess </w:t>
      </w:r>
      <w:r w:rsidR="00CD5A48" w:rsidRPr="002C6241">
        <w:rPr>
          <w:rFonts w:ascii="Times New Roman" w:hAnsi="Times New Roman" w:cs="Times New Roman"/>
          <w:bCs/>
          <w:color w:val="222222"/>
          <w:sz w:val="24"/>
          <w:szCs w:val="24"/>
          <w:shd w:val="clear" w:color="auto" w:fill="FFFFFF"/>
        </w:rPr>
        <w:t xml:space="preserve">mortality </w:t>
      </w:r>
      <w:r w:rsidRPr="002C6241">
        <w:rPr>
          <w:rFonts w:ascii="Times New Roman" w:hAnsi="Times New Roman" w:cs="Times New Roman"/>
          <w:bCs/>
          <w:color w:val="222222"/>
          <w:sz w:val="24"/>
          <w:szCs w:val="24"/>
          <w:shd w:val="clear" w:color="auto" w:fill="FFFFFF"/>
        </w:rPr>
        <w:t>counts.</w:t>
      </w:r>
      <w:r w:rsidR="00822A55" w:rsidRPr="00CD2BFD">
        <w:rPr>
          <w:rFonts w:ascii="Times New Roman" w:hAnsi="Times New Roman" w:cs="Times New Roman"/>
          <w:b/>
          <w:color w:val="222222"/>
          <w:sz w:val="24"/>
          <w:szCs w:val="24"/>
          <w:shd w:val="clear" w:color="auto" w:fill="FFFFFF"/>
        </w:rPr>
        <w:t xml:space="preserve"> For example, Sudan is far removed from the main diagonal — ranking at the highest quartile based on excess mortality measures, but the lowest quartile based on official mortality.</w:t>
      </w:r>
      <w:r w:rsidRPr="00CD2BFD">
        <w:rPr>
          <w:rFonts w:ascii="Times New Roman" w:hAnsi="Times New Roman" w:cs="Times New Roman"/>
          <w:b/>
          <w:color w:val="222222"/>
          <w:sz w:val="24"/>
          <w:szCs w:val="24"/>
          <w:shd w:val="clear" w:color="auto" w:fill="FFFFFF"/>
        </w:rPr>
        <w:t xml:space="preserve"> </w:t>
      </w:r>
      <w:r w:rsidR="00021824" w:rsidRPr="00CD2BFD">
        <w:rPr>
          <w:rFonts w:ascii="Times New Roman" w:hAnsi="Times New Roman" w:cs="Times New Roman"/>
          <w:b/>
          <w:color w:val="222222"/>
          <w:sz w:val="24"/>
          <w:szCs w:val="24"/>
          <w:shd w:val="clear" w:color="auto" w:fill="FFFFFF"/>
        </w:rPr>
        <w:t xml:space="preserve">Other examples include </w:t>
      </w:r>
      <w:r w:rsidR="00021824" w:rsidRPr="00CD2BFD">
        <w:rPr>
          <w:rFonts w:ascii="Times New Roman" w:eastAsia="Times New Roman" w:hAnsi="Times New Roman" w:cs="Times New Roman"/>
          <w:b/>
          <w:color w:val="222222"/>
          <w:sz w:val="24"/>
          <w:szCs w:val="24"/>
        </w:rPr>
        <w:t>France, which ranks in the 4</w:t>
      </w:r>
      <w:r w:rsidR="00021824" w:rsidRPr="00CD2BFD">
        <w:rPr>
          <w:rFonts w:ascii="Times New Roman" w:eastAsia="Times New Roman" w:hAnsi="Times New Roman" w:cs="Times New Roman"/>
          <w:b/>
          <w:color w:val="222222"/>
          <w:sz w:val="24"/>
          <w:szCs w:val="24"/>
          <w:vertAlign w:val="superscript"/>
        </w:rPr>
        <w:t>th</w:t>
      </w:r>
      <w:r w:rsidR="00021824" w:rsidRPr="00CD2BFD">
        <w:rPr>
          <w:rFonts w:ascii="Times New Roman" w:eastAsia="Times New Roman" w:hAnsi="Times New Roman" w:cs="Times New Roman"/>
          <w:b/>
          <w:color w:val="222222"/>
          <w:sz w:val="24"/>
          <w:szCs w:val="24"/>
        </w:rPr>
        <w:t xml:space="preserve"> quartile in terms of official mortality but ranks in the 2</w:t>
      </w:r>
      <w:r w:rsidR="00021824" w:rsidRPr="00CD2BFD">
        <w:rPr>
          <w:rFonts w:ascii="Times New Roman" w:eastAsia="Times New Roman" w:hAnsi="Times New Roman" w:cs="Times New Roman"/>
          <w:b/>
          <w:color w:val="222222"/>
          <w:sz w:val="24"/>
          <w:szCs w:val="24"/>
          <w:vertAlign w:val="superscript"/>
        </w:rPr>
        <w:t>nd</w:t>
      </w:r>
      <w:r w:rsidR="00021824" w:rsidRPr="00CD2BFD">
        <w:rPr>
          <w:rFonts w:ascii="Times New Roman" w:eastAsia="Times New Roman" w:hAnsi="Times New Roman" w:cs="Times New Roman"/>
          <w:b/>
          <w:color w:val="222222"/>
          <w:sz w:val="24"/>
          <w:szCs w:val="24"/>
        </w:rPr>
        <w:t xml:space="preserve"> quartile in terms of excess mortality or Bangladesh, which is in the 2</w:t>
      </w:r>
      <w:r w:rsidR="00021824" w:rsidRPr="00CD2BFD">
        <w:rPr>
          <w:rFonts w:ascii="Times New Roman" w:eastAsia="Times New Roman" w:hAnsi="Times New Roman" w:cs="Times New Roman"/>
          <w:b/>
          <w:color w:val="222222"/>
          <w:sz w:val="24"/>
          <w:szCs w:val="24"/>
          <w:vertAlign w:val="superscript"/>
        </w:rPr>
        <w:t>nd</w:t>
      </w:r>
      <w:r w:rsidR="00021824" w:rsidRPr="00CD2BFD">
        <w:rPr>
          <w:rFonts w:ascii="Times New Roman" w:eastAsia="Times New Roman" w:hAnsi="Times New Roman" w:cs="Times New Roman"/>
          <w:b/>
          <w:color w:val="222222"/>
          <w:sz w:val="24"/>
          <w:szCs w:val="24"/>
        </w:rPr>
        <w:t xml:space="preserve"> quartile in terms of official mortality but is in the 4</w:t>
      </w:r>
      <w:r w:rsidR="00021824" w:rsidRPr="00CD2BFD">
        <w:rPr>
          <w:rFonts w:ascii="Times New Roman" w:eastAsia="Times New Roman" w:hAnsi="Times New Roman" w:cs="Times New Roman"/>
          <w:b/>
          <w:color w:val="222222"/>
          <w:sz w:val="24"/>
          <w:szCs w:val="24"/>
          <w:vertAlign w:val="superscript"/>
        </w:rPr>
        <w:t>th</w:t>
      </w:r>
      <w:r w:rsidR="00021824" w:rsidRPr="00CD2BFD">
        <w:rPr>
          <w:rFonts w:ascii="Times New Roman" w:eastAsia="Times New Roman" w:hAnsi="Times New Roman" w:cs="Times New Roman"/>
          <w:b/>
          <w:color w:val="222222"/>
          <w:sz w:val="24"/>
          <w:szCs w:val="24"/>
        </w:rPr>
        <w:t xml:space="preserve"> quartile in terms of excess mortality. </w:t>
      </w:r>
      <w:r w:rsidR="00CD5A48" w:rsidRPr="00CD2BFD">
        <w:rPr>
          <w:rFonts w:ascii="Times New Roman" w:hAnsi="Times New Roman" w:cs="Times New Roman"/>
          <w:b/>
          <w:color w:val="222222"/>
          <w:sz w:val="24"/>
          <w:szCs w:val="24"/>
          <w:shd w:val="clear" w:color="auto" w:fill="FFFFFF"/>
        </w:rPr>
        <w:t>We proceed</w:t>
      </w:r>
      <w:r w:rsidRPr="00CD2BFD">
        <w:rPr>
          <w:rFonts w:ascii="Times New Roman" w:hAnsi="Times New Roman" w:cs="Times New Roman"/>
          <w:b/>
          <w:color w:val="222222"/>
          <w:sz w:val="24"/>
          <w:szCs w:val="24"/>
          <w:shd w:val="clear" w:color="auto" w:fill="FFFFFF"/>
        </w:rPr>
        <w:t xml:space="preserve"> by focusing on </w:t>
      </w:r>
      <w:r w:rsidR="006839A8" w:rsidRPr="00CD2BFD">
        <w:rPr>
          <w:rFonts w:ascii="Times New Roman" w:hAnsi="Times New Roman" w:cs="Times New Roman"/>
          <w:b/>
          <w:color w:val="222222"/>
          <w:sz w:val="24"/>
          <w:szCs w:val="24"/>
          <w:shd w:val="clear" w:color="auto" w:fill="FFFFFF"/>
        </w:rPr>
        <w:t xml:space="preserve">these </w:t>
      </w:r>
      <w:r w:rsidRPr="00CD2BFD">
        <w:rPr>
          <w:rFonts w:ascii="Times New Roman" w:hAnsi="Times New Roman" w:cs="Times New Roman"/>
          <w:b/>
          <w:color w:val="222222"/>
          <w:sz w:val="24"/>
          <w:szCs w:val="24"/>
          <w:shd w:val="clear" w:color="auto" w:fill="FFFFFF"/>
        </w:rPr>
        <w:t xml:space="preserve">countries </w:t>
      </w:r>
      <w:r w:rsidR="006839A8" w:rsidRPr="00CD2BFD">
        <w:rPr>
          <w:rFonts w:ascii="Times New Roman" w:hAnsi="Times New Roman" w:cs="Times New Roman"/>
          <w:b/>
          <w:color w:val="222222"/>
          <w:sz w:val="24"/>
          <w:szCs w:val="24"/>
          <w:shd w:val="clear" w:color="auto" w:fill="FFFFFF"/>
        </w:rPr>
        <w:t xml:space="preserve">— and in particular the subset of countries </w:t>
      </w:r>
      <w:r w:rsidRPr="00CD2BFD">
        <w:rPr>
          <w:rFonts w:ascii="Times New Roman" w:hAnsi="Times New Roman" w:cs="Times New Roman"/>
          <w:b/>
          <w:color w:val="222222"/>
          <w:sz w:val="24"/>
          <w:szCs w:val="24"/>
          <w:shd w:val="clear" w:color="auto" w:fill="FFFFFF"/>
        </w:rPr>
        <w:t xml:space="preserve">whose </w:t>
      </w:r>
      <w:r w:rsidR="006839A8" w:rsidRPr="00CD2BFD">
        <w:rPr>
          <w:rFonts w:ascii="Times New Roman" w:hAnsi="Times New Roman" w:cs="Times New Roman"/>
          <w:b/>
          <w:color w:val="222222"/>
          <w:sz w:val="24"/>
          <w:szCs w:val="24"/>
          <w:shd w:val="clear" w:color="auto" w:fill="FFFFFF"/>
        </w:rPr>
        <w:t xml:space="preserve">rankings </w:t>
      </w:r>
      <w:r w:rsidRPr="00CD2BFD">
        <w:rPr>
          <w:rFonts w:ascii="Times New Roman" w:hAnsi="Times New Roman" w:cs="Times New Roman"/>
          <w:b/>
          <w:color w:val="222222"/>
          <w:sz w:val="24"/>
          <w:szCs w:val="24"/>
          <w:shd w:val="clear" w:color="auto" w:fill="FFFFFF"/>
        </w:rPr>
        <w:t>differ between the</w:t>
      </w:r>
      <w:r w:rsidR="00CD5A48" w:rsidRPr="00CD2BFD">
        <w:rPr>
          <w:rFonts w:ascii="Times New Roman" w:hAnsi="Times New Roman" w:cs="Times New Roman"/>
          <w:b/>
          <w:color w:val="222222"/>
          <w:sz w:val="24"/>
          <w:szCs w:val="24"/>
          <w:shd w:val="clear" w:color="auto" w:fill="FFFFFF"/>
        </w:rPr>
        <w:t>se</w:t>
      </w:r>
      <w:r w:rsidRPr="00CD2BFD">
        <w:rPr>
          <w:rFonts w:ascii="Times New Roman" w:hAnsi="Times New Roman" w:cs="Times New Roman"/>
          <w:b/>
          <w:color w:val="222222"/>
          <w:sz w:val="24"/>
          <w:szCs w:val="24"/>
          <w:shd w:val="clear" w:color="auto" w:fill="FFFFFF"/>
        </w:rPr>
        <w:t xml:space="preserve"> two </w:t>
      </w:r>
      <w:r w:rsidR="00CD5A48" w:rsidRPr="00CD2BFD">
        <w:rPr>
          <w:rFonts w:ascii="Times New Roman" w:hAnsi="Times New Roman" w:cs="Times New Roman"/>
          <w:b/>
          <w:color w:val="222222"/>
          <w:sz w:val="24"/>
          <w:szCs w:val="24"/>
          <w:shd w:val="clear" w:color="auto" w:fill="FFFFFF"/>
        </w:rPr>
        <w:t xml:space="preserve">metrics (official and excess) </w:t>
      </w:r>
      <w:r w:rsidRPr="00CD2BFD">
        <w:rPr>
          <w:rFonts w:ascii="Times New Roman" w:hAnsi="Times New Roman" w:cs="Times New Roman"/>
          <w:b/>
          <w:color w:val="222222"/>
          <w:sz w:val="24"/>
          <w:szCs w:val="24"/>
          <w:shd w:val="clear" w:color="auto" w:fill="FFFFFF"/>
        </w:rPr>
        <w:t xml:space="preserve">by at least two quartiles. </w:t>
      </w:r>
    </w:p>
    <w:p w14:paraId="7E3404F3" w14:textId="7C6133C5" w:rsidR="003E2BB9" w:rsidRPr="00CD2BFD" w:rsidRDefault="0067507C" w:rsidP="00245CBF">
      <w:pPr>
        <w:spacing w:after="0" w:line="360" w:lineRule="auto"/>
        <w:ind w:firstLine="720"/>
        <w:contextualSpacing/>
        <w:rPr>
          <w:rFonts w:ascii="Times New Roman" w:hAnsi="Times New Roman" w:cs="Times New Roman"/>
          <w:b/>
          <w:bCs/>
          <w:color w:val="222222"/>
          <w:sz w:val="24"/>
          <w:szCs w:val="24"/>
          <w:shd w:val="clear" w:color="auto" w:fill="FFFFFF"/>
        </w:rPr>
      </w:pPr>
      <w:r w:rsidRPr="00CD2BFD">
        <w:rPr>
          <w:rFonts w:ascii="Times New Roman" w:hAnsi="Times New Roman" w:cs="Times New Roman"/>
          <w:b/>
          <w:bCs/>
          <w:color w:val="222222"/>
          <w:sz w:val="24"/>
          <w:szCs w:val="24"/>
          <w:shd w:val="clear" w:color="auto" w:fill="FFFFFF"/>
        </w:rPr>
        <w:t>Note</w:t>
      </w:r>
      <w:r w:rsidR="00A92170" w:rsidRPr="00CD2BFD">
        <w:rPr>
          <w:rFonts w:ascii="Times New Roman" w:hAnsi="Times New Roman" w:cs="Times New Roman"/>
          <w:b/>
          <w:bCs/>
          <w:color w:val="222222"/>
          <w:sz w:val="24"/>
          <w:szCs w:val="24"/>
          <w:shd w:val="clear" w:color="auto" w:fill="FFFFFF"/>
        </w:rPr>
        <w:t xml:space="preserve"> that the mortality ranges of countries</w:t>
      </w:r>
      <w:r w:rsidRPr="00CD2BFD">
        <w:rPr>
          <w:rFonts w:ascii="Times New Roman" w:hAnsi="Times New Roman" w:cs="Times New Roman"/>
          <w:b/>
          <w:bCs/>
          <w:color w:val="222222"/>
          <w:sz w:val="24"/>
          <w:szCs w:val="24"/>
          <w:shd w:val="clear" w:color="auto" w:fill="FFFFFF"/>
        </w:rPr>
        <w:t xml:space="preserve"> given their</w:t>
      </w:r>
      <w:r w:rsidR="00F00CB3" w:rsidRPr="00CD2BFD">
        <w:rPr>
          <w:rFonts w:ascii="Times New Roman" w:hAnsi="Times New Roman" w:cs="Times New Roman"/>
          <w:b/>
          <w:bCs/>
          <w:color w:val="222222"/>
          <w:sz w:val="24"/>
          <w:szCs w:val="24"/>
          <w:shd w:val="clear" w:color="auto" w:fill="FFFFFF"/>
        </w:rPr>
        <w:t xml:space="preserve"> respective</w:t>
      </w:r>
      <w:r w:rsidRPr="00CD2BFD">
        <w:rPr>
          <w:rFonts w:ascii="Times New Roman" w:hAnsi="Times New Roman" w:cs="Times New Roman"/>
          <w:b/>
          <w:bCs/>
          <w:color w:val="222222"/>
          <w:sz w:val="24"/>
          <w:szCs w:val="24"/>
          <w:shd w:val="clear" w:color="auto" w:fill="FFFFFF"/>
        </w:rPr>
        <w:t xml:space="preserve"> quartile rankings are quite heterogenous. For example, the net difference in the range of official </w:t>
      </w:r>
      <w:proofErr w:type="spellStart"/>
      <w:r w:rsidR="002010D2" w:rsidRPr="00CD2BFD">
        <w:rPr>
          <w:rFonts w:ascii="Times New Roman" w:hAnsi="Times New Roman" w:cs="Times New Roman"/>
          <w:b/>
          <w:bCs/>
          <w:color w:val="222222"/>
          <w:sz w:val="24"/>
          <w:szCs w:val="24"/>
          <w:shd w:val="clear" w:color="auto" w:fill="FFFFFF"/>
        </w:rPr>
        <w:t>Covid</w:t>
      </w:r>
      <w:proofErr w:type="spellEnd"/>
      <w:r w:rsidR="002010D2" w:rsidRPr="00CD2BFD">
        <w:rPr>
          <w:rFonts w:ascii="Times New Roman" w:hAnsi="Times New Roman" w:cs="Times New Roman"/>
          <w:b/>
          <w:bCs/>
          <w:color w:val="222222"/>
          <w:sz w:val="24"/>
          <w:szCs w:val="24"/>
          <w:shd w:val="clear" w:color="auto" w:fill="FFFFFF"/>
        </w:rPr>
        <w:t xml:space="preserve"> </w:t>
      </w:r>
      <w:r w:rsidRPr="00CD2BFD">
        <w:rPr>
          <w:rFonts w:ascii="Times New Roman" w:hAnsi="Times New Roman" w:cs="Times New Roman"/>
          <w:b/>
          <w:bCs/>
          <w:color w:val="222222"/>
          <w:sz w:val="24"/>
          <w:szCs w:val="24"/>
          <w:shd w:val="clear" w:color="auto" w:fill="FFFFFF"/>
        </w:rPr>
        <w:t xml:space="preserve">mortality in the first quartile is roughly 100 deaths per million (range: 3.1 – 100.3). However, the gap in </w:t>
      </w:r>
      <w:r w:rsidR="00F00CB3" w:rsidRPr="00CD2BFD">
        <w:rPr>
          <w:rFonts w:ascii="Times New Roman" w:hAnsi="Times New Roman" w:cs="Times New Roman"/>
          <w:b/>
          <w:bCs/>
          <w:color w:val="222222"/>
          <w:sz w:val="24"/>
          <w:szCs w:val="24"/>
          <w:shd w:val="clear" w:color="auto" w:fill="FFFFFF"/>
        </w:rPr>
        <w:t xml:space="preserve">these </w:t>
      </w:r>
      <w:r w:rsidRPr="00CD2BFD">
        <w:rPr>
          <w:rFonts w:ascii="Times New Roman" w:hAnsi="Times New Roman" w:cs="Times New Roman"/>
          <w:b/>
          <w:bCs/>
          <w:color w:val="222222"/>
          <w:sz w:val="24"/>
          <w:szCs w:val="24"/>
          <w:shd w:val="clear" w:color="auto" w:fill="FFFFFF"/>
        </w:rPr>
        <w:t>range</w:t>
      </w:r>
      <w:r w:rsidR="00F00CB3" w:rsidRPr="00CD2BFD">
        <w:rPr>
          <w:rFonts w:ascii="Times New Roman" w:hAnsi="Times New Roman" w:cs="Times New Roman"/>
          <w:b/>
          <w:bCs/>
          <w:color w:val="222222"/>
          <w:sz w:val="24"/>
          <w:szCs w:val="24"/>
          <w:shd w:val="clear" w:color="auto" w:fill="FFFFFF"/>
        </w:rPr>
        <w:t>s steadily</w:t>
      </w:r>
      <w:r w:rsidRPr="00CD2BFD">
        <w:rPr>
          <w:rFonts w:ascii="Times New Roman" w:hAnsi="Times New Roman" w:cs="Times New Roman"/>
          <w:b/>
          <w:bCs/>
          <w:color w:val="222222"/>
          <w:sz w:val="24"/>
          <w:szCs w:val="24"/>
          <w:shd w:val="clear" w:color="auto" w:fill="FFFFFF"/>
        </w:rPr>
        <w:t xml:space="preserve"> increases for higher quartiles (in the fourth quartile, the net range for official mortality is roughly 4</w:t>
      </w:r>
      <w:r w:rsidR="0002223B" w:rsidRPr="00CD2BFD">
        <w:rPr>
          <w:rFonts w:ascii="Times New Roman" w:hAnsi="Times New Roman" w:cs="Times New Roman"/>
          <w:b/>
          <w:bCs/>
          <w:color w:val="222222"/>
          <w:sz w:val="24"/>
          <w:szCs w:val="24"/>
          <w:shd w:val="clear" w:color="auto" w:fill="FFFFFF"/>
        </w:rPr>
        <w:t>,</w:t>
      </w:r>
      <w:r w:rsidRPr="00CD2BFD">
        <w:rPr>
          <w:rFonts w:ascii="Times New Roman" w:hAnsi="Times New Roman" w:cs="Times New Roman"/>
          <w:b/>
          <w:bCs/>
          <w:color w:val="222222"/>
          <w:sz w:val="24"/>
          <w:szCs w:val="24"/>
          <w:shd w:val="clear" w:color="auto" w:fill="FFFFFF"/>
        </w:rPr>
        <w:t>50</w:t>
      </w:r>
      <w:r w:rsidR="000E4B1C" w:rsidRPr="00CD2BFD">
        <w:rPr>
          <w:rFonts w:ascii="Times New Roman" w:hAnsi="Times New Roman" w:cs="Times New Roman"/>
          <w:b/>
          <w:bCs/>
          <w:color w:val="222222"/>
          <w:sz w:val="24"/>
          <w:szCs w:val="24"/>
          <w:shd w:val="clear" w:color="auto" w:fill="FFFFFF"/>
        </w:rPr>
        <w:t>0</w:t>
      </w:r>
      <w:r w:rsidRPr="00CD2BFD">
        <w:rPr>
          <w:rFonts w:ascii="Times New Roman" w:hAnsi="Times New Roman" w:cs="Times New Roman"/>
          <w:b/>
          <w:bCs/>
          <w:color w:val="222222"/>
          <w:sz w:val="24"/>
          <w:szCs w:val="24"/>
          <w:shd w:val="clear" w:color="auto" w:fill="FFFFFF"/>
        </w:rPr>
        <w:t xml:space="preserve"> deaths per</w:t>
      </w:r>
      <w:r w:rsidR="00BB7F76" w:rsidRPr="00CD2BFD">
        <w:rPr>
          <w:rFonts w:ascii="Times New Roman" w:hAnsi="Times New Roman" w:cs="Times New Roman"/>
          <w:b/>
          <w:bCs/>
          <w:color w:val="222222"/>
          <w:sz w:val="24"/>
          <w:szCs w:val="24"/>
          <w:shd w:val="clear" w:color="auto" w:fill="FFFFFF"/>
        </w:rPr>
        <w:t>-</w:t>
      </w:r>
      <w:r w:rsidRPr="00CD2BFD">
        <w:rPr>
          <w:rFonts w:ascii="Times New Roman" w:hAnsi="Times New Roman" w:cs="Times New Roman"/>
          <w:b/>
          <w:bCs/>
          <w:color w:val="222222"/>
          <w:sz w:val="24"/>
          <w:szCs w:val="24"/>
          <w:shd w:val="clear" w:color="auto" w:fill="FFFFFF"/>
        </w:rPr>
        <w:t>million given the range</w:t>
      </w:r>
      <w:r w:rsidR="002010D2" w:rsidRPr="00CD2BFD">
        <w:rPr>
          <w:rFonts w:ascii="Times New Roman" w:hAnsi="Times New Roman" w:cs="Times New Roman"/>
          <w:b/>
          <w:bCs/>
          <w:color w:val="222222"/>
          <w:sz w:val="24"/>
          <w:szCs w:val="24"/>
          <w:shd w:val="clear" w:color="auto" w:fill="FFFFFF"/>
        </w:rPr>
        <w:t xml:space="preserve"> of</w:t>
      </w:r>
      <w:r w:rsidRPr="00CD2BFD">
        <w:rPr>
          <w:rFonts w:ascii="Times New Roman" w:hAnsi="Times New Roman" w:cs="Times New Roman"/>
          <w:b/>
          <w:bCs/>
          <w:color w:val="222222"/>
          <w:sz w:val="24"/>
          <w:szCs w:val="24"/>
          <w:shd w:val="clear" w:color="auto" w:fill="FFFFFF"/>
        </w:rPr>
        <w:t xml:space="preserve"> 1,545.8 – 6,071.7). </w:t>
      </w:r>
      <w:r w:rsidR="00164807" w:rsidRPr="00CD2BFD">
        <w:rPr>
          <w:rFonts w:ascii="Times New Roman" w:hAnsi="Times New Roman" w:cs="Times New Roman"/>
          <w:b/>
          <w:bCs/>
          <w:color w:val="222222"/>
          <w:sz w:val="24"/>
          <w:szCs w:val="24"/>
          <w:shd w:val="clear" w:color="auto" w:fill="FFFFFF"/>
        </w:rPr>
        <w:t>E</w:t>
      </w:r>
      <w:r w:rsidRPr="00CD2BFD">
        <w:rPr>
          <w:rFonts w:ascii="Times New Roman" w:hAnsi="Times New Roman" w:cs="Times New Roman"/>
          <w:b/>
          <w:bCs/>
          <w:color w:val="222222"/>
          <w:sz w:val="24"/>
          <w:szCs w:val="24"/>
          <w:shd w:val="clear" w:color="auto" w:fill="FFFFFF"/>
        </w:rPr>
        <w:t xml:space="preserve">xamining quartiles based on excess mortalities, </w:t>
      </w:r>
      <w:r w:rsidR="00474B3B" w:rsidRPr="00CD2BFD">
        <w:rPr>
          <w:rFonts w:ascii="Times New Roman" w:hAnsi="Times New Roman" w:cs="Times New Roman"/>
          <w:b/>
          <w:bCs/>
          <w:color w:val="222222"/>
          <w:sz w:val="24"/>
          <w:szCs w:val="24"/>
          <w:shd w:val="clear" w:color="auto" w:fill="FFFFFF"/>
        </w:rPr>
        <w:t xml:space="preserve">we note that </w:t>
      </w:r>
      <w:r w:rsidR="00653433" w:rsidRPr="00CD2BFD">
        <w:rPr>
          <w:rFonts w:ascii="Times New Roman" w:hAnsi="Times New Roman" w:cs="Times New Roman"/>
          <w:b/>
          <w:bCs/>
          <w:color w:val="222222"/>
          <w:sz w:val="24"/>
          <w:szCs w:val="24"/>
          <w:shd w:val="clear" w:color="auto" w:fill="FFFFFF"/>
        </w:rPr>
        <w:t xml:space="preserve">the </w:t>
      </w:r>
      <w:r w:rsidR="00167E4B" w:rsidRPr="00CD2BFD">
        <w:rPr>
          <w:rFonts w:ascii="Times New Roman" w:hAnsi="Times New Roman" w:cs="Times New Roman"/>
          <w:b/>
          <w:bCs/>
          <w:color w:val="222222"/>
          <w:sz w:val="24"/>
          <w:szCs w:val="24"/>
          <w:shd w:val="clear" w:color="auto" w:fill="FFFFFF"/>
        </w:rPr>
        <w:t xml:space="preserve">first quartile range is </w:t>
      </w:r>
      <w:r w:rsidR="00474B3B" w:rsidRPr="00CD2BFD">
        <w:rPr>
          <w:rFonts w:ascii="Times New Roman" w:hAnsi="Times New Roman" w:cs="Times New Roman"/>
          <w:b/>
          <w:bCs/>
          <w:color w:val="222222"/>
          <w:sz w:val="24"/>
          <w:szCs w:val="24"/>
          <w:shd w:val="clear" w:color="auto" w:fill="FFFFFF"/>
        </w:rPr>
        <w:t xml:space="preserve">from minus 610 to 735, a </w:t>
      </w:r>
      <w:r w:rsidR="003E2BB9" w:rsidRPr="00CD2BFD">
        <w:rPr>
          <w:rFonts w:ascii="Times New Roman" w:hAnsi="Times New Roman" w:cs="Times New Roman"/>
          <w:b/>
          <w:bCs/>
          <w:color w:val="222222"/>
          <w:sz w:val="24"/>
          <w:szCs w:val="24"/>
          <w:shd w:val="clear" w:color="auto" w:fill="FFFFFF"/>
        </w:rPr>
        <w:t xml:space="preserve">net </w:t>
      </w:r>
      <w:r w:rsidR="00474B3B" w:rsidRPr="00CD2BFD">
        <w:rPr>
          <w:rFonts w:ascii="Times New Roman" w:hAnsi="Times New Roman" w:cs="Times New Roman"/>
          <w:b/>
          <w:bCs/>
          <w:color w:val="222222"/>
          <w:sz w:val="24"/>
          <w:szCs w:val="24"/>
          <w:shd w:val="clear" w:color="auto" w:fill="FFFFFF"/>
        </w:rPr>
        <w:t>ra</w:t>
      </w:r>
      <w:r w:rsidR="00D55812" w:rsidRPr="00CD2BFD">
        <w:rPr>
          <w:rFonts w:ascii="Times New Roman" w:hAnsi="Times New Roman" w:cs="Times New Roman"/>
          <w:b/>
          <w:bCs/>
          <w:color w:val="222222"/>
          <w:sz w:val="24"/>
          <w:szCs w:val="24"/>
          <w:shd w:val="clear" w:color="auto" w:fill="FFFFFF"/>
        </w:rPr>
        <w:t>n</w:t>
      </w:r>
      <w:r w:rsidR="00474B3B" w:rsidRPr="00CD2BFD">
        <w:rPr>
          <w:rFonts w:ascii="Times New Roman" w:hAnsi="Times New Roman" w:cs="Times New Roman"/>
          <w:b/>
          <w:bCs/>
          <w:color w:val="222222"/>
          <w:sz w:val="24"/>
          <w:szCs w:val="24"/>
          <w:shd w:val="clear" w:color="auto" w:fill="FFFFFF"/>
        </w:rPr>
        <w:t>ge of 1</w:t>
      </w:r>
      <w:r w:rsidR="0002223B" w:rsidRPr="00CD2BFD">
        <w:rPr>
          <w:rFonts w:ascii="Times New Roman" w:hAnsi="Times New Roman" w:cs="Times New Roman"/>
          <w:b/>
          <w:bCs/>
          <w:color w:val="222222"/>
          <w:sz w:val="24"/>
          <w:szCs w:val="24"/>
          <w:shd w:val="clear" w:color="auto" w:fill="FFFFFF"/>
        </w:rPr>
        <w:t>,</w:t>
      </w:r>
      <w:r w:rsidR="00474B3B" w:rsidRPr="00CD2BFD">
        <w:rPr>
          <w:rFonts w:ascii="Times New Roman" w:hAnsi="Times New Roman" w:cs="Times New Roman"/>
          <w:b/>
          <w:bCs/>
          <w:color w:val="222222"/>
          <w:sz w:val="24"/>
          <w:szCs w:val="24"/>
          <w:shd w:val="clear" w:color="auto" w:fill="FFFFFF"/>
        </w:rPr>
        <w:t>345</w:t>
      </w:r>
      <w:r w:rsidR="0002223B" w:rsidRPr="00CD2BFD">
        <w:rPr>
          <w:rFonts w:ascii="Times New Roman" w:hAnsi="Times New Roman" w:cs="Times New Roman"/>
          <w:b/>
          <w:bCs/>
          <w:color w:val="222222"/>
          <w:sz w:val="24"/>
          <w:szCs w:val="24"/>
          <w:shd w:val="clear" w:color="auto" w:fill="FFFFFF"/>
        </w:rPr>
        <w:t xml:space="preserve"> deaths per million</w:t>
      </w:r>
      <w:r w:rsidR="00474B3B" w:rsidRPr="00CD2BFD">
        <w:rPr>
          <w:rFonts w:ascii="Times New Roman" w:hAnsi="Times New Roman" w:cs="Times New Roman"/>
          <w:b/>
          <w:bCs/>
          <w:color w:val="222222"/>
          <w:sz w:val="24"/>
          <w:szCs w:val="24"/>
          <w:shd w:val="clear" w:color="auto" w:fill="FFFFFF"/>
        </w:rPr>
        <w:t>.  This ra</w:t>
      </w:r>
      <w:r w:rsidR="0002223B" w:rsidRPr="00CD2BFD">
        <w:rPr>
          <w:rFonts w:ascii="Times New Roman" w:hAnsi="Times New Roman" w:cs="Times New Roman"/>
          <w:b/>
          <w:bCs/>
          <w:color w:val="222222"/>
          <w:sz w:val="24"/>
          <w:szCs w:val="24"/>
          <w:shd w:val="clear" w:color="auto" w:fill="FFFFFF"/>
        </w:rPr>
        <w:t>n</w:t>
      </w:r>
      <w:r w:rsidR="00474B3B" w:rsidRPr="00CD2BFD">
        <w:rPr>
          <w:rFonts w:ascii="Times New Roman" w:hAnsi="Times New Roman" w:cs="Times New Roman"/>
          <w:b/>
          <w:bCs/>
          <w:color w:val="222222"/>
          <w:sz w:val="24"/>
          <w:szCs w:val="24"/>
          <w:shd w:val="clear" w:color="auto" w:fill="FFFFFF"/>
        </w:rPr>
        <w:t xml:space="preserve">ge is </w:t>
      </w:r>
      <w:r w:rsidR="00167E4B" w:rsidRPr="00CD2BFD">
        <w:rPr>
          <w:rFonts w:ascii="Times New Roman" w:hAnsi="Times New Roman" w:cs="Times New Roman"/>
          <w:b/>
          <w:bCs/>
          <w:color w:val="222222"/>
          <w:sz w:val="24"/>
          <w:szCs w:val="24"/>
          <w:shd w:val="clear" w:color="auto" w:fill="FFFFFF"/>
        </w:rPr>
        <w:t xml:space="preserve">substantially larger than the one observed for </w:t>
      </w:r>
      <w:r w:rsidR="00474B3B" w:rsidRPr="00CD2BFD">
        <w:rPr>
          <w:rFonts w:ascii="Times New Roman" w:hAnsi="Times New Roman" w:cs="Times New Roman"/>
          <w:b/>
          <w:bCs/>
          <w:color w:val="222222"/>
          <w:sz w:val="24"/>
          <w:szCs w:val="24"/>
          <w:shd w:val="clear" w:color="auto" w:fill="FFFFFF"/>
        </w:rPr>
        <w:t xml:space="preserve">the first quartile of </w:t>
      </w:r>
      <w:r w:rsidR="00167E4B" w:rsidRPr="00CD2BFD">
        <w:rPr>
          <w:rFonts w:ascii="Times New Roman" w:hAnsi="Times New Roman" w:cs="Times New Roman"/>
          <w:b/>
          <w:bCs/>
          <w:color w:val="222222"/>
          <w:sz w:val="24"/>
          <w:szCs w:val="24"/>
          <w:shd w:val="clear" w:color="auto" w:fill="FFFFFF"/>
        </w:rPr>
        <w:t xml:space="preserve">official </w:t>
      </w:r>
      <w:proofErr w:type="spellStart"/>
      <w:r w:rsidR="00164807" w:rsidRPr="00CD2BFD">
        <w:rPr>
          <w:rFonts w:ascii="Times New Roman" w:hAnsi="Times New Roman" w:cs="Times New Roman"/>
          <w:b/>
          <w:bCs/>
          <w:color w:val="222222"/>
          <w:sz w:val="24"/>
          <w:szCs w:val="24"/>
          <w:shd w:val="clear" w:color="auto" w:fill="FFFFFF"/>
        </w:rPr>
        <w:t>Covid</w:t>
      </w:r>
      <w:proofErr w:type="spellEnd"/>
      <w:r w:rsidR="00164807" w:rsidRPr="00CD2BFD">
        <w:rPr>
          <w:rFonts w:ascii="Times New Roman" w:hAnsi="Times New Roman" w:cs="Times New Roman"/>
          <w:b/>
          <w:bCs/>
          <w:color w:val="222222"/>
          <w:sz w:val="24"/>
          <w:szCs w:val="24"/>
          <w:shd w:val="clear" w:color="auto" w:fill="FFFFFF"/>
        </w:rPr>
        <w:t xml:space="preserve"> </w:t>
      </w:r>
      <w:r w:rsidR="00B543CD" w:rsidRPr="00CD2BFD">
        <w:rPr>
          <w:rFonts w:ascii="Times New Roman" w:hAnsi="Times New Roman" w:cs="Times New Roman"/>
          <w:b/>
          <w:bCs/>
          <w:color w:val="222222"/>
          <w:sz w:val="24"/>
          <w:szCs w:val="24"/>
          <w:shd w:val="clear" w:color="auto" w:fill="FFFFFF"/>
        </w:rPr>
        <w:t>mortality</w:t>
      </w:r>
      <w:r w:rsidR="0002223B" w:rsidRPr="00CD2BFD">
        <w:rPr>
          <w:rFonts w:ascii="Times New Roman" w:hAnsi="Times New Roman" w:cs="Times New Roman"/>
          <w:b/>
          <w:bCs/>
          <w:color w:val="222222"/>
          <w:sz w:val="24"/>
          <w:szCs w:val="24"/>
          <w:shd w:val="clear" w:color="auto" w:fill="FFFFFF"/>
        </w:rPr>
        <w:t xml:space="preserve"> (</w:t>
      </w:r>
      <w:r w:rsidR="00474B3B" w:rsidRPr="00CD2BFD">
        <w:rPr>
          <w:rFonts w:ascii="Times New Roman" w:hAnsi="Times New Roman" w:cs="Times New Roman"/>
          <w:b/>
          <w:bCs/>
          <w:color w:val="222222"/>
          <w:sz w:val="24"/>
          <w:szCs w:val="24"/>
          <w:shd w:val="clear" w:color="auto" w:fill="FFFFFF"/>
        </w:rPr>
        <w:t>100</w:t>
      </w:r>
      <w:r w:rsidR="0002223B" w:rsidRPr="00CD2BFD">
        <w:rPr>
          <w:rFonts w:ascii="Times New Roman" w:hAnsi="Times New Roman" w:cs="Times New Roman"/>
          <w:b/>
          <w:bCs/>
          <w:color w:val="222222"/>
          <w:sz w:val="24"/>
          <w:szCs w:val="24"/>
          <w:shd w:val="clear" w:color="auto" w:fill="FFFFFF"/>
        </w:rPr>
        <w:t xml:space="preserve"> deaths per million)</w:t>
      </w:r>
      <w:r w:rsidR="00167E4B" w:rsidRPr="00CD2BFD">
        <w:rPr>
          <w:rFonts w:ascii="Times New Roman" w:hAnsi="Times New Roman" w:cs="Times New Roman"/>
          <w:b/>
          <w:bCs/>
          <w:color w:val="222222"/>
          <w:sz w:val="24"/>
          <w:szCs w:val="24"/>
          <w:shd w:val="clear" w:color="auto" w:fill="FFFFFF"/>
        </w:rPr>
        <w:t>.  T</w:t>
      </w:r>
      <w:r w:rsidRPr="00CD2BFD">
        <w:rPr>
          <w:rFonts w:ascii="Times New Roman" w:hAnsi="Times New Roman" w:cs="Times New Roman"/>
          <w:b/>
          <w:bCs/>
          <w:color w:val="222222"/>
          <w:sz w:val="24"/>
          <w:szCs w:val="24"/>
          <w:shd w:val="clear" w:color="auto" w:fill="FFFFFF"/>
        </w:rPr>
        <w:t xml:space="preserve">he </w:t>
      </w:r>
      <w:r w:rsidR="003E2BB9" w:rsidRPr="00CD2BFD">
        <w:rPr>
          <w:rFonts w:ascii="Times New Roman" w:hAnsi="Times New Roman" w:cs="Times New Roman"/>
          <w:b/>
          <w:bCs/>
          <w:color w:val="222222"/>
          <w:sz w:val="24"/>
          <w:szCs w:val="24"/>
          <w:shd w:val="clear" w:color="auto" w:fill="FFFFFF"/>
        </w:rPr>
        <w:t>net</w:t>
      </w:r>
      <w:r w:rsidR="00920964" w:rsidRPr="00CD2BFD">
        <w:rPr>
          <w:rFonts w:ascii="Times New Roman" w:hAnsi="Times New Roman" w:cs="Times New Roman"/>
          <w:b/>
          <w:bCs/>
          <w:color w:val="222222"/>
          <w:sz w:val="24"/>
          <w:szCs w:val="24"/>
          <w:shd w:val="clear" w:color="auto" w:fill="FFFFFF"/>
        </w:rPr>
        <w:t xml:space="preserve"> </w:t>
      </w:r>
      <w:r w:rsidRPr="00CD2BFD">
        <w:rPr>
          <w:rFonts w:ascii="Times New Roman" w:hAnsi="Times New Roman" w:cs="Times New Roman"/>
          <w:b/>
          <w:bCs/>
          <w:color w:val="222222"/>
          <w:sz w:val="24"/>
          <w:szCs w:val="24"/>
          <w:shd w:val="clear" w:color="auto" w:fill="FFFFFF"/>
        </w:rPr>
        <w:t>difference in the range does not strictly increase as we move to higher quartiles — however the highest excess mortality quartile has a substantially higher net value</w:t>
      </w:r>
      <w:r w:rsidR="00920964" w:rsidRPr="00CD2BFD">
        <w:rPr>
          <w:rFonts w:ascii="Times New Roman" w:hAnsi="Times New Roman" w:cs="Times New Roman"/>
          <w:b/>
          <w:bCs/>
          <w:color w:val="222222"/>
          <w:sz w:val="24"/>
          <w:szCs w:val="24"/>
          <w:shd w:val="clear" w:color="auto" w:fill="FFFFFF"/>
        </w:rPr>
        <w:t>.  I</w:t>
      </w:r>
      <w:r w:rsidRPr="00CD2BFD">
        <w:rPr>
          <w:rFonts w:ascii="Times New Roman" w:hAnsi="Times New Roman" w:cs="Times New Roman"/>
          <w:b/>
          <w:bCs/>
          <w:color w:val="222222"/>
          <w:sz w:val="24"/>
          <w:szCs w:val="24"/>
          <w:shd w:val="clear" w:color="auto" w:fill="FFFFFF"/>
        </w:rPr>
        <w:t>n the fourth quartile, the net range for excess mortality is roughly 6,000 deaths per million given the range</w:t>
      </w:r>
      <w:r w:rsidR="00920964" w:rsidRPr="00CD2BFD">
        <w:rPr>
          <w:rFonts w:ascii="Times New Roman" w:hAnsi="Times New Roman" w:cs="Times New Roman"/>
          <w:b/>
          <w:bCs/>
          <w:color w:val="222222"/>
          <w:sz w:val="24"/>
          <w:szCs w:val="24"/>
          <w:shd w:val="clear" w:color="auto" w:fill="FFFFFF"/>
        </w:rPr>
        <w:t xml:space="preserve"> of</w:t>
      </w:r>
      <w:r w:rsidRPr="00CD2BFD">
        <w:rPr>
          <w:rFonts w:ascii="Times New Roman" w:hAnsi="Times New Roman" w:cs="Times New Roman"/>
          <w:b/>
          <w:bCs/>
          <w:color w:val="222222"/>
          <w:sz w:val="24"/>
          <w:szCs w:val="24"/>
          <w:shd w:val="clear" w:color="auto" w:fill="FFFFFF"/>
        </w:rPr>
        <w:t xml:space="preserve"> </w:t>
      </w:r>
      <w:r w:rsidR="00F00CB3" w:rsidRPr="00CD2BFD">
        <w:rPr>
          <w:rFonts w:ascii="Times New Roman" w:hAnsi="Times New Roman" w:cs="Times New Roman"/>
          <w:b/>
          <w:bCs/>
          <w:color w:val="222222"/>
          <w:sz w:val="24"/>
          <w:szCs w:val="24"/>
          <w:shd w:val="clear" w:color="auto" w:fill="FFFFFF"/>
        </w:rPr>
        <w:t>2,879</w:t>
      </w:r>
      <w:r w:rsidRPr="00CD2BFD">
        <w:rPr>
          <w:rFonts w:ascii="Times New Roman" w:hAnsi="Times New Roman" w:cs="Times New Roman"/>
          <w:b/>
          <w:bCs/>
          <w:color w:val="222222"/>
          <w:sz w:val="24"/>
          <w:szCs w:val="24"/>
          <w:shd w:val="clear" w:color="auto" w:fill="FFFFFF"/>
        </w:rPr>
        <w:t xml:space="preserve"> – </w:t>
      </w:r>
      <w:r w:rsidR="00F00CB3" w:rsidRPr="00CD2BFD">
        <w:rPr>
          <w:rFonts w:ascii="Times New Roman" w:hAnsi="Times New Roman" w:cs="Times New Roman"/>
          <w:b/>
          <w:bCs/>
          <w:color w:val="222222"/>
          <w:sz w:val="24"/>
          <w:szCs w:val="24"/>
          <w:shd w:val="clear" w:color="auto" w:fill="FFFFFF"/>
        </w:rPr>
        <w:t>8,839</w:t>
      </w:r>
      <w:r w:rsidR="00EB5158" w:rsidRPr="00CD2BFD">
        <w:rPr>
          <w:rFonts w:ascii="Times New Roman" w:hAnsi="Times New Roman" w:cs="Times New Roman"/>
          <w:b/>
          <w:bCs/>
          <w:color w:val="222222"/>
          <w:sz w:val="24"/>
          <w:szCs w:val="24"/>
          <w:shd w:val="clear" w:color="auto" w:fill="FFFFFF"/>
        </w:rPr>
        <w:t xml:space="preserve">. </w:t>
      </w:r>
      <w:r w:rsidR="00920964" w:rsidRPr="00CD2BFD">
        <w:rPr>
          <w:rFonts w:ascii="Times New Roman" w:hAnsi="Times New Roman" w:cs="Times New Roman"/>
          <w:b/>
          <w:bCs/>
          <w:color w:val="222222"/>
          <w:sz w:val="24"/>
          <w:szCs w:val="24"/>
          <w:shd w:val="clear" w:color="auto" w:fill="FFFFFF"/>
        </w:rPr>
        <w:t xml:space="preserve">In contrast, the net range for officially reported </w:t>
      </w:r>
      <w:proofErr w:type="spellStart"/>
      <w:r w:rsidR="00920964" w:rsidRPr="00CD2BFD">
        <w:rPr>
          <w:rFonts w:ascii="Times New Roman" w:hAnsi="Times New Roman" w:cs="Times New Roman"/>
          <w:b/>
          <w:bCs/>
          <w:color w:val="222222"/>
          <w:sz w:val="24"/>
          <w:szCs w:val="24"/>
          <w:shd w:val="clear" w:color="auto" w:fill="FFFFFF"/>
        </w:rPr>
        <w:t>Covid</w:t>
      </w:r>
      <w:proofErr w:type="spellEnd"/>
      <w:r w:rsidR="00920964" w:rsidRPr="00CD2BFD">
        <w:rPr>
          <w:rFonts w:ascii="Times New Roman" w:hAnsi="Times New Roman" w:cs="Times New Roman"/>
          <w:b/>
          <w:bCs/>
          <w:color w:val="222222"/>
          <w:sz w:val="24"/>
          <w:szCs w:val="24"/>
          <w:shd w:val="clear" w:color="auto" w:fill="FFFFFF"/>
        </w:rPr>
        <w:t xml:space="preserve"> mortality in the </w:t>
      </w:r>
      <w:r w:rsidR="00872BA0" w:rsidRPr="00CD2BFD">
        <w:rPr>
          <w:rFonts w:ascii="Times New Roman" w:hAnsi="Times New Roman" w:cs="Times New Roman"/>
          <w:b/>
          <w:bCs/>
          <w:color w:val="222222"/>
          <w:sz w:val="24"/>
          <w:szCs w:val="24"/>
          <w:shd w:val="clear" w:color="auto" w:fill="FFFFFF"/>
        </w:rPr>
        <w:t>fourth</w:t>
      </w:r>
      <w:r w:rsidR="00920964" w:rsidRPr="00CD2BFD">
        <w:rPr>
          <w:rFonts w:ascii="Times New Roman" w:hAnsi="Times New Roman" w:cs="Times New Roman"/>
          <w:b/>
          <w:bCs/>
          <w:color w:val="222222"/>
          <w:sz w:val="24"/>
          <w:szCs w:val="24"/>
          <w:shd w:val="clear" w:color="auto" w:fill="FFFFFF"/>
        </w:rPr>
        <w:t xml:space="preserve"> quartile is roughly 4</w:t>
      </w:r>
      <w:r w:rsidR="0002223B" w:rsidRPr="00CD2BFD">
        <w:rPr>
          <w:rFonts w:ascii="Times New Roman" w:hAnsi="Times New Roman" w:cs="Times New Roman"/>
          <w:b/>
          <w:bCs/>
          <w:color w:val="222222"/>
          <w:sz w:val="24"/>
          <w:szCs w:val="24"/>
          <w:shd w:val="clear" w:color="auto" w:fill="FFFFFF"/>
        </w:rPr>
        <w:t>,</w:t>
      </w:r>
      <w:r w:rsidR="00920964" w:rsidRPr="00CD2BFD">
        <w:rPr>
          <w:rFonts w:ascii="Times New Roman" w:hAnsi="Times New Roman" w:cs="Times New Roman"/>
          <w:b/>
          <w:bCs/>
          <w:color w:val="222222"/>
          <w:sz w:val="24"/>
          <w:szCs w:val="24"/>
          <w:shd w:val="clear" w:color="auto" w:fill="FFFFFF"/>
        </w:rPr>
        <w:t xml:space="preserve">500 </w:t>
      </w:r>
      <w:r w:rsidR="0002223B" w:rsidRPr="00CD2BFD">
        <w:rPr>
          <w:rFonts w:ascii="Times New Roman" w:hAnsi="Times New Roman" w:cs="Times New Roman"/>
          <w:b/>
          <w:bCs/>
          <w:color w:val="222222"/>
          <w:sz w:val="24"/>
          <w:szCs w:val="24"/>
          <w:shd w:val="clear" w:color="auto" w:fill="FFFFFF"/>
        </w:rPr>
        <w:t xml:space="preserve">deaths per </w:t>
      </w:r>
      <w:r w:rsidR="00872BA0" w:rsidRPr="00CD2BFD">
        <w:rPr>
          <w:rFonts w:ascii="Times New Roman" w:hAnsi="Times New Roman" w:cs="Times New Roman"/>
          <w:b/>
          <w:bCs/>
          <w:color w:val="222222"/>
          <w:sz w:val="24"/>
          <w:szCs w:val="24"/>
          <w:shd w:val="clear" w:color="auto" w:fill="FFFFFF"/>
        </w:rPr>
        <w:t>million</w:t>
      </w:r>
      <w:r w:rsidR="0002223B" w:rsidRPr="00CD2BFD">
        <w:rPr>
          <w:rFonts w:ascii="Times New Roman" w:hAnsi="Times New Roman" w:cs="Times New Roman"/>
          <w:b/>
          <w:bCs/>
          <w:color w:val="222222"/>
          <w:sz w:val="24"/>
          <w:szCs w:val="24"/>
          <w:shd w:val="clear" w:color="auto" w:fill="FFFFFF"/>
        </w:rPr>
        <w:t>,</w:t>
      </w:r>
      <w:r w:rsidR="00920964" w:rsidRPr="00CD2BFD">
        <w:rPr>
          <w:rFonts w:ascii="Times New Roman" w:hAnsi="Times New Roman" w:cs="Times New Roman"/>
          <w:b/>
          <w:bCs/>
          <w:color w:val="222222"/>
          <w:sz w:val="24"/>
          <w:szCs w:val="24"/>
          <w:shd w:val="clear" w:color="auto" w:fill="FFFFFF"/>
        </w:rPr>
        <w:t xml:space="preserve"> given the ra</w:t>
      </w:r>
      <w:r w:rsidR="0002223B" w:rsidRPr="00CD2BFD">
        <w:rPr>
          <w:rFonts w:ascii="Times New Roman" w:hAnsi="Times New Roman" w:cs="Times New Roman"/>
          <w:b/>
          <w:bCs/>
          <w:color w:val="222222"/>
          <w:sz w:val="24"/>
          <w:szCs w:val="24"/>
          <w:shd w:val="clear" w:color="auto" w:fill="FFFFFF"/>
        </w:rPr>
        <w:t>n</w:t>
      </w:r>
      <w:r w:rsidR="00920964" w:rsidRPr="00CD2BFD">
        <w:rPr>
          <w:rFonts w:ascii="Times New Roman" w:hAnsi="Times New Roman" w:cs="Times New Roman"/>
          <w:b/>
          <w:bCs/>
          <w:color w:val="222222"/>
          <w:sz w:val="24"/>
          <w:szCs w:val="24"/>
          <w:shd w:val="clear" w:color="auto" w:fill="FFFFFF"/>
        </w:rPr>
        <w:t>ge of 1</w:t>
      </w:r>
      <w:r w:rsidR="0002223B" w:rsidRPr="00CD2BFD">
        <w:rPr>
          <w:rFonts w:ascii="Times New Roman" w:hAnsi="Times New Roman" w:cs="Times New Roman"/>
          <w:b/>
          <w:bCs/>
          <w:color w:val="222222"/>
          <w:sz w:val="24"/>
          <w:szCs w:val="24"/>
          <w:shd w:val="clear" w:color="auto" w:fill="FFFFFF"/>
        </w:rPr>
        <w:t>,</w:t>
      </w:r>
      <w:r w:rsidR="00920964" w:rsidRPr="00CD2BFD">
        <w:rPr>
          <w:rFonts w:ascii="Times New Roman" w:hAnsi="Times New Roman" w:cs="Times New Roman"/>
          <w:b/>
          <w:bCs/>
          <w:color w:val="222222"/>
          <w:sz w:val="24"/>
          <w:szCs w:val="24"/>
          <w:shd w:val="clear" w:color="auto" w:fill="FFFFFF"/>
        </w:rPr>
        <w:t>545</w:t>
      </w:r>
      <w:r w:rsidR="0002223B" w:rsidRPr="00CD2BFD">
        <w:rPr>
          <w:rFonts w:ascii="Times New Roman" w:hAnsi="Times New Roman" w:cs="Times New Roman"/>
          <w:b/>
          <w:bCs/>
          <w:color w:val="222222"/>
          <w:sz w:val="24"/>
          <w:szCs w:val="24"/>
          <w:shd w:val="clear" w:color="auto" w:fill="FFFFFF"/>
        </w:rPr>
        <w:t xml:space="preserve"> – </w:t>
      </w:r>
      <w:r w:rsidR="00920964" w:rsidRPr="00CD2BFD">
        <w:rPr>
          <w:rFonts w:ascii="Times New Roman" w:hAnsi="Times New Roman" w:cs="Times New Roman"/>
          <w:b/>
          <w:bCs/>
          <w:color w:val="222222"/>
          <w:sz w:val="24"/>
          <w:szCs w:val="24"/>
          <w:shd w:val="clear" w:color="auto" w:fill="FFFFFF"/>
        </w:rPr>
        <w:t>6</w:t>
      </w:r>
      <w:r w:rsidR="0002223B" w:rsidRPr="00CD2BFD">
        <w:rPr>
          <w:rFonts w:ascii="Times New Roman" w:hAnsi="Times New Roman" w:cs="Times New Roman"/>
          <w:b/>
          <w:bCs/>
          <w:color w:val="222222"/>
          <w:sz w:val="24"/>
          <w:szCs w:val="24"/>
          <w:shd w:val="clear" w:color="auto" w:fill="FFFFFF"/>
        </w:rPr>
        <w:t>,</w:t>
      </w:r>
      <w:r w:rsidR="00920964" w:rsidRPr="00CD2BFD">
        <w:rPr>
          <w:rFonts w:ascii="Times New Roman" w:hAnsi="Times New Roman" w:cs="Times New Roman"/>
          <w:b/>
          <w:bCs/>
          <w:color w:val="222222"/>
          <w:sz w:val="24"/>
          <w:szCs w:val="24"/>
          <w:shd w:val="clear" w:color="auto" w:fill="FFFFFF"/>
        </w:rPr>
        <w:t>071</w:t>
      </w:r>
      <w:r w:rsidR="0002223B" w:rsidRPr="00CD2BFD">
        <w:rPr>
          <w:rFonts w:ascii="Times New Roman" w:hAnsi="Times New Roman" w:cs="Times New Roman"/>
          <w:b/>
          <w:bCs/>
          <w:color w:val="222222"/>
          <w:sz w:val="24"/>
          <w:szCs w:val="24"/>
          <w:shd w:val="clear" w:color="auto" w:fill="FFFFFF"/>
        </w:rPr>
        <w:t xml:space="preserve"> deaths per million</w:t>
      </w:r>
      <w:r w:rsidR="00920964" w:rsidRPr="00CD2BFD">
        <w:rPr>
          <w:rFonts w:ascii="Times New Roman" w:hAnsi="Times New Roman" w:cs="Times New Roman"/>
          <w:b/>
          <w:bCs/>
          <w:color w:val="222222"/>
          <w:sz w:val="24"/>
          <w:szCs w:val="24"/>
          <w:shd w:val="clear" w:color="auto" w:fill="FFFFFF"/>
        </w:rPr>
        <w:t>.</w:t>
      </w:r>
    </w:p>
    <w:p w14:paraId="68BE3E42" w14:textId="7AE2A00C" w:rsidR="0067507C" w:rsidRPr="00CD2BFD" w:rsidRDefault="00E93D0B" w:rsidP="00245CBF">
      <w:pPr>
        <w:spacing w:after="0" w:line="360" w:lineRule="auto"/>
        <w:ind w:firstLine="720"/>
        <w:contextualSpacing/>
        <w:rPr>
          <w:rFonts w:ascii="Times New Roman" w:hAnsi="Times New Roman" w:cs="Times New Roman"/>
          <w:b/>
          <w:bCs/>
          <w:color w:val="222222"/>
          <w:sz w:val="24"/>
          <w:szCs w:val="24"/>
          <w:shd w:val="clear" w:color="auto" w:fill="FFFFFF"/>
        </w:rPr>
      </w:pPr>
      <w:r w:rsidRPr="00CD2BFD">
        <w:rPr>
          <w:rFonts w:ascii="Times New Roman" w:hAnsi="Times New Roman" w:cs="Times New Roman"/>
          <w:b/>
          <w:bCs/>
          <w:color w:val="222222"/>
          <w:sz w:val="24"/>
          <w:szCs w:val="24"/>
          <w:shd w:val="clear" w:color="auto" w:fill="FFFFFF"/>
        </w:rPr>
        <w:t xml:space="preserve">Possible explanations accounting </w:t>
      </w:r>
      <w:r w:rsidR="0002223B" w:rsidRPr="00CD2BFD">
        <w:rPr>
          <w:rFonts w:ascii="Times New Roman" w:hAnsi="Times New Roman" w:cs="Times New Roman"/>
          <w:b/>
          <w:bCs/>
          <w:color w:val="222222"/>
          <w:sz w:val="24"/>
          <w:szCs w:val="24"/>
          <w:shd w:val="clear" w:color="auto" w:fill="FFFFFF"/>
        </w:rPr>
        <w:t xml:space="preserve">for </w:t>
      </w:r>
      <w:r w:rsidRPr="00CD2BFD">
        <w:rPr>
          <w:rFonts w:ascii="Times New Roman" w:hAnsi="Times New Roman" w:cs="Times New Roman"/>
          <w:b/>
          <w:bCs/>
          <w:color w:val="222222"/>
          <w:sz w:val="24"/>
          <w:szCs w:val="24"/>
          <w:shd w:val="clear" w:color="auto" w:fill="FFFFFF"/>
        </w:rPr>
        <w:t>the</w:t>
      </w:r>
      <w:r w:rsidR="0002223B" w:rsidRPr="00CD2BFD">
        <w:rPr>
          <w:rFonts w:ascii="Times New Roman" w:hAnsi="Times New Roman" w:cs="Times New Roman"/>
          <w:b/>
          <w:bCs/>
          <w:color w:val="222222"/>
          <w:sz w:val="24"/>
          <w:szCs w:val="24"/>
          <w:shd w:val="clear" w:color="auto" w:fill="FFFFFF"/>
        </w:rPr>
        <w:t xml:space="preserve">se heterogenous </w:t>
      </w:r>
      <w:r w:rsidRPr="00CD2BFD">
        <w:rPr>
          <w:rFonts w:ascii="Times New Roman" w:hAnsi="Times New Roman" w:cs="Times New Roman"/>
          <w:b/>
          <w:bCs/>
          <w:color w:val="222222"/>
          <w:sz w:val="24"/>
          <w:szCs w:val="24"/>
          <w:shd w:val="clear" w:color="auto" w:fill="FFFFFF"/>
        </w:rPr>
        <w:t xml:space="preserve">patterns of officially reported </w:t>
      </w:r>
      <w:proofErr w:type="spellStart"/>
      <w:r w:rsidRPr="00CD2BFD">
        <w:rPr>
          <w:rFonts w:ascii="Times New Roman" w:hAnsi="Times New Roman" w:cs="Times New Roman"/>
          <w:b/>
          <w:bCs/>
          <w:color w:val="222222"/>
          <w:sz w:val="24"/>
          <w:szCs w:val="24"/>
          <w:shd w:val="clear" w:color="auto" w:fill="FFFFFF"/>
        </w:rPr>
        <w:t>Covid</w:t>
      </w:r>
      <w:proofErr w:type="spellEnd"/>
      <w:r w:rsidRPr="00CD2BFD">
        <w:rPr>
          <w:rFonts w:ascii="Times New Roman" w:hAnsi="Times New Roman" w:cs="Times New Roman"/>
          <w:b/>
          <w:bCs/>
          <w:color w:val="222222"/>
          <w:sz w:val="24"/>
          <w:szCs w:val="24"/>
          <w:shd w:val="clear" w:color="auto" w:fill="FFFFFF"/>
        </w:rPr>
        <w:t xml:space="preserve"> mortality include limited and </w:t>
      </w:r>
      <w:r w:rsidR="0002223B" w:rsidRPr="00CD2BFD">
        <w:rPr>
          <w:rFonts w:ascii="Times New Roman" w:hAnsi="Times New Roman" w:cs="Times New Roman"/>
          <w:b/>
          <w:bCs/>
          <w:color w:val="222222"/>
          <w:sz w:val="24"/>
          <w:szCs w:val="24"/>
          <w:shd w:val="clear" w:color="auto" w:fill="FFFFFF"/>
        </w:rPr>
        <w:t>fragmented</w:t>
      </w:r>
      <w:r w:rsidRPr="00CD2BFD">
        <w:rPr>
          <w:rFonts w:ascii="Times New Roman" w:hAnsi="Times New Roman" w:cs="Times New Roman"/>
          <w:b/>
          <w:bCs/>
          <w:color w:val="222222"/>
          <w:sz w:val="24"/>
          <w:szCs w:val="24"/>
          <w:shd w:val="clear" w:color="auto" w:fill="FFFFFF"/>
        </w:rPr>
        <w:t xml:space="preserve"> administrative and medical capacities</w:t>
      </w:r>
      <w:r w:rsidR="0002223B" w:rsidRPr="00CD2BFD">
        <w:rPr>
          <w:rFonts w:ascii="Times New Roman" w:hAnsi="Times New Roman" w:cs="Times New Roman"/>
          <w:b/>
          <w:bCs/>
          <w:color w:val="222222"/>
          <w:sz w:val="24"/>
          <w:szCs w:val="24"/>
          <w:shd w:val="clear" w:color="auto" w:fill="FFFFFF"/>
        </w:rPr>
        <w:t xml:space="preserve"> across the countries in our sample</w:t>
      </w:r>
      <w:r w:rsidR="00ED3E3B" w:rsidRPr="00CD2BFD">
        <w:rPr>
          <w:rFonts w:ascii="Times New Roman" w:hAnsi="Times New Roman" w:cs="Times New Roman"/>
          <w:b/>
          <w:bCs/>
          <w:color w:val="222222"/>
          <w:sz w:val="24"/>
          <w:szCs w:val="24"/>
          <w:shd w:val="clear" w:color="auto" w:fill="FFFFFF"/>
        </w:rPr>
        <w:t xml:space="preserve">. In some </w:t>
      </w:r>
      <w:r w:rsidR="00872BA0" w:rsidRPr="00CD2BFD">
        <w:rPr>
          <w:rFonts w:ascii="Times New Roman" w:hAnsi="Times New Roman" w:cs="Times New Roman"/>
          <w:b/>
          <w:bCs/>
          <w:color w:val="222222"/>
          <w:sz w:val="24"/>
          <w:szCs w:val="24"/>
          <w:shd w:val="clear" w:color="auto" w:fill="FFFFFF"/>
        </w:rPr>
        <w:t>cases,</w:t>
      </w:r>
      <w:r w:rsidR="00ED3E3B" w:rsidRPr="00CD2BFD">
        <w:rPr>
          <w:rFonts w:ascii="Times New Roman" w:hAnsi="Times New Roman" w:cs="Times New Roman"/>
          <w:b/>
          <w:bCs/>
          <w:color w:val="222222"/>
          <w:sz w:val="24"/>
          <w:szCs w:val="24"/>
          <w:shd w:val="clear" w:color="auto" w:fill="FFFFFF"/>
        </w:rPr>
        <w:t xml:space="preserve"> it may </w:t>
      </w:r>
      <w:r w:rsidR="0002223B" w:rsidRPr="00CD2BFD">
        <w:rPr>
          <w:rFonts w:ascii="Times New Roman" w:hAnsi="Times New Roman" w:cs="Times New Roman"/>
          <w:b/>
          <w:bCs/>
          <w:color w:val="222222"/>
          <w:sz w:val="24"/>
          <w:szCs w:val="24"/>
          <w:shd w:val="clear" w:color="auto" w:fill="FFFFFF"/>
        </w:rPr>
        <w:t>a</w:t>
      </w:r>
      <w:r w:rsidR="00746287" w:rsidRPr="00CD2BFD">
        <w:rPr>
          <w:rFonts w:ascii="Times New Roman" w:hAnsi="Times New Roman" w:cs="Times New Roman"/>
          <w:b/>
          <w:bCs/>
          <w:color w:val="222222"/>
          <w:sz w:val="24"/>
          <w:szCs w:val="24"/>
          <w:shd w:val="clear" w:color="auto" w:fill="FFFFFF"/>
        </w:rPr>
        <w:t>lso</w:t>
      </w:r>
      <w:r w:rsidR="0002223B" w:rsidRPr="00CD2BFD">
        <w:rPr>
          <w:rFonts w:ascii="Times New Roman" w:hAnsi="Times New Roman" w:cs="Times New Roman"/>
          <w:b/>
          <w:bCs/>
          <w:color w:val="222222"/>
          <w:sz w:val="24"/>
          <w:szCs w:val="24"/>
          <w:shd w:val="clear" w:color="auto" w:fill="FFFFFF"/>
        </w:rPr>
        <w:t xml:space="preserve"> </w:t>
      </w:r>
      <w:r w:rsidR="00ED3E3B" w:rsidRPr="00CD2BFD">
        <w:rPr>
          <w:rFonts w:ascii="Times New Roman" w:hAnsi="Times New Roman" w:cs="Times New Roman"/>
          <w:b/>
          <w:bCs/>
          <w:color w:val="222222"/>
          <w:sz w:val="24"/>
          <w:szCs w:val="24"/>
          <w:shd w:val="clear" w:color="auto" w:fill="FFFFFF"/>
        </w:rPr>
        <w:t xml:space="preserve">reflect </w:t>
      </w:r>
      <w:r w:rsidRPr="00CD2BFD">
        <w:rPr>
          <w:rFonts w:ascii="Times New Roman" w:hAnsi="Times New Roman" w:cs="Times New Roman"/>
          <w:b/>
          <w:bCs/>
          <w:color w:val="222222"/>
          <w:sz w:val="24"/>
          <w:szCs w:val="24"/>
          <w:shd w:val="clear" w:color="auto" w:fill="FFFFFF"/>
        </w:rPr>
        <w:t xml:space="preserve">the wish of a ‘strong-men’ regimes to minimize political criticism in countries with limited voice and accountability, and other structural </w:t>
      </w:r>
      <w:r w:rsidR="00872BA0" w:rsidRPr="00CD2BFD">
        <w:rPr>
          <w:rFonts w:ascii="Times New Roman" w:hAnsi="Times New Roman" w:cs="Times New Roman"/>
          <w:b/>
          <w:bCs/>
          <w:color w:val="222222"/>
          <w:sz w:val="24"/>
          <w:szCs w:val="24"/>
          <w:shd w:val="clear" w:color="auto" w:fill="FFFFFF"/>
        </w:rPr>
        <w:t>obstacles</w:t>
      </w:r>
      <w:r w:rsidRPr="00CD2BFD">
        <w:rPr>
          <w:rFonts w:ascii="Times New Roman" w:hAnsi="Times New Roman" w:cs="Times New Roman"/>
          <w:b/>
          <w:bCs/>
          <w:color w:val="222222"/>
          <w:sz w:val="24"/>
          <w:szCs w:val="24"/>
          <w:shd w:val="clear" w:color="auto" w:fill="FFFFFF"/>
        </w:rPr>
        <w:t xml:space="preserve"> </w:t>
      </w:r>
      <w:r w:rsidR="00872BA0" w:rsidRPr="00CD2BFD">
        <w:rPr>
          <w:rFonts w:ascii="Times New Roman" w:hAnsi="Times New Roman" w:cs="Times New Roman"/>
          <w:b/>
          <w:bCs/>
          <w:color w:val="222222"/>
          <w:sz w:val="24"/>
          <w:szCs w:val="24"/>
          <w:shd w:val="clear" w:color="auto" w:fill="FFFFFF"/>
        </w:rPr>
        <w:t>inhibiting</w:t>
      </w:r>
      <w:r w:rsidR="002E0701" w:rsidRPr="00CD2BFD">
        <w:rPr>
          <w:rFonts w:ascii="Times New Roman" w:hAnsi="Times New Roman" w:cs="Times New Roman"/>
          <w:b/>
          <w:bCs/>
          <w:color w:val="222222"/>
          <w:sz w:val="24"/>
          <w:szCs w:val="24"/>
          <w:shd w:val="clear" w:color="auto" w:fill="FFFFFF"/>
        </w:rPr>
        <w:t xml:space="preserve"> the </w:t>
      </w:r>
      <w:r w:rsidR="00872BA0" w:rsidRPr="00CD2BFD">
        <w:rPr>
          <w:rFonts w:ascii="Times New Roman" w:hAnsi="Times New Roman" w:cs="Times New Roman"/>
          <w:b/>
          <w:bCs/>
          <w:color w:val="222222"/>
          <w:sz w:val="24"/>
          <w:szCs w:val="24"/>
          <w:shd w:val="clear" w:color="auto" w:fill="FFFFFF"/>
        </w:rPr>
        <w:t>identification</w:t>
      </w:r>
      <w:r w:rsidR="002E0701" w:rsidRPr="00CD2BFD">
        <w:rPr>
          <w:rFonts w:ascii="Times New Roman" w:hAnsi="Times New Roman" w:cs="Times New Roman"/>
          <w:b/>
          <w:bCs/>
          <w:color w:val="222222"/>
          <w:sz w:val="24"/>
          <w:szCs w:val="24"/>
          <w:shd w:val="clear" w:color="auto" w:fill="FFFFFF"/>
        </w:rPr>
        <w:t xml:space="preserve"> and counting of </w:t>
      </w:r>
      <w:proofErr w:type="spellStart"/>
      <w:r w:rsidR="00872BA0" w:rsidRPr="00CD2BFD">
        <w:rPr>
          <w:rFonts w:ascii="Times New Roman" w:hAnsi="Times New Roman" w:cs="Times New Roman"/>
          <w:b/>
          <w:bCs/>
          <w:color w:val="222222"/>
          <w:sz w:val="24"/>
          <w:szCs w:val="24"/>
          <w:shd w:val="clear" w:color="auto" w:fill="FFFFFF"/>
        </w:rPr>
        <w:t>C</w:t>
      </w:r>
      <w:r w:rsidR="002E0701" w:rsidRPr="00CD2BFD">
        <w:rPr>
          <w:rFonts w:ascii="Times New Roman" w:hAnsi="Times New Roman" w:cs="Times New Roman"/>
          <w:b/>
          <w:bCs/>
          <w:color w:val="222222"/>
          <w:sz w:val="24"/>
          <w:szCs w:val="24"/>
          <w:shd w:val="clear" w:color="auto" w:fill="FFFFFF"/>
        </w:rPr>
        <w:t>ovid</w:t>
      </w:r>
      <w:proofErr w:type="spellEnd"/>
      <w:r w:rsidR="002E0701" w:rsidRPr="00CD2BFD">
        <w:rPr>
          <w:rFonts w:ascii="Times New Roman" w:hAnsi="Times New Roman" w:cs="Times New Roman"/>
          <w:b/>
          <w:bCs/>
          <w:color w:val="222222"/>
          <w:sz w:val="24"/>
          <w:szCs w:val="24"/>
          <w:shd w:val="clear" w:color="auto" w:fill="FFFFFF"/>
        </w:rPr>
        <w:t xml:space="preserve"> </w:t>
      </w:r>
      <w:r w:rsidR="00872BA0" w:rsidRPr="00CD2BFD">
        <w:rPr>
          <w:rFonts w:ascii="Times New Roman" w:hAnsi="Times New Roman" w:cs="Times New Roman"/>
          <w:b/>
          <w:bCs/>
          <w:color w:val="222222"/>
          <w:sz w:val="24"/>
          <w:szCs w:val="24"/>
          <w:shd w:val="clear" w:color="auto" w:fill="FFFFFF"/>
        </w:rPr>
        <w:t>mortality</w:t>
      </w:r>
      <w:r w:rsidRPr="00CD2BFD">
        <w:rPr>
          <w:rFonts w:ascii="Times New Roman" w:hAnsi="Times New Roman" w:cs="Times New Roman"/>
          <w:b/>
          <w:bCs/>
          <w:color w:val="222222"/>
          <w:sz w:val="24"/>
          <w:szCs w:val="24"/>
          <w:shd w:val="clear" w:color="auto" w:fill="FFFFFF"/>
        </w:rPr>
        <w:t xml:space="preserve">. </w:t>
      </w:r>
      <w:r w:rsidR="002E0701" w:rsidRPr="00CD2BFD">
        <w:rPr>
          <w:rFonts w:ascii="Times New Roman" w:hAnsi="Times New Roman" w:cs="Times New Roman"/>
          <w:b/>
          <w:bCs/>
          <w:color w:val="222222"/>
          <w:sz w:val="24"/>
          <w:szCs w:val="24"/>
          <w:shd w:val="clear" w:color="auto" w:fill="FFFFFF"/>
        </w:rPr>
        <w:t xml:space="preserve">These factors </w:t>
      </w:r>
      <w:r w:rsidRPr="00CD2BFD">
        <w:rPr>
          <w:rFonts w:ascii="Times New Roman" w:hAnsi="Times New Roman" w:cs="Times New Roman"/>
          <w:b/>
          <w:bCs/>
          <w:color w:val="222222"/>
          <w:sz w:val="24"/>
          <w:szCs w:val="24"/>
          <w:shd w:val="clear" w:color="auto" w:fill="FFFFFF"/>
        </w:rPr>
        <w:t xml:space="preserve">constrain the officially reported </w:t>
      </w:r>
      <w:proofErr w:type="spellStart"/>
      <w:r w:rsidR="00872BA0" w:rsidRPr="00CD2BFD">
        <w:rPr>
          <w:rFonts w:ascii="Times New Roman" w:hAnsi="Times New Roman" w:cs="Times New Roman"/>
          <w:b/>
          <w:bCs/>
          <w:color w:val="222222"/>
          <w:sz w:val="24"/>
          <w:szCs w:val="24"/>
          <w:shd w:val="clear" w:color="auto" w:fill="FFFFFF"/>
        </w:rPr>
        <w:t>C</w:t>
      </w:r>
      <w:r w:rsidRPr="00CD2BFD">
        <w:rPr>
          <w:rFonts w:ascii="Times New Roman" w:hAnsi="Times New Roman" w:cs="Times New Roman"/>
          <w:b/>
          <w:bCs/>
          <w:color w:val="222222"/>
          <w:sz w:val="24"/>
          <w:szCs w:val="24"/>
          <w:shd w:val="clear" w:color="auto" w:fill="FFFFFF"/>
        </w:rPr>
        <w:t>ovid</w:t>
      </w:r>
      <w:proofErr w:type="spellEnd"/>
      <w:r w:rsidRPr="00CD2BFD">
        <w:rPr>
          <w:rFonts w:ascii="Times New Roman" w:hAnsi="Times New Roman" w:cs="Times New Roman"/>
          <w:b/>
          <w:bCs/>
          <w:color w:val="222222"/>
          <w:sz w:val="24"/>
          <w:szCs w:val="24"/>
          <w:shd w:val="clear" w:color="auto" w:fill="FFFFFF"/>
        </w:rPr>
        <w:t xml:space="preserve"> </w:t>
      </w:r>
      <w:r w:rsidR="002E0701" w:rsidRPr="00CD2BFD">
        <w:rPr>
          <w:rFonts w:ascii="Times New Roman" w:hAnsi="Times New Roman" w:cs="Times New Roman"/>
          <w:b/>
          <w:bCs/>
          <w:color w:val="222222"/>
          <w:sz w:val="24"/>
          <w:szCs w:val="24"/>
          <w:shd w:val="clear" w:color="auto" w:fill="FFFFFF"/>
        </w:rPr>
        <w:t xml:space="preserve">mortality, but don’t </w:t>
      </w:r>
      <w:r w:rsidR="00E90ED6" w:rsidRPr="00CD2BFD">
        <w:rPr>
          <w:rFonts w:ascii="Times New Roman" w:hAnsi="Times New Roman" w:cs="Times New Roman"/>
          <w:b/>
          <w:bCs/>
          <w:color w:val="222222"/>
          <w:sz w:val="24"/>
          <w:szCs w:val="24"/>
          <w:shd w:val="clear" w:color="auto" w:fill="FFFFFF"/>
        </w:rPr>
        <w:t xml:space="preserve">necessarily </w:t>
      </w:r>
      <w:r w:rsidR="002E0701" w:rsidRPr="00CD2BFD">
        <w:rPr>
          <w:rFonts w:ascii="Times New Roman" w:hAnsi="Times New Roman" w:cs="Times New Roman"/>
          <w:b/>
          <w:bCs/>
          <w:color w:val="222222"/>
          <w:sz w:val="24"/>
          <w:szCs w:val="24"/>
          <w:shd w:val="clear" w:color="auto" w:fill="FFFFFF"/>
        </w:rPr>
        <w:t xml:space="preserve">bind the </w:t>
      </w:r>
      <w:r w:rsidRPr="00CD2BFD">
        <w:rPr>
          <w:rFonts w:ascii="Times New Roman" w:hAnsi="Times New Roman" w:cs="Times New Roman"/>
          <w:b/>
          <w:bCs/>
          <w:color w:val="222222"/>
          <w:sz w:val="24"/>
          <w:szCs w:val="24"/>
          <w:shd w:val="clear" w:color="auto" w:fill="FFFFFF"/>
        </w:rPr>
        <w:t>excess mortality statistics</w:t>
      </w:r>
      <w:r w:rsidR="002E0701" w:rsidRPr="00CD2BFD">
        <w:rPr>
          <w:rFonts w:ascii="Times New Roman" w:hAnsi="Times New Roman" w:cs="Times New Roman"/>
          <w:b/>
          <w:bCs/>
          <w:color w:val="222222"/>
          <w:sz w:val="24"/>
          <w:szCs w:val="24"/>
          <w:shd w:val="clear" w:color="auto" w:fill="FFFFFF"/>
        </w:rPr>
        <w:t xml:space="preserve">, </w:t>
      </w:r>
      <w:r w:rsidR="00E90ED6" w:rsidRPr="00CD2BFD">
        <w:rPr>
          <w:rFonts w:ascii="Times New Roman" w:hAnsi="Times New Roman" w:cs="Times New Roman"/>
          <w:b/>
          <w:bCs/>
          <w:color w:val="222222"/>
          <w:sz w:val="24"/>
          <w:szCs w:val="24"/>
          <w:shd w:val="clear" w:color="auto" w:fill="FFFFFF"/>
        </w:rPr>
        <w:t xml:space="preserve">which might </w:t>
      </w:r>
      <w:r w:rsidR="00872BA0" w:rsidRPr="00CD2BFD">
        <w:rPr>
          <w:rFonts w:ascii="Times New Roman" w:hAnsi="Times New Roman" w:cs="Times New Roman"/>
          <w:b/>
          <w:bCs/>
          <w:color w:val="222222"/>
          <w:sz w:val="24"/>
          <w:szCs w:val="24"/>
          <w:shd w:val="clear" w:color="auto" w:fill="FFFFFF"/>
        </w:rPr>
        <w:t>account</w:t>
      </w:r>
      <w:r w:rsidR="00730CD4" w:rsidRPr="00CD2BFD">
        <w:rPr>
          <w:rFonts w:ascii="Times New Roman" w:hAnsi="Times New Roman" w:cs="Times New Roman"/>
          <w:b/>
          <w:bCs/>
          <w:color w:val="222222"/>
          <w:sz w:val="24"/>
          <w:szCs w:val="24"/>
          <w:shd w:val="clear" w:color="auto" w:fill="FFFFFF"/>
        </w:rPr>
        <w:t xml:space="preserve"> for some of the large</w:t>
      </w:r>
      <w:r w:rsidR="00E90ED6" w:rsidRPr="00CD2BFD">
        <w:rPr>
          <w:rFonts w:ascii="Times New Roman" w:hAnsi="Times New Roman" w:cs="Times New Roman"/>
          <w:b/>
          <w:bCs/>
          <w:color w:val="222222"/>
          <w:sz w:val="24"/>
          <w:szCs w:val="24"/>
          <w:shd w:val="clear" w:color="auto" w:fill="FFFFFF"/>
        </w:rPr>
        <w:t xml:space="preserve"> </w:t>
      </w:r>
      <w:r w:rsidR="00730CD4" w:rsidRPr="00CD2BFD">
        <w:rPr>
          <w:rFonts w:ascii="Times New Roman" w:hAnsi="Times New Roman" w:cs="Times New Roman"/>
          <w:b/>
          <w:bCs/>
          <w:color w:val="222222"/>
          <w:sz w:val="24"/>
          <w:szCs w:val="24"/>
          <w:shd w:val="clear" w:color="auto" w:fill="FFFFFF"/>
        </w:rPr>
        <w:t xml:space="preserve">mortality gaps </w:t>
      </w:r>
      <w:r w:rsidRPr="00CD2BFD">
        <w:rPr>
          <w:rFonts w:ascii="Times New Roman" w:hAnsi="Times New Roman" w:cs="Times New Roman"/>
          <w:b/>
          <w:bCs/>
          <w:color w:val="222222"/>
          <w:sz w:val="24"/>
          <w:szCs w:val="24"/>
          <w:shd w:val="clear" w:color="auto" w:fill="FFFFFF"/>
        </w:rPr>
        <w:t xml:space="preserve">between excess and official mortality </w:t>
      </w:r>
      <w:r w:rsidR="00730CD4" w:rsidRPr="00CD2BFD">
        <w:rPr>
          <w:rFonts w:ascii="Times New Roman" w:hAnsi="Times New Roman" w:cs="Times New Roman"/>
          <w:b/>
          <w:bCs/>
          <w:color w:val="222222"/>
          <w:sz w:val="24"/>
          <w:szCs w:val="24"/>
          <w:shd w:val="clear" w:color="auto" w:fill="FFFFFF"/>
        </w:rPr>
        <w:t xml:space="preserve">in </w:t>
      </w:r>
      <w:r w:rsidR="00E90ED6" w:rsidRPr="00CD2BFD">
        <w:rPr>
          <w:rFonts w:ascii="Times New Roman" w:hAnsi="Times New Roman" w:cs="Times New Roman"/>
          <w:b/>
          <w:bCs/>
          <w:color w:val="222222"/>
          <w:sz w:val="24"/>
          <w:szCs w:val="24"/>
          <w:shd w:val="clear" w:color="auto" w:fill="FFFFFF"/>
        </w:rPr>
        <w:t xml:space="preserve">the </w:t>
      </w:r>
      <w:r w:rsidR="00730CD4" w:rsidRPr="00CD2BFD">
        <w:rPr>
          <w:rFonts w:ascii="Times New Roman" w:hAnsi="Times New Roman" w:cs="Times New Roman"/>
          <w:b/>
          <w:bCs/>
          <w:color w:val="222222"/>
          <w:sz w:val="24"/>
          <w:szCs w:val="24"/>
          <w:shd w:val="clear" w:color="auto" w:fill="FFFFFF"/>
        </w:rPr>
        <w:t xml:space="preserve">higher </w:t>
      </w:r>
      <w:r w:rsidR="00872BA0" w:rsidRPr="00CD2BFD">
        <w:rPr>
          <w:rFonts w:ascii="Times New Roman" w:hAnsi="Times New Roman" w:cs="Times New Roman"/>
          <w:b/>
          <w:bCs/>
          <w:color w:val="222222"/>
          <w:sz w:val="24"/>
          <w:szCs w:val="24"/>
          <w:shd w:val="clear" w:color="auto" w:fill="FFFFFF"/>
        </w:rPr>
        <w:t>mortality</w:t>
      </w:r>
      <w:r w:rsidR="00730CD4" w:rsidRPr="00CD2BFD">
        <w:rPr>
          <w:rFonts w:ascii="Times New Roman" w:hAnsi="Times New Roman" w:cs="Times New Roman"/>
          <w:b/>
          <w:bCs/>
          <w:color w:val="222222"/>
          <w:sz w:val="24"/>
          <w:szCs w:val="24"/>
          <w:shd w:val="clear" w:color="auto" w:fill="FFFFFF"/>
        </w:rPr>
        <w:t xml:space="preserve"> </w:t>
      </w:r>
      <w:r w:rsidR="00872BA0" w:rsidRPr="00CD2BFD">
        <w:rPr>
          <w:rFonts w:ascii="Times New Roman" w:hAnsi="Times New Roman" w:cs="Times New Roman"/>
          <w:b/>
          <w:bCs/>
          <w:color w:val="222222"/>
          <w:sz w:val="24"/>
          <w:szCs w:val="24"/>
          <w:shd w:val="clear" w:color="auto" w:fill="FFFFFF"/>
        </w:rPr>
        <w:t>quartiles</w:t>
      </w:r>
      <w:r w:rsidRPr="00CD2BFD">
        <w:rPr>
          <w:rFonts w:ascii="Times New Roman" w:hAnsi="Times New Roman" w:cs="Times New Roman"/>
          <w:b/>
          <w:bCs/>
          <w:color w:val="222222"/>
          <w:sz w:val="24"/>
          <w:szCs w:val="24"/>
          <w:shd w:val="clear" w:color="auto" w:fill="FFFFFF"/>
        </w:rPr>
        <w:t>.</w:t>
      </w:r>
      <w:r w:rsidR="000F6117" w:rsidRPr="00CD2BFD">
        <w:rPr>
          <w:rStyle w:val="FootnoteReference"/>
          <w:rFonts w:ascii="Times New Roman" w:hAnsi="Times New Roman" w:cs="Times New Roman"/>
          <w:b/>
          <w:bCs/>
          <w:color w:val="222222"/>
          <w:sz w:val="24"/>
          <w:szCs w:val="24"/>
          <w:shd w:val="clear" w:color="auto" w:fill="FFFFFF"/>
        </w:rPr>
        <w:footnoteReference w:id="10"/>
      </w:r>
      <w:r w:rsidR="00C23C9E" w:rsidRPr="00CD2BFD">
        <w:rPr>
          <w:rFonts w:ascii="Times New Roman" w:hAnsi="Times New Roman" w:cs="Times New Roman"/>
          <w:b/>
          <w:bCs/>
          <w:color w:val="222222"/>
          <w:sz w:val="24"/>
          <w:szCs w:val="24"/>
          <w:shd w:val="clear" w:color="auto" w:fill="FFFFFF"/>
        </w:rPr>
        <w:t xml:space="preserve"> </w:t>
      </w:r>
    </w:p>
    <w:p w14:paraId="0B614AA4" w14:textId="7427BA07" w:rsidR="00A530B7" w:rsidRPr="00173569" w:rsidRDefault="0067507C" w:rsidP="00245CBF">
      <w:pPr>
        <w:spacing w:after="0" w:line="360" w:lineRule="auto"/>
        <w:ind w:firstLine="720"/>
        <w:contextualSpacing/>
        <w:rPr>
          <w:rFonts w:ascii="Times New Roman" w:eastAsia="Book Antiqua" w:hAnsi="Times New Roman" w:cs="Times New Roman"/>
          <w:b/>
          <w:sz w:val="24"/>
          <w:szCs w:val="24"/>
        </w:rPr>
      </w:pPr>
      <w:r>
        <w:rPr>
          <w:rFonts w:ascii="Times New Roman" w:hAnsi="Times New Roman" w:cs="Times New Roman"/>
          <w:color w:val="222222"/>
          <w:sz w:val="24"/>
          <w:szCs w:val="24"/>
          <w:shd w:val="clear" w:color="auto" w:fill="FFFFFF"/>
        </w:rPr>
        <w:lastRenderedPageBreak/>
        <w:t xml:space="preserve"> </w:t>
      </w:r>
    </w:p>
    <w:p w14:paraId="4BA6632F" w14:textId="33188439" w:rsidR="00D75808" w:rsidRDefault="00EF7289" w:rsidP="00EF7289">
      <w:pPr>
        <w:spacing w:line="360" w:lineRule="auto"/>
        <w:rPr>
          <w:rFonts w:ascii="Times New Roman" w:hAnsi="Times New Roman" w:cs="Times New Roman"/>
          <w:b/>
          <w:color w:val="222222"/>
          <w:sz w:val="24"/>
          <w:szCs w:val="24"/>
          <w:shd w:val="clear" w:color="auto" w:fill="FFFFFF"/>
        </w:rPr>
      </w:pPr>
      <w:bookmarkStart w:id="3" w:name="_Hlk107116341"/>
      <w:r w:rsidRPr="00173569">
        <w:rPr>
          <w:rFonts w:ascii="Times New Roman" w:eastAsia="Book Antiqua" w:hAnsi="Times New Roman" w:cs="Times New Roman"/>
          <w:b/>
          <w:sz w:val="24"/>
          <w:szCs w:val="24"/>
        </w:rPr>
        <w:t xml:space="preserve">Table </w:t>
      </w:r>
      <w:r w:rsidR="008449AE" w:rsidRPr="00173569">
        <w:rPr>
          <w:rFonts w:ascii="Times New Roman" w:eastAsia="Book Antiqua" w:hAnsi="Times New Roman" w:cs="Times New Roman"/>
          <w:b/>
          <w:sz w:val="24"/>
          <w:szCs w:val="24"/>
        </w:rPr>
        <w:t>4</w:t>
      </w:r>
      <w:r w:rsidRPr="00173569">
        <w:rPr>
          <w:rFonts w:ascii="Times New Roman" w:eastAsia="Book Antiqua" w:hAnsi="Times New Roman" w:cs="Times New Roman"/>
          <w:b/>
          <w:sz w:val="24"/>
          <w:szCs w:val="24"/>
        </w:rPr>
        <w:t xml:space="preserve">: </w:t>
      </w:r>
      <w:r w:rsidRPr="00173569">
        <w:rPr>
          <w:rFonts w:ascii="Times New Roman" w:hAnsi="Times New Roman" w:cs="Times New Roman"/>
          <w:color w:val="222222"/>
          <w:sz w:val="24"/>
          <w:szCs w:val="24"/>
          <w:shd w:val="clear" w:color="auto" w:fill="FFFFFF"/>
        </w:rPr>
        <w:t>Country official mortality quartile against excess mortality quartile</w:t>
      </w:r>
      <w:r w:rsidR="004E7239">
        <w:rPr>
          <w:rFonts w:ascii="Times New Roman" w:hAnsi="Times New Roman" w:cs="Times New Roman"/>
          <w:color w:val="222222"/>
          <w:sz w:val="24"/>
          <w:szCs w:val="24"/>
          <w:shd w:val="clear" w:color="auto" w:fill="FFFFFF"/>
        </w:rPr>
        <w:t xml:space="preserve"> (end of 2021)</w:t>
      </w:r>
      <w:r w:rsidRPr="00173569">
        <w:rPr>
          <w:rFonts w:ascii="Times New Roman" w:hAnsi="Times New Roman" w:cs="Times New Roman"/>
          <w:color w:val="222222"/>
          <w:sz w:val="24"/>
          <w:szCs w:val="24"/>
          <w:shd w:val="clear" w:color="auto" w:fill="FFFFFF"/>
        </w:rPr>
        <w:t>.</w:t>
      </w:r>
      <w:r w:rsidRPr="00173569">
        <w:rPr>
          <w:rFonts w:ascii="Times New Roman" w:hAnsi="Times New Roman" w:cs="Times New Roman"/>
          <w:b/>
          <w:color w:val="222222"/>
          <w:sz w:val="24"/>
          <w:szCs w:val="24"/>
          <w:shd w:val="clear" w:color="auto" w:fill="FFFFFF"/>
        </w:rPr>
        <w:t xml:space="preserve"> </w:t>
      </w:r>
    </w:p>
    <w:p w14:paraId="5E43618D" w14:textId="6045B663" w:rsidR="006841AE" w:rsidRDefault="006839A8" w:rsidP="006841AE">
      <w:pPr>
        <w:spacing w:line="360" w:lineRule="auto"/>
        <w:rPr>
          <w:rFonts w:ascii="Times New Roman" w:hAnsi="Times New Roman" w:cs="Times New Roman"/>
          <w:bCs/>
          <w:color w:val="222222"/>
          <w:sz w:val="24"/>
          <w:szCs w:val="24"/>
          <w:shd w:val="clear" w:color="auto" w:fill="FFFFFF"/>
        </w:rPr>
      </w:pPr>
      <w:r>
        <w:rPr>
          <w:rFonts w:ascii="Times New Roman" w:hAnsi="Times New Roman" w:cs="Times New Roman"/>
          <w:b/>
          <w:noProof/>
          <w:color w:val="222222"/>
          <w:sz w:val="24"/>
          <w:szCs w:val="24"/>
          <w:shd w:val="clear" w:color="auto" w:fill="FFFFFF"/>
          <w:lang w:bidi="he-IL"/>
        </w:rPr>
        <w:drawing>
          <wp:inline distT="0" distB="0" distL="0" distR="0" wp14:anchorId="4129C07E" wp14:editId="5C42F9CF">
            <wp:extent cx="6856590" cy="3973794"/>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3">
                      <a:extLst>
                        <a:ext uri="{28A0092B-C50C-407E-A947-70E740481C1C}">
                          <a14:useLocalDpi xmlns:a14="http://schemas.microsoft.com/office/drawing/2010/main" val="0"/>
                        </a:ext>
                      </a:extLst>
                    </a:blip>
                    <a:srcRect t="10593" b="47706"/>
                    <a:stretch/>
                  </pic:blipFill>
                  <pic:spPr bwMode="auto">
                    <a:xfrm>
                      <a:off x="0" y="0"/>
                      <a:ext cx="6868654" cy="3980786"/>
                    </a:xfrm>
                    <a:prstGeom prst="rect">
                      <a:avLst/>
                    </a:prstGeom>
                    <a:ln>
                      <a:noFill/>
                    </a:ln>
                    <a:extLst>
                      <a:ext uri="{53640926-AAD7-44D8-BBD7-CCE9431645EC}">
                        <a14:shadowObscured xmlns:a14="http://schemas.microsoft.com/office/drawing/2010/main"/>
                      </a:ext>
                    </a:extLst>
                  </pic:spPr>
                </pic:pic>
              </a:graphicData>
            </a:graphic>
          </wp:inline>
        </w:drawing>
      </w:r>
    </w:p>
    <w:bookmarkEnd w:id="3"/>
    <w:p w14:paraId="5F58AC03" w14:textId="4D441449" w:rsidR="00CB6220" w:rsidRDefault="00580C81" w:rsidP="002C6241">
      <w:pPr>
        <w:spacing w:line="360" w:lineRule="auto"/>
        <w:ind w:firstLine="720"/>
        <w:rPr>
          <w:rFonts w:ascii="Times New Roman" w:eastAsia="Times New Roman" w:hAnsi="Times New Roman" w:cs="Times New Roman"/>
          <w:color w:val="222222"/>
          <w:sz w:val="24"/>
          <w:szCs w:val="24"/>
        </w:rPr>
      </w:pPr>
      <w:r w:rsidRPr="00173569">
        <w:rPr>
          <w:rFonts w:ascii="Times New Roman" w:hAnsi="Times New Roman" w:cs="Times New Roman"/>
          <w:bCs/>
          <w:color w:val="222222"/>
          <w:sz w:val="24"/>
          <w:szCs w:val="24"/>
          <w:shd w:val="clear" w:color="auto" w:fill="FFFFFF"/>
        </w:rPr>
        <w:t xml:space="preserve">Table </w:t>
      </w:r>
      <w:r w:rsidR="008449AE" w:rsidRPr="00173569">
        <w:rPr>
          <w:rFonts w:ascii="Times New Roman" w:hAnsi="Times New Roman" w:cs="Times New Roman"/>
          <w:bCs/>
          <w:color w:val="222222"/>
          <w:sz w:val="24"/>
          <w:szCs w:val="24"/>
          <w:shd w:val="clear" w:color="auto" w:fill="FFFFFF"/>
        </w:rPr>
        <w:t>5</w:t>
      </w:r>
      <w:r w:rsidR="006454F0" w:rsidRPr="00173569">
        <w:rPr>
          <w:rFonts w:ascii="Times New Roman" w:hAnsi="Times New Roman" w:cs="Times New Roman"/>
          <w:bCs/>
          <w:color w:val="222222"/>
          <w:sz w:val="24"/>
          <w:szCs w:val="24"/>
          <w:shd w:val="clear" w:color="auto" w:fill="FFFFFF"/>
        </w:rPr>
        <w:t xml:space="preserve"> </w:t>
      </w:r>
      <w:r w:rsidRPr="00173569">
        <w:rPr>
          <w:rFonts w:ascii="Times New Roman" w:hAnsi="Times New Roman" w:cs="Times New Roman"/>
          <w:bCs/>
          <w:color w:val="222222"/>
          <w:sz w:val="24"/>
          <w:szCs w:val="24"/>
          <w:shd w:val="clear" w:color="auto" w:fill="FFFFFF"/>
        </w:rPr>
        <w:t xml:space="preserve">reports the average statistics for countries that </w:t>
      </w:r>
      <w:r w:rsidRPr="00173569">
        <w:rPr>
          <w:rFonts w:ascii="Times New Roman" w:eastAsia="Times New Roman" w:hAnsi="Times New Roman" w:cs="Times New Roman"/>
          <w:color w:val="222222"/>
          <w:sz w:val="24"/>
          <w:szCs w:val="24"/>
        </w:rPr>
        <w:t xml:space="preserve">are "doing </w:t>
      </w:r>
      <w:r w:rsidR="0043716E" w:rsidRPr="00173569">
        <w:rPr>
          <w:rFonts w:ascii="Times New Roman" w:eastAsia="Times New Roman" w:hAnsi="Times New Roman" w:cs="Times New Roman"/>
          <w:color w:val="222222"/>
          <w:sz w:val="24"/>
          <w:szCs w:val="24"/>
        </w:rPr>
        <w:t>substantially</w:t>
      </w:r>
      <w:r w:rsidR="00A81A68" w:rsidRPr="00173569">
        <w:rPr>
          <w:rFonts w:ascii="Times New Roman" w:eastAsia="Times New Roman" w:hAnsi="Times New Roman" w:cs="Times New Roman"/>
          <w:color w:val="222222"/>
          <w:sz w:val="24"/>
          <w:szCs w:val="24"/>
        </w:rPr>
        <w:t xml:space="preserve"> </w:t>
      </w:r>
      <w:r w:rsidRPr="00173569">
        <w:rPr>
          <w:rFonts w:ascii="Times New Roman" w:eastAsia="Times New Roman" w:hAnsi="Times New Roman" w:cs="Times New Roman"/>
          <w:color w:val="222222"/>
          <w:sz w:val="24"/>
          <w:szCs w:val="24"/>
        </w:rPr>
        <w:t>worse in excess"</w:t>
      </w:r>
      <w:r w:rsidR="00BB427C" w:rsidRPr="00173569">
        <w:rPr>
          <w:rFonts w:ascii="Times New Roman" w:eastAsia="Times New Roman" w:hAnsi="Times New Roman" w:cs="Times New Roman"/>
          <w:color w:val="222222"/>
          <w:sz w:val="24"/>
          <w:szCs w:val="24"/>
        </w:rPr>
        <w:t xml:space="preserve"> —</w:t>
      </w:r>
      <w:r w:rsidRPr="00173569">
        <w:rPr>
          <w:rFonts w:ascii="Times New Roman" w:eastAsia="Times New Roman" w:hAnsi="Times New Roman" w:cs="Times New Roman"/>
          <w:color w:val="222222"/>
          <w:sz w:val="24"/>
          <w:szCs w:val="24"/>
        </w:rPr>
        <w:t xml:space="preserve"> </w:t>
      </w:r>
      <w:r w:rsidR="00BB427C" w:rsidRPr="00173569">
        <w:rPr>
          <w:rFonts w:ascii="Times New Roman" w:eastAsia="Times New Roman" w:hAnsi="Times New Roman" w:cs="Times New Roman"/>
          <w:color w:val="222222"/>
          <w:sz w:val="24"/>
          <w:szCs w:val="24"/>
        </w:rPr>
        <w:t>any</w:t>
      </w:r>
      <w:r w:rsidRPr="00173569">
        <w:rPr>
          <w:rFonts w:ascii="Times New Roman" w:eastAsia="Times New Roman" w:hAnsi="Times New Roman" w:cs="Times New Roman"/>
          <w:color w:val="222222"/>
          <w:sz w:val="24"/>
          <w:szCs w:val="24"/>
        </w:rPr>
        <w:t xml:space="preserve"> countr</w:t>
      </w:r>
      <w:r w:rsidR="00D55812">
        <w:rPr>
          <w:rFonts w:ascii="Times New Roman" w:eastAsia="Times New Roman" w:hAnsi="Times New Roman" w:cs="Times New Roman"/>
          <w:color w:val="222222"/>
          <w:sz w:val="24"/>
          <w:szCs w:val="24"/>
        </w:rPr>
        <w:t>y</w:t>
      </w:r>
      <w:r w:rsidRPr="00173569">
        <w:rPr>
          <w:rFonts w:ascii="Times New Roman" w:eastAsia="Times New Roman" w:hAnsi="Times New Roman" w:cs="Times New Roman"/>
          <w:color w:val="222222"/>
          <w:sz w:val="24"/>
          <w:szCs w:val="24"/>
        </w:rPr>
        <w:t xml:space="preserve"> that</w:t>
      </w:r>
      <w:r w:rsidR="000C6071" w:rsidRPr="00173569">
        <w:rPr>
          <w:rFonts w:ascii="Times New Roman" w:eastAsia="Times New Roman" w:hAnsi="Times New Roman" w:cs="Times New Roman"/>
          <w:color w:val="222222"/>
          <w:sz w:val="24"/>
          <w:szCs w:val="24"/>
        </w:rPr>
        <w:t xml:space="preserve"> recorded a quartile ranking </w:t>
      </w:r>
      <w:r w:rsidR="000C6071" w:rsidRPr="00173569">
        <w:rPr>
          <w:rFonts w:ascii="Times New Roman" w:eastAsia="Times New Roman" w:hAnsi="Times New Roman" w:cs="Times New Roman"/>
          <w:i/>
          <w:iCs/>
          <w:color w:val="222222"/>
          <w:sz w:val="24"/>
          <w:szCs w:val="24"/>
        </w:rPr>
        <w:t>at least two worse (i.e., higher mortality)</w:t>
      </w:r>
      <w:r w:rsidR="000C6071" w:rsidRPr="00173569">
        <w:rPr>
          <w:rFonts w:ascii="Times New Roman" w:eastAsia="Times New Roman" w:hAnsi="Times New Roman" w:cs="Times New Roman"/>
          <w:color w:val="222222"/>
          <w:sz w:val="24"/>
          <w:szCs w:val="24"/>
        </w:rPr>
        <w:t xml:space="preserve"> when using excess mortalities as opposed to official mortalities</w:t>
      </w:r>
      <w:r w:rsidRPr="00173569">
        <w:rPr>
          <w:rFonts w:ascii="Times New Roman" w:eastAsia="Times New Roman" w:hAnsi="Times New Roman" w:cs="Times New Roman"/>
          <w:color w:val="222222"/>
          <w:sz w:val="24"/>
          <w:szCs w:val="24"/>
        </w:rPr>
        <w:t xml:space="preserve"> (for example, Bangladesh)</w:t>
      </w:r>
      <w:r w:rsidR="00BB427C" w:rsidRPr="00173569">
        <w:rPr>
          <w:rFonts w:ascii="Times New Roman" w:eastAsia="Times New Roman" w:hAnsi="Times New Roman" w:cs="Times New Roman"/>
          <w:color w:val="222222"/>
          <w:sz w:val="24"/>
          <w:szCs w:val="24"/>
        </w:rPr>
        <w:t xml:space="preserve"> — and comparing them to</w:t>
      </w:r>
      <w:r w:rsidRPr="00173569">
        <w:rPr>
          <w:rFonts w:ascii="Times New Roman" w:eastAsia="Times New Roman" w:hAnsi="Times New Roman" w:cs="Times New Roman"/>
          <w:color w:val="222222"/>
          <w:sz w:val="24"/>
          <w:szCs w:val="24"/>
        </w:rPr>
        <w:t xml:space="preserve"> countries that are “doing </w:t>
      </w:r>
      <w:r w:rsidR="000C6071" w:rsidRPr="00173569">
        <w:rPr>
          <w:rFonts w:ascii="Times New Roman" w:eastAsia="Times New Roman" w:hAnsi="Times New Roman" w:cs="Times New Roman"/>
          <w:color w:val="222222"/>
          <w:sz w:val="24"/>
          <w:szCs w:val="24"/>
        </w:rPr>
        <w:t xml:space="preserve">substantially </w:t>
      </w:r>
      <w:r w:rsidRPr="00173569">
        <w:rPr>
          <w:rFonts w:ascii="Times New Roman" w:eastAsia="Times New Roman" w:hAnsi="Times New Roman" w:cs="Times New Roman"/>
          <w:color w:val="222222"/>
          <w:sz w:val="24"/>
          <w:szCs w:val="24"/>
        </w:rPr>
        <w:t xml:space="preserve">better in excess” </w:t>
      </w:r>
      <w:r w:rsidR="00BB427C" w:rsidRPr="00173569">
        <w:rPr>
          <w:rFonts w:ascii="Times New Roman" w:eastAsia="Times New Roman" w:hAnsi="Times New Roman" w:cs="Times New Roman"/>
          <w:color w:val="222222"/>
          <w:sz w:val="24"/>
          <w:szCs w:val="24"/>
        </w:rPr>
        <w:t>— any</w:t>
      </w:r>
      <w:r w:rsidRPr="00173569">
        <w:rPr>
          <w:rFonts w:ascii="Times New Roman" w:eastAsia="Times New Roman" w:hAnsi="Times New Roman" w:cs="Times New Roman"/>
          <w:color w:val="222222"/>
          <w:sz w:val="24"/>
          <w:szCs w:val="24"/>
        </w:rPr>
        <w:t xml:space="preserve"> countries that </w:t>
      </w:r>
      <w:r w:rsidR="000C6071" w:rsidRPr="00173569">
        <w:rPr>
          <w:rFonts w:ascii="Times New Roman" w:eastAsia="Times New Roman" w:hAnsi="Times New Roman" w:cs="Times New Roman"/>
          <w:color w:val="222222"/>
          <w:sz w:val="24"/>
          <w:szCs w:val="24"/>
        </w:rPr>
        <w:t xml:space="preserve">recorded a quartile ranking </w:t>
      </w:r>
      <w:r w:rsidR="000C6071" w:rsidRPr="00173569">
        <w:rPr>
          <w:rFonts w:ascii="Times New Roman" w:eastAsia="Times New Roman" w:hAnsi="Times New Roman" w:cs="Times New Roman"/>
          <w:i/>
          <w:iCs/>
          <w:color w:val="222222"/>
          <w:sz w:val="24"/>
          <w:szCs w:val="24"/>
        </w:rPr>
        <w:t>at least two better (i.e., lower mortality)</w:t>
      </w:r>
      <w:r w:rsidR="000C6071" w:rsidRPr="00173569">
        <w:rPr>
          <w:rFonts w:ascii="Times New Roman" w:eastAsia="Times New Roman" w:hAnsi="Times New Roman" w:cs="Times New Roman"/>
          <w:color w:val="222222"/>
          <w:sz w:val="24"/>
          <w:szCs w:val="24"/>
        </w:rPr>
        <w:t xml:space="preserve"> when using excess mortalities as opposed to official mortalities</w:t>
      </w:r>
      <w:r w:rsidR="000C6071" w:rsidRPr="00173569" w:rsidDel="000C6071">
        <w:rPr>
          <w:rFonts w:ascii="Times New Roman" w:eastAsia="Times New Roman" w:hAnsi="Times New Roman" w:cs="Times New Roman"/>
          <w:color w:val="222222"/>
          <w:sz w:val="24"/>
          <w:szCs w:val="24"/>
        </w:rPr>
        <w:t xml:space="preserve"> </w:t>
      </w:r>
      <w:r w:rsidRPr="00173569">
        <w:rPr>
          <w:rFonts w:ascii="Times New Roman" w:eastAsia="Times New Roman" w:hAnsi="Times New Roman" w:cs="Times New Roman"/>
          <w:color w:val="222222"/>
          <w:sz w:val="24"/>
          <w:szCs w:val="24"/>
        </w:rPr>
        <w:t>(for example, France).</w:t>
      </w:r>
      <w:r w:rsidRPr="00173569">
        <w:rPr>
          <w:rFonts w:ascii="Times New Roman" w:hAnsi="Times New Roman" w:cs="Times New Roman"/>
          <w:sz w:val="24"/>
          <w:szCs w:val="24"/>
        </w:rPr>
        <w:t xml:space="preserve"> </w:t>
      </w:r>
      <w:r w:rsidR="00BB427C" w:rsidRPr="00CD2BFD">
        <w:rPr>
          <w:rFonts w:ascii="Times New Roman" w:eastAsia="Times New Roman" w:hAnsi="Times New Roman" w:cs="Times New Roman"/>
          <w:b/>
          <w:color w:val="222222"/>
          <w:sz w:val="24"/>
          <w:szCs w:val="24"/>
        </w:rPr>
        <w:t>When c</w:t>
      </w:r>
      <w:r w:rsidRPr="00CD2BFD">
        <w:rPr>
          <w:rFonts w:ascii="Times New Roman" w:eastAsia="Times New Roman" w:hAnsi="Times New Roman" w:cs="Times New Roman"/>
          <w:b/>
          <w:color w:val="222222"/>
          <w:sz w:val="24"/>
          <w:szCs w:val="24"/>
        </w:rPr>
        <w:t xml:space="preserve">ontrasting countries that are ranked substantially better to countries that are ranked substantially worse in excess mortality </w:t>
      </w:r>
      <w:r w:rsidR="00BB427C" w:rsidRPr="00CD2BFD">
        <w:rPr>
          <w:rFonts w:ascii="Times New Roman" w:eastAsia="Times New Roman" w:hAnsi="Times New Roman" w:cs="Times New Roman"/>
          <w:b/>
          <w:color w:val="222222"/>
          <w:sz w:val="24"/>
          <w:szCs w:val="24"/>
        </w:rPr>
        <w:t xml:space="preserve">as opposed to </w:t>
      </w:r>
      <w:r w:rsidRPr="00CD2BFD">
        <w:rPr>
          <w:rFonts w:ascii="Times New Roman" w:eastAsia="Times New Roman" w:hAnsi="Times New Roman" w:cs="Times New Roman"/>
          <w:b/>
          <w:color w:val="222222"/>
          <w:sz w:val="24"/>
          <w:szCs w:val="24"/>
        </w:rPr>
        <w:t xml:space="preserve">official </w:t>
      </w:r>
      <w:r w:rsidR="00BB427C" w:rsidRPr="00CD2BFD">
        <w:rPr>
          <w:rFonts w:ascii="Times New Roman" w:eastAsia="Times New Roman" w:hAnsi="Times New Roman" w:cs="Times New Roman"/>
          <w:b/>
          <w:color w:val="222222"/>
          <w:sz w:val="24"/>
          <w:szCs w:val="24"/>
        </w:rPr>
        <w:t>mortality,</w:t>
      </w:r>
      <w:r w:rsidRPr="00CD2BFD">
        <w:rPr>
          <w:rFonts w:ascii="Times New Roman" w:eastAsia="Times New Roman" w:hAnsi="Times New Roman" w:cs="Times New Roman"/>
          <w:b/>
          <w:color w:val="222222"/>
          <w:sz w:val="24"/>
          <w:szCs w:val="24"/>
        </w:rPr>
        <w:t xml:space="preserve"> we find that, on average, the ‘doing </w:t>
      </w:r>
      <w:r w:rsidR="000C6071" w:rsidRPr="00CD2BFD">
        <w:rPr>
          <w:rFonts w:ascii="Times New Roman" w:eastAsia="Times New Roman" w:hAnsi="Times New Roman" w:cs="Times New Roman"/>
          <w:b/>
          <w:color w:val="222222"/>
          <w:sz w:val="24"/>
          <w:szCs w:val="24"/>
        </w:rPr>
        <w:t xml:space="preserve">substantially </w:t>
      </w:r>
      <w:r w:rsidRPr="00CD2BFD">
        <w:rPr>
          <w:rFonts w:ascii="Times New Roman" w:eastAsia="Times New Roman" w:hAnsi="Times New Roman" w:cs="Times New Roman"/>
          <w:b/>
          <w:color w:val="222222"/>
          <w:sz w:val="24"/>
          <w:szCs w:val="24"/>
        </w:rPr>
        <w:t>better in excess’ countries are</w:t>
      </w:r>
      <w:r w:rsidR="00D55812" w:rsidRPr="00CD2BFD">
        <w:rPr>
          <w:rFonts w:ascii="Times New Roman" w:eastAsia="Times New Roman" w:hAnsi="Times New Roman" w:cs="Times New Roman"/>
          <w:b/>
          <w:color w:val="222222"/>
          <w:sz w:val="24"/>
          <w:szCs w:val="24"/>
        </w:rPr>
        <w:t xml:space="preserve"> characterized by</w:t>
      </w:r>
      <w:r w:rsidRPr="00CD2BFD">
        <w:rPr>
          <w:rFonts w:ascii="Times New Roman" w:eastAsia="Times New Roman" w:hAnsi="Times New Roman" w:cs="Times New Roman"/>
          <w:b/>
          <w:color w:val="222222"/>
          <w:sz w:val="24"/>
          <w:szCs w:val="24"/>
        </w:rPr>
        <w:t>: </w:t>
      </w:r>
      <w:r w:rsidR="00614F7A" w:rsidRPr="00CD2BFD">
        <w:rPr>
          <w:rFonts w:ascii="Times New Roman" w:eastAsia="Times New Roman" w:hAnsi="Times New Roman" w:cs="Times New Roman"/>
          <w:b/>
          <w:color w:val="222222"/>
          <w:sz w:val="24"/>
          <w:szCs w:val="24"/>
        </w:rPr>
        <w:t>higher</w:t>
      </w:r>
      <w:r w:rsidRPr="00CD2BFD">
        <w:rPr>
          <w:rFonts w:ascii="Times New Roman" w:eastAsia="Times New Roman" w:hAnsi="Times New Roman" w:cs="Times New Roman"/>
          <w:b/>
          <w:color w:val="222222"/>
          <w:sz w:val="24"/>
          <w:szCs w:val="24"/>
        </w:rPr>
        <w:t xml:space="preserve"> </w:t>
      </w:r>
      <w:r w:rsidR="008B0C2F" w:rsidRPr="00CD2BFD">
        <w:rPr>
          <w:rFonts w:ascii="Times New Roman" w:eastAsia="Times New Roman" w:hAnsi="Times New Roman" w:cs="Times New Roman"/>
          <w:b/>
          <w:color w:val="222222"/>
          <w:sz w:val="24"/>
          <w:szCs w:val="24"/>
        </w:rPr>
        <w:t>urban population share</w:t>
      </w:r>
      <w:r w:rsidRPr="00CD2BFD">
        <w:rPr>
          <w:rFonts w:ascii="Times New Roman" w:eastAsia="Times New Roman" w:hAnsi="Times New Roman" w:cs="Times New Roman"/>
          <w:b/>
          <w:color w:val="222222"/>
          <w:sz w:val="24"/>
          <w:szCs w:val="24"/>
        </w:rPr>
        <w:t xml:space="preserve"> [</w:t>
      </w:r>
      <w:r w:rsidR="008B0C2F" w:rsidRPr="00CD2BFD">
        <w:rPr>
          <w:rFonts w:ascii="Times New Roman" w:eastAsia="Times New Roman" w:hAnsi="Times New Roman" w:cs="Times New Roman"/>
          <w:b/>
          <w:color w:val="222222"/>
          <w:sz w:val="24"/>
          <w:szCs w:val="24"/>
        </w:rPr>
        <w:t>66%</w:t>
      </w:r>
      <w:r w:rsidRPr="00CD2BFD">
        <w:rPr>
          <w:rFonts w:ascii="Times New Roman" w:eastAsia="Times New Roman" w:hAnsi="Times New Roman" w:cs="Times New Roman"/>
          <w:b/>
          <w:color w:val="222222"/>
          <w:sz w:val="24"/>
          <w:szCs w:val="24"/>
        </w:rPr>
        <w:t xml:space="preserve"> versus </w:t>
      </w:r>
      <w:r w:rsidR="008B0C2F" w:rsidRPr="00CD2BFD">
        <w:rPr>
          <w:rFonts w:ascii="Times New Roman" w:eastAsia="Times New Roman" w:hAnsi="Times New Roman" w:cs="Times New Roman"/>
          <w:b/>
          <w:color w:val="222222"/>
          <w:sz w:val="24"/>
          <w:szCs w:val="24"/>
        </w:rPr>
        <w:t>38%</w:t>
      </w:r>
      <w:r w:rsidRPr="00CD2BFD">
        <w:rPr>
          <w:rFonts w:ascii="Times New Roman" w:eastAsia="Times New Roman" w:hAnsi="Times New Roman" w:cs="Times New Roman"/>
          <w:b/>
          <w:color w:val="222222"/>
          <w:sz w:val="24"/>
          <w:szCs w:val="24"/>
        </w:rPr>
        <w:t xml:space="preserve">]; older (12% versus 4% of aged 65 and older); </w:t>
      </w:r>
      <w:r w:rsidR="00CD5A48" w:rsidRPr="00CD2BFD">
        <w:rPr>
          <w:rFonts w:ascii="Times New Roman" w:eastAsia="Times New Roman" w:hAnsi="Times New Roman" w:cs="Times New Roman"/>
          <w:b/>
          <w:color w:val="222222"/>
          <w:sz w:val="24"/>
          <w:szCs w:val="24"/>
        </w:rPr>
        <w:t xml:space="preserve">recording a </w:t>
      </w:r>
      <w:r w:rsidRPr="00CD2BFD">
        <w:rPr>
          <w:rFonts w:ascii="Times New Roman" w:eastAsia="Times New Roman" w:hAnsi="Times New Roman" w:cs="Times New Roman"/>
          <w:b/>
          <w:color w:val="222222"/>
          <w:sz w:val="24"/>
          <w:szCs w:val="24"/>
        </w:rPr>
        <w:t>substantial</w:t>
      </w:r>
      <w:r w:rsidR="00CD5A48" w:rsidRPr="00CD2BFD">
        <w:rPr>
          <w:rFonts w:ascii="Times New Roman" w:eastAsia="Times New Roman" w:hAnsi="Times New Roman" w:cs="Times New Roman"/>
          <w:b/>
          <w:color w:val="222222"/>
          <w:sz w:val="24"/>
          <w:szCs w:val="24"/>
        </w:rPr>
        <w:t>ly</w:t>
      </w:r>
      <w:r w:rsidRPr="00CD2BFD">
        <w:rPr>
          <w:rFonts w:ascii="Times New Roman" w:eastAsia="Times New Roman" w:hAnsi="Times New Roman" w:cs="Times New Roman"/>
          <w:b/>
          <w:color w:val="222222"/>
          <w:sz w:val="24"/>
          <w:szCs w:val="24"/>
        </w:rPr>
        <w:t xml:space="preserve"> higher GDP/Capita ($ </w:t>
      </w:r>
      <w:r w:rsidR="008B0C2F" w:rsidRPr="00CD2BFD">
        <w:rPr>
          <w:rFonts w:ascii="Times New Roman" w:eastAsia="Times New Roman" w:hAnsi="Times New Roman" w:cs="Times New Roman"/>
          <w:b/>
          <w:color w:val="222222"/>
          <w:sz w:val="24"/>
          <w:szCs w:val="24"/>
        </w:rPr>
        <w:t>29</w:t>
      </w:r>
      <w:r w:rsidRPr="00CD2BFD">
        <w:rPr>
          <w:rFonts w:ascii="Times New Roman" w:eastAsia="Times New Roman" w:hAnsi="Times New Roman" w:cs="Times New Roman"/>
          <w:b/>
          <w:color w:val="222222"/>
          <w:sz w:val="24"/>
          <w:szCs w:val="24"/>
        </w:rPr>
        <w:t xml:space="preserve">,000 versus $ </w:t>
      </w:r>
      <w:r w:rsidR="008B0C2F" w:rsidRPr="00CD2BFD">
        <w:rPr>
          <w:rFonts w:ascii="Times New Roman" w:eastAsia="Times New Roman" w:hAnsi="Times New Roman" w:cs="Times New Roman"/>
          <w:b/>
          <w:color w:val="222222"/>
          <w:sz w:val="24"/>
          <w:szCs w:val="24"/>
        </w:rPr>
        <w:t>3,</w:t>
      </w:r>
      <w:r w:rsidRPr="00CD2BFD">
        <w:rPr>
          <w:rFonts w:ascii="Times New Roman" w:eastAsia="Times New Roman" w:hAnsi="Times New Roman" w:cs="Times New Roman"/>
          <w:b/>
          <w:color w:val="222222"/>
          <w:sz w:val="24"/>
          <w:szCs w:val="24"/>
        </w:rPr>
        <w:t xml:space="preserve">000); scoring better in rule of law, voice accountability, and government effectiveness; </w:t>
      </w:r>
      <w:r w:rsidRPr="00CD2BFD">
        <w:rPr>
          <w:rFonts w:ascii="Times New Roman" w:eastAsia="Times New Roman" w:hAnsi="Times New Roman" w:cs="Times New Roman"/>
          <w:b/>
          <w:color w:val="222222"/>
          <w:sz w:val="24"/>
          <w:szCs w:val="24"/>
        </w:rPr>
        <w:lastRenderedPageBreak/>
        <w:t xml:space="preserve">and </w:t>
      </w:r>
      <w:r w:rsidR="00CD5A48" w:rsidRPr="00CD2BFD">
        <w:rPr>
          <w:rFonts w:ascii="Times New Roman" w:eastAsia="Times New Roman" w:hAnsi="Times New Roman" w:cs="Times New Roman"/>
          <w:b/>
          <w:color w:val="222222"/>
          <w:sz w:val="24"/>
          <w:szCs w:val="24"/>
        </w:rPr>
        <w:t xml:space="preserve">achieving </w:t>
      </w:r>
      <w:r w:rsidRPr="00CD2BFD">
        <w:rPr>
          <w:rFonts w:ascii="Times New Roman" w:eastAsia="Times New Roman" w:hAnsi="Times New Roman" w:cs="Times New Roman"/>
          <w:b/>
          <w:color w:val="222222"/>
          <w:sz w:val="24"/>
          <w:szCs w:val="24"/>
        </w:rPr>
        <w:t>substantially higher vaccination rate</w:t>
      </w:r>
      <w:r w:rsidR="00CD5A48" w:rsidRPr="00CD2BFD">
        <w:rPr>
          <w:rFonts w:ascii="Times New Roman" w:eastAsia="Times New Roman" w:hAnsi="Times New Roman" w:cs="Times New Roman"/>
          <w:b/>
          <w:color w:val="222222"/>
          <w:sz w:val="24"/>
          <w:szCs w:val="24"/>
        </w:rPr>
        <w:t>s</w:t>
      </w:r>
      <w:r w:rsidRPr="00CD2BFD">
        <w:rPr>
          <w:rFonts w:ascii="Times New Roman" w:eastAsia="Times New Roman" w:hAnsi="Times New Roman" w:cs="Times New Roman"/>
          <w:b/>
          <w:color w:val="222222"/>
          <w:sz w:val="24"/>
          <w:szCs w:val="24"/>
        </w:rPr>
        <w:t xml:space="preserve"> (as measured by the number of </w:t>
      </w:r>
      <w:r w:rsidR="00525E77" w:rsidRPr="00CD2BFD">
        <w:rPr>
          <w:rFonts w:ascii="Times New Roman" w:eastAsia="Times New Roman" w:hAnsi="Times New Roman" w:cs="Times New Roman"/>
          <w:b/>
          <w:color w:val="222222"/>
          <w:sz w:val="24"/>
          <w:szCs w:val="24"/>
        </w:rPr>
        <w:t>Covid</w:t>
      </w:r>
      <w:r w:rsidRPr="00CD2BFD">
        <w:rPr>
          <w:rFonts w:ascii="Times New Roman" w:eastAsia="Times New Roman" w:hAnsi="Times New Roman" w:cs="Times New Roman"/>
          <w:b/>
          <w:color w:val="222222"/>
          <w:sz w:val="24"/>
          <w:szCs w:val="24"/>
        </w:rPr>
        <w:t>-19 vaccinations administered per hundred population) [1</w:t>
      </w:r>
      <w:r w:rsidR="008B0C2F" w:rsidRPr="00CD2BFD">
        <w:rPr>
          <w:rFonts w:ascii="Times New Roman" w:eastAsia="Times New Roman" w:hAnsi="Times New Roman" w:cs="Times New Roman"/>
          <w:b/>
          <w:color w:val="222222"/>
          <w:sz w:val="24"/>
          <w:szCs w:val="24"/>
        </w:rPr>
        <w:t>44</w:t>
      </w:r>
      <w:r w:rsidRPr="00CD2BFD">
        <w:rPr>
          <w:rFonts w:ascii="Times New Roman" w:eastAsia="Times New Roman" w:hAnsi="Times New Roman" w:cs="Times New Roman"/>
          <w:b/>
          <w:color w:val="222222"/>
          <w:sz w:val="24"/>
          <w:szCs w:val="24"/>
        </w:rPr>
        <w:t xml:space="preserve"> versus </w:t>
      </w:r>
      <w:r w:rsidR="008B0C2F" w:rsidRPr="00CD2BFD">
        <w:rPr>
          <w:rFonts w:ascii="Times New Roman" w:eastAsia="Times New Roman" w:hAnsi="Times New Roman" w:cs="Times New Roman"/>
          <w:b/>
          <w:color w:val="222222"/>
          <w:sz w:val="24"/>
          <w:szCs w:val="24"/>
        </w:rPr>
        <w:t>26</w:t>
      </w:r>
      <w:r w:rsidRPr="00CD2BFD">
        <w:rPr>
          <w:rFonts w:ascii="Times New Roman" w:eastAsia="Times New Roman" w:hAnsi="Times New Roman" w:cs="Times New Roman"/>
          <w:b/>
          <w:color w:val="222222"/>
          <w:sz w:val="24"/>
          <w:szCs w:val="24"/>
        </w:rPr>
        <w:t>].</w:t>
      </w:r>
      <w:r w:rsidR="00955B2E" w:rsidRPr="00CD2BFD">
        <w:rPr>
          <w:rStyle w:val="FootnoteReference"/>
          <w:rFonts w:ascii="Times New Roman" w:eastAsia="Times New Roman" w:hAnsi="Times New Roman" w:cs="Times New Roman"/>
          <w:b/>
          <w:color w:val="222222"/>
          <w:sz w:val="24"/>
          <w:szCs w:val="24"/>
        </w:rPr>
        <w:footnoteReference w:id="11"/>
      </w:r>
      <w:r w:rsidRPr="00CD2BFD">
        <w:rPr>
          <w:rFonts w:ascii="Times New Roman" w:eastAsia="Times New Roman" w:hAnsi="Times New Roman" w:cs="Times New Roman"/>
          <w:b/>
          <w:color w:val="222222"/>
          <w:sz w:val="24"/>
          <w:szCs w:val="24"/>
        </w:rPr>
        <w:t> </w:t>
      </w:r>
    </w:p>
    <w:p w14:paraId="60916CFC" w14:textId="77777777" w:rsidR="00164807" w:rsidRPr="00173569" w:rsidRDefault="00164807" w:rsidP="00C82A25">
      <w:pPr>
        <w:spacing w:line="360" w:lineRule="auto"/>
        <w:rPr>
          <w:rFonts w:ascii="Times New Roman" w:eastAsia="Times New Roman" w:hAnsi="Times New Roman" w:cs="Times New Roman"/>
          <w:color w:val="222222"/>
          <w:sz w:val="24"/>
          <w:szCs w:val="24"/>
        </w:rPr>
      </w:pPr>
    </w:p>
    <w:p w14:paraId="4933A1D6" w14:textId="2299AE4D" w:rsidR="00614F7A" w:rsidRDefault="0000755F" w:rsidP="0000755F">
      <w:pPr>
        <w:spacing w:line="240" w:lineRule="auto"/>
        <w:rPr>
          <w:rFonts w:ascii="Times New Roman" w:eastAsia="Book Antiqua" w:hAnsi="Times New Roman" w:cs="Times New Roman"/>
          <w:sz w:val="24"/>
          <w:szCs w:val="24"/>
        </w:rPr>
      </w:pPr>
      <w:r w:rsidRPr="00173569">
        <w:rPr>
          <w:rFonts w:ascii="Times New Roman" w:eastAsia="Book Antiqua" w:hAnsi="Times New Roman" w:cs="Times New Roman"/>
          <w:b/>
          <w:sz w:val="24"/>
          <w:szCs w:val="24"/>
        </w:rPr>
        <w:t xml:space="preserve">Table 5: </w:t>
      </w:r>
      <w:r w:rsidRPr="00173569">
        <w:rPr>
          <w:rFonts w:ascii="Times New Roman" w:eastAsia="Book Antiqua" w:hAnsi="Times New Roman" w:cs="Times New Roman"/>
          <w:sz w:val="24"/>
          <w:szCs w:val="24"/>
        </w:rPr>
        <w:t>Summary Statistics of “Doing Better in Excess” Deaths and “Doing Worse in Excess” Deaths.</w:t>
      </w:r>
    </w:p>
    <w:tbl>
      <w:tblPr>
        <w:tblW w:w="10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02"/>
        <w:gridCol w:w="938"/>
        <w:gridCol w:w="939"/>
        <w:gridCol w:w="939"/>
        <w:gridCol w:w="1242"/>
        <w:gridCol w:w="1242"/>
        <w:gridCol w:w="996"/>
      </w:tblGrid>
      <w:tr w:rsidR="00614F7A" w:rsidRPr="00614F7A" w14:paraId="269A9A75" w14:textId="77777777" w:rsidTr="00274218">
        <w:trPr>
          <w:trHeight w:val="288"/>
        </w:trPr>
        <w:tc>
          <w:tcPr>
            <w:tcW w:w="4202" w:type="dxa"/>
            <w:shd w:val="clear" w:color="auto" w:fill="auto"/>
            <w:noWrap/>
            <w:vAlign w:val="center"/>
            <w:hideMark/>
          </w:tcPr>
          <w:p w14:paraId="25C7A22A" w14:textId="77777777" w:rsidR="00614F7A" w:rsidRPr="00274218" w:rsidRDefault="00614F7A" w:rsidP="00274218">
            <w:pPr>
              <w:spacing w:after="0" w:line="240" w:lineRule="auto"/>
              <w:jc w:val="center"/>
              <w:rPr>
                <w:rFonts w:ascii="Times New Roman" w:eastAsia="Times New Roman" w:hAnsi="Times New Roman" w:cs="Times New Roman"/>
                <w:b/>
                <w:bCs/>
                <w:color w:val="000000"/>
                <w:sz w:val="24"/>
                <w:szCs w:val="24"/>
                <w:lang w:eastAsia="zh-CN"/>
              </w:rPr>
            </w:pPr>
            <w:r w:rsidRPr="00274218">
              <w:rPr>
                <w:rFonts w:ascii="Times New Roman" w:eastAsia="Times New Roman" w:hAnsi="Times New Roman" w:cs="Times New Roman"/>
                <w:b/>
                <w:bCs/>
                <w:color w:val="000000"/>
                <w:sz w:val="24"/>
                <w:szCs w:val="24"/>
                <w:lang w:eastAsia="zh-CN"/>
              </w:rPr>
              <w:t>Variable</w:t>
            </w:r>
          </w:p>
        </w:tc>
        <w:tc>
          <w:tcPr>
            <w:tcW w:w="938" w:type="dxa"/>
            <w:shd w:val="clear" w:color="auto" w:fill="auto"/>
            <w:noWrap/>
            <w:vAlign w:val="center"/>
            <w:hideMark/>
          </w:tcPr>
          <w:p w14:paraId="76A4EC10" w14:textId="77777777" w:rsidR="00614F7A" w:rsidRPr="00274218" w:rsidRDefault="00614F7A" w:rsidP="00274218">
            <w:pPr>
              <w:spacing w:after="0" w:line="240" w:lineRule="auto"/>
              <w:jc w:val="center"/>
              <w:rPr>
                <w:rFonts w:ascii="Times New Roman" w:eastAsia="Times New Roman" w:hAnsi="Times New Roman" w:cs="Times New Roman"/>
                <w:b/>
                <w:bCs/>
                <w:color w:val="000000"/>
                <w:sz w:val="24"/>
                <w:szCs w:val="24"/>
                <w:lang w:eastAsia="zh-CN"/>
              </w:rPr>
            </w:pPr>
            <w:r w:rsidRPr="00274218">
              <w:rPr>
                <w:rFonts w:ascii="Times New Roman" w:eastAsia="Times New Roman" w:hAnsi="Times New Roman" w:cs="Times New Roman"/>
                <w:b/>
                <w:bCs/>
                <w:color w:val="000000"/>
                <w:sz w:val="24"/>
                <w:szCs w:val="24"/>
                <w:lang w:eastAsia="zh-CN"/>
              </w:rPr>
              <w:t>Mean</w:t>
            </w:r>
          </w:p>
        </w:tc>
        <w:tc>
          <w:tcPr>
            <w:tcW w:w="939" w:type="dxa"/>
            <w:shd w:val="clear" w:color="auto" w:fill="auto"/>
            <w:noWrap/>
            <w:vAlign w:val="center"/>
            <w:hideMark/>
          </w:tcPr>
          <w:p w14:paraId="3001149B" w14:textId="77777777" w:rsidR="00614F7A" w:rsidRPr="00274218" w:rsidRDefault="00614F7A" w:rsidP="00274218">
            <w:pPr>
              <w:spacing w:after="0" w:line="240" w:lineRule="auto"/>
              <w:jc w:val="center"/>
              <w:rPr>
                <w:rFonts w:ascii="Times New Roman" w:eastAsia="Times New Roman" w:hAnsi="Times New Roman" w:cs="Times New Roman"/>
                <w:b/>
                <w:bCs/>
                <w:color w:val="000000"/>
                <w:sz w:val="24"/>
                <w:szCs w:val="24"/>
                <w:lang w:eastAsia="zh-CN"/>
              </w:rPr>
            </w:pPr>
            <w:r w:rsidRPr="00274218">
              <w:rPr>
                <w:rFonts w:ascii="Times New Roman" w:eastAsia="Times New Roman" w:hAnsi="Times New Roman" w:cs="Times New Roman"/>
                <w:b/>
                <w:bCs/>
                <w:color w:val="000000"/>
                <w:sz w:val="24"/>
                <w:szCs w:val="24"/>
                <w:lang w:eastAsia="zh-CN"/>
              </w:rPr>
              <w:t>St. Dev.</w:t>
            </w:r>
          </w:p>
        </w:tc>
        <w:tc>
          <w:tcPr>
            <w:tcW w:w="939" w:type="dxa"/>
            <w:shd w:val="clear" w:color="auto" w:fill="auto"/>
            <w:noWrap/>
            <w:vAlign w:val="center"/>
            <w:hideMark/>
          </w:tcPr>
          <w:p w14:paraId="34803C46" w14:textId="77777777" w:rsidR="00614F7A" w:rsidRPr="00274218" w:rsidRDefault="00614F7A" w:rsidP="00274218">
            <w:pPr>
              <w:spacing w:after="0" w:line="240" w:lineRule="auto"/>
              <w:jc w:val="center"/>
              <w:rPr>
                <w:rFonts w:ascii="Times New Roman" w:eastAsia="Times New Roman" w:hAnsi="Times New Roman" w:cs="Times New Roman"/>
                <w:b/>
                <w:bCs/>
                <w:color w:val="000000"/>
                <w:sz w:val="24"/>
                <w:szCs w:val="24"/>
                <w:lang w:eastAsia="zh-CN"/>
              </w:rPr>
            </w:pPr>
            <w:r w:rsidRPr="00274218">
              <w:rPr>
                <w:rFonts w:ascii="Times New Roman" w:eastAsia="Times New Roman" w:hAnsi="Times New Roman" w:cs="Times New Roman"/>
                <w:b/>
                <w:bCs/>
                <w:color w:val="000000"/>
                <w:sz w:val="24"/>
                <w:szCs w:val="24"/>
                <w:lang w:eastAsia="zh-CN"/>
              </w:rPr>
              <w:t>Min.</w:t>
            </w:r>
          </w:p>
        </w:tc>
        <w:tc>
          <w:tcPr>
            <w:tcW w:w="1242" w:type="dxa"/>
            <w:shd w:val="clear" w:color="auto" w:fill="auto"/>
            <w:noWrap/>
            <w:vAlign w:val="center"/>
            <w:hideMark/>
          </w:tcPr>
          <w:p w14:paraId="36952B96" w14:textId="77777777" w:rsidR="00614F7A" w:rsidRPr="00274218" w:rsidRDefault="00614F7A" w:rsidP="00274218">
            <w:pPr>
              <w:spacing w:after="0" w:line="240" w:lineRule="auto"/>
              <w:jc w:val="center"/>
              <w:rPr>
                <w:rFonts w:ascii="Times New Roman" w:eastAsia="Times New Roman" w:hAnsi="Times New Roman" w:cs="Times New Roman"/>
                <w:b/>
                <w:bCs/>
                <w:color w:val="000000"/>
                <w:sz w:val="24"/>
                <w:szCs w:val="24"/>
                <w:lang w:eastAsia="zh-CN"/>
              </w:rPr>
            </w:pPr>
            <w:r w:rsidRPr="00274218">
              <w:rPr>
                <w:rFonts w:ascii="Times New Roman" w:eastAsia="Times New Roman" w:hAnsi="Times New Roman" w:cs="Times New Roman"/>
                <w:b/>
                <w:bCs/>
                <w:color w:val="000000"/>
                <w:sz w:val="24"/>
                <w:szCs w:val="24"/>
                <w:lang w:eastAsia="zh-CN"/>
              </w:rPr>
              <w:t>25th Percentile</w:t>
            </w:r>
          </w:p>
        </w:tc>
        <w:tc>
          <w:tcPr>
            <w:tcW w:w="1242" w:type="dxa"/>
            <w:shd w:val="clear" w:color="auto" w:fill="auto"/>
            <w:noWrap/>
            <w:vAlign w:val="center"/>
            <w:hideMark/>
          </w:tcPr>
          <w:p w14:paraId="13B5F163" w14:textId="77777777" w:rsidR="00614F7A" w:rsidRPr="00274218" w:rsidRDefault="00614F7A" w:rsidP="00274218">
            <w:pPr>
              <w:spacing w:after="0" w:line="240" w:lineRule="auto"/>
              <w:jc w:val="center"/>
              <w:rPr>
                <w:rFonts w:ascii="Times New Roman" w:eastAsia="Times New Roman" w:hAnsi="Times New Roman" w:cs="Times New Roman"/>
                <w:b/>
                <w:bCs/>
                <w:color w:val="000000"/>
                <w:sz w:val="24"/>
                <w:szCs w:val="24"/>
                <w:lang w:eastAsia="zh-CN"/>
              </w:rPr>
            </w:pPr>
            <w:r w:rsidRPr="00274218">
              <w:rPr>
                <w:rFonts w:ascii="Times New Roman" w:eastAsia="Times New Roman" w:hAnsi="Times New Roman" w:cs="Times New Roman"/>
                <w:b/>
                <w:bCs/>
                <w:color w:val="000000"/>
                <w:sz w:val="24"/>
                <w:szCs w:val="24"/>
                <w:lang w:eastAsia="zh-CN"/>
              </w:rPr>
              <w:t>75th Percentile</w:t>
            </w:r>
          </w:p>
        </w:tc>
        <w:tc>
          <w:tcPr>
            <w:tcW w:w="996" w:type="dxa"/>
            <w:shd w:val="clear" w:color="auto" w:fill="auto"/>
            <w:noWrap/>
            <w:vAlign w:val="center"/>
            <w:hideMark/>
          </w:tcPr>
          <w:p w14:paraId="45FA18EA" w14:textId="77777777" w:rsidR="00614F7A" w:rsidRPr="00274218" w:rsidRDefault="00614F7A" w:rsidP="00274218">
            <w:pPr>
              <w:spacing w:after="0" w:line="240" w:lineRule="auto"/>
              <w:jc w:val="center"/>
              <w:rPr>
                <w:rFonts w:ascii="Times New Roman" w:eastAsia="Times New Roman" w:hAnsi="Times New Roman" w:cs="Times New Roman"/>
                <w:b/>
                <w:bCs/>
                <w:color w:val="000000"/>
                <w:sz w:val="24"/>
                <w:szCs w:val="24"/>
                <w:lang w:eastAsia="zh-CN"/>
              </w:rPr>
            </w:pPr>
            <w:r w:rsidRPr="00274218">
              <w:rPr>
                <w:rFonts w:ascii="Times New Roman" w:eastAsia="Times New Roman" w:hAnsi="Times New Roman" w:cs="Times New Roman"/>
                <w:b/>
                <w:bCs/>
                <w:color w:val="000000"/>
                <w:sz w:val="24"/>
                <w:szCs w:val="24"/>
                <w:lang w:eastAsia="zh-CN"/>
              </w:rPr>
              <w:t>Max.</w:t>
            </w:r>
          </w:p>
        </w:tc>
      </w:tr>
      <w:tr w:rsidR="00614F7A" w:rsidRPr="00614F7A" w14:paraId="4D914A7F" w14:textId="77777777" w:rsidTr="00274218">
        <w:trPr>
          <w:trHeight w:val="288"/>
        </w:trPr>
        <w:tc>
          <w:tcPr>
            <w:tcW w:w="10498" w:type="dxa"/>
            <w:gridSpan w:val="7"/>
            <w:shd w:val="clear" w:color="auto" w:fill="auto"/>
            <w:vAlign w:val="center"/>
            <w:hideMark/>
          </w:tcPr>
          <w:p w14:paraId="14243EFE" w14:textId="77777777" w:rsidR="00614F7A" w:rsidRPr="00274218" w:rsidRDefault="00614F7A" w:rsidP="00614F7A">
            <w:pPr>
              <w:spacing w:after="0" w:line="240" w:lineRule="auto"/>
              <w:jc w:val="center"/>
              <w:rPr>
                <w:rFonts w:ascii="Times New Roman" w:eastAsia="Times New Roman" w:hAnsi="Times New Roman" w:cs="Times New Roman"/>
                <w:b/>
                <w:bCs/>
                <w:i/>
                <w:iCs/>
                <w:color w:val="000000"/>
                <w:sz w:val="24"/>
                <w:szCs w:val="24"/>
                <w:lang w:eastAsia="zh-CN"/>
              </w:rPr>
            </w:pPr>
            <w:r w:rsidRPr="00274218">
              <w:rPr>
                <w:rFonts w:ascii="Times New Roman" w:eastAsia="Times New Roman" w:hAnsi="Times New Roman" w:cs="Times New Roman"/>
                <w:b/>
                <w:bCs/>
                <w:i/>
                <w:iCs/>
                <w:color w:val="000000"/>
                <w:sz w:val="24"/>
                <w:szCs w:val="24"/>
                <w:highlight w:val="green"/>
                <w:lang w:eastAsia="zh-CN"/>
              </w:rPr>
              <w:t>Doing Substantially Better in Excess Mortality</w:t>
            </w:r>
          </w:p>
        </w:tc>
      </w:tr>
      <w:tr w:rsidR="00614F7A" w:rsidRPr="00614F7A" w14:paraId="24052028" w14:textId="77777777" w:rsidTr="00274218">
        <w:trPr>
          <w:trHeight w:val="288"/>
        </w:trPr>
        <w:tc>
          <w:tcPr>
            <w:tcW w:w="4202" w:type="dxa"/>
            <w:shd w:val="clear" w:color="auto" w:fill="auto"/>
            <w:noWrap/>
            <w:hideMark/>
          </w:tcPr>
          <w:p w14:paraId="59E3DB21" w14:textId="7FCD2347" w:rsidR="00614F7A" w:rsidRPr="00274218" w:rsidRDefault="00614F7A" w:rsidP="00614F7A">
            <w:pPr>
              <w:spacing w:after="0" w:line="240" w:lineRule="auto"/>
              <w:rPr>
                <w:rFonts w:ascii="Times New Roman" w:eastAsia="Times New Roman" w:hAnsi="Times New Roman" w:cs="Times New Roman"/>
                <w:color w:val="000000"/>
                <w:sz w:val="24"/>
                <w:szCs w:val="24"/>
                <w:lang w:eastAsia="zh-CN"/>
              </w:rPr>
            </w:pPr>
            <w:r w:rsidRPr="00173569">
              <w:rPr>
                <w:rFonts w:ascii="Times New Roman" w:hAnsi="Times New Roman" w:cs="Times New Roman"/>
                <w:sz w:val="24"/>
                <w:szCs w:val="24"/>
              </w:rPr>
              <w:t>Population Density</w:t>
            </w:r>
          </w:p>
        </w:tc>
        <w:tc>
          <w:tcPr>
            <w:tcW w:w="938" w:type="dxa"/>
            <w:shd w:val="clear" w:color="auto" w:fill="auto"/>
            <w:noWrap/>
            <w:vAlign w:val="bottom"/>
            <w:hideMark/>
          </w:tcPr>
          <w:p w14:paraId="155A5789"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highlight w:val="green"/>
                <w:lang w:eastAsia="zh-CN"/>
              </w:rPr>
            </w:pPr>
            <w:r w:rsidRPr="00274218">
              <w:rPr>
                <w:rFonts w:ascii="Times New Roman" w:eastAsia="Times New Roman" w:hAnsi="Times New Roman" w:cs="Times New Roman"/>
                <w:color w:val="000000"/>
                <w:sz w:val="24"/>
                <w:szCs w:val="24"/>
                <w:highlight w:val="green"/>
                <w:lang w:eastAsia="zh-CN"/>
              </w:rPr>
              <w:t>217.05</w:t>
            </w:r>
          </w:p>
        </w:tc>
        <w:tc>
          <w:tcPr>
            <w:tcW w:w="939" w:type="dxa"/>
            <w:shd w:val="clear" w:color="auto" w:fill="auto"/>
            <w:noWrap/>
            <w:vAlign w:val="bottom"/>
            <w:hideMark/>
          </w:tcPr>
          <w:p w14:paraId="45DCCE61"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233.10</w:t>
            </w:r>
          </w:p>
        </w:tc>
        <w:tc>
          <w:tcPr>
            <w:tcW w:w="939" w:type="dxa"/>
            <w:shd w:val="clear" w:color="auto" w:fill="auto"/>
            <w:noWrap/>
            <w:vAlign w:val="bottom"/>
            <w:hideMark/>
          </w:tcPr>
          <w:p w14:paraId="42E62E23"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1.98</w:t>
            </w:r>
          </w:p>
        </w:tc>
        <w:tc>
          <w:tcPr>
            <w:tcW w:w="1242" w:type="dxa"/>
            <w:shd w:val="clear" w:color="auto" w:fill="auto"/>
            <w:noWrap/>
            <w:vAlign w:val="bottom"/>
            <w:hideMark/>
          </w:tcPr>
          <w:p w14:paraId="1384D8D2"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58.00</w:t>
            </w:r>
          </w:p>
        </w:tc>
        <w:tc>
          <w:tcPr>
            <w:tcW w:w="1242" w:type="dxa"/>
            <w:shd w:val="clear" w:color="auto" w:fill="auto"/>
            <w:noWrap/>
            <w:vAlign w:val="bottom"/>
            <w:hideMark/>
          </w:tcPr>
          <w:p w14:paraId="6A7EBD8A"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274.29</w:t>
            </w:r>
          </w:p>
        </w:tc>
        <w:tc>
          <w:tcPr>
            <w:tcW w:w="996" w:type="dxa"/>
            <w:shd w:val="clear" w:color="auto" w:fill="auto"/>
            <w:noWrap/>
            <w:vAlign w:val="bottom"/>
            <w:hideMark/>
          </w:tcPr>
          <w:p w14:paraId="1B3A3B64"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664.46</w:t>
            </w:r>
          </w:p>
        </w:tc>
      </w:tr>
      <w:tr w:rsidR="00614F7A" w:rsidRPr="00614F7A" w14:paraId="0DCD5F40" w14:textId="77777777" w:rsidTr="00274218">
        <w:trPr>
          <w:trHeight w:val="288"/>
        </w:trPr>
        <w:tc>
          <w:tcPr>
            <w:tcW w:w="4202" w:type="dxa"/>
            <w:shd w:val="clear" w:color="auto" w:fill="auto"/>
            <w:noWrap/>
            <w:hideMark/>
          </w:tcPr>
          <w:p w14:paraId="73AF542D" w14:textId="5F389F7B" w:rsidR="00614F7A" w:rsidRPr="00274218" w:rsidRDefault="00614F7A" w:rsidP="00614F7A">
            <w:pPr>
              <w:spacing w:after="0" w:line="240" w:lineRule="auto"/>
              <w:rPr>
                <w:rFonts w:ascii="Times New Roman" w:eastAsia="Times New Roman" w:hAnsi="Times New Roman" w:cs="Times New Roman"/>
                <w:color w:val="000000"/>
                <w:sz w:val="24"/>
                <w:szCs w:val="24"/>
                <w:lang w:eastAsia="zh-CN"/>
              </w:rPr>
            </w:pPr>
            <w:r w:rsidRPr="00173569">
              <w:rPr>
                <w:rFonts w:ascii="Times New Roman" w:hAnsi="Times New Roman" w:cs="Times New Roman"/>
                <w:sz w:val="24"/>
                <w:szCs w:val="24"/>
              </w:rPr>
              <w:t>Urban Population Share</w:t>
            </w:r>
          </w:p>
        </w:tc>
        <w:tc>
          <w:tcPr>
            <w:tcW w:w="938" w:type="dxa"/>
            <w:shd w:val="clear" w:color="auto" w:fill="auto"/>
            <w:noWrap/>
            <w:vAlign w:val="bottom"/>
            <w:hideMark/>
          </w:tcPr>
          <w:p w14:paraId="283D44A6"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highlight w:val="green"/>
                <w:lang w:eastAsia="zh-CN"/>
              </w:rPr>
            </w:pPr>
            <w:r w:rsidRPr="00274218">
              <w:rPr>
                <w:rFonts w:ascii="Times New Roman" w:eastAsia="Times New Roman" w:hAnsi="Times New Roman" w:cs="Times New Roman"/>
                <w:color w:val="000000"/>
                <w:sz w:val="24"/>
                <w:szCs w:val="24"/>
                <w:highlight w:val="green"/>
                <w:lang w:eastAsia="zh-CN"/>
              </w:rPr>
              <w:t>66.19</w:t>
            </w:r>
          </w:p>
        </w:tc>
        <w:tc>
          <w:tcPr>
            <w:tcW w:w="939" w:type="dxa"/>
            <w:shd w:val="clear" w:color="auto" w:fill="auto"/>
            <w:noWrap/>
            <w:vAlign w:val="bottom"/>
            <w:hideMark/>
          </w:tcPr>
          <w:p w14:paraId="517F6959"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22.09</w:t>
            </w:r>
          </w:p>
        </w:tc>
        <w:tc>
          <w:tcPr>
            <w:tcW w:w="939" w:type="dxa"/>
            <w:shd w:val="clear" w:color="auto" w:fill="auto"/>
            <w:noWrap/>
            <w:vAlign w:val="bottom"/>
            <w:hideMark/>
          </w:tcPr>
          <w:p w14:paraId="1FF95B64"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31.15</w:t>
            </w:r>
          </w:p>
        </w:tc>
        <w:tc>
          <w:tcPr>
            <w:tcW w:w="1242" w:type="dxa"/>
            <w:shd w:val="clear" w:color="auto" w:fill="auto"/>
            <w:noWrap/>
            <w:vAlign w:val="bottom"/>
            <w:hideMark/>
          </w:tcPr>
          <w:p w14:paraId="3C33DFEC"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48.74</w:t>
            </w:r>
          </w:p>
        </w:tc>
        <w:tc>
          <w:tcPr>
            <w:tcW w:w="1242" w:type="dxa"/>
            <w:shd w:val="clear" w:color="auto" w:fill="auto"/>
            <w:noWrap/>
            <w:vAlign w:val="bottom"/>
            <w:hideMark/>
          </w:tcPr>
          <w:p w14:paraId="2D223D59"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80.93</w:t>
            </w:r>
          </w:p>
        </w:tc>
        <w:tc>
          <w:tcPr>
            <w:tcW w:w="996" w:type="dxa"/>
            <w:shd w:val="clear" w:color="auto" w:fill="auto"/>
            <w:noWrap/>
            <w:vAlign w:val="bottom"/>
            <w:hideMark/>
          </w:tcPr>
          <w:p w14:paraId="1598464B"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95.33</w:t>
            </w:r>
          </w:p>
        </w:tc>
      </w:tr>
      <w:tr w:rsidR="00614F7A" w:rsidRPr="00614F7A" w14:paraId="63FAB75B" w14:textId="77777777" w:rsidTr="00274218">
        <w:trPr>
          <w:trHeight w:val="288"/>
        </w:trPr>
        <w:tc>
          <w:tcPr>
            <w:tcW w:w="4202" w:type="dxa"/>
            <w:shd w:val="clear" w:color="auto" w:fill="auto"/>
            <w:noWrap/>
            <w:hideMark/>
          </w:tcPr>
          <w:p w14:paraId="1ACBCFFA" w14:textId="50C8AE84" w:rsidR="00614F7A" w:rsidRPr="00274218" w:rsidRDefault="00614F7A" w:rsidP="00614F7A">
            <w:pPr>
              <w:spacing w:after="0" w:line="240" w:lineRule="auto"/>
              <w:rPr>
                <w:rFonts w:ascii="Times New Roman" w:eastAsia="Times New Roman" w:hAnsi="Times New Roman" w:cs="Times New Roman"/>
                <w:color w:val="000000"/>
                <w:sz w:val="24"/>
                <w:szCs w:val="24"/>
                <w:lang w:eastAsia="zh-CN"/>
              </w:rPr>
            </w:pPr>
            <w:r w:rsidRPr="00173569">
              <w:rPr>
                <w:rFonts w:ascii="Times New Roman" w:hAnsi="Times New Roman" w:cs="Times New Roman"/>
                <w:sz w:val="24"/>
                <w:szCs w:val="24"/>
              </w:rPr>
              <w:t>Aged 65+ Population Share</w:t>
            </w:r>
          </w:p>
        </w:tc>
        <w:tc>
          <w:tcPr>
            <w:tcW w:w="938" w:type="dxa"/>
            <w:shd w:val="clear" w:color="auto" w:fill="auto"/>
            <w:noWrap/>
            <w:vAlign w:val="bottom"/>
            <w:hideMark/>
          </w:tcPr>
          <w:p w14:paraId="17F6665D"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highlight w:val="green"/>
                <w:lang w:eastAsia="zh-CN"/>
              </w:rPr>
            </w:pPr>
            <w:r w:rsidRPr="00274218">
              <w:rPr>
                <w:rFonts w:ascii="Times New Roman" w:eastAsia="Times New Roman" w:hAnsi="Times New Roman" w:cs="Times New Roman"/>
                <w:color w:val="000000"/>
                <w:sz w:val="24"/>
                <w:szCs w:val="24"/>
                <w:highlight w:val="green"/>
                <w:lang w:eastAsia="zh-CN"/>
              </w:rPr>
              <w:t>11.78</w:t>
            </w:r>
          </w:p>
        </w:tc>
        <w:tc>
          <w:tcPr>
            <w:tcW w:w="939" w:type="dxa"/>
            <w:shd w:val="clear" w:color="auto" w:fill="auto"/>
            <w:noWrap/>
            <w:vAlign w:val="bottom"/>
            <w:hideMark/>
          </w:tcPr>
          <w:p w14:paraId="62C1CEA2"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5.12</w:t>
            </w:r>
          </w:p>
        </w:tc>
        <w:tc>
          <w:tcPr>
            <w:tcW w:w="939" w:type="dxa"/>
            <w:shd w:val="clear" w:color="auto" w:fill="auto"/>
            <w:noWrap/>
            <w:vAlign w:val="bottom"/>
            <w:hideMark/>
          </w:tcPr>
          <w:p w14:paraId="4020F651"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4.03</w:t>
            </w:r>
          </w:p>
        </w:tc>
        <w:tc>
          <w:tcPr>
            <w:tcW w:w="1242" w:type="dxa"/>
            <w:shd w:val="clear" w:color="auto" w:fill="auto"/>
            <w:noWrap/>
            <w:vAlign w:val="bottom"/>
            <w:hideMark/>
          </w:tcPr>
          <w:p w14:paraId="4B96569E"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7.63</w:t>
            </w:r>
          </w:p>
        </w:tc>
        <w:tc>
          <w:tcPr>
            <w:tcW w:w="1242" w:type="dxa"/>
            <w:shd w:val="clear" w:color="auto" w:fill="auto"/>
            <w:noWrap/>
            <w:vAlign w:val="bottom"/>
            <w:hideMark/>
          </w:tcPr>
          <w:p w14:paraId="6185D964"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14.88</w:t>
            </w:r>
          </w:p>
        </w:tc>
        <w:tc>
          <w:tcPr>
            <w:tcW w:w="996" w:type="dxa"/>
            <w:shd w:val="clear" w:color="auto" w:fill="auto"/>
            <w:noWrap/>
            <w:vAlign w:val="bottom"/>
            <w:hideMark/>
          </w:tcPr>
          <w:p w14:paraId="66F1C40B"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19.72</w:t>
            </w:r>
          </w:p>
        </w:tc>
      </w:tr>
      <w:tr w:rsidR="00614F7A" w:rsidRPr="00614F7A" w14:paraId="7D579AF0" w14:textId="77777777" w:rsidTr="00274218">
        <w:trPr>
          <w:trHeight w:val="288"/>
        </w:trPr>
        <w:tc>
          <w:tcPr>
            <w:tcW w:w="4202" w:type="dxa"/>
            <w:shd w:val="clear" w:color="auto" w:fill="auto"/>
            <w:noWrap/>
            <w:hideMark/>
          </w:tcPr>
          <w:p w14:paraId="24590456" w14:textId="614D483F" w:rsidR="00614F7A" w:rsidRPr="00274218" w:rsidRDefault="00614F7A" w:rsidP="00614F7A">
            <w:pPr>
              <w:spacing w:after="0" w:line="240" w:lineRule="auto"/>
              <w:rPr>
                <w:rFonts w:ascii="Times New Roman" w:eastAsia="Times New Roman" w:hAnsi="Times New Roman" w:cs="Times New Roman"/>
                <w:color w:val="000000"/>
                <w:sz w:val="24"/>
                <w:szCs w:val="24"/>
                <w:lang w:eastAsia="zh-CN"/>
              </w:rPr>
            </w:pPr>
            <w:r w:rsidRPr="00173569">
              <w:rPr>
                <w:rFonts w:ascii="Times New Roman" w:hAnsi="Times New Roman" w:cs="Times New Roman"/>
                <w:sz w:val="24"/>
                <w:szCs w:val="24"/>
              </w:rPr>
              <w:t>GDP per Capita</w:t>
            </w:r>
            <w:r w:rsidR="008B0C2F">
              <w:rPr>
                <w:rFonts w:ascii="Times New Roman" w:hAnsi="Times New Roman" w:cs="Times New Roman"/>
                <w:sz w:val="24"/>
                <w:szCs w:val="24"/>
              </w:rPr>
              <w:t xml:space="preserve"> (in $1,000)</w:t>
            </w:r>
          </w:p>
        </w:tc>
        <w:tc>
          <w:tcPr>
            <w:tcW w:w="938" w:type="dxa"/>
            <w:shd w:val="clear" w:color="auto" w:fill="auto"/>
            <w:noWrap/>
            <w:vAlign w:val="bottom"/>
            <w:hideMark/>
          </w:tcPr>
          <w:p w14:paraId="06082EC3"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highlight w:val="green"/>
                <w:lang w:eastAsia="zh-CN"/>
              </w:rPr>
            </w:pPr>
            <w:r w:rsidRPr="00274218">
              <w:rPr>
                <w:rFonts w:ascii="Times New Roman" w:eastAsia="Times New Roman" w:hAnsi="Times New Roman" w:cs="Times New Roman"/>
                <w:color w:val="000000"/>
                <w:sz w:val="24"/>
                <w:szCs w:val="24"/>
                <w:highlight w:val="green"/>
                <w:lang w:eastAsia="zh-CN"/>
              </w:rPr>
              <w:t>29.37</w:t>
            </w:r>
          </w:p>
        </w:tc>
        <w:tc>
          <w:tcPr>
            <w:tcW w:w="939" w:type="dxa"/>
            <w:shd w:val="clear" w:color="auto" w:fill="auto"/>
            <w:noWrap/>
            <w:vAlign w:val="bottom"/>
            <w:hideMark/>
          </w:tcPr>
          <w:p w14:paraId="02F6A850"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24.06</w:t>
            </w:r>
          </w:p>
        </w:tc>
        <w:tc>
          <w:tcPr>
            <w:tcW w:w="939" w:type="dxa"/>
            <w:shd w:val="clear" w:color="auto" w:fill="auto"/>
            <w:noWrap/>
            <w:vAlign w:val="bottom"/>
            <w:hideMark/>
          </w:tcPr>
          <w:p w14:paraId="4BA3C4C0"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9.67</w:t>
            </w:r>
          </w:p>
        </w:tc>
        <w:tc>
          <w:tcPr>
            <w:tcW w:w="1242" w:type="dxa"/>
            <w:shd w:val="clear" w:color="auto" w:fill="auto"/>
            <w:noWrap/>
            <w:vAlign w:val="bottom"/>
            <w:hideMark/>
          </w:tcPr>
          <w:p w14:paraId="64BFE2BA"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15.29</w:t>
            </w:r>
          </w:p>
        </w:tc>
        <w:tc>
          <w:tcPr>
            <w:tcW w:w="1242" w:type="dxa"/>
            <w:shd w:val="clear" w:color="auto" w:fill="auto"/>
            <w:noWrap/>
            <w:vAlign w:val="bottom"/>
            <w:hideMark/>
          </w:tcPr>
          <w:p w14:paraId="3069D668"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32.71</w:t>
            </w:r>
          </w:p>
        </w:tc>
        <w:tc>
          <w:tcPr>
            <w:tcW w:w="996" w:type="dxa"/>
            <w:shd w:val="clear" w:color="auto" w:fill="auto"/>
            <w:noWrap/>
            <w:vAlign w:val="bottom"/>
            <w:hideMark/>
          </w:tcPr>
          <w:p w14:paraId="67532FA4"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94.28</w:t>
            </w:r>
          </w:p>
        </w:tc>
      </w:tr>
      <w:tr w:rsidR="00614F7A" w:rsidRPr="00614F7A" w14:paraId="61159426" w14:textId="77777777" w:rsidTr="00274218">
        <w:trPr>
          <w:trHeight w:val="288"/>
        </w:trPr>
        <w:tc>
          <w:tcPr>
            <w:tcW w:w="4202" w:type="dxa"/>
            <w:shd w:val="clear" w:color="auto" w:fill="auto"/>
            <w:noWrap/>
            <w:hideMark/>
          </w:tcPr>
          <w:p w14:paraId="24DFECC3" w14:textId="15BED865" w:rsidR="00614F7A" w:rsidRPr="00274218" w:rsidRDefault="00614F7A" w:rsidP="00614F7A">
            <w:pPr>
              <w:spacing w:after="0" w:line="240" w:lineRule="auto"/>
              <w:rPr>
                <w:rFonts w:ascii="Times New Roman" w:eastAsia="Times New Roman" w:hAnsi="Times New Roman" w:cs="Times New Roman"/>
                <w:color w:val="000000"/>
                <w:sz w:val="24"/>
                <w:szCs w:val="24"/>
                <w:lang w:eastAsia="zh-CN"/>
              </w:rPr>
            </w:pPr>
            <w:r w:rsidRPr="00173569">
              <w:rPr>
                <w:rFonts w:ascii="Times New Roman" w:hAnsi="Times New Roman" w:cs="Times New Roman"/>
                <w:sz w:val="24"/>
                <w:szCs w:val="24"/>
              </w:rPr>
              <w:t>Rule of Law</w:t>
            </w:r>
          </w:p>
        </w:tc>
        <w:tc>
          <w:tcPr>
            <w:tcW w:w="938" w:type="dxa"/>
            <w:shd w:val="clear" w:color="auto" w:fill="auto"/>
            <w:noWrap/>
            <w:vAlign w:val="bottom"/>
            <w:hideMark/>
          </w:tcPr>
          <w:p w14:paraId="3D8ACD2E"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highlight w:val="green"/>
                <w:lang w:eastAsia="zh-CN"/>
              </w:rPr>
            </w:pPr>
            <w:r w:rsidRPr="00274218">
              <w:rPr>
                <w:rFonts w:ascii="Times New Roman" w:eastAsia="Times New Roman" w:hAnsi="Times New Roman" w:cs="Times New Roman"/>
                <w:color w:val="000000"/>
                <w:sz w:val="24"/>
                <w:szCs w:val="24"/>
                <w:highlight w:val="green"/>
                <w:lang w:eastAsia="zh-CN"/>
              </w:rPr>
              <w:t>0.76</w:t>
            </w:r>
          </w:p>
        </w:tc>
        <w:tc>
          <w:tcPr>
            <w:tcW w:w="939" w:type="dxa"/>
            <w:shd w:val="clear" w:color="auto" w:fill="auto"/>
            <w:noWrap/>
            <w:vAlign w:val="bottom"/>
            <w:hideMark/>
          </w:tcPr>
          <w:p w14:paraId="10EE3D79"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0.63</w:t>
            </w:r>
          </w:p>
        </w:tc>
        <w:tc>
          <w:tcPr>
            <w:tcW w:w="939" w:type="dxa"/>
            <w:shd w:val="clear" w:color="auto" w:fill="auto"/>
            <w:noWrap/>
            <w:vAlign w:val="bottom"/>
            <w:hideMark/>
          </w:tcPr>
          <w:p w14:paraId="1EB903AE"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-0.26</w:t>
            </w:r>
          </w:p>
        </w:tc>
        <w:tc>
          <w:tcPr>
            <w:tcW w:w="1242" w:type="dxa"/>
            <w:shd w:val="clear" w:color="auto" w:fill="auto"/>
            <w:noWrap/>
            <w:vAlign w:val="bottom"/>
            <w:hideMark/>
          </w:tcPr>
          <w:p w14:paraId="3ACEF0F2"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0.32</w:t>
            </w:r>
          </w:p>
        </w:tc>
        <w:tc>
          <w:tcPr>
            <w:tcW w:w="1242" w:type="dxa"/>
            <w:shd w:val="clear" w:color="auto" w:fill="auto"/>
            <w:noWrap/>
            <w:vAlign w:val="bottom"/>
            <w:hideMark/>
          </w:tcPr>
          <w:p w14:paraId="2FFE3960"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1.13</w:t>
            </w:r>
          </w:p>
        </w:tc>
        <w:tc>
          <w:tcPr>
            <w:tcW w:w="996" w:type="dxa"/>
            <w:shd w:val="clear" w:color="auto" w:fill="auto"/>
            <w:noWrap/>
            <w:vAlign w:val="bottom"/>
            <w:hideMark/>
          </w:tcPr>
          <w:p w14:paraId="46EBD9F6"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1.79</w:t>
            </w:r>
          </w:p>
        </w:tc>
      </w:tr>
      <w:tr w:rsidR="00614F7A" w:rsidRPr="00614F7A" w14:paraId="6E152087" w14:textId="77777777" w:rsidTr="00274218">
        <w:trPr>
          <w:trHeight w:val="288"/>
        </w:trPr>
        <w:tc>
          <w:tcPr>
            <w:tcW w:w="4202" w:type="dxa"/>
            <w:shd w:val="clear" w:color="auto" w:fill="auto"/>
            <w:noWrap/>
            <w:hideMark/>
          </w:tcPr>
          <w:p w14:paraId="13E15138" w14:textId="359CE0CB" w:rsidR="00614F7A" w:rsidRPr="00274218" w:rsidRDefault="00614F7A" w:rsidP="00614F7A">
            <w:pPr>
              <w:spacing w:after="0" w:line="240" w:lineRule="auto"/>
              <w:rPr>
                <w:rFonts w:ascii="Times New Roman" w:eastAsia="Times New Roman" w:hAnsi="Times New Roman" w:cs="Times New Roman"/>
                <w:color w:val="000000"/>
                <w:sz w:val="24"/>
                <w:szCs w:val="24"/>
                <w:lang w:eastAsia="zh-CN"/>
              </w:rPr>
            </w:pPr>
            <w:r w:rsidRPr="00173569">
              <w:rPr>
                <w:rFonts w:ascii="Times New Roman" w:hAnsi="Times New Roman" w:cs="Times New Roman"/>
                <w:sz w:val="24"/>
                <w:szCs w:val="24"/>
              </w:rPr>
              <w:t>Voice and Accountability</w:t>
            </w:r>
          </w:p>
        </w:tc>
        <w:tc>
          <w:tcPr>
            <w:tcW w:w="938" w:type="dxa"/>
            <w:shd w:val="clear" w:color="auto" w:fill="auto"/>
            <w:noWrap/>
            <w:vAlign w:val="bottom"/>
            <w:hideMark/>
          </w:tcPr>
          <w:p w14:paraId="45F59BE6"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highlight w:val="green"/>
                <w:lang w:eastAsia="zh-CN"/>
              </w:rPr>
            </w:pPr>
            <w:r w:rsidRPr="00274218">
              <w:rPr>
                <w:rFonts w:ascii="Times New Roman" w:eastAsia="Times New Roman" w:hAnsi="Times New Roman" w:cs="Times New Roman"/>
                <w:color w:val="000000"/>
                <w:sz w:val="24"/>
                <w:szCs w:val="24"/>
                <w:highlight w:val="green"/>
                <w:lang w:eastAsia="zh-CN"/>
              </w:rPr>
              <w:t>0.86</w:t>
            </w:r>
          </w:p>
        </w:tc>
        <w:tc>
          <w:tcPr>
            <w:tcW w:w="939" w:type="dxa"/>
            <w:shd w:val="clear" w:color="auto" w:fill="auto"/>
            <w:noWrap/>
            <w:vAlign w:val="bottom"/>
            <w:hideMark/>
          </w:tcPr>
          <w:p w14:paraId="7A6A9620"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0.51</w:t>
            </w:r>
          </w:p>
        </w:tc>
        <w:tc>
          <w:tcPr>
            <w:tcW w:w="939" w:type="dxa"/>
            <w:shd w:val="clear" w:color="auto" w:fill="auto"/>
            <w:noWrap/>
            <w:vAlign w:val="bottom"/>
            <w:hideMark/>
          </w:tcPr>
          <w:p w14:paraId="660E4614"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-0.15</w:t>
            </w:r>
          </w:p>
        </w:tc>
        <w:tc>
          <w:tcPr>
            <w:tcW w:w="1242" w:type="dxa"/>
            <w:shd w:val="clear" w:color="auto" w:fill="auto"/>
            <w:noWrap/>
            <w:vAlign w:val="bottom"/>
            <w:hideMark/>
          </w:tcPr>
          <w:p w14:paraId="4CA3623A"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0.57</w:t>
            </w:r>
          </w:p>
        </w:tc>
        <w:tc>
          <w:tcPr>
            <w:tcW w:w="1242" w:type="dxa"/>
            <w:shd w:val="clear" w:color="auto" w:fill="auto"/>
            <w:noWrap/>
            <w:vAlign w:val="bottom"/>
            <w:hideMark/>
          </w:tcPr>
          <w:p w14:paraId="32FC39AA"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1.22</w:t>
            </w:r>
          </w:p>
        </w:tc>
        <w:tc>
          <w:tcPr>
            <w:tcW w:w="996" w:type="dxa"/>
            <w:shd w:val="clear" w:color="auto" w:fill="auto"/>
            <w:noWrap/>
            <w:vAlign w:val="bottom"/>
            <w:hideMark/>
          </w:tcPr>
          <w:p w14:paraId="113D0C7F"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1.50</w:t>
            </w:r>
          </w:p>
        </w:tc>
      </w:tr>
      <w:tr w:rsidR="00614F7A" w:rsidRPr="00614F7A" w14:paraId="58A07C0A" w14:textId="77777777" w:rsidTr="00274218">
        <w:trPr>
          <w:trHeight w:val="288"/>
        </w:trPr>
        <w:tc>
          <w:tcPr>
            <w:tcW w:w="4202" w:type="dxa"/>
            <w:shd w:val="clear" w:color="auto" w:fill="auto"/>
            <w:noWrap/>
            <w:hideMark/>
          </w:tcPr>
          <w:p w14:paraId="3B8DC451" w14:textId="70E72EAD" w:rsidR="00614F7A" w:rsidRPr="00274218" w:rsidRDefault="00614F7A" w:rsidP="00614F7A">
            <w:pPr>
              <w:spacing w:after="0" w:line="240" w:lineRule="auto"/>
              <w:rPr>
                <w:rFonts w:ascii="Times New Roman" w:eastAsia="Times New Roman" w:hAnsi="Times New Roman" w:cs="Times New Roman"/>
                <w:color w:val="000000"/>
                <w:sz w:val="24"/>
                <w:szCs w:val="24"/>
                <w:lang w:eastAsia="zh-CN"/>
              </w:rPr>
            </w:pPr>
            <w:r w:rsidRPr="00173569">
              <w:rPr>
                <w:rFonts w:ascii="Times New Roman" w:hAnsi="Times New Roman" w:cs="Times New Roman"/>
                <w:sz w:val="24"/>
                <w:szCs w:val="24"/>
              </w:rPr>
              <w:t>Government Effectiveness</w:t>
            </w:r>
          </w:p>
        </w:tc>
        <w:tc>
          <w:tcPr>
            <w:tcW w:w="938" w:type="dxa"/>
            <w:shd w:val="clear" w:color="auto" w:fill="auto"/>
            <w:noWrap/>
            <w:vAlign w:val="bottom"/>
            <w:hideMark/>
          </w:tcPr>
          <w:p w14:paraId="48B13935"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highlight w:val="green"/>
                <w:lang w:eastAsia="zh-CN"/>
              </w:rPr>
            </w:pPr>
            <w:r w:rsidRPr="00274218">
              <w:rPr>
                <w:rFonts w:ascii="Times New Roman" w:eastAsia="Times New Roman" w:hAnsi="Times New Roman" w:cs="Times New Roman"/>
                <w:color w:val="000000"/>
                <w:sz w:val="24"/>
                <w:szCs w:val="24"/>
                <w:highlight w:val="green"/>
                <w:lang w:eastAsia="zh-CN"/>
              </w:rPr>
              <w:t>0.71</w:t>
            </w:r>
          </w:p>
        </w:tc>
        <w:tc>
          <w:tcPr>
            <w:tcW w:w="939" w:type="dxa"/>
            <w:shd w:val="clear" w:color="auto" w:fill="auto"/>
            <w:noWrap/>
            <w:vAlign w:val="bottom"/>
            <w:hideMark/>
          </w:tcPr>
          <w:p w14:paraId="51EC81AA"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0.72</w:t>
            </w:r>
          </w:p>
        </w:tc>
        <w:tc>
          <w:tcPr>
            <w:tcW w:w="939" w:type="dxa"/>
            <w:shd w:val="clear" w:color="auto" w:fill="auto"/>
            <w:noWrap/>
            <w:vAlign w:val="bottom"/>
            <w:hideMark/>
          </w:tcPr>
          <w:p w14:paraId="793747AC"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-0.34</w:t>
            </w:r>
          </w:p>
        </w:tc>
        <w:tc>
          <w:tcPr>
            <w:tcW w:w="1242" w:type="dxa"/>
            <w:shd w:val="clear" w:color="auto" w:fill="auto"/>
            <w:noWrap/>
            <w:vAlign w:val="bottom"/>
            <w:hideMark/>
          </w:tcPr>
          <w:p w14:paraId="58C5876C"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0.21</w:t>
            </w:r>
          </w:p>
        </w:tc>
        <w:tc>
          <w:tcPr>
            <w:tcW w:w="1242" w:type="dxa"/>
            <w:shd w:val="clear" w:color="auto" w:fill="auto"/>
            <w:noWrap/>
            <w:vAlign w:val="bottom"/>
            <w:hideMark/>
          </w:tcPr>
          <w:p w14:paraId="2CE9107A"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1.15</w:t>
            </w:r>
          </w:p>
        </w:tc>
        <w:tc>
          <w:tcPr>
            <w:tcW w:w="996" w:type="dxa"/>
            <w:shd w:val="clear" w:color="auto" w:fill="auto"/>
            <w:noWrap/>
            <w:vAlign w:val="bottom"/>
            <w:hideMark/>
          </w:tcPr>
          <w:p w14:paraId="0429F4C9"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1.84</w:t>
            </w:r>
          </w:p>
        </w:tc>
      </w:tr>
      <w:tr w:rsidR="00614F7A" w:rsidRPr="00614F7A" w14:paraId="0350725F" w14:textId="77777777" w:rsidTr="00274218">
        <w:trPr>
          <w:trHeight w:val="288"/>
        </w:trPr>
        <w:tc>
          <w:tcPr>
            <w:tcW w:w="4202" w:type="dxa"/>
            <w:shd w:val="clear" w:color="auto" w:fill="auto"/>
            <w:noWrap/>
            <w:hideMark/>
          </w:tcPr>
          <w:p w14:paraId="1FC36E3E" w14:textId="639ABE50" w:rsidR="00614F7A" w:rsidRPr="00274218" w:rsidRDefault="00614F7A" w:rsidP="00614F7A">
            <w:pPr>
              <w:spacing w:after="0" w:line="240" w:lineRule="auto"/>
              <w:rPr>
                <w:rFonts w:ascii="Times New Roman" w:eastAsia="Times New Roman" w:hAnsi="Times New Roman" w:cs="Times New Roman"/>
                <w:color w:val="000000"/>
                <w:sz w:val="24"/>
                <w:szCs w:val="24"/>
                <w:lang w:eastAsia="zh-CN"/>
              </w:rPr>
            </w:pPr>
            <w:r w:rsidRPr="00173569">
              <w:rPr>
                <w:rFonts w:ascii="Times New Roman" w:hAnsi="Times New Roman" w:cs="Times New Roman"/>
                <w:sz w:val="24"/>
                <w:szCs w:val="24"/>
              </w:rPr>
              <w:t>Vaccinations per Hundred Population</w:t>
            </w:r>
          </w:p>
        </w:tc>
        <w:tc>
          <w:tcPr>
            <w:tcW w:w="938" w:type="dxa"/>
            <w:shd w:val="clear" w:color="auto" w:fill="auto"/>
            <w:noWrap/>
            <w:vAlign w:val="bottom"/>
            <w:hideMark/>
          </w:tcPr>
          <w:p w14:paraId="2768F580"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highlight w:val="green"/>
                <w:lang w:eastAsia="zh-CN"/>
              </w:rPr>
            </w:pPr>
            <w:r w:rsidRPr="00274218">
              <w:rPr>
                <w:rFonts w:ascii="Times New Roman" w:eastAsia="Times New Roman" w:hAnsi="Times New Roman" w:cs="Times New Roman"/>
                <w:color w:val="000000"/>
                <w:sz w:val="24"/>
                <w:szCs w:val="24"/>
                <w:highlight w:val="green"/>
                <w:lang w:eastAsia="zh-CN"/>
              </w:rPr>
              <w:t>144.22</w:t>
            </w:r>
          </w:p>
        </w:tc>
        <w:tc>
          <w:tcPr>
            <w:tcW w:w="939" w:type="dxa"/>
            <w:shd w:val="clear" w:color="auto" w:fill="auto"/>
            <w:noWrap/>
            <w:vAlign w:val="bottom"/>
            <w:hideMark/>
          </w:tcPr>
          <w:p w14:paraId="009EF317"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47.41</w:t>
            </w:r>
          </w:p>
        </w:tc>
        <w:tc>
          <w:tcPr>
            <w:tcW w:w="939" w:type="dxa"/>
            <w:shd w:val="clear" w:color="auto" w:fill="auto"/>
            <w:noWrap/>
            <w:vAlign w:val="bottom"/>
            <w:hideMark/>
          </w:tcPr>
          <w:p w14:paraId="6CE066AF"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66.10</w:t>
            </w:r>
          </w:p>
        </w:tc>
        <w:tc>
          <w:tcPr>
            <w:tcW w:w="1242" w:type="dxa"/>
            <w:shd w:val="clear" w:color="auto" w:fill="auto"/>
            <w:noWrap/>
            <w:vAlign w:val="bottom"/>
            <w:hideMark/>
          </w:tcPr>
          <w:p w14:paraId="77D043A7"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102.78</w:t>
            </w:r>
          </w:p>
        </w:tc>
        <w:tc>
          <w:tcPr>
            <w:tcW w:w="1242" w:type="dxa"/>
            <w:shd w:val="clear" w:color="auto" w:fill="auto"/>
            <w:noWrap/>
            <w:vAlign w:val="bottom"/>
            <w:hideMark/>
          </w:tcPr>
          <w:p w14:paraId="0BC0619F"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178.83</w:t>
            </w:r>
          </w:p>
        </w:tc>
        <w:tc>
          <w:tcPr>
            <w:tcW w:w="996" w:type="dxa"/>
            <w:shd w:val="clear" w:color="auto" w:fill="auto"/>
            <w:noWrap/>
            <w:vAlign w:val="bottom"/>
            <w:hideMark/>
          </w:tcPr>
          <w:p w14:paraId="6E6DBF4A"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199.36</w:t>
            </w:r>
          </w:p>
        </w:tc>
      </w:tr>
      <w:tr w:rsidR="00614F7A" w:rsidRPr="00614F7A" w14:paraId="003C0B6A" w14:textId="77777777" w:rsidTr="00274218">
        <w:trPr>
          <w:trHeight w:val="288"/>
        </w:trPr>
        <w:tc>
          <w:tcPr>
            <w:tcW w:w="10498" w:type="dxa"/>
            <w:gridSpan w:val="7"/>
            <w:shd w:val="clear" w:color="auto" w:fill="auto"/>
            <w:vAlign w:val="center"/>
            <w:hideMark/>
          </w:tcPr>
          <w:p w14:paraId="40405CFC" w14:textId="77777777" w:rsidR="00614F7A" w:rsidRPr="00274218" w:rsidRDefault="00614F7A" w:rsidP="00614F7A">
            <w:pPr>
              <w:spacing w:after="0" w:line="240" w:lineRule="auto"/>
              <w:jc w:val="center"/>
              <w:rPr>
                <w:rFonts w:ascii="Times New Roman" w:eastAsia="Times New Roman" w:hAnsi="Times New Roman" w:cs="Times New Roman"/>
                <w:b/>
                <w:bCs/>
                <w:i/>
                <w:iCs/>
                <w:color w:val="000000"/>
                <w:sz w:val="24"/>
                <w:szCs w:val="24"/>
                <w:lang w:eastAsia="zh-CN"/>
              </w:rPr>
            </w:pPr>
            <w:r w:rsidRPr="00274218">
              <w:rPr>
                <w:rFonts w:ascii="Times New Roman" w:eastAsia="Times New Roman" w:hAnsi="Times New Roman" w:cs="Times New Roman"/>
                <w:b/>
                <w:bCs/>
                <w:i/>
                <w:iCs/>
                <w:color w:val="000000"/>
                <w:sz w:val="24"/>
                <w:szCs w:val="24"/>
                <w:highlight w:val="yellow"/>
                <w:lang w:eastAsia="zh-CN"/>
              </w:rPr>
              <w:t>Doing Substantially Worse in Excess Mortality</w:t>
            </w:r>
          </w:p>
        </w:tc>
      </w:tr>
      <w:tr w:rsidR="00614F7A" w:rsidRPr="00614F7A" w14:paraId="549D7A24" w14:textId="77777777" w:rsidTr="00274218">
        <w:trPr>
          <w:trHeight w:val="288"/>
        </w:trPr>
        <w:tc>
          <w:tcPr>
            <w:tcW w:w="4202" w:type="dxa"/>
            <w:shd w:val="clear" w:color="auto" w:fill="auto"/>
            <w:noWrap/>
            <w:hideMark/>
          </w:tcPr>
          <w:p w14:paraId="1A8EA027" w14:textId="18C3AC15" w:rsidR="00614F7A" w:rsidRPr="00274218" w:rsidRDefault="00614F7A" w:rsidP="00614F7A">
            <w:pPr>
              <w:spacing w:after="0" w:line="240" w:lineRule="auto"/>
              <w:rPr>
                <w:rFonts w:ascii="Times New Roman" w:eastAsia="Times New Roman" w:hAnsi="Times New Roman" w:cs="Times New Roman"/>
                <w:color w:val="000000"/>
                <w:sz w:val="24"/>
                <w:szCs w:val="24"/>
                <w:lang w:eastAsia="zh-CN"/>
              </w:rPr>
            </w:pPr>
            <w:r w:rsidRPr="00173569">
              <w:rPr>
                <w:rFonts w:ascii="Times New Roman" w:hAnsi="Times New Roman" w:cs="Times New Roman"/>
                <w:sz w:val="24"/>
                <w:szCs w:val="24"/>
              </w:rPr>
              <w:t>Population Density</w:t>
            </w:r>
          </w:p>
        </w:tc>
        <w:tc>
          <w:tcPr>
            <w:tcW w:w="938" w:type="dxa"/>
            <w:shd w:val="clear" w:color="auto" w:fill="auto"/>
            <w:noWrap/>
            <w:vAlign w:val="bottom"/>
            <w:hideMark/>
          </w:tcPr>
          <w:p w14:paraId="6CA2A5F3"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highlight w:val="yellow"/>
                <w:lang w:eastAsia="zh-CN"/>
              </w:rPr>
            </w:pPr>
            <w:r w:rsidRPr="00274218">
              <w:rPr>
                <w:rFonts w:ascii="Times New Roman" w:eastAsia="Times New Roman" w:hAnsi="Times New Roman" w:cs="Times New Roman"/>
                <w:color w:val="000000"/>
                <w:sz w:val="24"/>
                <w:szCs w:val="24"/>
                <w:highlight w:val="yellow"/>
                <w:lang w:eastAsia="zh-CN"/>
              </w:rPr>
              <w:t>175.31</w:t>
            </w:r>
          </w:p>
        </w:tc>
        <w:tc>
          <w:tcPr>
            <w:tcW w:w="939" w:type="dxa"/>
            <w:shd w:val="clear" w:color="auto" w:fill="auto"/>
            <w:noWrap/>
            <w:vAlign w:val="bottom"/>
            <w:hideMark/>
          </w:tcPr>
          <w:p w14:paraId="36C542CF"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324.43</w:t>
            </w:r>
          </w:p>
        </w:tc>
        <w:tc>
          <w:tcPr>
            <w:tcW w:w="939" w:type="dxa"/>
            <w:shd w:val="clear" w:color="auto" w:fill="auto"/>
            <w:noWrap/>
            <w:vAlign w:val="bottom"/>
            <w:hideMark/>
          </w:tcPr>
          <w:p w14:paraId="48A0E208"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11.83</w:t>
            </w:r>
          </w:p>
        </w:tc>
        <w:tc>
          <w:tcPr>
            <w:tcW w:w="1242" w:type="dxa"/>
            <w:shd w:val="clear" w:color="auto" w:fill="auto"/>
            <w:noWrap/>
            <w:vAlign w:val="bottom"/>
            <w:hideMark/>
          </w:tcPr>
          <w:p w14:paraId="5F0C16C9"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30.49</w:t>
            </w:r>
          </w:p>
        </w:tc>
        <w:tc>
          <w:tcPr>
            <w:tcW w:w="1242" w:type="dxa"/>
            <w:shd w:val="clear" w:color="auto" w:fill="auto"/>
            <w:noWrap/>
            <w:vAlign w:val="bottom"/>
            <w:hideMark/>
          </w:tcPr>
          <w:p w14:paraId="6DD2FA9A"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145.88</w:t>
            </w:r>
          </w:p>
        </w:tc>
        <w:tc>
          <w:tcPr>
            <w:tcW w:w="996" w:type="dxa"/>
            <w:shd w:val="clear" w:color="auto" w:fill="auto"/>
            <w:noWrap/>
            <w:vAlign w:val="bottom"/>
            <w:hideMark/>
          </w:tcPr>
          <w:p w14:paraId="51E4E120"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1265.04</w:t>
            </w:r>
          </w:p>
        </w:tc>
      </w:tr>
      <w:tr w:rsidR="00614F7A" w:rsidRPr="00614F7A" w14:paraId="2724C161" w14:textId="77777777" w:rsidTr="00274218">
        <w:trPr>
          <w:trHeight w:val="288"/>
        </w:trPr>
        <w:tc>
          <w:tcPr>
            <w:tcW w:w="4202" w:type="dxa"/>
            <w:shd w:val="clear" w:color="auto" w:fill="auto"/>
            <w:noWrap/>
            <w:hideMark/>
          </w:tcPr>
          <w:p w14:paraId="38639809" w14:textId="079DC7DA" w:rsidR="00614F7A" w:rsidRPr="00274218" w:rsidRDefault="00614F7A" w:rsidP="00614F7A">
            <w:pPr>
              <w:spacing w:after="0" w:line="240" w:lineRule="auto"/>
              <w:rPr>
                <w:rFonts w:ascii="Times New Roman" w:eastAsia="Times New Roman" w:hAnsi="Times New Roman" w:cs="Times New Roman"/>
                <w:color w:val="000000"/>
                <w:sz w:val="24"/>
                <w:szCs w:val="24"/>
                <w:lang w:eastAsia="zh-CN"/>
              </w:rPr>
            </w:pPr>
            <w:r w:rsidRPr="00173569">
              <w:rPr>
                <w:rFonts w:ascii="Times New Roman" w:hAnsi="Times New Roman" w:cs="Times New Roman"/>
                <w:sz w:val="24"/>
                <w:szCs w:val="24"/>
              </w:rPr>
              <w:t>Urban Population Share</w:t>
            </w:r>
          </w:p>
        </w:tc>
        <w:tc>
          <w:tcPr>
            <w:tcW w:w="938" w:type="dxa"/>
            <w:shd w:val="clear" w:color="auto" w:fill="auto"/>
            <w:noWrap/>
            <w:vAlign w:val="bottom"/>
            <w:hideMark/>
          </w:tcPr>
          <w:p w14:paraId="5FCC6CC1"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highlight w:val="yellow"/>
                <w:lang w:eastAsia="zh-CN"/>
              </w:rPr>
            </w:pPr>
            <w:r w:rsidRPr="00274218">
              <w:rPr>
                <w:rFonts w:ascii="Times New Roman" w:eastAsia="Times New Roman" w:hAnsi="Times New Roman" w:cs="Times New Roman"/>
                <w:color w:val="000000"/>
                <w:sz w:val="24"/>
                <w:szCs w:val="24"/>
                <w:highlight w:val="yellow"/>
                <w:lang w:eastAsia="zh-CN"/>
              </w:rPr>
              <w:t>37.95</w:t>
            </w:r>
          </w:p>
        </w:tc>
        <w:tc>
          <w:tcPr>
            <w:tcW w:w="939" w:type="dxa"/>
            <w:shd w:val="clear" w:color="auto" w:fill="auto"/>
            <w:noWrap/>
            <w:vAlign w:val="bottom"/>
            <w:hideMark/>
          </w:tcPr>
          <w:p w14:paraId="40752000"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17.91</w:t>
            </w:r>
          </w:p>
        </w:tc>
        <w:tc>
          <w:tcPr>
            <w:tcW w:w="939" w:type="dxa"/>
            <w:shd w:val="clear" w:color="auto" w:fill="auto"/>
            <w:noWrap/>
            <w:vAlign w:val="bottom"/>
            <w:hideMark/>
          </w:tcPr>
          <w:p w14:paraId="68596B73"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16.43</w:t>
            </w:r>
          </w:p>
        </w:tc>
        <w:tc>
          <w:tcPr>
            <w:tcW w:w="1242" w:type="dxa"/>
            <w:shd w:val="clear" w:color="auto" w:fill="auto"/>
            <w:noWrap/>
            <w:vAlign w:val="bottom"/>
            <w:hideMark/>
          </w:tcPr>
          <w:p w14:paraId="497C179C"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26.04</w:t>
            </w:r>
          </w:p>
        </w:tc>
        <w:tc>
          <w:tcPr>
            <w:tcW w:w="1242" w:type="dxa"/>
            <w:shd w:val="clear" w:color="auto" w:fill="auto"/>
            <w:noWrap/>
            <w:vAlign w:val="bottom"/>
            <w:hideMark/>
          </w:tcPr>
          <w:p w14:paraId="38A286AD"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41.59</w:t>
            </w:r>
          </w:p>
        </w:tc>
        <w:tc>
          <w:tcPr>
            <w:tcW w:w="996" w:type="dxa"/>
            <w:shd w:val="clear" w:color="auto" w:fill="auto"/>
            <w:noWrap/>
            <w:vAlign w:val="bottom"/>
            <w:hideMark/>
          </w:tcPr>
          <w:p w14:paraId="4E156DDE"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77.78</w:t>
            </w:r>
          </w:p>
        </w:tc>
      </w:tr>
      <w:tr w:rsidR="00614F7A" w:rsidRPr="00614F7A" w14:paraId="044F1F5B" w14:textId="77777777" w:rsidTr="00274218">
        <w:trPr>
          <w:trHeight w:val="288"/>
        </w:trPr>
        <w:tc>
          <w:tcPr>
            <w:tcW w:w="4202" w:type="dxa"/>
            <w:shd w:val="clear" w:color="auto" w:fill="auto"/>
            <w:noWrap/>
            <w:hideMark/>
          </w:tcPr>
          <w:p w14:paraId="481B7703" w14:textId="2778D09D" w:rsidR="00614F7A" w:rsidRPr="00274218" w:rsidRDefault="00614F7A" w:rsidP="00614F7A">
            <w:pPr>
              <w:spacing w:after="0" w:line="240" w:lineRule="auto"/>
              <w:rPr>
                <w:rFonts w:ascii="Times New Roman" w:eastAsia="Times New Roman" w:hAnsi="Times New Roman" w:cs="Times New Roman"/>
                <w:color w:val="000000"/>
                <w:sz w:val="24"/>
                <w:szCs w:val="24"/>
                <w:lang w:eastAsia="zh-CN"/>
              </w:rPr>
            </w:pPr>
            <w:r w:rsidRPr="00173569">
              <w:rPr>
                <w:rFonts w:ascii="Times New Roman" w:hAnsi="Times New Roman" w:cs="Times New Roman"/>
                <w:sz w:val="24"/>
                <w:szCs w:val="24"/>
              </w:rPr>
              <w:t>Aged 65+ Population Share</w:t>
            </w:r>
          </w:p>
        </w:tc>
        <w:tc>
          <w:tcPr>
            <w:tcW w:w="938" w:type="dxa"/>
            <w:shd w:val="clear" w:color="auto" w:fill="auto"/>
            <w:noWrap/>
            <w:vAlign w:val="bottom"/>
            <w:hideMark/>
          </w:tcPr>
          <w:p w14:paraId="60B18096"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highlight w:val="yellow"/>
                <w:lang w:eastAsia="zh-CN"/>
              </w:rPr>
            </w:pPr>
            <w:r w:rsidRPr="00274218">
              <w:rPr>
                <w:rFonts w:ascii="Times New Roman" w:eastAsia="Times New Roman" w:hAnsi="Times New Roman" w:cs="Times New Roman"/>
                <w:color w:val="000000"/>
                <w:sz w:val="24"/>
                <w:szCs w:val="24"/>
                <w:highlight w:val="yellow"/>
                <w:lang w:eastAsia="zh-CN"/>
              </w:rPr>
              <w:t>3.87</w:t>
            </w:r>
          </w:p>
        </w:tc>
        <w:tc>
          <w:tcPr>
            <w:tcW w:w="939" w:type="dxa"/>
            <w:shd w:val="clear" w:color="auto" w:fill="auto"/>
            <w:noWrap/>
            <w:vAlign w:val="bottom"/>
            <w:hideMark/>
          </w:tcPr>
          <w:p w14:paraId="149ED3CF"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1.17</w:t>
            </w:r>
          </w:p>
        </w:tc>
        <w:tc>
          <w:tcPr>
            <w:tcW w:w="939" w:type="dxa"/>
            <w:shd w:val="clear" w:color="auto" w:fill="auto"/>
            <w:noWrap/>
            <w:vAlign w:val="bottom"/>
            <w:hideMark/>
          </w:tcPr>
          <w:p w14:paraId="2C307375"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2.49</w:t>
            </w:r>
          </w:p>
        </w:tc>
        <w:tc>
          <w:tcPr>
            <w:tcW w:w="1242" w:type="dxa"/>
            <w:shd w:val="clear" w:color="auto" w:fill="auto"/>
            <w:noWrap/>
            <w:vAlign w:val="bottom"/>
            <w:hideMark/>
          </w:tcPr>
          <w:p w14:paraId="59CA1F60"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3.10</w:t>
            </w:r>
          </w:p>
        </w:tc>
        <w:tc>
          <w:tcPr>
            <w:tcW w:w="1242" w:type="dxa"/>
            <w:shd w:val="clear" w:color="auto" w:fill="auto"/>
            <w:noWrap/>
            <w:vAlign w:val="bottom"/>
            <w:hideMark/>
          </w:tcPr>
          <w:p w14:paraId="3A2297D7"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4.65</w:t>
            </w:r>
          </w:p>
        </w:tc>
        <w:tc>
          <w:tcPr>
            <w:tcW w:w="996" w:type="dxa"/>
            <w:shd w:val="clear" w:color="auto" w:fill="auto"/>
            <w:noWrap/>
            <w:vAlign w:val="bottom"/>
            <w:hideMark/>
          </w:tcPr>
          <w:p w14:paraId="5C27F782"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5.99</w:t>
            </w:r>
          </w:p>
        </w:tc>
      </w:tr>
      <w:tr w:rsidR="00614F7A" w:rsidRPr="00614F7A" w14:paraId="684255DF" w14:textId="77777777" w:rsidTr="00274218">
        <w:trPr>
          <w:trHeight w:val="288"/>
        </w:trPr>
        <w:tc>
          <w:tcPr>
            <w:tcW w:w="4202" w:type="dxa"/>
            <w:shd w:val="clear" w:color="auto" w:fill="auto"/>
            <w:noWrap/>
            <w:hideMark/>
          </w:tcPr>
          <w:p w14:paraId="6A729376" w14:textId="6CD982FC" w:rsidR="00614F7A" w:rsidRPr="00274218" w:rsidRDefault="00614F7A" w:rsidP="00614F7A">
            <w:pPr>
              <w:spacing w:after="0" w:line="240" w:lineRule="auto"/>
              <w:rPr>
                <w:rFonts w:ascii="Times New Roman" w:eastAsia="Times New Roman" w:hAnsi="Times New Roman" w:cs="Times New Roman"/>
                <w:color w:val="000000"/>
                <w:sz w:val="24"/>
                <w:szCs w:val="24"/>
                <w:lang w:eastAsia="zh-CN"/>
              </w:rPr>
            </w:pPr>
            <w:r w:rsidRPr="00173569">
              <w:rPr>
                <w:rFonts w:ascii="Times New Roman" w:hAnsi="Times New Roman" w:cs="Times New Roman"/>
                <w:sz w:val="24"/>
                <w:szCs w:val="24"/>
              </w:rPr>
              <w:t>GDP per Capita</w:t>
            </w:r>
            <w:r w:rsidR="008B0C2F">
              <w:rPr>
                <w:rFonts w:ascii="Times New Roman" w:hAnsi="Times New Roman" w:cs="Times New Roman"/>
                <w:sz w:val="24"/>
                <w:szCs w:val="24"/>
              </w:rPr>
              <w:t xml:space="preserve"> (in $1,000)</w:t>
            </w:r>
          </w:p>
        </w:tc>
        <w:tc>
          <w:tcPr>
            <w:tcW w:w="938" w:type="dxa"/>
            <w:shd w:val="clear" w:color="auto" w:fill="auto"/>
            <w:noWrap/>
            <w:vAlign w:val="bottom"/>
            <w:hideMark/>
          </w:tcPr>
          <w:p w14:paraId="489018EB"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highlight w:val="yellow"/>
                <w:lang w:eastAsia="zh-CN"/>
              </w:rPr>
            </w:pPr>
            <w:r w:rsidRPr="00274218">
              <w:rPr>
                <w:rFonts w:ascii="Times New Roman" w:eastAsia="Times New Roman" w:hAnsi="Times New Roman" w:cs="Times New Roman"/>
                <w:color w:val="000000"/>
                <w:sz w:val="24"/>
                <w:szCs w:val="24"/>
                <w:highlight w:val="yellow"/>
                <w:lang w:eastAsia="zh-CN"/>
              </w:rPr>
              <w:t>3.18</w:t>
            </w:r>
          </w:p>
        </w:tc>
        <w:tc>
          <w:tcPr>
            <w:tcW w:w="939" w:type="dxa"/>
            <w:shd w:val="clear" w:color="auto" w:fill="auto"/>
            <w:noWrap/>
            <w:vAlign w:val="bottom"/>
            <w:hideMark/>
          </w:tcPr>
          <w:p w14:paraId="5B18BD4C"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1.65</w:t>
            </w:r>
          </w:p>
        </w:tc>
        <w:tc>
          <w:tcPr>
            <w:tcW w:w="939" w:type="dxa"/>
            <w:shd w:val="clear" w:color="auto" w:fill="auto"/>
            <w:noWrap/>
            <w:vAlign w:val="bottom"/>
            <w:hideMark/>
          </w:tcPr>
          <w:p w14:paraId="5F22E2DA"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0.93</w:t>
            </w:r>
          </w:p>
        </w:tc>
        <w:tc>
          <w:tcPr>
            <w:tcW w:w="1242" w:type="dxa"/>
            <w:shd w:val="clear" w:color="auto" w:fill="auto"/>
            <w:noWrap/>
            <w:vAlign w:val="bottom"/>
            <w:hideMark/>
          </w:tcPr>
          <w:p w14:paraId="5865A1A8"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1.72</w:t>
            </w:r>
          </w:p>
        </w:tc>
        <w:tc>
          <w:tcPr>
            <w:tcW w:w="1242" w:type="dxa"/>
            <w:shd w:val="clear" w:color="auto" w:fill="auto"/>
            <w:noWrap/>
            <w:vAlign w:val="bottom"/>
            <w:hideMark/>
          </w:tcPr>
          <w:p w14:paraId="4DF7896A"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4.57</w:t>
            </w:r>
          </w:p>
        </w:tc>
        <w:tc>
          <w:tcPr>
            <w:tcW w:w="996" w:type="dxa"/>
            <w:shd w:val="clear" w:color="auto" w:fill="auto"/>
            <w:noWrap/>
            <w:vAlign w:val="bottom"/>
            <w:hideMark/>
          </w:tcPr>
          <w:p w14:paraId="2C5F8A1D"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6.43</w:t>
            </w:r>
          </w:p>
        </w:tc>
      </w:tr>
      <w:tr w:rsidR="00614F7A" w:rsidRPr="00614F7A" w14:paraId="56E6D8B3" w14:textId="77777777" w:rsidTr="00274218">
        <w:trPr>
          <w:trHeight w:val="288"/>
        </w:trPr>
        <w:tc>
          <w:tcPr>
            <w:tcW w:w="4202" w:type="dxa"/>
            <w:shd w:val="clear" w:color="auto" w:fill="auto"/>
            <w:noWrap/>
            <w:hideMark/>
          </w:tcPr>
          <w:p w14:paraId="53E535F6" w14:textId="1EA2B32B" w:rsidR="00614F7A" w:rsidRPr="00274218" w:rsidRDefault="00614F7A" w:rsidP="00614F7A">
            <w:pPr>
              <w:spacing w:after="0" w:line="240" w:lineRule="auto"/>
              <w:rPr>
                <w:rFonts w:ascii="Times New Roman" w:eastAsia="Times New Roman" w:hAnsi="Times New Roman" w:cs="Times New Roman"/>
                <w:color w:val="000000"/>
                <w:sz w:val="24"/>
                <w:szCs w:val="24"/>
                <w:lang w:eastAsia="zh-CN"/>
              </w:rPr>
            </w:pPr>
            <w:r w:rsidRPr="00173569">
              <w:rPr>
                <w:rFonts w:ascii="Times New Roman" w:hAnsi="Times New Roman" w:cs="Times New Roman"/>
                <w:sz w:val="24"/>
                <w:szCs w:val="24"/>
              </w:rPr>
              <w:t>Rule of Law</w:t>
            </w:r>
          </w:p>
        </w:tc>
        <w:tc>
          <w:tcPr>
            <w:tcW w:w="938" w:type="dxa"/>
            <w:shd w:val="clear" w:color="auto" w:fill="auto"/>
            <w:noWrap/>
            <w:vAlign w:val="bottom"/>
            <w:hideMark/>
          </w:tcPr>
          <w:p w14:paraId="1B53F211"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highlight w:val="yellow"/>
                <w:lang w:eastAsia="zh-CN"/>
              </w:rPr>
            </w:pPr>
            <w:r w:rsidRPr="00274218">
              <w:rPr>
                <w:rFonts w:ascii="Times New Roman" w:eastAsia="Times New Roman" w:hAnsi="Times New Roman" w:cs="Times New Roman"/>
                <w:color w:val="000000"/>
                <w:sz w:val="24"/>
                <w:szCs w:val="24"/>
                <w:highlight w:val="yellow"/>
                <w:lang w:eastAsia="zh-CN"/>
              </w:rPr>
              <w:t>-0.98</w:t>
            </w:r>
          </w:p>
        </w:tc>
        <w:tc>
          <w:tcPr>
            <w:tcW w:w="939" w:type="dxa"/>
            <w:shd w:val="clear" w:color="auto" w:fill="auto"/>
            <w:noWrap/>
            <w:vAlign w:val="bottom"/>
            <w:hideMark/>
          </w:tcPr>
          <w:p w14:paraId="7E7A2587"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0.49</w:t>
            </w:r>
          </w:p>
        </w:tc>
        <w:tc>
          <w:tcPr>
            <w:tcW w:w="939" w:type="dxa"/>
            <w:shd w:val="clear" w:color="auto" w:fill="auto"/>
            <w:noWrap/>
            <w:vAlign w:val="bottom"/>
            <w:hideMark/>
          </w:tcPr>
          <w:p w14:paraId="2EFEA474"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-1.93</w:t>
            </w:r>
          </w:p>
        </w:tc>
        <w:tc>
          <w:tcPr>
            <w:tcW w:w="1242" w:type="dxa"/>
            <w:shd w:val="clear" w:color="auto" w:fill="auto"/>
            <w:noWrap/>
            <w:vAlign w:val="bottom"/>
            <w:hideMark/>
          </w:tcPr>
          <w:p w14:paraId="79F7CC15"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-1.22</w:t>
            </w:r>
          </w:p>
        </w:tc>
        <w:tc>
          <w:tcPr>
            <w:tcW w:w="1242" w:type="dxa"/>
            <w:shd w:val="clear" w:color="auto" w:fill="auto"/>
            <w:noWrap/>
            <w:vAlign w:val="bottom"/>
            <w:hideMark/>
          </w:tcPr>
          <w:p w14:paraId="325D2895"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-0.57</w:t>
            </w:r>
          </w:p>
        </w:tc>
        <w:tc>
          <w:tcPr>
            <w:tcW w:w="996" w:type="dxa"/>
            <w:shd w:val="clear" w:color="auto" w:fill="auto"/>
            <w:noWrap/>
            <w:vAlign w:val="bottom"/>
            <w:hideMark/>
          </w:tcPr>
          <w:p w14:paraId="3AEAA5C9"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-0.02</w:t>
            </w:r>
          </w:p>
        </w:tc>
      </w:tr>
      <w:tr w:rsidR="00614F7A" w:rsidRPr="00614F7A" w14:paraId="10F7E829" w14:textId="77777777" w:rsidTr="00274218">
        <w:trPr>
          <w:trHeight w:val="288"/>
        </w:trPr>
        <w:tc>
          <w:tcPr>
            <w:tcW w:w="4202" w:type="dxa"/>
            <w:shd w:val="clear" w:color="auto" w:fill="auto"/>
            <w:noWrap/>
            <w:hideMark/>
          </w:tcPr>
          <w:p w14:paraId="71142C35" w14:textId="00F2B20F" w:rsidR="00614F7A" w:rsidRPr="00274218" w:rsidRDefault="00614F7A" w:rsidP="00614F7A">
            <w:pPr>
              <w:spacing w:after="0" w:line="240" w:lineRule="auto"/>
              <w:rPr>
                <w:rFonts w:ascii="Times New Roman" w:eastAsia="Times New Roman" w:hAnsi="Times New Roman" w:cs="Times New Roman"/>
                <w:color w:val="000000"/>
                <w:sz w:val="24"/>
                <w:szCs w:val="24"/>
                <w:lang w:eastAsia="zh-CN"/>
              </w:rPr>
            </w:pPr>
            <w:r w:rsidRPr="00173569">
              <w:rPr>
                <w:rFonts w:ascii="Times New Roman" w:hAnsi="Times New Roman" w:cs="Times New Roman"/>
                <w:sz w:val="24"/>
                <w:szCs w:val="24"/>
              </w:rPr>
              <w:t>Voice and Accountability</w:t>
            </w:r>
          </w:p>
        </w:tc>
        <w:tc>
          <w:tcPr>
            <w:tcW w:w="938" w:type="dxa"/>
            <w:shd w:val="clear" w:color="auto" w:fill="auto"/>
            <w:noWrap/>
            <w:vAlign w:val="bottom"/>
            <w:hideMark/>
          </w:tcPr>
          <w:p w14:paraId="2DF0DDA6"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highlight w:val="yellow"/>
                <w:lang w:eastAsia="zh-CN"/>
              </w:rPr>
            </w:pPr>
            <w:r w:rsidRPr="00274218">
              <w:rPr>
                <w:rFonts w:ascii="Times New Roman" w:eastAsia="Times New Roman" w:hAnsi="Times New Roman" w:cs="Times New Roman"/>
                <w:color w:val="000000"/>
                <w:sz w:val="24"/>
                <w:szCs w:val="24"/>
                <w:highlight w:val="yellow"/>
                <w:lang w:eastAsia="zh-CN"/>
              </w:rPr>
              <w:t>-1.02</w:t>
            </w:r>
          </w:p>
        </w:tc>
        <w:tc>
          <w:tcPr>
            <w:tcW w:w="939" w:type="dxa"/>
            <w:shd w:val="clear" w:color="auto" w:fill="auto"/>
            <w:noWrap/>
            <w:vAlign w:val="bottom"/>
            <w:hideMark/>
          </w:tcPr>
          <w:p w14:paraId="0C73EE78"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0.61</w:t>
            </w:r>
          </w:p>
        </w:tc>
        <w:tc>
          <w:tcPr>
            <w:tcW w:w="939" w:type="dxa"/>
            <w:shd w:val="clear" w:color="auto" w:fill="auto"/>
            <w:noWrap/>
            <w:vAlign w:val="bottom"/>
            <w:hideMark/>
          </w:tcPr>
          <w:p w14:paraId="569017CE"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-1.83</w:t>
            </w:r>
          </w:p>
        </w:tc>
        <w:tc>
          <w:tcPr>
            <w:tcW w:w="1242" w:type="dxa"/>
            <w:shd w:val="clear" w:color="auto" w:fill="auto"/>
            <w:noWrap/>
            <w:vAlign w:val="bottom"/>
            <w:hideMark/>
          </w:tcPr>
          <w:p w14:paraId="70EE2C19"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-1.42</w:t>
            </w:r>
          </w:p>
        </w:tc>
        <w:tc>
          <w:tcPr>
            <w:tcW w:w="1242" w:type="dxa"/>
            <w:shd w:val="clear" w:color="auto" w:fill="auto"/>
            <w:noWrap/>
            <w:vAlign w:val="bottom"/>
            <w:hideMark/>
          </w:tcPr>
          <w:p w14:paraId="7C1EBB5B"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-0.58</w:t>
            </w:r>
          </w:p>
        </w:tc>
        <w:tc>
          <w:tcPr>
            <w:tcW w:w="996" w:type="dxa"/>
            <w:shd w:val="clear" w:color="auto" w:fill="auto"/>
            <w:noWrap/>
            <w:vAlign w:val="bottom"/>
            <w:hideMark/>
          </w:tcPr>
          <w:p w14:paraId="42069110"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0.15</w:t>
            </w:r>
          </w:p>
        </w:tc>
      </w:tr>
      <w:tr w:rsidR="00614F7A" w:rsidRPr="00614F7A" w14:paraId="163EB59B" w14:textId="77777777" w:rsidTr="00274218">
        <w:trPr>
          <w:trHeight w:val="288"/>
        </w:trPr>
        <w:tc>
          <w:tcPr>
            <w:tcW w:w="4202" w:type="dxa"/>
            <w:shd w:val="clear" w:color="auto" w:fill="auto"/>
            <w:noWrap/>
            <w:hideMark/>
          </w:tcPr>
          <w:p w14:paraId="11921C1A" w14:textId="63C3C7C6" w:rsidR="00614F7A" w:rsidRPr="00274218" w:rsidRDefault="00614F7A" w:rsidP="00614F7A">
            <w:pPr>
              <w:spacing w:after="0" w:line="240" w:lineRule="auto"/>
              <w:rPr>
                <w:rFonts w:ascii="Times New Roman" w:eastAsia="Times New Roman" w:hAnsi="Times New Roman" w:cs="Times New Roman"/>
                <w:color w:val="000000"/>
                <w:sz w:val="24"/>
                <w:szCs w:val="24"/>
                <w:lang w:eastAsia="zh-CN"/>
              </w:rPr>
            </w:pPr>
            <w:r w:rsidRPr="00173569">
              <w:rPr>
                <w:rFonts w:ascii="Times New Roman" w:hAnsi="Times New Roman" w:cs="Times New Roman"/>
                <w:sz w:val="24"/>
                <w:szCs w:val="24"/>
              </w:rPr>
              <w:t>Government Effectiveness</w:t>
            </w:r>
          </w:p>
        </w:tc>
        <w:tc>
          <w:tcPr>
            <w:tcW w:w="938" w:type="dxa"/>
            <w:shd w:val="clear" w:color="auto" w:fill="auto"/>
            <w:noWrap/>
            <w:vAlign w:val="bottom"/>
            <w:hideMark/>
          </w:tcPr>
          <w:p w14:paraId="2D4CD58E"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highlight w:val="yellow"/>
                <w:lang w:eastAsia="zh-CN"/>
              </w:rPr>
            </w:pPr>
            <w:r w:rsidRPr="00274218">
              <w:rPr>
                <w:rFonts w:ascii="Times New Roman" w:eastAsia="Times New Roman" w:hAnsi="Times New Roman" w:cs="Times New Roman"/>
                <w:color w:val="000000"/>
                <w:sz w:val="24"/>
                <w:szCs w:val="24"/>
                <w:highlight w:val="yellow"/>
                <w:lang w:eastAsia="zh-CN"/>
              </w:rPr>
              <w:t>-0.98</w:t>
            </w:r>
          </w:p>
        </w:tc>
        <w:tc>
          <w:tcPr>
            <w:tcW w:w="939" w:type="dxa"/>
            <w:shd w:val="clear" w:color="auto" w:fill="auto"/>
            <w:noWrap/>
            <w:vAlign w:val="bottom"/>
            <w:hideMark/>
          </w:tcPr>
          <w:p w14:paraId="77A986B1"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0.70</w:t>
            </w:r>
          </w:p>
        </w:tc>
        <w:tc>
          <w:tcPr>
            <w:tcW w:w="939" w:type="dxa"/>
            <w:shd w:val="clear" w:color="auto" w:fill="auto"/>
            <w:noWrap/>
            <w:vAlign w:val="bottom"/>
            <w:hideMark/>
          </w:tcPr>
          <w:p w14:paraId="3DA139E6"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-2.34</w:t>
            </w:r>
          </w:p>
        </w:tc>
        <w:tc>
          <w:tcPr>
            <w:tcW w:w="1242" w:type="dxa"/>
            <w:shd w:val="clear" w:color="auto" w:fill="auto"/>
            <w:noWrap/>
            <w:vAlign w:val="bottom"/>
            <w:hideMark/>
          </w:tcPr>
          <w:p w14:paraId="6D37014C"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-1.44</w:t>
            </w:r>
          </w:p>
        </w:tc>
        <w:tc>
          <w:tcPr>
            <w:tcW w:w="1242" w:type="dxa"/>
            <w:shd w:val="clear" w:color="auto" w:fill="auto"/>
            <w:noWrap/>
            <w:vAlign w:val="bottom"/>
            <w:hideMark/>
          </w:tcPr>
          <w:p w14:paraId="7239AB28"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-0.66</w:t>
            </w:r>
          </w:p>
        </w:tc>
        <w:tc>
          <w:tcPr>
            <w:tcW w:w="996" w:type="dxa"/>
            <w:shd w:val="clear" w:color="auto" w:fill="auto"/>
            <w:noWrap/>
            <w:vAlign w:val="bottom"/>
            <w:hideMark/>
          </w:tcPr>
          <w:p w14:paraId="296802C3"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0.39</w:t>
            </w:r>
          </w:p>
        </w:tc>
      </w:tr>
      <w:tr w:rsidR="00614F7A" w:rsidRPr="00614F7A" w14:paraId="1B5C1708" w14:textId="77777777" w:rsidTr="00274218">
        <w:trPr>
          <w:trHeight w:val="288"/>
        </w:trPr>
        <w:tc>
          <w:tcPr>
            <w:tcW w:w="4202" w:type="dxa"/>
            <w:shd w:val="clear" w:color="auto" w:fill="auto"/>
            <w:noWrap/>
            <w:hideMark/>
          </w:tcPr>
          <w:p w14:paraId="7EC9A8B6" w14:textId="2501F8F1" w:rsidR="00614F7A" w:rsidRPr="00274218" w:rsidRDefault="00614F7A" w:rsidP="00614F7A">
            <w:pPr>
              <w:spacing w:after="0" w:line="240" w:lineRule="auto"/>
              <w:rPr>
                <w:rFonts w:ascii="Times New Roman" w:eastAsia="Times New Roman" w:hAnsi="Times New Roman" w:cs="Times New Roman"/>
                <w:color w:val="000000"/>
                <w:sz w:val="24"/>
                <w:szCs w:val="24"/>
                <w:lang w:eastAsia="zh-CN"/>
              </w:rPr>
            </w:pPr>
            <w:r w:rsidRPr="00173569">
              <w:rPr>
                <w:rFonts w:ascii="Times New Roman" w:hAnsi="Times New Roman" w:cs="Times New Roman"/>
                <w:sz w:val="24"/>
                <w:szCs w:val="24"/>
              </w:rPr>
              <w:t>Vaccinations per Hundred Population</w:t>
            </w:r>
          </w:p>
        </w:tc>
        <w:tc>
          <w:tcPr>
            <w:tcW w:w="938" w:type="dxa"/>
            <w:shd w:val="clear" w:color="auto" w:fill="auto"/>
            <w:noWrap/>
            <w:vAlign w:val="bottom"/>
            <w:hideMark/>
          </w:tcPr>
          <w:p w14:paraId="195A512B"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highlight w:val="yellow"/>
                <w:lang w:eastAsia="zh-CN"/>
              </w:rPr>
            </w:pPr>
            <w:r w:rsidRPr="00274218">
              <w:rPr>
                <w:rFonts w:ascii="Times New Roman" w:eastAsia="Times New Roman" w:hAnsi="Times New Roman" w:cs="Times New Roman"/>
                <w:color w:val="000000"/>
                <w:sz w:val="24"/>
                <w:szCs w:val="24"/>
                <w:highlight w:val="yellow"/>
                <w:lang w:eastAsia="zh-CN"/>
              </w:rPr>
              <w:t>26.35</w:t>
            </w:r>
          </w:p>
        </w:tc>
        <w:tc>
          <w:tcPr>
            <w:tcW w:w="939" w:type="dxa"/>
            <w:shd w:val="clear" w:color="auto" w:fill="auto"/>
            <w:noWrap/>
            <w:vAlign w:val="bottom"/>
            <w:hideMark/>
          </w:tcPr>
          <w:p w14:paraId="38E8AC9F"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33.65</w:t>
            </w:r>
          </w:p>
        </w:tc>
        <w:tc>
          <w:tcPr>
            <w:tcW w:w="939" w:type="dxa"/>
            <w:shd w:val="clear" w:color="auto" w:fill="auto"/>
            <w:noWrap/>
            <w:vAlign w:val="bottom"/>
            <w:hideMark/>
          </w:tcPr>
          <w:p w14:paraId="51332CF9"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0.00</w:t>
            </w:r>
          </w:p>
        </w:tc>
        <w:tc>
          <w:tcPr>
            <w:tcW w:w="1242" w:type="dxa"/>
            <w:shd w:val="clear" w:color="auto" w:fill="auto"/>
            <w:noWrap/>
            <w:vAlign w:val="bottom"/>
            <w:hideMark/>
          </w:tcPr>
          <w:p w14:paraId="335124CC"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1.72</w:t>
            </w:r>
          </w:p>
        </w:tc>
        <w:tc>
          <w:tcPr>
            <w:tcW w:w="1242" w:type="dxa"/>
            <w:shd w:val="clear" w:color="auto" w:fill="auto"/>
            <w:noWrap/>
            <w:vAlign w:val="bottom"/>
            <w:hideMark/>
          </w:tcPr>
          <w:p w14:paraId="4AFD85DE"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47.34</w:t>
            </w:r>
          </w:p>
        </w:tc>
        <w:tc>
          <w:tcPr>
            <w:tcW w:w="996" w:type="dxa"/>
            <w:shd w:val="clear" w:color="auto" w:fill="auto"/>
            <w:noWrap/>
            <w:vAlign w:val="bottom"/>
            <w:hideMark/>
          </w:tcPr>
          <w:p w14:paraId="7B0574BB" w14:textId="77777777" w:rsidR="00614F7A" w:rsidRPr="00274218" w:rsidRDefault="00614F7A" w:rsidP="00614F7A">
            <w:pPr>
              <w:spacing w:after="0" w:line="240" w:lineRule="auto"/>
              <w:jc w:val="right"/>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101.80</w:t>
            </w:r>
          </w:p>
        </w:tc>
      </w:tr>
    </w:tbl>
    <w:p w14:paraId="44FAF18A" w14:textId="4830E676" w:rsidR="0000755F" w:rsidRPr="00173569" w:rsidRDefault="0000755F" w:rsidP="00274218">
      <w:pPr>
        <w:spacing w:line="240" w:lineRule="auto"/>
        <w:rPr>
          <w:rFonts w:ascii="Times New Roman" w:hAnsi="Times New Roman" w:cs="Times New Roman"/>
          <w:sz w:val="24"/>
          <w:szCs w:val="24"/>
        </w:rPr>
      </w:pPr>
      <w:r w:rsidRPr="00173569">
        <w:rPr>
          <w:rFonts w:ascii="Times New Roman" w:eastAsia="Times New Roman" w:hAnsi="Times New Roman" w:cs="Times New Roman"/>
          <w:i/>
          <w:iCs/>
          <w:color w:val="222222"/>
          <w:sz w:val="24"/>
          <w:szCs w:val="24"/>
        </w:rPr>
        <w:t xml:space="preserve">Note: “Doing Substantially Better in Excess” is the sample of countries that recorded a ranking at least two better quartiles (i.e., quartiles with lower cumulative mortality) when using excess </w:t>
      </w:r>
      <w:r w:rsidR="00A14FA2">
        <w:rPr>
          <w:rFonts w:ascii="Times New Roman" w:eastAsia="Times New Roman" w:hAnsi="Times New Roman" w:cs="Times New Roman"/>
          <w:i/>
          <w:iCs/>
          <w:color w:val="222222"/>
          <w:sz w:val="24"/>
          <w:szCs w:val="24"/>
        </w:rPr>
        <w:t xml:space="preserve">rather </w:t>
      </w:r>
      <w:r w:rsidRPr="00173569">
        <w:rPr>
          <w:rFonts w:ascii="Times New Roman" w:eastAsia="Times New Roman" w:hAnsi="Times New Roman" w:cs="Times New Roman"/>
          <w:i/>
          <w:iCs/>
          <w:color w:val="222222"/>
          <w:sz w:val="24"/>
          <w:szCs w:val="24"/>
        </w:rPr>
        <w:t xml:space="preserve">than official mortalities, and “Doing Substantially Worse in Excess” is the sample of countries which recorded a ranking </w:t>
      </w:r>
      <w:r w:rsidR="00A14FA2">
        <w:rPr>
          <w:rFonts w:ascii="Times New Roman" w:eastAsia="Times New Roman" w:hAnsi="Times New Roman" w:cs="Times New Roman"/>
          <w:i/>
          <w:iCs/>
          <w:color w:val="222222"/>
          <w:sz w:val="24"/>
          <w:szCs w:val="24"/>
        </w:rPr>
        <w:t xml:space="preserve">of </w:t>
      </w:r>
      <w:r w:rsidRPr="00173569">
        <w:rPr>
          <w:rFonts w:ascii="Times New Roman" w:eastAsia="Times New Roman" w:hAnsi="Times New Roman" w:cs="Times New Roman"/>
          <w:i/>
          <w:iCs/>
          <w:color w:val="222222"/>
          <w:sz w:val="24"/>
          <w:szCs w:val="24"/>
        </w:rPr>
        <w:t xml:space="preserve">at least two worse quartiles (i.e., quartiles with higher cumulative mortality) when using excess </w:t>
      </w:r>
      <w:r w:rsidR="00A14FA2">
        <w:rPr>
          <w:rFonts w:ascii="Times New Roman" w:eastAsia="Times New Roman" w:hAnsi="Times New Roman" w:cs="Times New Roman"/>
          <w:i/>
          <w:iCs/>
          <w:color w:val="222222"/>
          <w:sz w:val="24"/>
          <w:szCs w:val="24"/>
        </w:rPr>
        <w:t xml:space="preserve">rather </w:t>
      </w:r>
      <w:r w:rsidRPr="00173569">
        <w:rPr>
          <w:rFonts w:ascii="Times New Roman" w:eastAsia="Times New Roman" w:hAnsi="Times New Roman" w:cs="Times New Roman"/>
          <w:i/>
          <w:iCs/>
          <w:color w:val="222222"/>
          <w:sz w:val="24"/>
          <w:szCs w:val="24"/>
        </w:rPr>
        <w:t>than official mortalities.</w:t>
      </w:r>
    </w:p>
    <w:p w14:paraId="4422C9A8" w14:textId="77777777" w:rsidR="00CB6220" w:rsidRDefault="00580C81">
      <w:pPr>
        <w:shd w:val="clear" w:color="auto" w:fill="FFFFFF"/>
        <w:spacing w:line="360" w:lineRule="auto"/>
        <w:rPr>
          <w:rFonts w:ascii="Times New Roman" w:eastAsia="Times New Roman" w:hAnsi="Times New Roman" w:cs="Times New Roman"/>
          <w:color w:val="222222"/>
          <w:sz w:val="24"/>
          <w:szCs w:val="24"/>
        </w:rPr>
      </w:pPr>
      <w:r w:rsidRPr="00173569">
        <w:rPr>
          <w:rFonts w:ascii="Times New Roman" w:eastAsia="Times New Roman" w:hAnsi="Times New Roman" w:cs="Times New Roman"/>
          <w:color w:val="222222"/>
          <w:sz w:val="24"/>
          <w:szCs w:val="24"/>
        </w:rPr>
        <w:tab/>
      </w:r>
    </w:p>
    <w:p w14:paraId="69C894A2" w14:textId="17A6EAFB" w:rsidR="0000755F" w:rsidRPr="00173569" w:rsidRDefault="00580C81" w:rsidP="00C82A25">
      <w:pPr>
        <w:shd w:val="clear" w:color="auto" w:fill="FFFFFF"/>
        <w:spacing w:line="360" w:lineRule="auto"/>
        <w:ind w:firstLine="720"/>
        <w:rPr>
          <w:rFonts w:ascii="Times New Roman" w:eastAsia="Times New Roman" w:hAnsi="Times New Roman" w:cs="Times New Roman"/>
          <w:color w:val="222222"/>
          <w:sz w:val="24"/>
          <w:szCs w:val="24"/>
        </w:rPr>
      </w:pPr>
      <w:r w:rsidRPr="00173569">
        <w:rPr>
          <w:rFonts w:ascii="Times New Roman" w:eastAsia="Times New Roman" w:hAnsi="Times New Roman" w:cs="Times New Roman"/>
          <w:color w:val="222222"/>
          <w:sz w:val="24"/>
          <w:szCs w:val="24"/>
        </w:rPr>
        <w:t>These gaps</w:t>
      </w:r>
      <w:r w:rsidR="00ED4EAD" w:rsidRPr="00173569">
        <w:rPr>
          <w:rFonts w:ascii="Times New Roman" w:eastAsia="Times New Roman" w:hAnsi="Times New Roman" w:cs="Times New Roman"/>
          <w:color w:val="222222"/>
          <w:sz w:val="24"/>
          <w:szCs w:val="24"/>
        </w:rPr>
        <w:t xml:space="preserve"> support the view </w:t>
      </w:r>
      <w:r w:rsidRPr="00173569">
        <w:rPr>
          <w:rFonts w:ascii="Times New Roman" w:eastAsia="Times New Roman" w:hAnsi="Times New Roman" w:cs="Times New Roman"/>
          <w:color w:val="222222"/>
          <w:sz w:val="24"/>
          <w:szCs w:val="24"/>
        </w:rPr>
        <w:t xml:space="preserve">that better governance </w:t>
      </w:r>
      <w:r w:rsidR="00CD5A48" w:rsidRPr="00173569">
        <w:rPr>
          <w:rFonts w:ascii="Times New Roman" w:eastAsia="Times New Roman" w:hAnsi="Times New Roman" w:cs="Times New Roman"/>
          <w:color w:val="222222"/>
          <w:sz w:val="24"/>
          <w:szCs w:val="24"/>
        </w:rPr>
        <w:t>score</w:t>
      </w:r>
      <w:r w:rsidR="00880B15" w:rsidRPr="00173569">
        <w:rPr>
          <w:rFonts w:ascii="Times New Roman" w:eastAsia="Times New Roman" w:hAnsi="Times New Roman" w:cs="Times New Roman"/>
          <w:color w:val="222222"/>
          <w:sz w:val="24"/>
          <w:szCs w:val="24"/>
        </w:rPr>
        <w:t>s</w:t>
      </w:r>
      <w:r w:rsidRPr="00173569">
        <w:rPr>
          <w:rFonts w:ascii="Times New Roman" w:eastAsia="Times New Roman" w:hAnsi="Times New Roman" w:cs="Times New Roman"/>
          <w:color w:val="222222"/>
          <w:sz w:val="24"/>
          <w:szCs w:val="24"/>
        </w:rPr>
        <w:t xml:space="preserve"> account for the countries with the largest gaps between excess </w:t>
      </w:r>
      <w:r w:rsidR="00B85725" w:rsidRPr="00173569">
        <w:rPr>
          <w:rFonts w:ascii="Times New Roman" w:eastAsia="Times New Roman" w:hAnsi="Times New Roman" w:cs="Times New Roman"/>
          <w:color w:val="222222"/>
          <w:sz w:val="24"/>
          <w:szCs w:val="24"/>
        </w:rPr>
        <w:t>and</w:t>
      </w:r>
      <w:r w:rsidRPr="00173569">
        <w:rPr>
          <w:rFonts w:ascii="Times New Roman" w:eastAsia="Times New Roman" w:hAnsi="Times New Roman" w:cs="Times New Roman"/>
          <w:color w:val="222222"/>
          <w:sz w:val="24"/>
          <w:szCs w:val="24"/>
        </w:rPr>
        <w:t xml:space="preserve"> official mortality. Notab</w:t>
      </w:r>
      <w:r w:rsidR="00CD5A48" w:rsidRPr="00173569">
        <w:rPr>
          <w:rFonts w:ascii="Times New Roman" w:eastAsia="Times New Roman" w:hAnsi="Times New Roman" w:cs="Times New Roman"/>
          <w:color w:val="222222"/>
          <w:sz w:val="24"/>
          <w:szCs w:val="24"/>
        </w:rPr>
        <w:t>ly</w:t>
      </w:r>
      <w:r w:rsidRPr="00173569">
        <w:rPr>
          <w:rFonts w:ascii="Times New Roman" w:eastAsia="Times New Roman" w:hAnsi="Times New Roman" w:cs="Times New Roman"/>
          <w:color w:val="222222"/>
          <w:sz w:val="24"/>
          <w:szCs w:val="24"/>
        </w:rPr>
        <w:t>, these characteristics are also associated with higher GDP/Capita</w:t>
      </w:r>
      <w:r w:rsidR="00ED4EAD" w:rsidRPr="00173569">
        <w:rPr>
          <w:rFonts w:ascii="Times New Roman" w:eastAsia="Times New Roman" w:hAnsi="Times New Roman" w:cs="Times New Roman"/>
          <w:color w:val="222222"/>
          <w:sz w:val="24"/>
          <w:szCs w:val="24"/>
        </w:rPr>
        <w:t xml:space="preserve">, </w:t>
      </w:r>
      <w:r w:rsidRPr="00173569">
        <w:rPr>
          <w:rFonts w:ascii="Times New Roman" w:eastAsia="Times New Roman" w:hAnsi="Times New Roman" w:cs="Times New Roman"/>
          <w:color w:val="222222"/>
          <w:sz w:val="24"/>
          <w:szCs w:val="24"/>
        </w:rPr>
        <w:t>older populations</w:t>
      </w:r>
      <w:r w:rsidR="00B85725" w:rsidRPr="00173569">
        <w:rPr>
          <w:rFonts w:ascii="Times New Roman" w:eastAsia="Times New Roman" w:hAnsi="Times New Roman" w:cs="Times New Roman"/>
          <w:color w:val="222222"/>
          <w:sz w:val="24"/>
          <w:szCs w:val="24"/>
        </w:rPr>
        <w:t>,</w:t>
      </w:r>
      <w:r w:rsidRPr="00173569">
        <w:rPr>
          <w:rFonts w:ascii="Times New Roman" w:eastAsia="Times New Roman" w:hAnsi="Times New Roman" w:cs="Times New Roman"/>
          <w:color w:val="222222"/>
          <w:sz w:val="24"/>
          <w:szCs w:val="24"/>
        </w:rPr>
        <w:t xml:space="preserve"> </w:t>
      </w:r>
      <w:r w:rsidR="00ED4EAD" w:rsidRPr="00173569">
        <w:rPr>
          <w:rFonts w:ascii="Times New Roman" w:eastAsia="Times New Roman" w:hAnsi="Times New Roman" w:cs="Times New Roman"/>
          <w:color w:val="222222"/>
          <w:sz w:val="24"/>
          <w:szCs w:val="24"/>
        </w:rPr>
        <w:t xml:space="preserve">and </w:t>
      </w:r>
      <w:r w:rsidR="00CB6220">
        <w:rPr>
          <w:rFonts w:ascii="Times New Roman" w:eastAsia="Times New Roman" w:hAnsi="Times New Roman" w:cs="Times New Roman"/>
          <w:color w:val="222222"/>
          <w:sz w:val="24"/>
          <w:szCs w:val="24"/>
        </w:rPr>
        <w:t>(</w:t>
      </w:r>
      <w:r w:rsidRPr="00173569">
        <w:rPr>
          <w:rFonts w:ascii="Times New Roman" w:eastAsia="Times New Roman" w:hAnsi="Times New Roman" w:cs="Times New Roman"/>
          <w:color w:val="222222"/>
          <w:sz w:val="24"/>
          <w:szCs w:val="24"/>
        </w:rPr>
        <w:t>in</w:t>
      </w:r>
      <w:r w:rsidR="000375E1" w:rsidRPr="00173569">
        <w:rPr>
          <w:rFonts w:ascii="Times New Roman" w:eastAsia="Times New Roman" w:hAnsi="Times New Roman" w:cs="Times New Roman"/>
          <w:color w:val="222222"/>
          <w:sz w:val="24"/>
          <w:szCs w:val="24"/>
        </w:rPr>
        <w:t xml:space="preserve"> some </w:t>
      </w:r>
      <w:r w:rsidR="000E14BA">
        <w:rPr>
          <w:rFonts w:ascii="Times New Roman" w:eastAsia="Times New Roman" w:hAnsi="Times New Roman" w:cs="Times New Roman"/>
          <w:color w:val="222222"/>
          <w:sz w:val="24"/>
          <w:szCs w:val="24"/>
        </w:rPr>
        <w:t>studie</w:t>
      </w:r>
      <w:r w:rsidR="000E14BA" w:rsidRPr="00173569">
        <w:rPr>
          <w:rFonts w:ascii="Times New Roman" w:eastAsia="Times New Roman" w:hAnsi="Times New Roman" w:cs="Times New Roman"/>
          <w:color w:val="222222"/>
          <w:sz w:val="24"/>
          <w:szCs w:val="24"/>
        </w:rPr>
        <w:t>s</w:t>
      </w:r>
      <w:r w:rsidR="00CB6220">
        <w:rPr>
          <w:rFonts w:ascii="Times New Roman" w:eastAsia="Times New Roman" w:hAnsi="Times New Roman" w:cs="Times New Roman"/>
          <w:color w:val="222222"/>
          <w:sz w:val="24"/>
          <w:szCs w:val="24"/>
        </w:rPr>
        <w:t>)</w:t>
      </w:r>
      <w:r w:rsidR="000375E1" w:rsidRPr="00173569">
        <w:rPr>
          <w:rFonts w:ascii="Times New Roman" w:eastAsia="Times New Roman" w:hAnsi="Times New Roman" w:cs="Times New Roman"/>
          <w:color w:val="222222"/>
          <w:sz w:val="24"/>
          <w:szCs w:val="24"/>
        </w:rPr>
        <w:t xml:space="preserve"> with sufficiently high vaccination levels</w:t>
      </w:r>
      <w:r w:rsidRPr="00173569">
        <w:rPr>
          <w:rFonts w:ascii="Times New Roman" w:eastAsia="Times New Roman" w:hAnsi="Times New Roman" w:cs="Times New Roman"/>
          <w:color w:val="222222"/>
          <w:sz w:val="24"/>
          <w:szCs w:val="24"/>
        </w:rPr>
        <w:t xml:space="preserve">. The overall positive correlations between these variables, reported in Table </w:t>
      </w:r>
      <w:r w:rsidR="003E71C4" w:rsidRPr="00173569">
        <w:rPr>
          <w:rFonts w:ascii="Times New Roman" w:eastAsia="Times New Roman" w:hAnsi="Times New Roman" w:cs="Times New Roman"/>
          <w:color w:val="222222"/>
          <w:sz w:val="24"/>
          <w:szCs w:val="24"/>
        </w:rPr>
        <w:t>3A</w:t>
      </w:r>
      <w:r w:rsidR="003E237B" w:rsidRPr="00173569">
        <w:rPr>
          <w:rFonts w:ascii="Times New Roman" w:eastAsia="Times New Roman" w:hAnsi="Times New Roman" w:cs="Times New Roman"/>
          <w:color w:val="222222"/>
          <w:sz w:val="24"/>
          <w:szCs w:val="24"/>
        </w:rPr>
        <w:t xml:space="preserve"> (see the Appendix)</w:t>
      </w:r>
      <w:r w:rsidRPr="00173569">
        <w:rPr>
          <w:rFonts w:ascii="Times New Roman" w:eastAsia="Times New Roman" w:hAnsi="Times New Roman" w:cs="Times New Roman"/>
          <w:color w:val="222222"/>
          <w:sz w:val="24"/>
          <w:szCs w:val="24"/>
        </w:rPr>
        <w:t>, suggests that without more granular data, rank</w:t>
      </w:r>
      <w:r w:rsidR="00272258">
        <w:rPr>
          <w:rFonts w:ascii="Times New Roman" w:eastAsia="Times New Roman" w:hAnsi="Times New Roman" w:cs="Times New Roman"/>
          <w:color w:val="222222"/>
          <w:sz w:val="24"/>
          <w:szCs w:val="24"/>
        </w:rPr>
        <w:t>ing</w:t>
      </w:r>
      <w:r w:rsidRPr="00173569">
        <w:rPr>
          <w:rFonts w:ascii="Times New Roman" w:eastAsia="Times New Roman" w:hAnsi="Times New Roman" w:cs="Times New Roman"/>
          <w:color w:val="222222"/>
          <w:sz w:val="24"/>
          <w:szCs w:val="24"/>
        </w:rPr>
        <w:t xml:space="preserve"> </w:t>
      </w:r>
      <w:r w:rsidR="00272258">
        <w:rPr>
          <w:rFonts w:ascii="Times New Roman" w:eastAsia="Times New Roman" w:hAnsi="Times New Roman" w:cs="Times New Roman"/>
          <w:color w:val="222222"/>
          <w:sz w:val="24"/>
          <w:szCs w:val="24"/>
        </w:rPr>
        <w:t xml:space="preserve">of </w:t>
      </w:r>
      <w:r w:rsidRPr="00173569">
        <w:rPr>
          <w:rFonts w:ascii="Times New Roman" w:eastAsia="Times New Roman" w:hAnsi="Times New Roman" w:cs="Times New Roman"/>
          <w:color w:val="222222"/>
          <w:sz w:val="24"/>
          <w:szCs w:val="24"/>
        </w:rPr>
        <w:t>the relative importance of these factors</w:t>
      </w:r>
      <w:r w:rsidR="00272258">
        <w:rPr>
          <w:rFonts w:ascii="Times New Roman" w:eastAsia="Times New Roman" w:hAnsi="Times New Roman" w:cs="Times New Roman"/>
          <w:color w:val="222222"/>
          <w:sz w:val="24"/>
          <w:szCs w:val="24"/>
        </w:rPr>
        <w:t xml:space="preserve"> is not feasible</w:t>
      </w:r>
      <w:r w:rsidRPr="00173569">
        <w:rPr>
          <w:rFonts w:ascii="Times New Roman" w:eastAsia="Times New Roman" w:hAnsi="Times New Roman" w:cs="Times New Roman"/>
          <w:color w:val="222222"/>
          <w:sz w:val="24"/>
          <w:szCs w:val="24"/>
        </w:rPr>
        <w:t xml:space="preserve">.   </w:t>
      </w:r>
    </w:p>
    <w:p w14:paraId="48FFDE51" w14:textId="1B009A5A" w:rsidR="00C82A25" w:rsidRDefault="00C82A25">
      <w:pPr>
        <w:shd w:val="clear" w:color="auto" w:fill="FFFFFF"/>
        <w:spacing w:line="360" w:lineRule="auto"/>
        <w:rPr>
          <w:rFonts w:ascii="Times New Roman" w:eastAsia="Times New Roman" w:hAnsi="Times New Roman" w:cs="Times New Roman"/>
          <w:color w:val="222222"/>
          <w:sz w:val="24"/>
          <w:szCs w:val="24"/>
        </w:rPr>
      </w:pPr>
    </w:p>
    <w:p w14:paraId="012E28C5" w14:textId="77777777" w:rsidR="00C82A25" w:rsidRPr="00173569" w:rsidRDefault="00C82A25">
      <w:pPr>
        <w:shd w:val="clear" w:color="auto" w:fill="FFFFFF"/>
        <w:spacing w:line="360" w:lineRule="auto"/>
        <w:rPr>
          <w:rFonts w:ascii="Times New Roman" w:eastAsia="Times New Roman" w:hAnsi="Times New Roman" w:cs="Times New Roman"/>
          <w:color w:val="222222"/>
          <w:sz w:val="24"/>
          <w:szCs w:val="24"/>
        </w:rPr>
      </w:pPr>
    </w:p>
    <w:p w14:paraId="28BBD117" w14:textId="77777777" w:rsidR="00D51D83" w:rsidRPr="00173569" w:rsidRDefault="00580C81" w:rsidP="00245CBF">
      <w:pPr>
        <w:pStyle w:val="ListParagraph"/>
        <w:numPr>
          <w:ilvl w:val="0"/>
          <w:numId w:val="15"/>
        </w:numPr>
        <w:ind w:hanging="720"/>
        <w:rPr>
          <w:rFonts w:ascii="Times New Roman" w:hAnsi="Times New Roman" w:cs="Times New Roman"/>
          <w:b/>
          <w:sz w:val="24"/>
          <w:szCs w:val="24"/>
        </w:rPr>
      </w:pPr>
      <w:r w:rsidRPr="00173569">
        <w:rPr>
          <w:rFonts w:ascii="Times New Roman" w:hAnsi="Times New Roman" w:cs="Times New Roman"/>
          <w:b/>
          <w:sz w:val="24"/>
          <w:szCs w:val="24"/>
        </w:rPr>
        <w:t>Concluding Remarks</w:t>
      </w:r>
    </w:p>
    <w:p w14:paraId="21FFC9DF" w14:textId="5FB2F63E" w:rsidR="00E50259" w:rsidRPr="00173569" w:rsidRDefault="00D51D83" w:rsidP="0036768F">
      <w:pPr>
        <w:spacing w:line="360" w:lineRule="auto"/>
        <w:ind w:firstLine="720"/>
        <w:rPr>
          <w:rFonts w:ascii="Times New Roman" w:hAnsi="Times New Roman" w:cs="Times New Roman"/>
          <w:bCs/>
          <w:sz w:val="24"/>
          <w:szCs w:val="24"/>
        </w:rPr>
      </w:pPr>
      <w:r w:rsidRPr="00173569">
        <w:rPr>
          <w:rFonts w:ascii="Times New Roman" w:hAnsi="Times New Roman" w:cs="Times New Roman"/>
          <w:bCs/>
          <w:sz w:val="24"/>
          <w:szCs w:val="24"/>
        </w:rPr>
        <w:t xml:space="preserve">As the </w:t>
      </w:r>
      <w:r w:rsidR="00525E77" w:rsidRPr="00173569">
        <w:rPr>
          <w:rFonts w:ascii="Times New Roman" w:hAnsi="Times New Roman" w:cs="Times New Roman"/>
          <w:bCs/>
          <w:sz w:val="24"/>
          <w:szCs w:val="24"/>
        </w:rPr>
        <w:t>Covid</w:t>
      </w:r>
      <w:r w:rsidR="002E5803" w:rsidRPr="00173569">
        <w:rPr>
          <w:rFonts w:ascii="Times New Roman" w:hAnsi="Times New Roman" w:cs="Times New Roman"/>
          <w:bCs/>
          <w:sz w:val="24"/>
          <w:szCs w:val="24"/>
        </w:rPr>
        <w:t>-19</w:t>
      </w:r>
      <w:r w:rsidRPr="00173569">
        <w:rPr>
          <w:rFonts w:ascii="Times New Roman" w:hAnsi="Times New Roman" w:cs="Times New Roman"/>
          <w:bCs/>
          <w:sz w:val="24"/>
          <w:szCs w:val="24"/>
        </w:rPr>
        <w:t xml:space="preserve"> pandemic has caused significant death tolls globall</w:t>
      </w:r>
      <w:r w:rsidR="00E50259" w:rsidRPr="00173569">
        <w:rPr>
          <w:rFonts w:ascii="Times New Roman" w:hAnsi="Times New Roman" w:cs="Times New Roman"/>
          <w:bCs/>
          <w:sz w:val="24"/>
          <w:szCs w:val="24"/>
        </w:rPr>
        <w:t xml:space="preserve">y, </w:t>
      </w:r>
      <w:r w:rsidR="00B85725" w:rsidRPr="00173569">
        <w:rPr>
          <w:rFonts w:ascii="Times New Roman" w:hAnsi="Times New Roman" w:cs="Times New Roman"/>
          <w:bCs/>
          <w:sz w:val="24"/>
          <w:szCs w:val="24"/>
        </w:rPr>
        <w:t>cross-</w:t>
      </w:r>
      <w:r w:rsidR="00E50259" w:rsidRPr="00173569">
        <w:rPr>
          <w:rFonts w:ascii="Times New Roman" w:hAnsi="Times New Roman" w:cs="Times New Roman"/>
          <w:bCs/>
          <w:sz w:val="24"/>
          <w:szCs w:val="24"/>
        </w:rPr>
        <w:t>country analys</w:t>
      </w:r>
      <w:r w:rsidR="00CD5A48" w:rsidRPr="00173569">
        <w:rPr>
          <w:rFonts w:ascii="Times New Roman" w:hAnsi="Times New Roman" w:cs="Times New Roman"/>
          <w:bCs/>
          <w:sz w:val="24"/>
          <w:szCs w:val="24"/>
        </w:rPr>
        <w:t>e</w:t>
      </w:r>
      <w:r w:rsidR="00E50259" w:rsidRPr="00173569">
        <w:rPr>
          <w:rFonts w:ascii="Times New Roman" w:hAnsi="Times New Roman" w:cs="Times New Roman"/>
          <w:bCs/>
          <w:sz w:val="24"/>
          <w:szCs w:val="24"/>
        </w:rPr>
        <w:t xml:space="preserve">s and </w:t>
      </w:r>
      <w:r w:rsidR="00CD5A48" w:rsidRPr="00173569">
        <w:rPr>
          <w:rFonts w:ascii="Times New Roman" w:hAnsi="Times New Roman" w:cs="Times New Roman"/>
          <w:bCs/>
          <w:sz w:val="24"/>
          <w:szCs w:val="24"/>
        </w:rPr>
        <w:t xml:space="preserve">global </w:t>
      </w:r>
      <w:r w:rsidR="00E50259" w:rsidRPr="00173569">
        <w:rPr>
          <w:rFonts w:ascii="Times New Roman" w:hAnsi="Times New Roman" w:cs="Times New Roman"/>
          <w:bCs/>
          <w:sz w:val="24"/>
          <w:szCs w:val="24"/>
        </w:rPr>
        <w:t xml:space="preserve">comparisons have been widely conducted to investigate </w:t>
      </w:r>
      <w:r w:rsidR="00525E77" w:rsidRPr="00173569">
        <w:rPr>
          <w:rFonts w:ascii="Times New Roman" w:hAnsi="Times New Roman" w:cs="Times New Roman"/>
          <w:bCs/>
          <w:sz w:val="24"/>
          <w:szCs w:val="24"/>
        </w:rPr>
        <w:t>Covid</w:t>
      </w:r>
      <w:r w:rsidR="00E50259" w:rsidRPr="00173569">
        <w:rPr>
          <w:rFonts w:ascii="Times New Roman" w:hAnsi="Times New Roman" w:cs="Times New Roman"/>
          <w:bCs/>
          <w:sz w:val="24"/>
          <w:szCs w:val="24"/>
        </w:rPr>
        <w:t xml:space="preserve">-19 mortality </w:t>
      </w:r>
      <w:r w:rsidR="00CD5A48" w:rsidRPr="00173569">
        <w:rPr>
          <w:rFonts w:ascii="Times New Roman" w:hAnsi="Times New Roman" w:cs="Times New Roman"/>
          <w:bCs/>
          <w:sz w:val="24"/>
          <w:szCs w:val="24"/>
        </w:rPr>
        <w:t xml:space="preserve">across </w:t>
      </w:r>
      <w:r w:rsidR="00E50259" w:rsidRPr="00173569">
        <w:rPr>
          <w:rFonts w:ascii="Times New Roman" w:hAnsi="Times New Roman" w:cs="Times New Roman"/>
          <w:bCs/>
          <w:sz w:val="24"/>
          <w:szCs w:val="24"/>
        </w:rPr>
        <w:t>many dimensions (i.e., economic, political, social, etc.)</w:t>
      </w:r>
      <w:r w:rsidR="00CD5A48" w:rsidRPr="00173569">
        <w:rPr>
          <w:rFonts w:ascii="Times New Roman" w:hAnsi="Times New Roman" w:cs="Times New Roman"/>
          <w:bCs/>
          <w:sz w:val="24"/>
          <w:szCs w:val="24"/>
        </w:rPr>
        <w:t>.</w:t>
      </w:r>
      <w:r w:rsidR="00E50259" w:rsidRPr="00173569">
        <w:rPr>
          <w:rFonts w:ascii="Times New Roman" w:hAnsi="Times New Roman" w:cs="Times New Roman"/>
          <w:bCs/>
          <w:sz w:val="24"/>
          <w:szCs w:val="24"/>
        </w:rPr>
        <w:t xml:space="preserve"> With most of the</w:t>
      </w:r>
      <w:r w:rsidR="00CD5A48" w:rsidRPr="00173569">
        <w:rPr>
          <w:rFonts w:ascii="Times New Roman" w:hAnsi="Times New Roman" w:cs="Times New Roman"/>
          <w:bCs/>
          <w:sz w:val="24"/>
          <w:szCs w:val="24"/>
        </w:rPr>
        <w:t>se</w:t>
      </w:r>
      <w:r w:rsidR="00E50259" w:rsidRPr="00173569">
        <w:rPr>
          <w:rFonts w:ascii="Times New Roman" w:hAnsi="Times New Roman" w:cs="Times New Roman"/>
          <w:bCs/>
          <w:sz w:val="24"/>
          <w:szCs w:val="24"/>
        </w:rPr>
        <w:t xml:space="preserve"> studies relying on official statistics on </w:t>
      </w:r>
      <w:r w:rsidR="00525E77" w:rsidRPr="00173569">
        <w:rPr>
          <w:rFonts w:ascii="Times New Roman" w:hAnsi="Times New Roman" w:cs="Times New Roman"/>
          <w:bCs/>
          <w:sz w:val="24"/>
          <w:szCs w:val="24"/>
        </w:rPr>
        <w:t>Covid</w:t>
      </w:r>
      <w:r w:rsidR="00E50259" w:rsidRPr="00173569">
        <w:rPr>
          <w:rFonts w:ascii="Times New Roman" w:hAnsi="Times New Roman" w:cs="Times New Roman"/>
          <w:bCs/>
          <w:sz w:val="24"/>
          <w:szCs w:val="24"/>
        </w:rPr>
        <w:t>-19 mortality as reported by countries, the quality of the</w:t>
      </w:r>
      <w:r w:rsidR="00CD5A48" w:rsidRPr="00173569">
        <w:rPr>
          <w:rFonts w:ascii="Times New Roman" w:hAnsi="Times New Roman" w:cs="Times New Roman"/>
          <w:bCs/>
          <w:sz w:val="24"/>
          <w:szCs w:val="24"/>
        </w:rPr>
        <w:t xml:space="preserve"> underlying</w:t>
      </w:r>
      <w:r w:rsidR="00E50259" w:rsidRPr="00173569">
        <w:rPr>
          <w:rFonts w:ascii="Times New Roman" w:hAnsi="Times New Roman" w:cs="Times New Roman"/>
          <w:bCs/>
          <w:sz w:val="24"/>
          <w:szCs w:val="24"/>
        </w:rPr>
        <w:t xml:space="preserve"> official mort</w:t>
      </w:r>
      <w:r w:rsidR="00CD5A48" w:rsidRPr="00173569">
        <w:rPr>
          <w:rFonts w:ascii="Times New Roman" w:hAnsi="Times New Roman" w:cs="Times New Roman"/>
          <w:bCs/>
          <w:sz w:val="24"/>
          <w:szCs w:val="24"/>
        </w:rPr>
        <w:t>a</w:t>
      </w:r>
      <w:r w:rsidR="00E50259" w:rsidRPr="00173569">
        <w:rPr>
          <w:rFonts w:ascii="Times New Roman" w:hAnsi="Times New Roman" w:cs="Times New Roman"/>
          <w:bCs/>
          <w:sz w:val="24"/>
          <w:szCs w:val="24"/>
        </w:rPr>
        <w:t xml:space="preserve">lity statistics plays a critical role in </w:t>
      </w:r>
      <w:r w:rsidR="002E1BCF">
        <w:rPr>
          <w:rFonts w:ascii="Times New Roman" w:hAnsi="Times New Roman" w:cs="Times New Roman"/>
          <w:bCs/>
          <w:sz w:val="24"/>
          <w:szCs w:val="24"/>
        </w:rPr>
        <w:t>shaping</w:t>
      </w:r>
      <w:r w:rsidR="00E50259" w:rsidRPr="00173569">
        <w:rPr>
          <w:rFonts w:ascii="Times New Roman" w:hAnsi="Times New Roman" w:cs="Times New Roman"/>
          <w:bCs/>
          <w:sz w:val="24"/>
          <w:szCs w:val="24"/>
        </w:rPr>
        <w:t xml:space="preserve"> the results obtained. Importantly, there are widely </w:t>
      </w:r>
      <w:r w:rsidR="00841C83" w:rsidRPr="00173569">
        <w:rPr>
          <w:rFonts w:ascii="Times New Roman" w:hAnsi="Times New Roman" w:cs="Times New Roman"/>
          <w:bCs/>
          <w:sz w:val="24"/>
          <w:szCs w:val="24"/>
        </w:rPr>
        <w:t>documented</w:t>
      </w:r>
      <w:r w:rsidR="00E50259" w:rsidRPr="00173569">
        <w:rPr>
          <w:rFonts w:ascii="Times New Roman" w:hAnsi="Times New Roman" w:cs="Times New Roman"/>
          <w:bCs/>
          <w:sz w:val="24"/>
          <w:szCs w:val="24"/>
        </w:rPr>
        <w:t xml:space="preserve"> limitations in the official mortality statistics that ma</w:t>
      </w:r>
      <w:r w:rsidR="00841C83" w:rsidRPr="00173569">
        <w:rPr>
          <w:rFonts w:ascii="Times New Roman" w:hAnsi="Times New Roman" w:cs="Times New Roman"/>
          <w:bCs/>
          <w:sz w:val="24"/>
          <w:szCs w:val="24"/>
        </w:rPr>
        <w:t>sk the ranking of countries in terms of life preservation</w:t>
      </w:r>
      <w:r w:rsidR="00CD5A48" w:rsidRPr="00173569">
        <w:rPr>
          <w:rFonts w:ascii="Times New Roman" w:hAnsi="Times New Roman" w:cs="Times New Roman"/>
          <w:bCs/>
          <w:sz w:val="24"/>
          <w:szCs w:val="24"/>
        </w:rPr>
        <w:t>.</w:t>
      </w:r>
      <w:r w:rsidR="00E50259" w:rsidRPr="00173569">
        <w:rPr>
          <w:rFonts w:ascii="Times New Roman" w:hAnsi="Times New Roman" w:cs="Times New Roman"/>
          <w:bCs/>
          <w:sz w:val="24"/>
          <w:szCs w:val="24"/>
        </w:rPr>
        <w:t xml:space="preserve"> </w:t>
      </w:r>
      <w:r w:rsidR="00CD5A48" w:rsidRPr="00173569">
        <w:rPr>
          <w:rFonts w:ascii="Times New Roman" w:hAnsi="Times New Roman" w:cs="Times New Roman"/>
          <w:bCs/>
          <w:sz w:val="24"/>
          <w:szCs w:val="24"/>
        </w:rPr>
        <w:t>Some of these limitations include differences in countries’ capacities</w:t>
      </w:r>
      <w:r w:rsidR="00E50259" w:rsidRPr="00173569">
        <w:rPr>
          <w:rFonts w:ascii="Times New Roman" w:hAnsi="Times New Roman" w:cs="Times New Roman"/>
          <w:bCs/>
          <w:sz w:val="24"/>
          <w:szCs w:val="24"/>
        </w:rPr>
        <w:t xml:space="preserve"> to test </w:t>
      </w:r>
      <w:r w:rsidR="00841C83" w:rsidRPr="00173569">
        <w:rPr>
          <w:rFonts w:ascii="Times New Roman" w:hAnsi="Times New Roman" w:cs="Times New Roman"/>
          <w:bCs/>
          <w:sz w:val="24"/>
          <w:szCs w:val="24"/>
        </w:rPr>
        <w:t xml:space="preserve">for </w:t>
      </w:r>
      <w:r w:rsidR="00525E77" w:rsidRPr="00173569">
        <w:rPr>
          <w:rFonts w:ascii="Times New Roman" w:hAnsi="Times New Roman" w:cs="Times New Roman"/>
          <w:bCs/>
          <w:sz w:val="24"/>
          <w:szCs w:val="24"/>
        </w:rPr>
        <w:t>Covid</w:t>
      </w:r>
      <w:r w:rsidR="00E50259" w:rsidRPr="00173569">
        <w:rPr>
          <w:rFonts w:ascii="Times New Roman" w:hAnsi="Times New Roman" w:cs="Times New Roman"/>
          <w:bCs/>
          <w:sz w:val="24"/>
          <w:szCs w:val="24"/>
        </w:rPr>
        <w:t>-19</w:t>
      </w:r>
      <w:r w:rsidR="00841C83" w:rsidRPr="00173569">
        <w:rPr>
          <w:rFonts w:ascii="Times New Roman" w:hAnsi="Times New Roman" w:cs="Times New Roman"/>
          <w:bCs/>
          <w:sz w:val="24"/>
          <w:szCs w:val="24"/>
        </w:rPr>
        <w:t>,</w:t>
      </w:r>
      <w:r w:rsidR="00E50259" w:rsidRPr="00173569">
        <w:rPr>
          <w:rFonts w:ascii="Times New Roman" w:hAnsi="Times New Roman" w:cs="Times New Roman"/>
          <w:bCs/>
          <w:sz w:val="24"/>
          <w:szCs w:val="24"/>
        </w:rPr>
        <w:t xml:space="preserve"> determine the cause of death, a</w:t>
      </w:r>
      <w:r w:rsidR="00841C83" w:rsidRPr="00173569">
        <w:rPr>
          <w:rFonts w:ascii="Times New Roman" w:hAnsi="Times New Roman" w:cs="Times New Roman"/>
          <w:bCs/>
          <w:sz w:val="24"/>
          <w:szCs w:val="24"/>
        </w:rPr>
        <w:t xml:space="preserve">nd </w:t>
      </w:r>
      <w:r w:rsidR="00CD5A48" w:rsidRPr="00173569">
        <w:rPr>
          <w:rFonts w:ascii="Times New Roman" w:hAnsi="Times New Roman" w:cs="Times New Roman"/>
          <w:bCs/>
          <w:sz w:val="24"/>
          <w:szCs w:val="24"/>
        </w:rPr>
        <w:t xml:space="preserve">disparate </w:t>
      </w:r>
      <w:r w:rsidR="00E50259" w:rsidRPr="00173569">
        <w:rPr>
          <w:rFonts w:ascii="Times New Roman" w:hAnsi="Times New Roman" w:cs="Times New Roman"/>
          <w:bCs/>
          <w:sz w:val="24"/>
          <w:szCs w:val="24"/>
        </w:rPr>
        <w:t>definition</w:t>
      </w:r>
      <w:r w:rsidR="00CD5A48" w:rsidRPr="00173569">
        <w:rPr>
          <w:rFonts w:ascii="Times New Roman" w:hAnsi="Times New Roman" w:cs="Times New Roman"/>
          <w:bCs/>
          <w:sz w:val="24"/>
          <w:szCs w:val="24"/>
        </w:rPr>
        <w:t>s</w:t>
      </w:r>
      <w:r w:rsidR="00E50259" w:rsidRPr="00173569">
        <w:rPr>
          <w:rFonts w:ascii="Times New Roman" w:hAnsi="Times New Roman" w:cs="Times New Roman"/>
          <w:bCs/>
          <w:sz w:val="24"/>
          <w:szCs w:val="24"/>
        </w:rPr>
        <w:t xml:space="preserve"> of death. </w:t>
      </w:r>
    </w:p>
    <w:p w14:paraId="76652CD1" w14:textId="07330B32" w:rsidR="004752E2" w:rsidRPr="00173569" w:rsidRDefault="00D0182D">
      <w:pPr>
        <w:spacing w:line="360" w:lineRule="auto"/>
        <w:rPr>
          <w:rFonts w:ascii="Times New Roman" w:hAnsi="Times New Roman" w:cs="Times New Roman"/>
          <w:bCs/>
          <w:sz w:val="24"/>
          <w:szCs w:val="24"/>
        </w:rPr>
      </w:pPr>
      <w:r w:rsidRPr="00173569">
        <w:rPr>
          <w:rFonts w:ascii="Times New Roman" w:hAnsi="Times New Roman" w:cs="Times New Roman"/>
          <w:bCs/>
          <w:sz w:val="24"/>
          <w:szCs w:val="24"/>
        </w:rPr>
        <w:tab/>
      </w:r>
      <w:r w:rsidR="004752E2" w:rsidRPr="00173569">
        <w:rPr>
          <w:rFonts w:ascii="Times New Roman" w:hAnsi="Times New Roman" w:cs="Times New Roman"/>
          <w:bCs/>
          <w:sz w:val="24"/>
          <w:szCs w:val="24"/>
        </w:rPr>
        <w:t xml:space="preserve">To investigate the limitations of official </w:t>
      </w:r>
      <w:r w:rsidR="00525E77" w:rsidRPr="00173569">
        <w:rPr>
          <w:rFonts w:ascii="Times New Roman" w:hAnsi="Times New Roman" w:cs="Times New Roman"/>
          <w:bCs/>
          <w:sz w:val="24"/>
          <w:szCs w:val="24"/>
        </w:rPr>
        <w:t>Covid</w:t>
      </w:r>
      <w:r w:rsidR="004752E2" w:rsidRPr="00173569">
        <w:rPr>
          <w:rFonts w:ascii="Times New Roman" w:hAnsi="Times New Roman" w:cs="Times New Roman"/>
          <w:bCs/>
          <w:sz w:val="24"/>
          <w:szCs w:val="24"/>
        </w:rPr>
        <w:t xml:space="preserve">-19 mortality, we contrast </w:t>
      </w:r>
      <w:r w:rsidR="00CC1750" w:rsidRPr="00173569">
        <w:rPr>
          <w:rFonts w:ascii="Times New Roman" w:hAnsi="Times New Roman" w:cs="Times New Roman"/>
          <w:bCs/>
          <w:sz w:val="24"/>
          <w:szCs w:val="24"/>
        </w:rPr>
        <w:t>this measure</w:t>
      </w:r>
      <w:r w:rsidR="004752E2" w:rsidRPr="00173569">
        <w:rPr>
          <w:rFonts w:ascii="Times New Roman" w:hAnsi="Times New Roman" w:cs="Times New Roman"/>
          <w:bCs/>
          <w:sz w:val="24"/>
          <w:szCs w:val="24"/>
        </w:rPr>
        <w:t xml:space="preserve"> with excess </w:t>
      </w:r>
      <w:r w:rsidR="00F556B1" w:rsidRPr="00173569">
        <w:rPr>
          <w:rFonts w:ascii="Times New Roman" w:hAnsi="Times New Roman" w:cs="Times New Roman"/>
          <w:bCs/>
          <w:sz w:val="24"/>
          <w:szCs w:val="24"/>
        </w:rPr>
        <w:t>mortality</w:t>
      </w:r>
      <w:r w:rsidR="004752E2" w:rsidRPr="00173569">
        <w:rPr>
          <w:rFonts w:ascii="Times New Roman" w:hAnsi="Times New Roman" w:cs="Times New Roman"/>
          <w:bCs/>
          <w:sz w:val="24"/>
          <w:szCs w:val="24"/>
        </w:rPr>
        <w:t xml:space="preserve">, which is </w:t>
      </w:r>
      <w:r w:rsidR="00C611DB" w:rsidRPr="00173569">
        <w:rPr>
          <w:rFonts w:ascii="Times New Roman" w:hAnsi="Times New Roman" w:cs="Times New Roman"/>
          <w:bCs/>
          <w:sz w:val="24"/>
          <w:szCs w:val="24"/>
        </w:rPr>
        <w:t>calculated</w:t>
      </w:r>
      <w:r w:rsidR="004752E2" w:rsidRPr="00173569">
        <w:rPr>
          <w:rFonts w:ascii="Times New Roman" w:hAnsi="Times New Roman" w:cs="Times New Roman"/>
          <w:bCs/>
          <w:sz w:val="24"/>
          <w:szCs w:val="24"/>
        </w:rPr>
        <w:t xml:space="preserve"> as the difference of </w:t>
      </w:r>
      <w:r w:rsidR="00C611DB" w:rsidRPr="00173569">
        <w:rPr>
          <w:rFonts w:ascii="Times New Roman" w:hAnsi="Times New Roman" w:cs="Times New Roman"/>
          <w:bCs/>
          <w:sz w:val="24"/>
          <w:szCs w:val="24"/>
        </w:rPr>
        <w:t>all-cause</w:t>
      </w:r>
      <w:r w:rsidR="004752E2" w:rsidRPr="00173569">
        <w:rPr>
          <w:rFonts w:ascii="Times New Roman" w:hAnsi="Times New Roman" w:cs="Times New Roman"/>
          <w:bCs/>
          <w:sz w:val="24"/>
          <w:szCs w:val="24"/>
        </w:rPr>
        <w:t xml:space="preserve"> mortality during the </w:t>
      </w:r>
      <w:r w:rsidR="00525E77" w:rsidRPr="00173569">
        <w:rPr>
          <w:rFonts w:ascii="Times New Roman" w:hAnsi="Times New Roman" w:cs="Times New Roman"/>
          <w:bCs/>
          <w:sz w:val="24"/>
          <w:szCs w:val="24"/>
        </w:rPr>
        <w:t>Covid</w:t>
      </w:r>
      <w:r w:rsidR="002E5803" w:rsidRPr="00173569">
        <w:rPr>
          <w:rFonts w:ascii="Times New Roman" w:hAnsi="Times New Roman" w:cs="Times New Roman"/>
          <w:bCs/>
          <w:sz w:val="24"/>
          <w:szCs w:val="24"/>
        </w:rPr>
        <w:t>-19</w:t>
      </w:r>
      <w:r w:rsidR="004752E2" w:rsidRPr="00173569">
        <w:rPr>
          <w:rFonts w:ascii="Times New Roman" w:hAnsi="Times New Roman" w:cs="Times New Roman"/>
          <w:bCs/>
          <w:sz w:val="24"/>
          <w:szCs w:val="24"/>
        </w:rPr>
        <w:t xml:space="preserve"> </w:t>
      </w:r>
      <w:r w:rsidR="00CD5A48" w:rsidRPr="00173569">
        <w:rPr>
          <w:rFonts w:ascii="Times New Roman" w:hAnsi="Times New Roman" w:cs="Times New Roman"/>
          <w:bCs/>
          <w:sz w:val="24"/>
          <w:szCs w:val="24"/>
        </w:rPr>
        <w:t xml:space="preserve">pandemic </w:t>
      </w:r>
      <w:r w:rsidR="004752E2" w:rsidRPr="00173569">
        <w:rPr>
          <w:rFonts w:ascii="Times New Roman" w:hAnsi="Times New Roman" w:cs="Times New Roman"/>
          <w:bCs/>
          <w:sz w:val="24"/>
          <w:szCs w:val="24"/>
        </w:rPr>
        <w:t xml:space="preserve">from a baseline trend </w:t>
      </w:r>
      <w:r w:rsidR="0043716E" w:rsidRPr="00173569">
        <w:rPr>
          <w:rFonts w:ascii="Times New Roman" w:hAnsi="Times New Roman" w:cs="Times New Roman"/>
          <w:bCs/>
          <w:sz w:val="24"/>
          <w:szCs w:val="24"/>
        </w:rPr>
        <w:t xml:space="preserve">modeled </w:t>
      </w:r>
      <w:r w:rsidR="004752E2" w:rsidRPr="00173569">
        <w:rPr>
          <w:rFonts w:ascii="Times New Roman" w:hAnsi="Times New Roman" w:cs="Times New Roman"/>
          <w:bCs/>
          <w:sz w:val="24"/>
          <w:szCs w:val="24"/>
        </w:rPr>
        <w:t>from historical mortality data. We show that countr</w:t>
      </w:r>
      <w:r w:rsidR="00CD5A48" w:rsidRPr="00173569">
        <w:rPr>
          <w:rFonts w:ascii="Times New Roman" w:hAnsi="Times New Roman" w:cs="Times New Roman"/>
          <w:bCs/>
          <w:sz w:val="24"/>
          <w:szCs w:val="24"/>
        </w:rPr>
        <w:t>ies</w:t>
      </w:r>
      <w:r w:rsidR="004752E2" w:rsidRPr="00173569">
        <w:rPr>
          <w:rFonts w:ascii="Times New Roman" w:hAnsi="Times New Roman" w:cs="Times New Roman"/>
          <w:bCs/>
          <w:sz w:val="24"/>
          <w:szCs w:val="24"/>
        </w:rPr>
        <w:t>’</w:t>
      </w:r>
      <w:r w:rsidR="00CD5A48" w:rsidRPr="00173569">
        <w:rPr>
          <w:rFonts w:ascii="Times New Roman" w:hAnsi="Times New Roman" w:cs="Times New Roman"/>
          <w:bCs/>
          <w:sz w:val="24"/>
          <w:szCs w:val="24"/>
        </w:rPr>
        <w:t xml:space="preserve"> </w:t>
      </w:r>
      <w:r w:rsidR="004752E2" w:rsidRPr="00173569">
        <w:rPr>
          <w:rFonts w:ascii="Times New Roman" w:hAnsi="Times New Roman" w:cs="Times New Roman"/>
          <w:bCs/>
          <w:sz w:val="24"/>
          <w:szCs w:val="24"/>
        </w:rPr>
        <w:t>quartile rankings diff</w:t>
      </w:r>
      <w:r w:rsidR="00CD5A48" w:rsidRPr="00173569">
        <w:rPr>
          <w:rFonts w:ascii="Times New Roman" w:hAnsi="Times New Roman" w:cs="Times New Roman"/>
          <w:bCs/>
          <w:sz w:val="24"/>
          <w:szCs w:val="24"/>
        </w:rPr>
        <w:t>er</w:t>
      </w:r>
      <w:r w:rsidR="004752E2" w:rsidRPr="00173569">
        <w:rPr>
          <w:rFonts w:ascii="Times New Roman" w:hAnsi="Times New Roman" w:cs="Times New Roman"/>
          <w:bCs/>
          <w:sz w:val="24"/>
          <w:szCs w:val="24"/>
        </w:rPr>
        <w:t xml:space="preserve"> quite </w:t>
      </w:r>
      <w:r w:rsidR="00CD5A48" w:rsidRPr="00173569">
        <w:rPr>
          <w:rFonts w:ascii="Times New Roman" w:hAnsi="Times New Roman" w:cs="Times New Roman"/>
          <w:bCs/>
          <w:sz w:val="24"/>
          <w:szCs w:val="24"/>
        </w:rPr>
        <w:t xml:space="preserve">substantially </w:t>
      </w:r>
      <w:r w:rsidR="004752E2" w:rsidRPr="00173569">
        <w:rPr>
          <w:rFonts w:ascii="Times New Roman" w:hAnsi="Times New Roman" w:cs="Times New Roman"/>
          <w:bCs/>
          <w:sz w:val="24"/>
          <w:szCs w:val="24"/>
        </w:rPr>
        <w:t>between excess and official cumulative mortalit</w:t>
      </w:r>
      <w:r w:rsidR="002E1BCF">
        <w:rPr>
          <w:rFonts w:ascii="Times New Roman" w:hAnsi="Times New Roman" w:cs="Times New Roman"/>
          <w:bCs/>
          <w:sz w:val="24"/>
          <w:szCs w:val="24"/>
        </w:rPr>
        <w:t>ies</w:t>
      </w:r>
      <w:r w:rsidR="00CD5A48" w:rsidRPr="00173569">
        <w:rPr>
          <w:rFonts w:ascii="Times New Roman" w:hAnsi="Times New Roman" w:cs="Times New Roman"/>
          <w:bCs/>
          <w:sz w:val="24"/>
          <w:szCs w:val="24"/>
        </w:rPr>
        <w:t>.</w:t>
      </w:r>
      <w:r w:rsidR="004752E2" w:rsidRPr="00173569">
        <w:rPr>
          <w:rFonts w:ascii="Times New Roman" w:hAnsi="Times New Roman" w:cs="Times New Roman"/>
          <w:bCs/>
          <w:sz w:val="24"/>
          <w:szCs w:val="24"/>
        </w:rPr>
        <w:t xml:space="preserve"> </w:t>
      </w:r>
      <w:r w:rsidR="00CD5A48" w:rsidRPr="00173569">
        <w:rPr>
          <w:rFonts w:ascii="Times New Roman" w:hAnsi="Times New Roman" w:cs="Times New Roman"/>
          <w:bCs/>
          <w:sz w:val="24"/>
          <w:szCs w:val="24"/>
        </w:rPr>
        <w:t>C</w:t>
      </w:r>
      <w:r w:rsidR="004752E2" w:rsidRPr="00173569">
        <w:rPr>
          <w:rFonts w:ascii="Times New Roman" w:hAnsi="Times New Roman" w:cs="Times New Roman"/>
          <w:bCs/>
          <w:sz w:val="24"/>
          <w:szCs w:val="24"/>
        </w:rPr>
        <w:t>ountries</w:t>
      </w:r>
      <w:r w:rsidR="00CD5A48" w:rsidRPr="00173569">
        <w:rPr>
          <w:rFonts w:ascii="Times New Roman" w:hAnsi="Times New Roman" w:cs="Times New Roman"/>
          <w:bCs/>
          <w:sz w:val="24"/>
          <w:szCs w:val="24"/>
        </w:rPr>
        <w:t xml:space="preserve"> who</w:t>
      </w:r>
      <w:r w:rsidR="004752E2" w:rsidRPr="00173569">
        <w:rPr>
          <w:rFonts w:ascii="Times New Roman" w:hAnsi="Times New Roman" w:cs="Times New Roman"/>
          <w:bCs/>
          <w:sz w:val="24"/>
          <w:szCs w:val="24"/>
        </w:rPr>
        <w:t xml:space="preserve"> fare the best in terms of cumulative </w:t>
      </w:r>
      <w:r w:rsidR="004752E2" w:rsidRPr="00173569">
        <w:rPr>
          <w:rFonts w:ascii="Times New Roman" w:hAnsi="Times New Roman" w:cs="Times New Roman"/>
          <w:b/>
          <w:sz w:val="24"/>
          <w:szCs w:val="24"/>
        </w:rPr>
        <w:t>excess</w:t>
      </w:r>
      <w:r w:rsidR="004752E2" w:rsidRPr="00173569">
        <w:rPr>
          <w:rFonts w:ascii="Times New Roman" w:hAnsi="Times New Roman" w:cs="Times New Roman"/>
          <w:bCs/>
          <w:sz w:val="24"/>
          <w:szCs w:val="24"/>
        </w:rPr>
        <w:t xml:space="preserve"> mortality </w:t>
      </w:r>
      <w:r w:rsidR="00CD5A48" w:rsidRPr="00173569">
        <w:rPr>
          <w:rFonts w:ascii="Times New Roman" w:hAnsi="Times New Roman" w:cs="Times New Roman"/>
          <w:bCs/>
          <w:sz w:val="24"/>
          <w:szCs w:val="24"/>
        </w:rPr>
        <w:t xml:space="preserve">record </w:t>
      </w:r>
      <w:r w:rsidR="004752E2" w:rsidRPr="00173569">
        <w:rPr>
          <w:rFonts w:ascii="Times New Roman" w:hAnsi="Times New Roman" w:cs="Times New Roman"/>
          <w:bCs/>
          <w:sz w:val="24"/>
          <w:szCs w:val="24"/>
        </w:rPr>
        <w:t xml:space="preserve">the highest income and </w:t>
      </w:r>
      <w:r w:rsidR="00C611DB" w:rsidRPr="00173569">
        <w:rPr>
          <w:rFonts w:ascii="Times New Roman" w:hAnsi="Times New Roman" w:cs="Times New Roman"/>
          <w:bCs/>
          <w:sz w:val="24"/>
          <w:szCs w:val="24"/>
        </w:rPr>
        <w:t>institution</w:t>
      </w:r>
      <w:r w:rsidR="007F2ABE" w:rsidRPr="00173569">
        <w:rPr>
          <w:rFonts w:ascii="Times New Roman" w:hAnsi="Times New Roman" w:cs="Times New Roman"/>
          <w:bCs/>
          <w:sz w:val="24"/>
          <w:szCs w:val="24"/>
        </w:rPr>
        <w:t>al</w:t>
      </w:r>
      <w:r w:rsidR="004752E2" w:rsidRPr="00173569">
        <w:rPr>
          <w:rFonts w:ascii="Times New Roman" w:hAnsi="Times New Roman" w:cs="Times New Roman"/>
          <w:bCs/>
          <w:sz w:val="24"/>
          <w:szCs w:val="24"/>
        </w:rPr>
        <w:t xml:space="preserve"> quality (as measured by rule of law, voice and accountability, government effectiveness</w:t>
      </w:r>
      <w:r w:rsidR="000A3AFA" w:rsidRPr="00173569">
        <w:rPr>
          <w:rFonts w:ascii="Times New Roman" w:hAnsi="Times New Roman" w:cs="Times New Roman"/>
          <w:bCs/>
          <w:sz w:val="24"/>
          <w:szCs w:val="24"/>
        </w:rPr>
        <w:t>)</w:t>
      </w:r>
      <w:r w:rsidR="000A3AFA">
        <w:rPr>
          <w:rFonts w:ascii="Times New Roman" w:hAnsi="Times New Roman" w:cs="Times New Roman"/>
          <w:bCs/>
          <w:sz w:val="24"/>
          <w:szCs w:val="24"/>
        </w:rPr>
        <w:t>.</w:t>
      </w:r>
      <w:r w:rsidR="000A3AFA" w:rsidRPr="00173569">
        <w:rPr>
          <w:rFonts w:ascii="Times New Roman" w:hAnsi="Times New Roman" w:cs="Times New Roman"/>
          <w:bCs/>
          <w:sz w:val="24"/>
          <w:szCs w:val="24"/>
        </w:rPr>
        <w:t xml:space="preserve"> </w:t>
      </w:r>
      <w:r w:rsidR="004752E2" w:rsidRPr="00173569">
        <w:rPr>
          <w:rFonts w:ascii="Times New Roman" w:hAnsi="Times New Roman" w:cs="Times New Roman"/>
          <w:bCs/>
          <w:sz w:val="24"/>
          <w:szCs w:val="24"/>
        </w:rPr>
        <w:t>Th</w:t>
      </w:r>
      <w:r w:rsidR="00CD5A48" w:rsidRPr="00173569">
        <w:rPr>
          <w:rFonts w:ascii="Times New Roman" w:hAnsi="Times New Roman" w:cs="Times New Roman"/>
          <w:bCs/>
          <w:sz w:val="24"/>
          <w:szCs w:val="24"/>
        </w:rPr>
        <w:t>is</w:t>
      </w:r>
      <w:r w:rsidR="004752E2" w:rsidRPr="00173569">
        <w:rPr>
          <w:rFonts w:ascii="Times New Roman" w:hAnsi="Times New Roman" w:cs="Times New Roman"/>
          <w:bCs/>
          <w:sz w:val="24"/>
          <w:szCs w:val="24"/>
        </w:rPr>
        <w:t xml:space="preserve"> evidence </w:t>
      </w:r>
      <w:r w:rsidR="00CD5A48" w:rsidRPr="00173569">
        <w:rPr>
          <w:rFonts w:ascii="Times New Roman" w:hAnsi="Times New Roman" w:cs="Times New Roman"/>
          <w:bCs/>
          <w:sz w:val="24"/>
          <w:szCs w:val="24"/>
        </w:rPr>
        <w:t xml:space="preserve">is </w:t>
      </w:r>
      <w:r w:rsidR="004752E2" w:rsidRPr="00173569">
        <w:rPr>
          <w:rFonts w:ascii="Times New Roman" w:hAnsi="Times New Roman" w:cs="Times New Roman"/>
          <w:bCs/>
          <w:sz w:val="24"/>
          <w:szCs w:val="24"/>
        </w:rPr>
        <w:t xml:space="preserve">further supported by </w:t>
      </w:r>
      <w:r w:rsidR="00CD5A48" w:rsidRPr="00173569">
        <w:rPr>
          <w:rFonts w:ascii="Times New Roman" w:hAnsi="Times New Roman" w:cs="Times New Roman"/>
          <w:bCs/>
          <w:sz w:val="24"/>
          <w:szCs w:val="24"/>
        </w:rPr>
        <w:t xml:space="preserve">a simple </w:t>
      </w:r>
      <w:r w:rsidR="004752E2" w:rsidRPr="00173569">
        <w:rPr>
          <w:rFonts w:ascii="Times New Roman" w:hAnsi="Times New Roman" w:cs="Times New Roman"/>
          <w:bCs/>
          <w:sz w:val="24"/>
          <w:szCs w:val="24"/>
        </w:rPr>
        <w:t>regression analysis of the ratio of excess to official mortality on country-specific indicators</w:t>
      </w:r>
      <w:r w:rsidR="007F2ABE" w:rsidRPr="00173569">
        <w:rPr>
          <w:rFonts w:ascii="Times New Roman" w:hAnsi="Times New Roman" w:cs="Times New Roman"/>
          <w:bCs/>
          <w:sz w:val="24"/>
          <w:szCs w:val="24"/>
        </w:rPr>
        <w:t xml:space="preserve"> as well as a </w:t>
      </w:r>
      <w:r w:rsidR="004752E2" w:rsidRPr="00173569">
        <w:rPr>
          <w:rFonts w:ascii="Times New Roman" w:hAnsi="Times New Roman" w:cs="Times New Roman"/>
          <w:bCs/>
          <w:sz w:val="24"/>
          <w:szCs w:val="24"/>
        </w:rPr>
        <w:t xml:space="preserve">deeper </w:t>
      </w:r>
      <w:r w:rsidR="00CD5A48" w:rsidRPr="00173569">
        <w:rPr>
          <w:rFonts w:ascii="Times New Roman" w:hAnsi="Times New Roman" w:cs="Times New Roman"/>
          <w:bCs/>
          <w:sz w:val="24"/>
          <w:szCs w:val="24"/>
        </w:rPr>
        <w:t xml:space="preserve">examination of </w:t>
      </w:r>
      <w:r w:rsidR="004752E2" w:rsidRPr="00173569">
        <w:rPr>
          <w:rFonts w:ascii="Times New Roman" w:hAnsi="Times New Roman" w:cs="Times New Roman"/>
          <w:bCs/>
          <w:sz w:val="24"/>
          <w:szCs w:val="24"/>
        </w:rPr>
        <w:t xml:space="preserve">individual country’s quartile movements between </w:t>
      </w:r>
      <w:r w:rsidR="00CD5A48" w:rsidRPr="00173569">
        <w:rPr>
          <w:rFonts w:ascii="Times New Roman" w:hAnsi="Times New Roman" w:cs="Times New Roman"/>
          <w:bCs/>
          <w:sz w:val="24"/>
          <w:szCs w:val="24"/>
        </w:rPr>
        <w:t xml:space="preserve">measures of </w:t>
      </w:r>
      <w:r w:rsidR="004752E2" w:rsidRPr="00173569">
        <w:rPr>
          <w:rFonts w:ascii="Times New Roman" w:hAnsi="Times New Roman" w:cs="Times New Roman"/>
          <w:bCs/>
          <w:sz w:val="24"/>
          <w:szCs w:val="24"/>
        </w:rPr>
        <w:t xml:space="preserve">official and excess mortality. </w:t>
      </w:r>
      <w:r w:rsidR="00EF4EA5" w:rsidRPr="00173569">
        <w:rPr>
          <w:rFonts w:ascii="Times New Roman" w:hAnsi="Times New Roman" w:cs="Times New Roman"/>
          <w:bCs/>
          <w:sz w:val="24"/>
          <w:szCs w:val="24"/>
        </w:rPr>
        <w:t xml:space="preserve">Specifically, </w:t>
      </w:r>
      <w:r w:rsidR="00EF4EA5" w:rsidRPr="00173569">
        <w:rPr>
          <w:rFonts w:ascii="Times New Roman" w:eastAsia="Times New Roman" w:hAnsi="Times New Roman" w:cs="Times New Roman"/>
          <w:color w:val="222222"/>
          <w:sz w:val="24"/>
          <w:szCs w:val="24"/>
        </w:rPr>
        <w:t xml:space="preserve">governance </w:t>
      </w:r>
      <w:r w:rsidR="0043716E" w:rsidRPr="00173569">
        <w:rPr>
          <w:rFonts w:ascii="Times New Roman" w:eastAsia="Times New Roman" w:hAnsi="Times New Roman" w:cs="Times New Roman"/>
          <w:color w:val="222222"/>
          <w:sz w:val="24"/>
          <w:szCs w:val="24"/>
        </w:rPr>
        <w:t>variables</w:t>
      </w:r>
      <w:r w:rsidR="00E1273E" w:rsidRPr="00173569">
        <w:rPr>
          <w:rFonts w:ascii="Times New Roman" w:eastAsia="Times New Roman" w:hAnsi="Times New Roman" w:cs="Times New Roman"/>
          <w:color w:val="222222"/>
          <w:sz w:val="24"/>
          <w:szCs w:val="24"/>
        </w:rPr>
        <w:t>, in particular, voice and accountability,</w:t>
      </w:r>
      <w:r w:rsidR="00EF4EA5" w:rsidRPr="00173569">
        <w:rPr>
          <w:rFonts w:ascii="Times New Roman" w:eastAsia="Times New Roman" w:hAnsi="Times New Roman" w:cs="Times New Roman"/>
          <w:color w:val="222222"/>
          <w:sz w:val="24"/>
          <w:szCs w:val="24"/>
        </w:rPr>
        <w:t xml:space="preserve"> other structural variables</w:t>
      </w:r>
      <w:r w:rsidR="00E1273E" w:rsidRPr="00173569">
        <w:rPr>
          <w:rFonts w:ascii="Times New Roman" w:eastAsia="Times New Roman" w:hAnsi="Times New Roman" w:cs="Times New Roman"/>
          <w:color w:val="222222"/>
          <w:sz w:val="24"/>
          <w:szCs w:val="24"/>
        </w:rPr>
        <w:t xml:space="preserve"> (such as urban population share) </w:t>
      </w:r>
      <w:r w:rsidR="00EF4EA5" w:rsidRPr="00173569">
        <w:rPr>
          <w:rFonts w:ascii="Times New Roman" w:eastAsia="Times New Roman" w:hAnsi="Times New Roman" w:cs="Times New Roman"/>
          <w:color w:val="222222"/>
          <w:sz w:val="24"/>
          <w:szCs w:val="24"/>
        </w:rPr>
        <w:t>explain the ranking gaps between the two data sets.</w:t>
      </w:r>
    </w:p>
    <w:p w14:paraId="6B049F4C" w14:textId="47CB0631" w:rsidR="00CC6CBE" w:rsidRPr="002C6241" w:rsidRDefault="00EF4EA5" w:rsidP="00CD2BFD">
      <w:pPr>
        <w:spacing w:line="360" w:lineRule="auto"/>
        <w:ind w:firstLine="720"/>
        <w:contextualSpacing/>
        <w:rPr>
          <w:rFonts w:ascii="Times New Roman" w:hAnsi="Times New Roman" w:cs="Times New Roman"/>
          <w:color w:val="000000" w:themeColor="text1"/>
          <w:sz w:val="24"/>
          <w:szCs w:val="24"/>
        </w:rPr>
      </w:pPr>
      <w:r w:rsidRPr="00173569">
        <w:rPr>
          <w:rFonts w:ascii="Times New Roman" w:eastAsia="Times New Roman" w:hAnsi="Times New Roman" w:cs="Times New Roman"/>
          <w:color w:val="222222"/>
          <w:sz w:val="24"/>
          <w:szCs w:val="24"/>
        </w:rPr>
        <w:t xml:space="preserve">These results suggest that one should take the official </w:t>
      </w:r>
      <w:r w:rsidR="00525E77" w:rsidRPr="00173569">
        <w:rPr>
          <w:rFonts w:ascii="Times New Roman" w:eastAsia="Times New Roman" w:hAnsi="Times New Roman" w:cs="Times New Roman"/>
          <w:color w:val="222222"/>
          <w:sz w:val="24"/>
          <w:szCs w:val="24"/>
        </w:rPr>
        <w:t>Covid</w:t>
      </w:r>
      <w:r w:rsidR="002E5803" w:rsidRPr="00173569">
        <w:rPr>
          <w:rFonts w:ascii="Times New Roman" w:eastAsia="Times New Roman" w:hAnsi="Times New Roman" w:cs="Times New Roman"/>
          <w:color w:val="222222"/>
          <w:sz w:val="24"/>
          <w:szCs w:val="24"/>
        </w:rPr>
        <w:t>-19</w:t>
      </w:r>
      <w:r w:rsidRPr="00173569">
        <w:rPr>
          <w:rFonts w:ascii="Times New Roman" w:eastAsia="Times New Roman" w:hAnsi="Times New Roman" w:cs="Times New Roman"/>
          <w:color w:val="222222"/>
          <w:sz w:val="24"/>
          <w:szCs w:val="24"/>
        </w:rPr>
        <w:t xml:space="preserve"> mor</w:t>
      </w:r>
      <w:r w:rsidR="00B3514F" w:rsidRPr="00173569">
        <w:rPr>
          <w:rFonts w:ascii="Times New Roman" w:eastAsia="Times New Roman" w:hAnsi="Times New Roman" w:cs="Times New Roman"/>
          <w:color w:val="222222"/>
          <w:sz w:val="24"/>
          <w:szCs w:val="24"/>
        </w:rPr>
        <w:t>ta</w:t>
      </w:r>
      <w:r w:rsidRPr="00173569">
        <w:rPr>
          <w:rFonts w:ascii="Times New Roman" w:eastAsia="Times New Roman" w:hAnsi="Times New Roman" w:cs="Times New Roman"/>
          <w:color w:val="222222"/>
          <w:sz w:val="24"/>
          <w:szCs w:val="24"/>
        </w:rPr>
        <w:t xml:space="preserve">lity counting with </w:t>
      </w:r>
      <w:r w:rsidR="007F2ABE" w:rsidRPr="00173569">
        <w:rPr>
          <w:rFonts w:ascii="Times New Roman" w:eastAsia="Times New Roman" w:hAnsi="Times New Roman" w:cs="Times New Roman"/>
          <w:color w:val="222222"/>
          <w:sz w:val="24"/>
          <w:szCs w:val="24"/>
        </w:rPr>
        <w:t>some s</w:t>
      </w:r>
      <w:r w:rsidR="00B85725" w:rsidRPr="00173569">
        <w:rPr>
          <w:rFonts w:ascii="Times New Roman" w:eastAsia="Times New Roman" w:hAnsi="Times New Roman" w:cs="Times New Roman"/>
          <w:color w:val="222222"/>
          <w:sz w:val="24"/>
          <w:szCs w:val="24"/>
        </w:rPr>
        <w:t>keptic</w:t>
      </w:r>
      <w:r w:rsidR="007F2ABE" w:rsidRPr="00173569">
        <w:rPr>
          <w:rFonts w:ascii="Times New Roman" w:eastAsia="Times New Roman" w:hAnsi="Times New Roman" w:cs="Times New Roman"/>
          <w:color w:val="222222"/>
          <w:sz w:val="24"/>
          <w:szCs w:val="24"/>
        </w:rPr>
        <w:t>ism</w:t>
      </w:r>
      <w:r w:rsidRPr="00173569">
        <w:rPr>
          <w:rFonts w:ascii="Times New Roman" w:eastAsia="Times New Roman" w:hAnsi="Times New Roman" w:cs="Times New Roman"/>
          <w:color w:val="222222"/>
          <w:sz w:val="24"/>
          <w:szCs w:val="24"/>
        </w:rPr>
        <w:t xml:space="preserve"> and </w:t>
      </w:r>
      <w:r w:rsidR="00B3514F" w:rsidRPr="00173569">
        <w:rPr>
          <w:rFonts w:ascii="Times New Roman" w:eastAsia="Times New Roman" w:hAnsi="Times New Roman" w:cs="Times New Roman"/>
          <w:color w:val="222222"/>
          <w:sz w:val="24"/>
          <w:szCs w:val="24"/>
        </w:rPr>
        <w:t xml:space="preserve">that it should be </w:t>
      </w:r>
      <w:r w:rsidRPr="00173569">
        <w:rPr>
          <w:rFonts w:ascii="Times New Roman" w:eastAsia="Times New Roman" w:hAnsi="Times New Roman" w:cs="Times New Roman"/>
          <w:color w:val="222222"/>
          <w:sz w:val="24"/>
          <w:szCs w:val="24"/>
        </w:rPr>
        <w:t>supplement</w:t>
      </w:r>
      <w:r w:rsidR="00B3514F" w:rsidRPr="00173569">
        <w:rPr>
          <w:rFonts w:ascii="Times New Roman" w:eastAsia="Times New Roman" w:hAnsi="Times New Roman" w:cs="Times New Roman"/>
          <w:color w:val="222222"/>
          <w:sz w:val="24"/>
          <w:szCs w:val="24"/>
        </w:rPr>
        <w:t>ed</w:t>
      </w:r>
      <w:r w:rsidRPr="00173569">
        <w:rPr>
          <w:rFonts w:ascii="Times New Roman" w:eastAsia="Times New Roman" w:hAnsi="Times New Roman" w:cs="Times New Roman"/>
          <w:color w:val="222222"/>
          <w:sz w:val="24"/>
          <w:szCs w:val="24"/>
        </w:rPr>
        <w:t xml:space="preserve"> </w:t>
      </w:r>
      <w:r w:rsidR="00B3514F" w:rsidRPr="00173569">
        <w:rPr>
          <w:rFonts w:ascii="Times New Roman" w:eastAsia="Times New Roman" w:hAnsi="Times New Roman" w:cs="Times New Roman"/>
          <w:color w:val="222222"/>
          <w:sz w:val="24"/>
          <w:szCs w:val="24"/>
        </w:rPr>
        <w:t xml:space="preserve">by </w:t>
      </w:r>
      <w:r w:rsidRPr="00173569">
        <w:rPr>
          <w:rFonts w:ascii="Times New Roman" w:eastAsia="Times New Roman" w:hAnsi="Times New Roman" w:cs="Times New Roman"/>
          <w:color w:val="222222"/>
          <w:sz w:val="24"/>
          <w:szCs w:val="24"/>
        </w:rPr>
        <w:t>excess mortality data.</w:t>
      </w:r>
      <w:r w:rsidR="00955B2E" w:rsidRPr="00173569">
        <w:rPr>
          <w:rStyle w:val="FootnoteReference"/>
          <w:rFonts w:ascii="Times New Roman" w:eastAsia="Times New Roman" w:hAnsi="Times New Roman" w:cs="Times New Roman"/>
          <w:color w:val="222222"/>
          <w:sz w:val="24"/>
          <w:szCs w:val="24"/>
        </w:rPr>
        <w:footnoteReference w:id="12"/>
      </w:r>
      <w:r w:rsidRPr="00173569">
        <w:rPr>
          <w:rFonts w:ascii="Times New Roman" w:eastAsia="Times New Roman" w:hAnsi="Times New Roman" w:cs="Times New Roman"/>
          <w:color w:val="222222"/>
          <w:sz w:val="24"/>
          <w:szCs w:val="24"/>
        </w:rPr>
        <w:t xml:space="preserve"> However, it should be noted that </w:t>
      </w:r>
      <w:r w:rsidR="00B3514F" w:rsidRPr="00173569">
        <w:rPr>
          <w:rFonts w:ascii="Times New Roman" w:eastAsia="Times New Roman" w:hAnsi="Times New Roman" w:cs="Times New Roman"/>
          <w:color w:val="222222"/>
          <w:sz w:val="24"/>
          <w:szCs w:val="24"/>
        </w:rPr>
        <w:t>excess mortality data is</w:t>
      </w:r>
      <w:r w:rsidR="002E1BCF">
        <w:rPr>
          <w:rFonts w:ascii="Times New Roman" w:eastAsia="Times New Roman" w:hAnsi="Times New Roman" w:cs="Times New Roman"/>
          <w:color w:val="222222"/>
          <w:sz w:val="24"/>
          <w:szCs w:val="24"/>
        </w:rPr>
        <w:t xml:space="preserve"> </w:t>
      </w:r>
      <w:r w:rsidR="00B3514F" w:rsidRPr="00173569">
        <w:rPr>
          <w:rFonts w:ascii="Times New Roman" w:eastAsia="Times New Roman" w:hAnsi="Times New Roman" w:cs="Times New Roman"/>
          <w:color w:val="222222"/>
          <w:sz w:val="24"/>
          <w:szCs w:val="24"/>
        </w:rPr>
        <w:t xml:space="preserve">subject to </w:t>
      </w:r>
      <w:r w:rsidRPr="00173569">
        <w:rPr>
          <w:rFonts w:ascii="Times New Roman" w:eastAsia="Times New Roman" w:hAnsi="Times New Roman" w:cs="Times New Roman"/>
          <w:color w:val="222222"/>
          <w:sz w:val="24"/>
          <w:szCs w:val="24"/>
        </w:rPr>
        <w:t>limitation</w:t>
      </w:r>
      <w:r w:rsidR="00CD5A48" w:rsidRPr="00173569">
        <w:rPr>
          <w:rFonts w:ascii="Times New Roman" w:eastAsia="Times New Roman" w:hAnsi="Times New Roman" w:cs="Times New Roman"/>
          <w:color w:val="222222"/>
          <w:sz w:val="24"/>
          <w:szCs w:val="24"/>
        </w:rPr>
        <w:t>s</w:t>
      </w:r>
      <w:r w:rsidRPr="00173569">
        <w:rPr>
          <w:rFonts w:ascii="Times New Roman" w:eastAsia="Times New Roman" w:hAnsi="Times New Roman" w:cs="Times New Roman"/>
          <w:color w:val="222222"/>
          <w:sz w:val="24"/>
          <w:szCs w:val="24"/>
        </w:rPr>
        <w:t xml:space="preserve"> </w:t>
      </w:r>
      <w:r w:rsidR="00B3514F" w:rsidRPr="00173569">
        <w:rPr>
          <w:rFonts w:ascii="Times New Roman" w:eastAsia="Times New Roman" w:hAnsi="Times New Roman" w:cs="Times New Roman"/>
          <w:color w:val="222222"/>
          <w:sz w:val="24"/>
          <w:szCs w:val="24"/>
        </w:rPr>
        <w:t xml:space="preserve">that </w:t>
      </w:r>
      <w:r w:rsidRPr="00173569">
        <w:rPr>
          <w:rFonts w:ascii="Times New Roman" w:eastAsia="Times New Roman" w:hAnsi="Times New Roman" w:cs="Times New Roman"/>
          <w:color w:val="222222"/>
          <w:sz w:val="24"/>
          <w:szCs w:val="24"/>
        </w:rPr>
        <w:t>may affect its quality as well</w:t>
      </w:r>
      <w:r w:rsidR="00CD5A48" w:rsidRPr="00173569">
        <w:rPr>
          <w:rFonts w:ascii="Times New Roman" w:eastAsia="Times New Roman" w:hAnsi="Times New Roman" w:cs="Times New Roman"/>
          <w:color w:val="222222"/>
          <w:sz w:val="24"/>
          <w:szCs w:val="24"/>
        </w:rPr>
        <w:t>.</w:t>
      </w:r>
      <w:r w:rsidRPr="00173569">
        <w:rPr>
          <w:rFonts w:ascii="Times New Roman" w:eastAsia="Times New Roman" w:hAnsi="Times New Roman" w:cs="Times New Roman"/>
          <w:color w:val="222222"/>
          <w:sz w:val="24"/>
          <w:szCs w:val="24"/>
        </w:rPr>
        <w:t xml:space="preserve"> </w:t>
      </w:r>
      <w:r w:rsidR="00CC6CBE" w:rsidRPr="00C82A25">
        <w:rPr>
          <w:rFonts w:ascii="Times New Roman" w:hAnsi="Times New Roman" w:cs="Times New Roman"/>
          <w:sz w:val="24"/>
          <w:szCs w:val="24"/>
        </w:rPr>
        <w:t>Not all excess m</w:t>
      </w:r>
      <w:r w:rsidR="00CC6CBE" w:rsidRPr="005D4D85">
        <w:rPr>
          <w:rFonts w:ascii="Times New Roman" w:hAnsi="Times New Roman" w:cs="Times New Roman"/>
          <w:sz w:val="24"/>
          <w:szCs w:val="24"/>
        </w:rPr>
        <w:t>ortality is due to covid-19</w:t>
      </w:r>
      <w:r w:rsidR="00CC6CBE">
        <w:rPr>
          <w:rFonts w:ascii="Times New Roman" w:hAnsi="Times New Roman" w:cs="Times New Roman"/>
          <w:sz w:val="24"/>
          <w:szCs w:val="24"/>
        </w:rPr>
        <w:t xml:space="preserve">. </w:t>
      </w:r>
      <w:r w:rsidR="00CC6CBE" w:rsidRPr="00CD2BFD">
        <w:rPr>
          <w:rFonts w:ascii="Times New Roman" w:hAnsi="Times New Roman" w:cs="Times New Roman"/>
          <w:b/>
          <w:sz w:val="24"/>
          <w:szCs w:val="24"/>
        </w:rPr>
        <w:t>There might be a reduction in other deaths, due to the pandemic, which might lead to an underestimate of excess mortality. More generally mortality not directly attributable to the Covid-19 virus might have increased or decreased as a result of the pandemic. Tanaka and Okamoto (2021)</w:t>
      </w:r>
      <w:r w:rsidR="005D4D85" w:rsidRPr="00CD2BFD">
        <w:rPr>
          <w:rFonts w:ascii="Times New Roman" w:hAnsi="Times New Roman" w:cs="Times New Roman"/>
          <w:b/>
          <w:sz w:val="24"/>
          <w:szCs w:val="24"/>
        </w:rPr>
        <w:t xml:space="preserve"> </w:t>
      </w:r>
      <w:r w:rsidR="00CC6CBE" w:rsidRPr="00CD2BFD">
        <w:rPr>
          <w:rFonts w:ascii="Times New Roman" w:hAnsi="Times New Roman" w:cs="Times New Roman"/>
          <w:b/>
          <w:sz w:val="24"/>
          <w:szCs w:val="24"/>
        </w:rPr>
        <w:t xml:space="preserve">find that during the first five months of the pandemic the suicide rate in Japan decreased and subsequently increased. </w:t>
      </w:r>
      <w:r w:rsidR="00972C78" w:rsidRPr="00CD2BFD">
        <w:rPr>
          <w:rFonts w:ascii="Times New Roman" w:hAnsi="Times New Roman" w:cs="Times New Roman"/>
          <w:b/>
          <w:sz w:val="24"/>
          <w:szCs w:val="24"/>
        </w:rPr>
        <w:t xml:space="preserve">For Greece, </w:t>
      </w:r>
      <w:proofErr w:type="spellStart"/>
      <w:r w:rsidR="00CC6CBE" w:rsidRPr="00CD2BFD">
        <w:rPr>
          <w:rFonts w:ascii="Times New Roman" w:hAnsi="Times New Roman" w:cs="Times New Roman"/>
          <w:b/>
          <w:sz w:val="24"/>
          <w:szCs w:val="24"/>
        </w:rPr>
        <w:t>Vandoros</w:t>
      </w:r>
      <w:proofErr w:type="spellEnd"/>
      <w:r w:rsidR="00CC6CBE" w:rsidRPr="00CD2BFD">
        <w:rPr>
          <w:rFonts w:ascii="Times New Roman" w:hAnsi="Times New Roman" w:cs="Times New Roman"/>
          <w:b/>
          <w:sz w:val="24"/>
          <w:szCs w:val="24"/>
        </w:rPr>
        <w:t xml:space="preserve"> (2022) find</w:t>
      </w:r>
      <w:r w:rsidR="00972C78" w:rsidRPr="00CD2BFD">
        <w:rPr>
          <w:rFonts w:ascii="Times New Roman" w:hAnsi="Times New Roman" w:cs="Times New Roman"/>
          <w:b/>
          <w:sz w:val="24"/>
          <w:szCs w:val="24"/>
        </w:rPr>
        <w:t>s</w:t>
      </w:r>
      <w:r w:rsidR="00CC6CBE" w:rsidRPr="00CD2BFD">
        <w:rPr>
          <w:rFonts w:ascii="Times New Roman" w:hAnsi="Times New Roman" w:cs="Times New Roman"/>
          <w:b/>
          <w:sz w:val="24"/>
          <w:szCs w:val="24"/>
        </w:rPr>
        <w:t xml:space="preserve"> that, due to </w:t>
      </w:r>
      <w:r w:rsidR="00972C78" w:rsidRPr="00CD2BFD">
        <w:rPr>
          <w:rFonts w:ascii="Times New Roman" w:hAnsi="Times New Roman" w:cs="Times New Roman"/>
          <w:b/>
          <w:sz w:val="24"/>
          <w:szCs w:val="24"/>
        </w:rPr>
        <w:t xml:space="preserve">reduced mobility during Covid-19 lockdowns deaths due to car accidents decreased. </w:t>
      </w:r>
      <w:r w:rsidR="005D4D85" w:rsidRPr="002C6241">
        <w:rPr>
          <w:rFonts w:ascii="Times New Roman" w:hAnsi="Times New Roman" w:cs="Times New Roman"/>
          <w:b/>
          <w:color w:val="000000" w:themeColor="text1"/>
          <w:sz w:val="24"/>
          <w:szCs w:val="24"/>
          <w:shd w:val="clear" w:color="auto" w:fill="FFFFFF"/>
        </w:rPr>
        <w:t xml:space="preserve">Estimates by Chen et. al (2020) for China suggest that early interventions to contain </w:t>
      </w:r>
      <w:r w:rsidR="005D4D85" w:rsidRPr="002C6241">
        <w:rPr>
          <w:rFonts w:ascii="Times New Roman" w:hAnsi="Times New Roman" w:cs="Times New Roman"/>
          <w:b/>
          <w:color w:val="000000" w:themeColor="text1"/>
          <w:sz w:val="24"/>
          <w:szCs w:val="24"/>
          <w:shd w:val="clear" w:color="auto" w:fill="FFFFFF"/>
        </w:rPr>
        <w:lastRenderedPageBreak/>
        <w:t>the Covid-19 outbreak led to improvements in air quality that brought health benefits in non-Covid-19 deaths, which could potentially have outnumbered the confirmed deaths attributable to Covid-19 in China (4</w:t>
      </w:r>
      <w:r w:rsidR="00D1682E" w:rsidRPr="002C6241">
        <w:rPr>
          <w:rFonts w:ascii="Times New Roman" w:hAnsi="Times New Roman" w:cs="Times New Roman"/>
          <w:b/>
          <w:color w:val="000000" w:themeColor="text1"/>
          <w:sz w:val="24"/>
          <w:szCs w:val="24"/>
          <w:shd w:val="clear" w:color="auto" w:fill="FFFFFF"/>
        </w:rPr>
        <w:t>,</w:t>
      </w:r>
      <w:r w:rsidR="005D4D85" w:rsidRPr="002C6241">
        <w:rPr>
          <w:rFonts w:ascii="Times New Roman" w:hAnsi="Times New Roman" w:cs="Times New Roman"/>
          <w:b/>
          <w:color w:val="000000" w:themeColor="text1"/>
          <w:sz w:val="24"/>
          <w:szCs w:val="24"/>
          <w:shd w:val="clear" w:color="auto" w:fill="FFFFFF"/>
        </w:rPr>
        <w:t>633 official deaths as of May 4, 2020)</w:t>
      </w:r>
      <w:r w:rsidR="00304ACE" w:rsidRPr="002C6241">
        <w:rPr>
          <w:rFonts w:ascii="Times New Roman" w:hAnsi="Times New Roman" w:cs="Times New Roman"/>
          <w:b/>
          <w:color w:val="000000" w:themeColor="text1"/>
          <w:sz w:val="24"/>
          <w:szCs w:val="24"/>
          <w:shd w:val="clear" w:color="auto" w:fill="FFFFFF"/>
        </w:rPr>
        <w:t>.</w:t>
      </w:r>
      <w:r w:rsidR="00304ACE" w:rsidRPr="002C6241">
        <w:rPr>
          <w:rFonts w:ascii="Times New Roman" w:hAnsi="Times New Roman" w:cs="Times New Roman"/>
          <w:color w:val="000000" w:themeColor="text1"/>
          <w:sz w:val="24"/>
          <w:szCs w:val="24"/>
        </w:rPr>
        <w:t xml:space="preserve">  </w:t>
      </w:r>
      <w:proofErr w:type="spellStart"/>
      <w:r w:rsidR="00972C78" w:rsidRPr="002C6241">
        <w:rPr>
          <w:rFonts w:ascii="Times New Roman" w:hAnsi="Times New Roman" w:cs="Times New Roman"/>
          <w:b/>
          <w:color w:val="000000" w:themeColor="text1"/>
          <w:sz w:val="24"/>
          <w:szCs w:val="24"/>
        </w:rPr>
        <w:t>Maringe</w:t>
      </w:r>
      <w:proofErr w:type="spellEnd"/>
      <w:r w:rsidR="00972C78" w:rsidRPr="002C6241">
        <w:rPr>
          <w:rFonts w:ascii="Times New Roman" w:hAnsi="Times New Roman" w:cs="Times New Roman"/>
          <w:b/>
          <w:color w:val="000000" w:themeColor="text1"/>
          <w:sz w:val="24"/>
          <w:szCs w:val="24"/>
        </w:rPr>
        <w:t xml:space="preserve"> et. al </w:t>
      </w:r>
      <w:r w:rsidR="003971F2" w:rsidRPr="002C6241">
        <w:rPr>
          <w:rFonts w:ascii="Times New Roman" w:hAnsi="Times New Roman" w:cs="Times New Roman"/>
          <w:b/>
          <w:color w:val="000000" w:themeColor="text1"/>
          <w:sz w:val="24"/>
          <w:szCs w:val="24"/>
        </w:rPr>
        <w:t>(</w:t>
      </w:r>
      <w:r w:rsidR="00972C78" w:rsidRPr="002C6241">
        <w:rPr>
          <w:rFonts w:ascii="Times New Roman" w:hAnsi="Times New Roman" w:cs="Times New Roman"/>
          <w:b/>
          <w:color w:val="000000" w:themeColor="text1"/>
          <w:sz w:val="24"/>
          <w:szCs w:val="24"/>
        </w:rPr>
        <w:t>2020</w:t>
      </w:r>
      <w:r w:rsidR="003971F2" w:rsidRPr="002C6241">
        <w:rPr>
          <w:rFonts w:ascii="Times New Roman" w:hAnsi="Times New Roman" w:cs="Times New Roman"/>
          <w:b/>
          <w:color w:val="000000" w:themeColor="text1"/>
          <w:sz w:val="24"/>
          <w:szCs w:val="24"/>
        </w:rPr>
        <w:t xml:space="preserve">) provide evidence suggesting that substantial increases in the number of avoidable cancer deaths in England are to be expected as a result of diagnostic delays due to the </w:t>
      </w:r>
      <w:r w:rsidR="00D1682E" w:rsidRPr="002C6241">
        <w:rPr>
          <w:rFonts w:ascii="Times New Roman" w:hAnsi="Times New Roman" w:cs="Times New Roman"/>
          <w:b/>
          <w:color w:val="000000" w:themeColor="text1"/>
          <w:sz w:val="24"/>
          <w:szCs w:val="24"/>
        </w:rPr>
        <w:t>Covid</w:t>
      </w:r>
      <w:r w:rsidR="003971F2" w:rsidRPr="002C6241">
        <w:rPr>
          <w:rFonts w:ascii="Times New Roman" w:hAnsi="Times New Roman" w:cs="Times New Roman"/>
          <w:b/>
          <w:color w:val="000000" w:themeColor="text1"/>
          <w:sz w:val="24"/>
          <w:szCs w:val="24"/>
        </w:rPr>
        <w:t>-19 pandemic in the UK.</w:t>
      </w:r>
      <w:r w:rsidR="005D4D85" w:rsidRPr="002C6241">
        <w:rPr>
          <w:rFonts w:ascii="Times New Roman" w:hAnsi="Times New Roman" w:cs="Times New Roman"/>
          <w:b/>
          <w:color w:val="000000" w:themeColor="text1"/>
          <w:sz w:val="24"/>
          <w:szCs w:val="24"/>
        </w:rPr>
        <w:t xml:space="preserve"> </w:t>
      </w:r>
    </w:p>
    <w:p w14:paraId="265768CD" w14:textId="0D8F2B55" w:rsidR="0003065B" w:rsidRPr="00173569" w:rsidRDefault="005D4D85" w:rsidP="002E5803">
      <w:pPr>
        <w:spacing w:line="36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On the other </w:t>
      </w:r>
      <w:proofErr w:type="gramStart"/>
      <w:r>
        <w:rPr>
          <w:rFonts w:ascii="Times New Roman" w:eastAsia="Times New Roman" w:hAnsi="Times New Roman" w:cs="Times New Roman"/>
          <w:color w:val="222222"/>
          <w:sz w:val="24"/>
          <w:szCs w:val="24"/>
        </w:rPr>
        <w:t>hand</w:t>
      </w:r>
      <w:proofErr w:type="gramEnd"/>
      <w:r w:rsidR="0053255A">
        <w:rPr>
          <w:rFonts w:ascii="Times New Roman" w:eastAsia="Times New Roman" w:hAnsi="Times New Roman" w:cs="Times New Roman"/>
          <w:color w:val="222222"/>
          <w:sz w:val="24"/>
          <w:szCs w:val="24"/>
        </w:rPr>
        <w:t xml:space="preserve"> s</w:t>
      </w:r>
      <w:r w:rsidR="00A10C6C" w:rsidRPr="00173569">
        <w:rPr>
          <w:rFonts w:ascii="Times New Roman" w:eastAsia="Times New Roman" w:hAnsi="Times New Roman" w:cs="Times New Roman"/>
          <w:color w:val="222222"/>
          <w:sz w:val="24"/>
          <w:szCs w:val="24"/>
        </w:rPr>
        <w:t xml:space="preserve">ome </w:t>
      </w:r>
      <w:r w:rsidR="00EF4EA5" w:rsidRPr="00173569">
        <w:rPr>
          <w:rFonts w:ascii="Times New Roman" w:eastAsia="Times New Roman" w:hAnsi="Times New Roman" w:cs="Times New Roman"/>
          <w:color w:val="222222"/>
          <w:sz w:val="24"/>
          <w:szCs w:val="24"/>
        </w:rPr>
        <w:t xml:space="preserve">limitations of the official mortality statistics have been </w:t>
      </w:r>
      <w:r w:rsidR="00A10C6C" w:rsidRPr="00173569">
        <w:rPr>
          <w:rFonts w:ascii="Times New Roman" w:eastAsia="Times New Roman" w:hAnsi="Times New Roman" w:cs="Times New Roman"/>
          <w:color w:val="222222"/>
          <w:sz w:val="24"/>
          <w:szCs w:val="24"/>
        </w:rPr>
        <w:t>mitigated</w:t>
      </w:r>
      <w:r w:rsidR="00EF4EA5" w:rsidRPr="00173569">
        <w:rPr>
          <w:rFonts w:ascii="Times New Roman" w:eastAsia="Times New Roman" w:hAnsi="Times New Roman" w:cs="Times New Roman"/>
          <w:color w:val="222222"/>
          <w:sz w:val="24"/>
          <w:szCs w:val="24"/>
        </w:rPr>
        <w:t>, and therefore, the results in this paper may not solely be attributed to the quality of official mortality statistics</w:t>
      </w:r>
      <w:r w:rsidR="00AC6E51" w:rsidRPr="00173569">
        <w:rPr>
          <w:rFonts w:ascii="Times New Roman" w:eastAsia="Times New Roman" w:hAnsi="Times New Roman" w:cs="Times New Roman"/>
          <w:color w:val="222222"/>
          <w:sz w:val="24"/>
          <w:szCs w:val="24"/>
        </w:rPr>
        <w:t xml:space="preserve"> (</w:t>
      </w:r>
      <w:r w:rsidR="00B565DE" w:rsidRPr="00173569">
        <w:rPr>
          <w:rFonts w:ascii="Times New Roman" w:eastAsia="Times New Roman" w:hAnsi="Times New Roman" w:cs="Times New Roman"/>
          <w:color w:val="222222"/>
          <w:sz w:val="24"/>
          <w:szCs w:val="24"/>
        </w:rPr>
        <w:t xml:space="preserve">see </w:t>
      </w:r>
      <w:r w:rsidR="00B565DE" w:rsidRPr="00173569">
        <w:rPr>
          <w:rFonts w:ascii="Times New Roman" w:hAnsi="Times New Roman" w:cs="Times New Roman"/>
          <w:color w:val="222222"/>
          <w:sz w:val="24"/>
          <w:szCs w:val="24"/>
          <w:shd w:val="clear" w:color="auto" w:fill="FFFFFF"/>
        </w:rPr>
        <w:t>Whittaker et al. 2021</w:t>
      </w:r>
      <w:r w:rsidR="00CC1750" w:rsidRPr="00173569">
        <w:rPr>
          <w:rFonts w:ascii="Times New Roman" w:hAnsi="Times New Roman" w:cs="Times New Roman"/>
          <w:color w:val="222222"/>
          <w:sz w:val="24"/>
          <w:szCs w:val="24"/>
          <w:shd w:val="clear" w:color="auto" w:fill="FFFFFF"/>
        </w:rPr>
        <w:t>;</w:t>
      </w:r>
      <w:r w:rsidR="00D0182D" w:rsidRPr="00173569">
        <w:rPr>
          <w:rFonts w:ascii="Times New Roman" w:hAnsi="Times New Roman" w:cs="Times New Roman"/>
          <w:color w:val="222222"/>
          <w:sz w:val="24"/>
          <w:szCs w:val="24"/>
          <w:shd w:val="clear" w:color="auto" w:fill="FFFFFF"/>
        </w:rPr>
        <w:t xml:space="preserve"> </w:t>
      </w:r>
      <w:proofErr w:type="spellStart"/>
      <w:r w:rsidR="00D0182D" w:rsidRPr="00173569">
        <w:rPr>
          <w:rFonts w:ascii="Times New Roman" w:hAnsi="Times New Roman" w:cs="Times New Roman"/>
          <w:color w:val="222222"/>
          <w:sz w:val="24"/>
          <w:szCs w:val="24"/>
          <w:shd w:val="clear" w:color="auto" w:fill="FFFFFF"/>
        </w:rPr>
        <w:t>Helleringer</w:t>
      </w:r>
      <w:proofErr w:type="spellEnd"/>
      <w:r w:rsidR="00D0182D" w:rsidRPr="00173569">
        <w:rPr>
          <w:rFonts w:ascii="Times New Roman" w:hAnsi="Times New Roman" w:cs="Times New Roman"/>
          <w:color w:val="222222"/>
          <w:sz w:val="24"/>
          <w:szCs w:val="24"/>
          <w:shd w:val="clear" w:color="auto" w:fill="FFFFFF"/>
        </w:rPr>
        <w:t xml:space="preserve"> and Queiroz 2021</w:t>
      </w:r>
      <w:r w:rsidR="00E36FD9" w:rsidRPr="00173569">
        <w:rPr>
          <w:rFonts w:ascii="Times New Roman" w:hAnsi="Times New Roman" w:cs="Times New Roman"/>
          <w:color w:val="222222"/>
          <w:sz w:val="24"/>
          <w:szCs w:val="24"/>
          <w:shd w:val="clear" w:color="auto" w:fill="FFFFFF"/>
        </w:rPr>
        <w:t>)</w:t>
      </w:r>
      <w:r w:rsidR="00D0182D" w:rsidRPr="00173569">
        <w:rPr>
          <w:rFonts w:ascii="Times New Roman" w:hAnsi="Times New Roman" w:cs="Times New Roman"/>
          <w:color w:val="222222"/>
          <w:sz w:val="24"/>
          <w:szCs w:val="24"/>
          <w:shd w:val="clear" w:color="auto" w:fill="FFFFFF"/>
        </w:rPr>
        <w:t>.</w:t>
      </w:r>
      <w:r w:rsidR="00F43D5C" w:rsidRPr="00173569">
        <w:rPr>
          <w:rStyle w:val="FootnoteReference"/>
          <w:rFonts w:ascii="Times New Roman" w:hAnsi="Times New Roman" w:cs="Times New Roman"/>
          <w:color w:val="222222"/>
          <w:sz w:val="24"/>
          <w:szCs w:val="24"/>
          <w:shd w:val="clear" w:color="auto" w:fill="FFFFFF"/>
        </w:rPr>
        <w:footnoteReference w:id="13"/>
      </w:r>
      <w:r w:rsidR="00B565DE" w:rsidRPr="00173569">
        <w:rPr>
          <w:rFonts w:ascii="Times New Roman" w:hAnsi="Times New Roman" w:cs="Times New Roman"/>
          <w:color w:val="222222"/>
          <w:sz w:val="24"/>
          <w:szCs w:val="24"/>
          <w:shd w:val="clear" w:color="auto" w:fill="FFFFFF"/>
        </w:rPr>
        <w:t xml:space="preserve"> </w:t>
      </w:r>
      <w:r w:rsidR="004E3602" w:rsidRPr="00173569">
        <w:rPr>
          <w:rFonts w:ascii="Times New Roman" w:eastAsia="Times New Roman" w:hAnsi="Times New Roman" w:cs="Times New Roman"/>
          <w:color w:val="222222"/>
          <w:sz w:val="24"/>
          <w:szCs w:val="24"/>
        </w:rPr>
        <w:t xml:space="preserve">Notably, the growing importance of GDP/Capita and vaccination rates </w:t>
      </w:r>
      <w:r w:rsidR="002777B0" w:rsidRPr="00173569">
        <w:rPr>
          <w:rFonts w:ascii="Times New Roman" w:eastAsia="Times New Roman" w:hAnsi="Times New Roman" w:cs="Times New Roman"/>
          <w:color w:val="222222"/>
          <w:sz w:val="24"/>
          <w:szCs w:val="24"/>
        </w:rPr>
        <w:t xml:space="preserve">in explaining the </w:t>
      </w:r>
      <w:r w:rsidR="00C611DB" w:rsidRPr="00173569">
        <w:rPr>
          <w:rFonts w:ascii="Times New Roman" w:eastAsia="Times New Roman" w:hAnsi="Times New Roman" w:cs="Times New Roman"/>
          <w:color w:val="222222"/>
          <w:sz w:val="24"/>
          <w:szCs w:val="24"/>
        </w:rPr>
        <w:t>cross-country</w:t>
      </w:r>
      <w:r w:rsidR="002777B0" w:rsidRPr="00173569">
        <w:rPr>
          <w:rFonts w:ascii="Times New Roman" w:eastAsia="Times New Roman" w:hAnsi="Times New Roman" w:cs="Times New Roman"/>
          <w:color w:val="222222"/>
          <w:sz w:val="24"/>
          <w:szCs w:val="24"/>
        </w:rPr>
        <w:t xml:space="preserve"> variation of the </w:t>
      </w:r>
      <w:r w:rsidR="002777B0" w:rsidRPr="00173569">
        <w:rPr>
          <w:rFonts w:ascii="Times New Roman" w:hAnsi="Times New Roman" w:cs="Times New Roman"/>
          <w:sz w:val="24"/>
          <w:szCs w:val="24"/>
        </w:rPr>
        <w:t>cumulative excess/official Covid-19 death ratios</w:t>
      </w:r>
      <w:r w:rsidR="002777B0" w:rsidRPr="00173569">
        <w:rPr>
          <w:rFonts w:ascii="Times New Roman" w:eastAsia="Times New Roman" w:hAnsi="Times New Roman" w:cs="Times New Roman"/>
          <w:color w:val="222222"/>
          <w:sz w:val="24"/>
          <w:szCs w:val="24"/>
        </w:rPr>
        <w:t xml:space="preserve"> at the end of 2021</w:t>
      </w:r>
      <w:r w:rsidR="00D1682E">
        <w:rPr>
          <w:rFonts w:ascii="Times New Roman" w:eastAsia="Times New Roman" w:hAnsi="Times New Roman" w:cs="Times New Roman"/>
          <w:color w:val="222222"/>
          <w:sz w:val="24"/>
          <w:szCs w:val="24"/>
        </w:rPr>
        <w:t xml:space="preserve">. Novel literature has covered the gains from vaccination in terms of reducing all-cause and </w:t>
      </w:r>
      <w:proofErr w:type="spellStart"/>
      <w:r w:rsidR="00D1682E">
        <w:rPr>
          <w:rFonts w:ascii="Times New Roman" w:eastAsia="Times New Roman" w:hAnsi="Times New Roman" w:cs="Times New Roman"/>
          <w:color w:val="222222"/>
          <w:sz w:val="24"/>
          <w:szCs w:val="24"/>
        </w:rPr>
        <w:t>Covid</w:t>
      </w:r>
      <w:proofErr w:type="spellEnd"/>
      <w:r w:rsidR="00D1682E">
        <w:rPr>
          <w:rFonts w:ascii="Times New Roman" w:eastAsia="Times New Roman" w:hAnsi="Times New Roman" w:cs="Times New Roman"/>
          <w:color w:val="222222"/>
          <w:sz w:val="24"/>
          <w:szCs w:val="24"/>
        </w:rPr>
        <w:t xml:space="preserve">-specific mortality quite thoroughly, and the findings mirror our paper’s results (see </w:t>
      </w:r>
      <w:r w:rsidR="00323087">
        <w:rPr>
          <w:rFonts w:ascii="Times New Roman" w:eastAsia="Times New Roman" w:hAnsi="Times New Roman" w:cs="Times New Roman"/>
          <w:color w:val="222222"/>
          <w:sz w:val="24"/>
          <w:szCs w:val="24"/>
        </w:rPr>
        <w:t xml:space="preserve">Watson et al. 2022 and </w:t>
      </w:r>
      <w:r w:rsidR="002C6241">
        <w:rPr>
          <w:rFonts w:ascii="Times New Roman" w:eastAsia="Times New Roman" w:hAnsi="Times New Roman" w:cs="Times New Roman"/>
          <w:color w:val="222222"/>
          <w:sz w:val="24"/>
          <w:szCs w:val="24"/>
        </w:rPr>
        <w:t>Zhong</w:t>
      </w:r>
      <w:r w:rsidR="00323087">
        <w:rPr>
          <w:rFonts w:ascii="Times New Roman" w:eastAsia="Times New Roman" w:hAnsi="Times New Roman" w:cs="Times New Roman"/>
          <w:color w:val="222222"/>
          <w:sz w:val="24"/>
          <w:szCs w:val="24"/>
        </w:rPr>
        <w:t xml:space="preserve"> et al. 2022)</w:t>
      </w:r>
      <w:r w:rsidR="00D1682E">
        <w:rPr>
          <w:rFonts w:ascii="Times New Roman" w:eastAsia="Times New Roman" w:hAnsi="Times New Roman" w:cs="Times New Roman"/>
          <w:color w:val="222222"/>
          <w:sz w:val="24"/>
          <w:szCs w:val="24"/>
        </w:rPr>
        <w:t>.</w:t>
      </w:r>
      <w:r w:rsidR="002777B0" w:rsidRPr="00173569">
        <w:rPr>
          <w:rFonts w:ascii="Times New Roman" w:eastAsia="Times New Roman" w:hAnsi="Times New Roman" w:cs="Times New Roman"/>
          <w:color w:val="222222"/>
          <w:sz w:val="24"/>
          <w:szCs w:val="24"/>
        </w:rPr>
        <w:t xml:space="preserve"> </w:t>
      </w:r>
      <w:r w:rsidR="00D1682E">
        <w:rPr>
          <w:rFonts w:ascii="Times New Roman" w:eastAsia="Times New Roman" w:hAnsi="Times New Roman" w:cs="Times New Roman"/>
          <w:color w:val="222222"/>
          <w:sz w:val="24"/>
          <w:szCs w:val="24"/>
        </w:rPr>
        <w:t>These findings both align with and motivate</w:t>
      </w:r>
      <w:r w:rsidR="004E3602" w:rsidRPr="00173569">
        <w:rPr>
          <w:rFonts w:ascii="Times New Roman" w:eastAsia="Times New Roman" w:hAnsi="Times New Roman" w:cs="Times New Roman"/>
          <w:color w:val="222222"/>
          <w:sz w:val="24"/>
          <w:szCs w:val="24"/>
        </w:rPr>
        <w:t xml:space="preserve"> concerns</w:t>
      </w:r>
      <w:r w:rsidR="002E1BCF">
        <w:rPr>
          <w:rFonts w:ascii="Times New Roman" w:eastAsia="Times New Roman" w:hAnsi="Times New Roman" w:cs="Times New Roman"/>
          <w:color w:val="222222"/>
          <w:sz w:val="24"/>
          <w:szCs w:val="24"/>
        </w:rPr>
        <w:t xml:space="preserve"> of the World Health Organization</w:t>
      </w:r>
      <w:r w:rsidR="004E3602" w:rsidRPr="00173569">
        <w:rPr>
          <w:rFonts w:ascii="Times New Roman" w:eastAsia="Times New Roman" w:hAnsi="Times New Roman" w:cs="Times New Roman"/>
          <w:color w:val="222222"/>
          <w:sz w:val="24"/>
          <w:szCs w:val="24"/>
        </w:rPr>
        <w:t xml:space="preserve"> about </w:t>
      </w:r>
      <w:r w:rsidR="002777B0" w:rsidRPr="00173569">
        <w:rPr>
          <w:rFonts w:ascii="Times New Roman" w:eastAsia="Times New Roman" w:hAnsi="Times New Roman" w:cs="Times New Roman"/>
          <w:color w:val="222222"/>
          <w:sz w:val="24"/>
          <w:szCs w:val="24"/>
        </w:rPr>
        <w:t xml:space="preserve">the global shortages of vaccinations, resulting </w:t>
      </w:r>
      <w:r w:rsidR="00B85725" w:rsidRPr="00173569">
        <w:rPr>
          <w:rFonts w:ascii="Times New Roman" w:eastAsia="Times New Roman" w:hAnsi="Times New Roman" w:cs="Times New Roman"/>
          <w:color w:val="222222"/>
          <w:sz w:val="24"/>
          <w:szCs w:val="24"/>
        </w:rPr>
        <w:t xml:space="preserve">in </w:t>
      </w:r>
      <w:r w:rsidR="002777B0" w:rsidRPr="00173569">
        <w:rPr>
          <w:rFonts w:ascii="Times New Roman" w:eastAsia="Times New Roman" w:hAnsi="Times New Roman" w:cs="Times New Roman"/>
          <w:color w:val="222222"/>
          <w:sz w:val="24"/>
          <w:szCs w:val="24"/>
        </w:rPr>
        <w:t>unequal worldwide vaccination rates.</w:t>
      </w:r>
      <w:r w:rsidR="00D1682E">
        <w:rPr>
          <w:rFonts w:ascii="Times New Roman" w:eastAsia="Times New Roman" w:hAnsi="Times New Roman" w:cs="Times New Roman"/>
          <w:color w:val="222222"/>
          <w:sz w:val="24"/>
          <w:szCs w:val="24"/>
        </w:rPr>
        <w:t xml:space="preserve"> </w:t>
      </w:r>
    </w:p>
    <w:p w14:paraId="04939942" w14:textId="2AE65509" w:rsidR="00CC1750" w:rsidRPr="00173569" w:rsidRDefault="0098707D" w:rsidP="00245CBF">
      <w:pPr>
        <w:spacing w:line="360" w:lineRule="auto"/>
        <w:rPr>
          <w:rFonts w:ascii="Times New Roman" w:eastAsia="Times New Roman" w:hAnsi="Times New Roman" w:cs="Times New Roman"/>
          <w:color w:val="222222"/>
          <w:sz w:val="24"/>
          <w:szCs w:val="24"/>
        </w:rPr>
      </w:pPr>
      <w:r w:rsidRPr="00173569">
        <w:rPr>
          <w:rFonts w:ascii="Times New Roman" w:eastAsia="Times New Roman" w:hAnsi="Times New Roman" w:cs="Times New Roman"/>
          <w:color w:val="222222"/>
          <w:sz w:val="24"/>
          <w:szCs w:val="24"/>
        </w:rPr>
        <w:tab/>
      </w:r>
      <w:r w:rsidR="004236BE" w:rsidRPr="00173569">
        <w:rPr>
          <w:rFonts w:ascii="Times New Roman" w:eastAsia="Times New Roman" w:hAnsi="Times New Roman" w:cs="Times New Roman"/>
          <w:color w:val="222222"/>
          <w:sz w:val="24"/>
          <w:szCs w:val="24"/>
        </w:rPr>
        <w:t xml:space="preserve">This study has </w:t>
      </w:r>
      <w:r w:rsidR="002E1BCF">
        <w:rPr>
          <w:rFonts w:ascii="Times New Roman" w:eastAsia="Times New Roman" w:hAnsi="Times New Roman" w:cs="Times New Roman"/>
          <w:color w:val="222222"/>
          <w:sz w:val="24"/>
          <w:szCs w:val="24"/>
        </w:rPr>
        <w:t xml:space="preserve">some </w:t>
      </w:r>
      <w:r w:rsidR="004236BE" w:rsidRPr="00173569">
        <w:rPr>
          <w:rFonts w:ascii="Times New Roman" w:eastAsia="Times New Roman" w:hAnsi="Times New Roman" w:cs="Times New Roman"/>
          <w:color w:val="222222"/>
          <w:sz w:val="24"/>
          <w:szCs w:val="24"/>
        </w:rPr>
        <w:t xml:space="preserve">limitations. </w:t>
      </w:r>
      <w:r w:rsidR="0043716E" w:rsidRPr="00173569">
        <w:rPr>
          <w:rFonts w:ascii="Times New Roman" w:eastAsia="Times New Roman" w:hAnsi="Times New Roman" w:cs="Times New Roman"/>
          <w:color w:val="222222"/>
          <w:sz w:val="24"/>
          <w:szCs w:val="24"/>
        </w:rPr>
        <w:t>Firstly, t</w:t>
      </w:r>
      <w:r w:rsidR="004236BE" w:rsidRPr="00173569">
        <w:rPr>
          <w:rFonts w:ascii="Times New Roman" w:eastAsia="Times New Roman" w:hAnsi="Times New Roman" w:cs="Times New Roman"/>
          <w:color w:val="222222"/>
          <w:sz w:val="24"/>
          <w:szCs w:val="24"/>
        </w:rPr>
        <w:t xml:space="preserve">o maximize the sample size, we rely on the </w:t>
      </w:r>
      <w:r w:rsidR="0043716E" w:rsidRPr="00173569">
        <w:rPr>
          <w:rFonts w:ascii="Times New Roman" w:eastAsia="Times New Roman" w:hAnsi="Times New Roman" w:cs="Times New Roman"/>
          <w:color w:val="222222"/>
          <w:sz w:val="24"/>
          <w:szCs w:val="24"/>
        </w:rPr>
        <w:t xml:space="preserve">mid-point </w:t>
      </w:r>
      <w:r w:rsidR="004236BE" w:rsidRPr="00173569">
        <w:rPr>
          <w:rFonts w:ascii="Times New Roman" w:eastAsia="Times New Roman" w:hAnsi="Times New Roman" w:cs="Times New Roman"/>
          <w:color w:val="222222"/>
          <w:sz w:val="24"/>
          <w:szCs w:val="24"/>
        </w:rPr>
        <w:t>estimate</w:t>
      </w:r>
      <w:r w:rsidR="0043716E" w:rsidRPr="00173569">
        <w:rPr>
          <w:rFonts w:ascii="Times New Roman" w:eastAsia="Times New Roman" w:hAnsi="Times New Roman" w:cs="Times New Roman"/>
          <w:color w:val="222222"/>
          <w:sz w:val="24"/>
          <w:szCs w:val="24"/>
        </w:rPr>
        <w:t>s of</w:t>
      </w:r>
      <w:r w:rsidR="004236BE" w:rsidRPr="00173569">
        <w:rPr>
          <w:rFonts w:ascii="Times New Roman" w:eastAsia="Times New Roman" w:hAnsi="Times New Roman" w:cs="Times New Roman"/>
          <w:color w:val="222222"/>
          <w:sz w:val="24"/>
          <w:szCs w:val="24"/>
        </w:rPr>
        <w:t xml:space="preserve"> excess deaths, wh</w:t>
      </w:r>
      <w:r w:rsidR="0043716E" w:rsidRPr="00173569">
        <w:rPr>
          <w:rFonts w:ascii="Times New Roman" w:eastAsia="Times New Roman" w:hAnsi="Times New Roman" w:cs="Times New Roman"/>
          <w:color w:val="222222"/>
          <w:sz w:val="24"/>
          <w:szCs w:val="24"/>
        </w:rPr>
        <w:t>ose upper and lower bounds</w:t>
      </w:r>
      <w:r w:rsidR="004236BE" w:rsidRPr="00173569">
        <w:rPr>
          <w:rFonts w:ascii="Times New Roman" w:eastAsia="Times New Roman" w:hAnsi="Times New Roman" w:cs="Times New Roman"/>
          <w:color w:val="222222"/>
          <w:sz w:val="24"/>
          <w:szCs w:val="24"/>
        </w:rPr>
        <w:t xml:space="preserve"> vary with the underlying data and models </w:t>
      </w:r>
      <w:r w:rsidR="0013767B" w:rsidRPr="00173569">
        <w:rPr>
          <w:rFonts w:ascii="Times New Roman" w:eastAsia="Times New Roman" w:hAnsi="Times New Roman" w:cs="Times New Roman"/>
          <w:color w:val="222222"/>
          <w:sz w:val="24"/>
          <w:szCs w:val="24"/>
        </w:rPr>
        <w:t>(</w:t>
      </w:r>
      <w:r w:rsidR="004236BE" w:rsidRPr="00173569">
        <w:rPr>
          <w:rFonts w:ascii="Times New Roman" w:eastAsia="Times New Roman" w:hAnsi="Times New Roman" w:cs="Times New Roman"/>
          <w:color w:val="222222"/>
          <w:sz w:val="24"/>
          <w:szCs w:val="24"/>
        </w:rPr>
        <w:t xml:space="preserve">see </w:t>
      </w:r>
      <w:r w:rsidR="0013767B" w:rsidRPr="00173569">
        <w:rPr>
          <w:rFonts w:ascii="Times New Roman" w:eastAsia="Times New Roman" w:hAnsi="Times New Roman" w:cs="Times New Roman"/>
          <w:color w:val="222222"/>
          <w:sz w:val="24"/>
          <w:szCs w:val="24"/>
        </w:rPr>
        <w:t>Adam</w:t>
      </w:r>
      <w:r w:rsidR="004236BE" w:rsidRPr="00173569">
        <w:rPr>
          <w:rFonts w:ascii="Times New Roman" w:eastAsia="Times New Roman" w:hAnsi="Times New Roman" w:cs="Times New Roman"/>
          <w:color w:val="222222"/>
          <w:sz w:val="24"/>
          <w:szCs w:val="24"/>
        </w:rPr>
        <w:t xml:space="preserve"> (2022) for comparisons</w:t>
      </w:r>
      <w:r w:rsidR="0013767B" w:rsidRPr="00173569">
        <w:rPr>
          <w:rFonts w:ascii="Times New Roman" w:eastAsia="Times New Roman" w:hAnsi="Times New Roman" w:cs="Times New Roman"/>
          <w:color w:val="222222"/>
          <w:sz w:val="24"/>
          <w:szCs w:val="24"/>
        </w:rPr>
        <w:t>)</w:t>
      </w:r>
      <w:r w:rsidR="004236BE" w:rsidRPr="00173569">
        <w:rPr>
          <w:rFonts w:ascii="Times New Roman" w:eastAsia="Times New Roman" w:hAnsi="Times New Roman" w:cs="Times New Roman"/>
          <w:color w:val="222222"/>
          <w:sz w:val="24"/>
          <w:szCs w:val="24"/>
        </w:rPr>
        <w:t xml:space="preserve">. </w:t>
      </w:r>
      <w:r w:rsidR="0043716E" w:rsidRPr="00173569">
        <w:rPr>
          <w:rFonts w:ascii="Times New Roman" w:eastAsia="Times New Roman" w:hAnsi="Times New Roman" w:cs="Times New Roman"/>
          <w:color w:val="222222"/>
          <w:sz w:val="24"/>
          <w:szCs w:val="24"/>
        </w:rPr>
        <w:t>Secondly, o</w:t>
      </w:r>
      <w:r w:rsidR="004236BE" w:rsidRPr="00173569">
        <w:rPr>
          <w:rFonts w:ascii="Times New Roman" w:eastAsia="Times New Roman" w:hAnsi="Times New Roman" w:cs="Times New Roman"/>
          <w:color w:val="222222"/>
          <w:sz w:val="24"/>
          <w:szCs w:val="24"/>
        </w:rPr>
        <w:t>ur estimation focuses on contrasting C</w:t>
      </w:r>
      <w:r w:rsidR="0099682C" w:rsidRPr="00173569">
        <w:rPr>
          <w:rFonts w:ascii="Times New Roman" w:eastAsia="Times New Roman" w:hAnsi="Times New Roman" w:cs="Times New Roman"/>
          <w:color w:val="222222"/>
          <w:sz w:val="24"/>
          <w:szCs w:val="24"/>
        </w:rPr>
        <w:t>ovid</w:t>
      </w:r>
      <w:r w:rsidR="004236BE" w:rsidRPr="00173569">
        <w:rPr>
          <w:rFonts w:ascii="Times New Roman" w:eastAsia="Times New Roman" w:hAnsi="Times New Roman" w:cs="Times New Roman"/>
          <w:color w:val="222222"/>
          <w:sz w:val="24"/>
          <w:szCs w:val="24"/>
        </w:rPr>
        <w:t>-19 excess and official deaths and the</w:t>
      </w:r>
      <w:r w:rsidR="00955B2E" w:rsidRPr="00173569">
        <w:rPr>
          <w:rFonts w:ascii="Times New Roman" w:eastAsia="Times New Roman" w:hAnsi="Times New Roman" w:cs="Times New Roman"/>
          <w:color w:val="222222"/>
          <w:sz w:val="24"/>
          <w:szCs w:val="24"/>
        </w:rPr>
        <w:t>ir</w:t>
      </w:r>
      <w:r w:rsidR="004236BE" w:rsidRPr="00173569">
        <w:rPr>
          <w:rFonts w:ascii="Times New Roman" w:eastAsia="Times New Roman" w:hAnsi="Times New Roman" w:cs="Times New Roman"/>
          <w:color w:val="222222"/>
          <w:sz w:val="24"/>
          <w:szCs w:val="24"/>
        </w:rPr>
        <w:t xml:space="preserve"> linear associations with </w:t>
      </w:r>
      <w:r w:rsidR="00B85725" w:rsidRPr="00173569">
        <w:rPr>
          <w:rFonts w:ascii="Times New Roman" w:eastAsia="Times New Roman" w:hAnsi="Times New Roman" w:cs="Times New Roman"/>
          <w:color w:val="222222"/>
          <w:sz w:val="24"/>
          <w:szCs w:val="24"/>
        </w:rPr>
        <w:t>several</w:t>
      </w:r>
      <w:r w:rsidR="004236BE" w:rsidRPr="00173569">
        <w:rPr>
          <w:rFonts w:ascii="Times New Roman" w:eastAsia="Times New Roman" w:hAnsi="Times New Roman" w:cs="Times New Roman"/>
          <w:color w:val="222222"/>
          <w:sz w:val="24"/>
          <w:szCs w:val="24"/>
        </w:rPr>
        <w:t xml:space="preserve"> controls in a non-experimental setting.</w:t>
      </w:r>
      <w:r w:rsidR="0043716E" w:rsidRPr="00173569">
        <w:rPr>
          <w:rFonts w:ascii="Times New Roman" w:eastAsia="Times New Roman" w:hAnsi="Times New Roman" w:cs="Times New Roman"/>
          <w:color w:val="222222"/>
          <w:sz w:val="24"/>
          <w:szCs w:val="24"/>
        </w:rPr>
        <w:t xml:space="preserve"> Thirdly, </w:t>
      </w:r>
      <w:r w:rsidR="00CA6488">
        <w:rPr>
          <w:rFonts w:ascii="Times New Roman" w:eastAsia="Times New Roman" w:hAnsi="Times New Roman" w:cs="Times New Roman"/>
          <w:color w:val="222222"/>
          <w:sz w:val="24"/>
          <w:szCs w:val="24"/>
        </w:rPr>
        <w:t xml:space="preserve">cross country variations in </w:t>
      </w:r>
      <w:r w:rsidR="0043716E" w:rsidRPr="00173569">
        <w:rPr>
          <w:rFonts w:ascii="Times New Roman" w:eastAsia="Times New Roman" w:hAnsi="Times New Roman" w:cs="Times New Roman"/>
          <w:color w:val="222222"/>
          <w:sz w:val="24"/>
          <w:szCs w:val="24"/>
        </w:rPr>
        <w:t xml:space="preserve">the </w:t>
      </w:r>
      <w:r w:rsidR="00CA6488">
        <w:rPr>
          <w:rFonts w:ascii="Times New Roman" w:eastAsia="Times New Roman" w:hAnsi="Times New Roman" w:cs="Times New Roman"/>
          <w:color w:val="222222"/>
          <w:sz w:val="24"/>
          <w:szCs w:val="24"/>
        </w:rPr>
        <w:t>effectiveness</w:t>
      </w:r>
      <w:r w:rsidR="0043716E" w:rsidRPr="00173569">
        <w:rPr>
          <w:rFonts w:ascii="Times New Roman" w:eastAsia="Times New Roman" w:hAnsi="Times New Roman" w:cs="Times New Roman"/>
          <w:color w:val="222222"/>
          <w:sz w:val="24"/>
          <w:szCs w:val="24"/>
        </w:rPr>
        <w:t xml:space="preserve"> of vaccin</w:t>
      </w:r>
      <w:r w:rsidR="00CA6488">
        <w:rPr>
          <w:rFonts w:ascii="Times New Roman" w:eastAsia="Times New Roman" w:hAnsi="Times New Roman" w:cs="Times New Roman"/>
          <w:color w:val="222222"/>
          <w:sz w:val="24"/>
          <w:szCs w:val="24"/>
        </w:rPr>
        <w:t>es</w:t>
      </w:r>
      <w:r w:rsidR="0043716E" w:rsidRPr="00173569">
        <w:rPr>
          <w:rFonts w:ascii="Times New Roman" w:eastAsia="Times New Roman" w:hAnsi="Times New Roman" w:cs="Times New Roman"/>
          <w:color w:val="222222"/>
          <w:sz w:val="24"/>
          <w:szCs w:val="24"/>
        </w:rPr>
        <w:t xml:space="preserve"> and </w:t>
      </w:r>
      <w:r w:rsidR="00CA6488">
        <w:rPr>
          <w:rFonts w:ascii="Times New Roman" w:eastAsia="Times New Roman" w:hAnsi="Times New Roman" w:cs="Times New Roman"/>
          <w:color w:val="222222"/>
          <w:sz w:val="24"/>
          <w:szCs w:val="24"/>
        </w:rPr>
        <w:t xml:space="preserve">in </w:t>
      </w:r>
      <w:r w:rsidR="0043716E" w:rsidRPr="00173569">
        <w:rPr>
          <w:rFonts w:ascii="Times New Roman" w:eastAsia="Times New Roman" w:hAnsi="Times New Roman" w:cs="Times New Roman"/>
          <w:color w:val="222222"/>
          <w:sz w:val="24"/>
          <w:szCs w:val="24"/>
        </w:rPr>
        <w:t xml:space="preserve">the variants of concern, both of which have evolved </w:t>
      </w:r>
      <w:r w:rsidR="008013C9" w:rsidRPr="00173569">
        <w:rPr>
          <w:rFonts w:ascii="Times New Roman" w:eastAsia="Times New Roman" w:hAnsi="Times New Roman" w:cs="Times New Roman"/>
          <w:color w:val="222222"/>
          <w:sz w:val="24"/>
          <w:szCs w:val="24"/>
        </w:rPr>
        <w:t>with</w:t>
      </w:r>
      <w:r w:rsidR="0043716E" w:rsidRPr="00173569">
        <w:rPr>
          <w:rFonts w:ascii="Times New Roman" w:eastAsia="Times New Roman" w:hAnsi="Times New Roman" w:cs="Times New Roman"/>
          <w:color w:val="222222"/>
          <w:sz w:val="24"/>
          <w:szCs w:val="24"/>
        </w:rPr>
        <w:t xml:space="preserve"> the pandemic</w:t>
      </w:r>
      <w:r w:rsidR="008013C9" w:rsidRPr="00173569">
        <w:rPr>
          <w:rFonts w:ascii="Times New Roman" w:eastAsia="Times New Roman" w:hAnsi="Times New Roman" w:cs="Times New Roman"/>
          <w:color w:val="222222"/>
          <w:sz w:val="24"/>
          <w:szCs w:val="24"/>
        </w:rPr>
        <w:t xml:space="preserve">’s path, are nuances in the relationships of </w:t>
      </w:r>
      <w:r w:rsidR="00CA6488">
        <w:rPr>
          <w:rFonts w:ascii="Times New Roman" w:eastAsia="Times New Roman" w:hAnsi="Times New Roman" w:cs="Times New Roman"/>
          <w:color w:val="222222"/>
          <w:sz w:val="24"/>
          <w:szCs w:val="24"/>
        </w:rPr>
        <w:t xml:space="preserve">the </w:t>
      </w:r>
      <w:r w:rsidR="008013C9" w:rsidRPr="00173569">
        <w:rPr>
          <w:rFonts w:ascii="Times New Roman" w:eastAsia="Times New Roman" w:hAnsi="Times New Roman" w:cs="Times New Roman"/>
          <w:color w:val="222222"/>
          <w:sz w:val="24"/>
          <w:szCs w:val="24"/>
        </w:rPr>
        <w:t>variables studied</w:t>
      </w:r>
      <w:r w:rsidR="00CA6488">
        <w:rPr>
          <w:rFonts w:ascii="Times New Roman" w:eastAsia="Times New Roman" w:hAnsi="Times New Roman" w:cs="Times New Roman"/>
          <w:color w:val="222222"/>
          <w:sz w:val="24"/>
          <w:szCs w:val="24"/>
        </w:rPr>
        <w:t xml:space="preserve"> that we abstracted from</w:t>
      </w:r>
      <w:r w:rsidR="00955B2E" w:rsidRPr="00173569">
        <w:rPr>
          <w:rFonts w:ascii="Times New Roman" w:eastAsia="Times New Roman" w:hAnsi="Times New Roman" w:cs="Times New Roman"/>
          <w:color w:val="222222"/>
          <w:sz w:val="24"/>
          <w:szCs w:val="24"/>
        </w:rPr>
        <w:t>. Due to current data limitations</w:t>
      </w:r>
      <w:r w:rsidR="00B85725" w:rsidRPr="00173569">
        <w:rPr>
          <w:rFonts w:ascii="Times New Roman" w:eastAsia="Times New Roman" w:hAnsi="Times New Roman" w:cs="Times New Roman"/>
          <w:color w:val="222222"/>
          <w:sz w:val="24"/>
          <w:szCs w:val="24"/>
        </w:rPr>
        <w:t>,</w:t>
      </w:r>
      <w:r w:rsidR="00955B2E" w:rsidRPr="00173569">
        <w:rPr>
          <w:rFonts w:ascii="Times New Roman" w:eastAsia="Times New Roman" w:hAnsi="Times New Roman" w:cs="Times New Roman"/>
          <w:color w:val="222222"/>
          <w:sz w:val="24"/>
          <w:szCs w:val="24"/>
        </w:rPr>
        <w:t xml:space="preserve"> </w:t>
      </w:r>
      <w:r w:rsidR="008013C9" w:rsidRPr="00173569">
        <w:rPr>
          <w:rFonts w:ascii="Times New Roman" w:eastAsia="Times New Roman" w:hAnsi="Times New Roman" w:cs="Times New Roman"/>
          <w:color w:val="222222"/>
          <w:sz w:val="24"/>
          <w:szCs w:val="24"/>
        </w:rPr>
        <w:t xml:space="preserve">they are </w:t>
      </w:r>
      <w:r w:rsidR="00955B2E" w:rsidRPr="00173569">
        <w:rPr>
          <w:rFonts w:ascii="Times New Roman" w:eastAsia="Times New Roman" w:hAnsi="Times New Roman" w:cs="Times New Roman"/>
          <w:color w:val="222222"/>
          <w:sz w:val="24"/>
          <w:szCs w:val="24"/>
        </w:rPr>
        <w:t xml:space="preserve">currently </w:t>
      </w:r>
      <w:r w:rsidR="008013C9" w:rsidRPr="00173569">
        <w:rPr>
          <w:rFonts w:ascii="Times New Roman" w:eastAsia="Times New Roman" w:hAnsi="Times New Roman" w:cs="Times New Roman"/>
          <w:color w:val="222222"/>
          <w:sz w:val="24"/>
          <w:szCs w:val="24"/>
        </w:rPr>
        <w:t>beyond the scope of our analysis.</w:t>
      </w:r>
      <w:r w:rsidR="004C2E84" w:rsidRPr="00173569">
        <w:rPr>
          <w:rFonts w:ascii="Times New Roman" w:eastAsia="Times New Roman" w:hAnsi="Times New Roman" w:cs="Times New Roman"/>
          <w:color w:val="222222"/>
          <w:sz w:val="24"/>
          <w:szCs w:val="24"/>
        </w:rPr>
        <w:br w:type="page"/>
      </w:r>
    </w:p>
    <w:p w14:paraId="788C43BE" w14:textId="17E53C1F" w:rsidR="00C1313F" w:rsidRPr="00173569" w:rsidRDefault="00C1313F" w:rsidP="00245CBF">
      <w:pPr>
        <w:pStyle w:val="ListParagraph"/>
        <w:numPr>
          <w:ilvl w:val="0"/>
          <w:numId w:val="15"/>
        </w:numPr>
        <w:spacing w:line="360" w:lineRule="auto"/>
        <w:rPr>
          <w:rFonts w:ascii="Times New Roman" w:eastAsia="Times New Roman" w:hAnsi="Times New Roman" w:cs="Times New Roman"/>
          <w:b/>
          <w:bCs/>
          <w:color w:val="222222"/>
          <w:sz w:val="24"/>
          <w:szCs w:val="24"/>
        </w:rPr>
      </w:pPr>
      <w:r w:rsidRPr="00173569">
        <w:rPr>
          <w:rFonts w:ascii="Times New Roman" w:eastAsia="Times New Roman" w:hAnsi="Times New Roman" w:cs="Times New Roman"/>
          <w:b/>
          <w:bCs/>
          <w:color w:val="222222"/>
          <w:sz w:val="24"/>
          <w:szCs w:val="24"/>
        </w:rPr>
        <w:lastRenderedPageBreak/>
        <w:t>Appendix</w:t>
      </w:r>
    </w:p>
    <w:p w14:paraId="234DFEC0" w14:textId="7CBA9180" w:rsidR="00F62A79" w:rsidRDefault="00F62A79" w:rsidP="00245CBF">
      <w:pPr>
        <w:pStyle w:val="ListParagraph"/>
        <w:spacing w:line="360" w:lineRule="auto"/>
        <w:rPr>
          <w:rFonts w:ascii="Times New Roman" w:hAnsi="Times New Roman" w:cs="Times New Roman"/>
          <w:color w:val="000000" w:themeColor="text1"/>
          <w:sz w:val="24"/>
          <w:szCs w:val="24"/>
        </w:rPr>
      </w:pPr>
      <w:r w:rsidRPr="00173569">
        <w:rPr>
          <w:rFonts w:ascii="Times New Roman" w:hAnsi="Times New Roman" w:cs="Times New Roman"/>
          <w:b/>
          <w:sz w:val="24"/>
          <w:szCs w:val="24"/>
        </w:rPr>
        <w:t xml:space="preserve">Table </w:t>
      </w:r>
      <w:r w:rsidR="006454F0" w:rsidRPr="00173569">
        <w:rPr>
          <w:rFonts w:ascii="Times New Roman" w:hAnsi="Times New Roman" w:cs="Times New Roman"/>
          <w:b/>
          <w:sz w:val="24"/>
          <w:szCs w:val="24"/>
        </w:rPr>
        <w:t>1A</w:t>
      </w:r>
      <w:r w:rsidRPr="00173569">
        <w:rPr>
          <w:rFonts w:ascii="Times New Roman" w:hAnsi="Times New Roman" w:cs="Times New Roman"/>
          <w:b/>
          <w:sz w:val="24"/>
          <w:szCs w:val="24"/>
        </w:rPr>
        <w:t>:</w:t>
      </w:r>
      <w:r w:rsidRPr="00173569">
        <w:rPr>
          <w:rFonts w:ascii="Times New Roman" w:hAnsi="Times New Roman" w:cs="Times New Roman"/>
          <w:sz w:val="24"/>
          <w:szCs w:val="24"/>
        </w:rPr>
        <w:t xml:space="preserve"> Country List of Quartiles of Cumulative </w:t>
      </w:r>
      <w:r w:rsidRPr="00173569">
        <w:rPr>
          <w:rFonts w:ascii="Times New Roman" w:hAnsi="Times New Roman" w:cs="Times New Roman"/>
          <w:color w:val="000000" w:themeColor="text1"/>
          <w:sz w:val="24"/>
          <w:szCs w:val="24"/>
        </w:rPr>
        <w:t>Official Covid</w:t>
      </w:r>
      <w:r w:rsidR="002E5803" w:rsidRPr="00173569">
        <w:rPr>
          <w:rFonts w:ascii="Times New Roman" w:hAnsi="Times New Roman" w:cs="Times New Roman"/>
          <w:color w:val="000000" w:themeColor="text1"/>
          <w:sz w:val="24"/>
          <w:szCs w:val="24"/>
        </w:rPr>
        <w:t>-19</w:t>
      </w:r>
      <w:r w:rsidRPr="00173569">
        <w:rPr>
          <w:rFonts w:ascii="Times New Roman" w:hAnsi="Times New Roman" w:cs="Times New Roman"/>
          <w:color w:val="000000" w:themeColor="text1"/>
          <w:sz w:val="24"/>
          <w:szCs w:val="24"/>
        </w:rPr>
        <w:t xml:space="preserve"> Mortality, December 31, 2021 </w:t>
      </w:r>
    </w:p>
    <w:tbl>
      <w:tblPr>
        <w:tblW w:w="10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80"/>
        <w:gridCol w:w="2592"/>
        <w:gridCol w:w="2592"/>
        <w:gridCol w:w="2880"/>
      </w:tblGrid>
      <w:tr w:rsidR="00D73DF7" w:rsidRPr="00CA5F27" w14:paraId="6B7C33ED" w14:textId="77777777" w:rsidTr="00274218">
        <w:trPr>
          <w:tblHeader/>
        </w:trPr>
        <w:tc>
          <w:tcPr>
            <w:tcW w:w="2880" w:type="dxa"/>
            <w:vAlign w:val="center"/>
            <w:hideMark/>
          </w:tcPr>
          <w:p w14:paraId="78E4C671" w14:textId="77777777" w:rsidR="00CA5F27" w:rsidRPr="00C01697" w:rsidRDefault="00CA5F27">
            <w:pPr>
              <w:spacing w:after="0" w:line="240" w:lineRule="auto"/>
              <w:jc w:val="center"/>
              <w:rPr>
                <w:rFonts w:ascii="Times New Roman" w:eastAsia="Times New Roman" w:hAnsi="Times New Roman" w:cs="Times New Roman"/>
                <w:b/>
                <w:bCs/>
                <w:sz w:val="24"/>
                <w:szCs w:val="24"/>
              </w:rPr>
            </w:pPr>
            <w:r w:rsidRPr="00C01697">
              <w:rPr>
                <w:rFonts w:ascii="Times New Roman" w:eastAsia="Times New Roman" w:hAnsi="Times New Roman" w:cs="Times New Roman"/>
                <w:b/>
                <w:bCs/>
                <w:sz w:val="24"/>
                <w:szCs w:val="24"/>
              </w:rPr>
              <w:t>1</w:t>
            </w:r>
            <w:r w:rsidRPr="00C01697">
              <w:rPr>
                <w:rFonts w:ascii="Times New Roman" w:eastAsia="Times New Roman" w:hAnsi="Times New Roman" w:cs="Times New Roman"/>
                <w:b/>
                <w:bCs/>
                <w:sz w:val="24"/>
                <w:szCs w:val="24"/>
                <w:vertAlign w:val="superscript"/>
              </w:rPr>
              <w:t>st</w:t>
            </w:r>
            <w:r w:rsidRPr="00C01697">
              <w:rPr>
                <w:rFonts w:ascii="Times New Roman" w:eastAsia="Times New Roman" w:hAnsi="Times New Roman" w:cs="Times New Roman"/>
                <w:b/>
                <w:bCs/>
                <w:sz w:val="24"/>
                <w:szCs w:val="24"/>
              </w:rPr>
              <w:t xml:space="preserve"> Quartile (Lowest Cum. Mortality)</w:t>
            </w:r>
          </w:p>
          <w:p w14:paraId="24923FDE" w14:textId="4C32CE85" w:rsidR="00F16BA2" w:rsidRPr="00C01697" w:rsidRDefault="00997702">
            <w:pPr>
              <w:spacing w:after="0" w:line="240" w:lineRule="auto"/>
              <w:jc w:val="center"/>
              <w:rPr>
                <w:rFonts w:ascii="Times New Roman" w:eastAsia="Times New Roman" w:hAnsi="Times New Roman" w:cs="Times New Roman"/>
                <w:b/>
                <w:bCs/>
                <w:sz w:val="24"/>
                <w:szCs w:val="24"/>
                <w:lang w:eastAsia="zh-CN"/>
              </w:rPr>
            </w:pPr>
            <w:r w:rsidRPr="00C82A25">
              <w:rPr>
                <w:rFonts w:ascii="Times New Roman" w:eastAsia="Times New Roman" w:hAnsi="Times New Roman" w:cs="Times New Roman"/>
                <w:b/>
                <w:bCs/>
                <w:sz w:val="24"/>
                <w:szCs w:val="24"/>
                <w:highlight w:val="yellow"/>
                <w:lang w:eastAsia="zh-CN"/>
              </w:rPr>
              <w:t>Range = [3.</w:t>
            </w:r>
            <w:r w:rsidR="002F498C" w:rsidRPr="00C82A25">
              <w:rPr>
                <w:rFonts w:ascii="Times New Roman" w:eastAsia="Times New Roman" w:hAnsi="Times New Roman" w:cs="Times New Roman"/>
                <w:b/>
                <w:bCs/>
                <w:sz w:val="24"/>
                <w:szCs w:val="24"/>
                <w:highlight w:val="yellow"/>
                <w:lang w:eastAsia="zh-CN"/>
              </w:rPr>
              <w:t>1</w:t>
            </w:r>
            <w:r w:rsidRPr="00C82A25">
              <w:rPr>
                <w:rFonts w:ascii="Times New Roman" w:eastAsia="Times New Roman" w:hAnsi="Times New Roman" w:cs="Times New Roman"/>
                <w:b/>
                <w:bCs/>
                <w:sz w:val="24"/>
                <w:szCs w:val="24"/>
                <w:highlight w:val="yellow"/>
                <w:lang w:eastAsia="zh-CN"/>
              </w:rPr>
              <w:t xml:space="preserve">, </w:t>
            </w:r>
            <w:r w:rsidR="002F498C" w:rsidRPr="00C82A25">
              <w:rPr>
                <w:rFonts w:ascii="Times New Roman" w:eastAsia="Times New Roman" w:hAnsi="Times New Roman" w:cs="Times New Roman"/>
                <w:b/>
                <w:bCs/>
                <w:sz w:val="24"/>
                <w:szCs w:val="24"/>
                <w:highlight w:val="yellow"/>
                <w:lang w:eastAsia="zh-CN"/>
              </w:rPr>
              <w:t>100.3</w:t>
            </w:r>
            <w:r w:rsidRPr="00C82A25">
              <w:rPr>
                <w:rFonts w:ascii="Times New Roman" w:eastAsia="Times New Roman" w:hAnsi="Times New Roman" w:cs="Times New Roman"/>
                <w:b/>
                <w:bCs/>
                <w:sz w:val="24"/>
                <w:szCs w:val="24"/>
                <w:highlight w:val="yellow"/>
                <w:lang w:eastAsia="zh-CN"/>
              </w:rPr>
              <w:t>]</w:t>
            </w:r>
          </w:p>
        </w:tc>
        <w:tc>
          <w:tcPr>
            <w:tcW w:w="2592" w:type="dxa"/>
            <w:vAlign w:val="center"/>
            <w:hideMark/>
          </w:tcPr>
          <w:p w14:paraId="1DC462F0" w14:textId="34CEAE3C" w:rsidR="00CA5F27" w:rsidRPr="00C01697" w:rsidRDefault="00CA5F27">
            <w:pPr>
              <w:spacing w:after="0" w:line="240" w:lineRule="auto"/>
              <w:jc w:val="center"/>
              <w:rPr>
                <w:rFonts w:ascii="Times New Roman" w:eastAsia="Times New Roman" w:hAnsi="Times New Roman" w:cs="Times New Roman"/>
                <w:b/>
                <w:bCs/>
                <w:sz w:val="24"/>
                <w:szCs w:val="24"/>
              </w:rPr>
            </w:pPr>
            <w:r w:rsidRPr="00C01697">
              <w:rPr>
                <w:rFonts w:ascii="Times New Roman" w:eastAsia="Times New Roman" w:hAnsi="Times New Roman" w:cs="Times New Roman"/>
                <w:b/>
                <w:bCs/>
                <w:sz w:val="24"/>
                <w:szCs w:val="24"/>
              </w:rPr>
              <w:t>2</w:t>
            </w:r>
            <w:r w:rsidRPr="00C01697">
              <w:rPr>
                <w:rFonts w:ascii="Times New Roman" w:eastAsia="Times New Roman" w:hAnsi="Times New Roman" w:cs="Times New Roman"/>
                <w:b/>
                <w:bCs/>
                <w:sz w:val="24"/>
                <w:szCs w:val="24"/>
                <w:vertAlign w:val="superscript"/>
              </w:rPr>
              <w:t>nd</w:t>
            </w:r>
            <w:r w:rsidRPr="00C01697">
              <w:rPr>
                <w:rFonts w:ascii="Times New Roman" w:eastAsia="Times New Roman" w:hAnsi="Times New Roman" w:cs="Times New Roman"/>
                <w:b/>
                <w:bCs/>
                <w:sz w:val="24"/>
                <w:szCs w:val="24"/>
              </w:rPr>
              <w:t xml:space="preserve"> Quartile</w:t>
            </w:r>
          </w:p>
          <w:p w14:paraId="77FF0431" w14:textId="77777777" w:rsidR="00C01697" w:rsidRPr="00C01697" w:rsidRDefault="00C01697">
            <w:pPr>
              <w:spacing w:after="0" w:line="240" w:lineRule="auto"/>
              <w:jc w:val="center"/>
              <w:rPr>
                <w:rFonts w:ascii="Times New Roman" w:eastAsia="Times New Roman" w:hAnsi="Times New Roman" w:cs="Times New Roman"/>
                <w:b/>
                <w:bCs/>
                <w:sz w:val="24"/>
                <w:szCs w:val="24"/>
              </w:rPr>
            </w:pPr>
          </w:p>
          <w:p w14:paraId="19A8E145" w14:textId="6A31D4D9" w:rsidR="00997702" w:rsidRPr="00C01697" w:rsidRDefault="00997702">
            <w:pPr>
              <w:spacing w:after="0" w:line="240" w:lineRule="auto"/>
              <w:jc w:val="center"/>
              <w:rPr>
                <w:rFonts w:ascii="Times New Roman" w:eastAsia="Times New Roman" w:hAnsi="Times New Roman" w:cs="Times New Roman"/>
                <w:b/>
                <w:bCs/>
                <w:sz w:val="24"/>
                <w:szCs w:val="24"/>
                <w:lang w:eastAsia="zh-CN"/>
              </w:rPr>
            </w:pPr>
            <w:r w:rsidRPr="00C82A25">
              <w:rPr>
                <w:rFonts w:ascii="Times New Roman" w:eastAsia="Times New Roman" w:hAnsi="Times New Roman" w:cs="Times New Roman"/>
                <w:b/>
                <w:bCs/>
                <w:sz w:val="24"/>
                <w:szCs w:val="24"/>
                <w:highlight w:val="yellow"/>
                <w:lang w:eastAsia="zh-CN"/>
              </w:rPr>
              <w:t>Range = [</w:t>
            </w:r>
            <w:r w:rsidR="002F498C" w:rsidRPr="00C82A25">
              <w:rPr>
                <w:rFonts w:ascii="Times New Roman" w:eastAsia="Times New Roman" w:hAnsi="Times New Roman" w:cs="Times New Roman"/>
                <w:b/>
                <w:bCs/>
                <w:sz w:val="24"/>
                <w:szCs w:val="24"/>
                <w:highlight w:val="yellow"/>
                <w:lang w:eastAsia="zh-CN"/>
              </w:rPr>
              <w:t>101.5</w:t>
            </w:r>
            <w:r w:rsidRPr="00C82A25">
              <w:rPr>
                <w:rFonts w:ascii="Times New Roman" w:eastAsia="Times New Roman" w:hAnsi="Times New Roman" w:cs="Times New Roman"/>
                <w:b/>
                <w:bCs/>
                <w:sz w:val="24"/>
                <w:szCs w:val="24"/>
                <w:highlight w:val="yellow"/>
                <w:lang w:eastAsia="zh-CN"/>
              </w:rPr>
              <w:t xml:space="preserve">, </w:t>
            </w:r>
            <w:r w:rsidR="002F498C" w:rsidRPr="00C82A25">
              <w:rPr>
                <w:rFonts w:ascii="Times New Roman" w:eastAsia="Times New Roman" w:hAnsi="Times New Roman" w:cs="Times New Roman"/>
                <w:b/>
                <w:bCs/>
                <w:sz w:val="24"/>
                <w:szCs w:val="24"/>
                <w:highlight w:val="yellow"/>
                <w:lang w:eastAsia="zh-CN"/>
              </w:rPr>
              <w:t>553.</w:t>
            </w:r>
            <w:r w:rsidR="00C01697" w:rsidRPr="00C82A25">
              <w:rPr>
                <w:rFonts w:ascii="Times New Roman" w:eastAsia="Times New Roman" w:hAnsi="Times New Roman" w:cs="Times New Roman"/>
                <w:b/>
                <w:bCs/>
                <w:sz w:val="24"/>
                <w:szCs w:val="24"/>
                <w:highlight w:val="yellow"/>
                <w:lang w:eastAsia="zh-CN"/>
              </w:rPr>
              <w:t>4</w:t>
            </w:r>
            <w:r w:rsidRPr="00C82A25">
              <w:rPr>
                <w:rFonts w:ascii="Times New Roman" w:eastAsia="Times New Roman" w:hAnsi="Times New Roman" w:cs="Times New Roman"/>
                <w:b/>
                <w:bCs/>
                <w:sz w:val="24"/>
                <w:szCs w:val="24"/>
                <w:highlight w:val="yellow"/>
                <w:lang w:eastAsia="zh-CN"/>
              </w:rPr>
              <w:t>]</w:t>
            </w:r>
          </w:p>
        </w:tc>
        <w:tc>
          <w:tcPr>
            <w:tcW w:w="2592" w:type="dxa"/>
            <w:vAlign w:val="center"/>
            <w:hideMark/>
          </w:tcPr>
          <w:p w14:paraId="5BECFF52" w14:textId="0D50C82F" w:rsidR="00CA5F27" w:rsidRPr="00C01697" w:rsidRDefault="00CA5F27">
            <w:pPr>
              <w:spacing w:after="0" w:line="240" w:lineRule="auto"/>
              <w:jc w:val="center"/>
              <w:rPr>
                <w:rFonts w:ascii="Times New Roman" w:eastAsia="Times New Roman" w:hAnsi="Times New Roman" w:cs="Times New Roman"/>
                <w:b/>
                <w:bCs/>
                <w:sz w:val="24"/>
                <w:szCs w:val="24"/>
              </w:rPr>
            </w:pPr>
            <w:r w:rsidRPr="00C01697">
              <w:rPr>
                <w:rFonts w:ascii="Times New Roman" w:eastAsia="Times New Roman" w:hAnsi="Times New Roman" w:cs="Times New Roman"/>
                <w:b/>
                <w:bCs/>
                <w:sz w:val="24"/>
                <w:szCs w:val="24"/>
              </w:rPr>
              <w:t>3</w:t>
            </w:r>
            <w:r w:rsidRPr="00C01697">
              <w:rPr>
                <w:rFonts w:ascii="Times New Roman" w:eastAsia="Times New Roman" w:hAnsi="Times New Roman" w:cs="Times New Roman"/>
                <w:b/>
                <w:bCs/>
                <w:sz w:val="24"/>
                <w:szCs w:val="24"/>
                <w:vertAlign w:val="superscript"/>
              </w:rPr>
              <w:t>rd</w:t>
            </w:r>
            <w:r w:rsidRPr="00C01697">
              <w:rPr>
                <w:rFonts w:ascii="Times New Roman" w:eastAsia="Times New Roman" w:hAnsi="Times New Roman" w:cs="Times New Roman"/>
                <w:b/>
                <w:bCs/>
                <w:sz w:val="24"/>
                <w:szCs w:val="24"/>
              </w:rPr>
              <w:t xml:space="preserve"> Quartile</w:t>
            </w:r>
          </w:p>
          <w:p w14:paraId="6F1C7AA1" w14:textId="77777777" w:rsidR="00C01697" w:rsidRPr="00C01697" w:rsidRDefault="00C01697">
            <w:pPr>
              <w:spacing w:after="0" w:line="240" w:lineRule="auto"/>
              <w:jc w:val="center"/>
              <w:rPr>
                <w:rFonts w:ascii="Times New Roman" w:eastAsia="Times New Roman" w:hAnsi="Times New Roman" w:cs="Times New Roman"/>
                <w:b/>
                <w:bCs/>
                <w:sz w:val="24"/>
                <w:szCs w:val="24"/>
              </w:rPr>
            </w:pPr>
          </w:p>
          <w:p w14:paraId="7ED6E1B0" w14:textId="1E0BD6D8" w:rsidR="00997702" w:rsidRPr="00C01697" w:rsidRDefault="00997702">
            <w:pPr>
              <w:spacing w:after="0" w:line="240" w:lineRule="auto"/>
              <w:jc w:val="center"/>
              <w:rPr>
                <w:rFonts w:ascii="Times New Roman" w:eastAsia="Times New Roman" w:hAnsi="Times New Roman" w:cs="Times New Roman"/>
                <w:b/>
                <w:bCs/>
                <w:sz w:val="24"/>
                <w:szCs w:val="24"/>
                <w:lang w:eastAsia="zh-CN"/>
              </w:rPr>
            </w:pPr>
            <w:r w:rsidRPr="00C82A25">
              <w:rPr>
                <w:rFonts w:ascii="Times New Roman" w:eastAsia="Times New Roman" w:hAnsi="Times New Roman" w:cs="Times New Roman"/>
                <w:b/>
                <w:bCs/>
                <w:sz w:val="24"/>
                <w:szCs w:val="24"/>
                <w:highlight w:val="yellow"/>
                <w:lang w:eastAsia="zh-CN"/>
              </w:rPr>
              <w:t>Range = [</w:t>
            </w:r>
            <w:r w:rsidR="002F498C" w:rsidRPr="00C82A25">
              <w:rPr>
                <w:rFonts w:ascii="Times New Roman" w:eastAsia="Times New Roman" w:hAnsi="Times New Roman" w:cs="Times New Roman"/>
                <w:b/>
                <w:bCs/>
                <w:sz w:val="24"/>
                <w:szCs w:val="24"/>
                <w:highlight w:val="yellow"/>
                <w:lang w:eastAsia="zh-CN"/>
              </w:rPr>
              <w:t>570.</w:t>
            </w:r>
            <w:r w:rsidR="00C01697" w:rsidRPr="00C82A25">
              <w:rPr>
                <w:rFonts w:ascii="Times New Roman" w:eastAsia="Times New Roman" w:hAnsi="Times New Roman" w:cs="Times New Roman"/>
                <w:b/>
                <w:bCs/>
                <w:sz w:val="24"/>
                <w:szCs w:val="24"/>
                <w:highlight w:val="yellow"/>
                <w:lang w:eastAsia="zh-CN"/>
              </w:rPr>
              <w:t>2</w:t>
            </w:r>
            <w:r w:rsidRPr="00C82A25">
              <w:rPr>
                <w:rFonts w:ascii="Times New Roman" w:eastAsia="Times New Roman" w:hAnsi="Times New Roman" w:cs="Times New Roman"/>
                <w:b/>
                <w:bCs/>
                <w:sz w:val="24"/>
                <w:szCs w:val="24"/>
                <w:highlight w:val="yellow"/>
                <w:lang w:eastAsia="zh-CN"/>
              </w:rPr>
              <w:t xml:space="preserve">, </w:t>
            </w:r>
            <w:r w:rsidR="002F498C" w:rsidRPr="00C82A25">
              <w:rPr>
                <w:rFonts w:ascii="Times New Roman" w:eastAsia="Times New Roman" w:hAnsi="Times New Roman" w:cs="Times New Roman"/>
                <w:b/>
                <w:bCs/>
                <w:sz w:val="24"/>
                <w:szCs w:val="24"/>
                <w:highlight w:val="yellow"/>
                <w:lang w:eastAsia="zh-CN"/>
              </w:rPr>
              <w:t>1512.</w:t>
            </w:r>
            <w:r w:rsidR="00C01697" w:rsidRPr="00C82A25">
              <w:rPr>
                <w:rFonts w:ascii="Times New Roman" w:eastAsia="Times New Roman" w:hAnsi="Times New Roman" w:cs="Times New Roman"/>
                <w:b/>
                <w:bCs/>
                <w:sz w:val="24"/>
                <w:szCs w:val="24"/>
                <w:highlight w:val="yellow"/>
                <w:lang w:eastAsia="zh-CN"/>
              </w:rPr>
              <w:t>8</w:t>
            </w:r>
            <w:r w:rsidRPr="00C82A25">
              <w:rPr>
                <w:rFonts w:ascii="Times New Roman" w:eastAsia="Times New Roman" w:hAnsi="Times New Roman" w:cs="Times New Roman"/>
                <w:b/>
                <w:bCs/>
                <w:sz w:val="24"/>
                <w:szCs w:val="24"/>
                <w:highlight w:val="yellow"/>
                <w:lang w:eastAsia="zh-CN"/>
              </w:rPr>
              <w:t>]</w:t>
            </w:r>
          </w:p>
        </w:tc>
        <w:tc>
          <w:tcPr>
            <w:tcW w:w="2880" w:type="dxa"/>
            <w:vAlign w:val="center"/>
            <w:hideMark/>
          </w:tcPr>
          <w:p w14:paraId="54786415" w14:textId="77777777" w:rsidR="00CA5F27" w:rsidRPr="00C01697" w:rsidRDefault="00CA5F27">
            <w:pPr>
              <w:spacing w:after="0" w:line="240" w:lineRule="auto"/>
              <w:jc w:val="center"/>
              <w:rPr>
                <w:rFonts w:ascii="Times New Roman" w:eastAsia="Times New Roman" w:hAnsi="Times New Roman" w:cs="Times New Roman"/>
                <w:b/>
                <w:bCs/>
                <w:sz w:val="24"/>
                <w:szCs w:val="24"/>
              </w:rPr>
            </w:pPr>
            <w:r w:rsidRPr="00C01697">
              <w:rPr>
                <w:rFonts w:ascii="Times New Roman" w:eastAsia="Times New Roman" w:hAnsi="Times New Roman" w:cs="Times New Roman"/>
                <w:b/>
                <w:bCs/>
                <w:sz w:val="24"/>
                <w:szCs w:val="24"/>
              </w:rPr>
              <w:t>4</w:t>
            </w:r>
            <w:r w:rsidRPr="00C01697">
              <w:rPr>
                <w:rFonts w:ascii="Times New Roman" w:eastAsia="Times New Roman" w:hAnsi="Times New Roman" w:cs="Times New Roman"/>
                <w:b/>
                <w:bCs/>
                <w:sz w:val="24"/>
                <w:szCs w:val="24"/>
                <w:vertAlign w:val="superscript"/>
              </w:rPr>
              <w:t>th</w:t>
            </w:r>
            <w:r w:rsidRPr="00C01697">
              <w:rPr>
                <w:rFonts w:ascii="Times New Roman" w:eastAsia="Times New Roman" w:hAnsi="Times New Roman" w:cs="Times New Roman"/>
                <w:b/>
                <w:bCs/>
                <w:sz w:val="24"/>
                <w:szCs w:val="24"/>
              </w:rPr>
              <w:t xml:space="preserve"> Quartile (Highest Cum. Mortality)</w:t>
            </w:r>
          </w:p>
          <w:p w14:paraId="149D2409" w14:textId="31DEC65B" w:rsidR="00997702" w:rsidRPr="00C01697" w:rsidRDefault="00997702">
            <w:pPr>
              <w:spacing w:after="0" w:line="240" w:lineRule="auto"/>
              <w:jc w:val="center"/>
              <w:rPr>
                <w:rFonts w:ascii="Times New Roman" w:eastAsia="Times New Roman" w:hAnsi="Times New Roman" w:cs="Times New Roman"/>
                <w:b/>
                <w:bCs/>
                <w:sz w:val="24"/>
                <w:szCs w:val="24"/>
                <w:lang w:eastAsia="zh-CN"/>
              </w:rPr>
            </w:pPr>
            <w:r w:rsidRPr="00C82A25">
              <w:rPr>
                <w:rFonts w:ascii="Times New Roman" w:eastAsia="Times New Roman" w:hAnsi="Times New Roman" w:cs="Times New Roman"/>
                <w:b/>
                <w:bCs/>
                <w:sz w:val="24"/>
                <w:szCs w:val="24"/>
                <w:highlight w:val="yellow"/>
                <w:lang w:eastAsia="zh-CN"/>
              </w:rPr>
              <w:t>Range = [</w:t>
            </w:r>
            <w:r w:rsidR="002F498C" w:rsidRPr="00C82A25">
              <w:rPr>
                <w:rFonts w:ascii="Times New Roman" w:eastAsia="Times New Roman" w:hAnsi="Times New Roman" w:cs="Times New Roman"/>
                <w:b/>
                <w:bCs/>
                <w:sz w:val="24"/>
                <w:szCs w:val="24"/>
                <w:highlight w:val="yellow"/>
                <w:lang w:eastAsia="zh-CN"/>
              </w:rPr>
              <w:t>1545.</w:t>
            </w:r>
            <w:r w:rsidR="00C01697" w:rsidRPr="00C82A25">
              <w:rPr>
                <w:rFonts w:ascii="Times New Roman" w:eastAsia="Times New Roman" w:hAnsi="Times New Roman" w:cs="Times New Roman"/>
                <w:b/>
                <w:bCs/>
                <w:sz w:val="24"/>
                <w:szCs w:val="24"/>
                <w:highlight w:val="yellow"/>
                <w:lang w:eastAsia="zh-CN"/>
              </w:rPr>
              <w:t>8</w:t>
            </w:r>
            <w:r w:rsidRPr="00C82A25">
              <w:rPr>
                <w:rFonts w:ascii="Times New Roman" w:eastAsia="Times New Roman" w:hAnsi="Times New Roman" w:cs="Times New Roman"/>
                <w:b/>
                <w:bCs/>
                <w:sz w:val="24"/>
                <w:szCs w:val="24"/>
                <w:highlight w:val="yellow"/>
                <w:lang w:eastAsia="zh-CN"/>
              </w:rPr>
              <w:t xml:space="preserve">, </w:t>
            </w:r>
            <w:r w:rsidR="00C01697" w:rsidRPr="00C82A25">
              <w:rPr>
                <w:rFonts w:ascii="Times New Roman" w:eastAsia="Times New Roman" w:hAnsi="Times New Roman" w:cs="Times New Roman"/>
                <w:b/>
                <w:bCs/>
                <w:sz w:val="24"/>
                <w:szCs w:val="24"/>
                <w:highlight w:val="yellow"/>
                <w:lang w:eastAsia="zh-CN"/>
              </w:rPr>
              <w:t>6071.</w:t>
            </w:r>
            <w:r w:rsidR="00316888" w:rsidRPr="00C82A25">
              <w:rPr>
                <w:rFonts w:ascii="Times New Roman" w:eastAsia="Times New Roman" w:hAnsi="Times New Roman" w:cs="Times New Roman"/>
                <w:b/>
                <w:bCs/>
                <w:sz w:val="24"/>
                <w:szCs w:val="24"/>
                <w:highlight w:val="yellow"/>
                <w:lang w:eastAsia="zh-CN"/>
              </w:rPr>
              <w:t>7</w:t>
            </w:r>
            <w:r w:rsidRPr="00C82A25">
              <w:rPr>
                <w:rFonts w:ascii="Times New Roman" w:eastAsia="Times New Roman" w:hAnsi="Times New Roman" w:cs="Times New Roman"/>
                <w:b/>
                <w:bCs/>
                <w:sz w:val="24"/>
                <w:szCs w:val="24"/>
                <w:highlight w:val="yellow"/>
                <w:lang w:eastAsia="zh-CN"/>
              </w:rPr>
              <w:t>]</w:t>
            </w:r>
          </w:p>
        </w:tc>
      </w:tr>
      <w:tr w:rsidR="00D73DF7" w:rsidRPr="00CA5F27" w14:paraId="35001249" w14:textId="77777777" w:rsidTr="00274218">
        <w:tc>
          <w:tcPr>
            <w:tcW w:w="2880" w:type="dxa"/>
            <w:vAlign w:val="center"/>
            <w:hideMark/>
          </w:tcPr>
          <w:p w14:paraId="16E0EFF4"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Burundi</w:t>
            </w:r>
          </w:p>
        </w:tc>
        <w:tc>
          <w:tcPr>
            <w:tcW w:w="2592" w:type="dxa"/>
            <w:vAlign w:val="center"/>
            <w:hideMark/>
          </w:tcPr>
          <w:p w14:paraId="4E6229FF"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Rwanda</w:t>
            </w:r>
          </w:p>
        </w:tc>
        <w:tc>
          <w:tcPr>
            <w:tcW w:w="2592" w:type="dxa"/>
            <w:vAlign w:val="center"/>
            <w:hideMark/>
          </w:tcPr>
          <w:p w14:paraId="26F20AFB"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Kuwait</w:t>
            </w:r>
          </w:p>
        </w:tc>
        <w:tc>
          <w:tcPr>
            <w:tcW w:w="2880" w:type="dxa"/>
            <w:vAlign w:val="center"/>
            <w:hideMark/>
          </w:tcPr>
          <w:p w14:paraId="2E9C15E1"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Iran</w:t>
            </w:r>
          </w:p>
        </w:tc>
      </w:tr>
      <w:tr w:rsidR="00D73DF7" w:rsidRPr="00CA5F27" w14:paraId="241CD359" w14:textId="77777777" w:rsidTr="00274218">
        <w:tc>
          <w:tcPr>
            <w:tcW w:w="2880" w:type="dxa"/>
            <w:vAlign w:val="center"/>
            <w:hideMark/>
          </w:tcPr>
          <w:p w14:paraId="5ECA412D"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Vanuatu</w:t>
            </w:r>
          </w:p>
        </w:tc>
        <w:tc>
          <w:tcPr>
            <w:tcW w:w="2592" w:type="dxa"/>
            <w:vAlign w:val="center"/>
            <w:hideMark/>
          </w:tcPr>
          <w:p w14:paraId="10334034"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Korea</w:t>
            </w:r>
          </w:p>
        </w:tc>
        <w:tc>
          <w:tcPr>
            <w:tcW w:w="2592" w:type="dxa"/>
            <w:vAlign w:val="center"/>
            <w:hideMark/>
          </w:tcPr>
          <w:p w14:paraId="1932D11A"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Belarus</w:t>
            </w:r>
          </w:p>
        </w:tc>
        <w:tc>
          <w:tcPr>
            <w:tcW w:w="2880" w:type="dxa"/>
            <w:vAlign w:val="center"/>
            <w:hideMark/>
          </w:tcPr>
          <w:p w14:paraId="4D8C8D7D"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St. Lucia</w:t>
            </w:r>
          </w:p>
        </w:tc>
      </w:tr>
      <w:tr w:rsidR="00D73DF7" w:rsidRPr="00CA5F27" w14:paraId="1FDF781C" w14:textId="77777777" w:rsidTr="00274218">
        <w:tc>
          <w:tcPr>
            <w:tcW w:w="2880" w:type="dxa"/>
            <w:vAlign w:val="center"/>
            <w:hideMark/>
          </w:tcPr>
          <w:p w14:paraId="00E4B622"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China</w:t>
            </w:r>
          </w:p>
        </w:tc>
        <w:tc>
          <w:tcPr>
            <w:tcW w:w="2592" w:type="dxa"/>
            <w:vAlign w:val="center"/>
            <w:hideMark/>
          </w:tcPr>
          <w:p w14:paraId="612BDDB0"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Senegal</w:t>
            </w:r>
          </w:p>
        </w:tc>
        <w:tc>
          <w:tcPr>
            <w:tcW w:w="2592" w:type="dxa"/>
            <w:vAlign w:val="center"/>
            <w:hideMark/>
          </w:tcPr>
          <w:p w14:paraId="6AE490A3"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El Salvador</w:t>
            </w:r>
          </w:p>
        </w:tc>
        <w:tc>
          <w:tcPr>
            <w:tcW w:w="2880" w:type="dxa"/>
            <w:vAlign w:val="center"/>
            <w:hideMark/>
          </w:tcPr>
          <w:p w14:paraId="5D8DB181"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Bolivia</w:t>
            </w:r>
          </w:p>
        </w:tc>
      </w:tr>
      <w:tr w:rsidR="00D73DF7" w:rsidRPr="00CA5F27" w14:paraId="33451F23" w14:textId="77777777" w:rsidTr="00274218">
        <w:tc>
          <w:tcPr>
            <w:tcW w:w="2880" w:type="dxa"/>
            <w:vAlign w:val="center"/>
            <w:hideMark/>
          </w:tcPr>
          <w:p w14:paraId="5B0F8045"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Bhutan</w:t>
            </w:r>
          </w:p>
        </w:tc>
        <w:tc>
          <w:tcPr>
            <w:tcW w:w="2592" w:type="dxa"/>
            <w:vAlign w:val="center"/>
            <w:hideMark/>
          </w:tcPr>
          <w:p w14:paraId="7CB8B672"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Malawi</w:t>
            </w:r>
          </w:p>
        </w:tc>
        <w:tc>
          <w:tcPr>
            <w:tcW w:w="2592" w:type="dxa"/>
            <w:vAlign w:val="center"/>
            <w:hideMark/>
          </w:tcPr>
          <w:p w14:paraId="553C3C62"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Iraq</w:t>
            </w:r>
          </w:p>
        </w:tc>
        <w:tc>
          <w:tcPr>
            <w:tcW w:w="2880" w:type="dxa"/>
            <w:vAlign w:val="center"/>
            <w:hideMark/>
          </w:tcPr>
          <w:p w14:paraId="02E556F1"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Panama</w:t>
            </w:r>
          </w:p>
        </w:tc>
      </w:tr>
      <w:tr w:rsidR="00D73DF7" w:rsidRPr="00CA5F27" w14:paraId="39C2CB83" w14:textId="77777777" w:rsidTr="00274218">
        <w:tc>
          <w:tcPr>
            <w:tcW w:w="2880" w:type="dxa"/>
            <w:vAlign w:val="center"/>
            <w:hideMark/>
          </w:tcPr>
          <w:p w14:paraId="7DC85569"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New Zealand</w:t>
            </w:r>
          </w:p>
        </w:tc>
        <w:tc>
          <w:tcPr>
            <w:tcW w:w="2592" w:type="dxa"/>
            <w:vAlign w:val="center"/>
            <w:hideMark/>
          </w:tcPr>
          <w:p w14:paraId="098189DE"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Equatorial Guinea</w:t>
            </w:r>
          </w:p>
        </w:tc>
        <w:tc>
          <w:tcPr>
            <w:tcW w:w="2592" w:type="dxa"/>
            <w:vAlign w:val="center"/>
            <w:hideMark/>
          </w:tcPr>
          <w:p w14:paraId="4992D2B4"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Mauritius</w:t>
            </w:r>
          </w:p>
        </w:tc>
        <w:tc>
          <w:tcPr>
            <w:tcW w:w="2880" w:type="dxa"/>
            <w:vAlign w:val="center"/>
            <w:hideMark/>
          </w:tcPr>
          <w:p w14:paraId="20AA210E"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Uruguay</w:t>
            </w:r>
          </w:p>
        </w:tc>
      </w:tr>
      <w:tr w:rsidR="00D73DF7" w:rsidRPr="00CA5F27" w14:paraId="4EB0E719" w14:textId="77777777" w:rsidTr="00274218">
        <w:tc>
          <w:tcPr>
            <w:tcW w:w="2880" w:type="dxa"/>
            <w:vAlign w:val="center"/>
            <w:hideMark/>
          </w:tcPr>
          <w:p w14:paraId="010627A0"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Chad</w:t>
            </w:r>
          </w:p>
        </w:tc>
        <w:tc>
          <w:tcPr>
            <w:tcW w:w="2592" w:type="dxa"/>
            <w:vAlign w:val="center"/>
            <w:hideMark/>
          </w:tcPr>
          <w:p w14:paraId="642AE017"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Gabon</w:t>
            </w:r>
          </w:p>
        </w:tc>
        <w:tc>
          <w:tcPr>
            <w:tcW w:w="2592" w:type="dxa"/>
            <w:vAlign w:val="center"/>
            <w:hideMark/>
          </w:tcPr>
          <w:p w14:paraId="5BE3D0AF"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Mongolia</w:t>
            </w:r>
          </w:p>
        </w:tc>
        <w:tc>
          <w:tcPr>
            <w:tcW w:w="2880" w:type="dxa"/>
            <w:vAlign w:val="center"/>
            <w:hideMark/>
          </w:tcPr>
          <w:p w14:paraId="4DC9B851"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Grenada</w:t>
            </w:r>
          </w:p>
        </w:tc>
      </w:tr>
      <w:tr w:rsidR="00D73DF7" w:rsidRPr="00CA5F27" w14:paraId="093FF296" w14:textId="77777777" w:rsidTr="00274218">
        <w:tc>
          <w:tcPr>
            <w:tcW w:w="2880" w:type="dxa"/>
            <w:vAlign w:val="center"/>
            <w:hideMark/>
          </w:tcPr>
          <w:p w14:paraId="739E8498"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Niger</w:t>
            </w:r>
          </w:p>
        </w:tc>
        <w:tc>
          <w:tcPr>
            <w:tcW w:w="2592" w:type="dxa"/>
            <w:vAlign w:val="center"/>
            <w:hideMark/>
          </w:tcPr>
          <w:p w14:paraId="2351A53F"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Pakistan</w:t>
            </w:r>
          </w:p>
        </w:tc>
        <w:tc>
          <w:tcPr>
            <w:tcW w:w="2592" w:type="dxa"/>
            <w:vAlign w:val="center"/>
            <w:hideMark/>
          </w:tcPr>
          <w:p w14:paraId="0E3D1644"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Dominica</w:t>
            </w:r>
          </w:p>
        </w:tc>
        <w:tc>
          <w:tcPr>
            <w:tcW w:w="2880" w:type="dxa"/>
            <w:vAlign w:val="center"/>
            <w:hideMark/>
          </w:tcPr>
          <w:p w14:paraId="588BE0E7"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Bahamas, The</w:t>
            </w:r>
          </w:p>
        </w:tc>
      </w:tr>
      <w:tr w:rsidR="00D73DF7" w:rsidRPr="00CA5F27" w14:paraId="650D2627" w14:textId="77777777" w:rsidTr="00274218">
        <w:tc>
          <w:tcPr>
            <w:tcW w:w="2880" w:type="dxa"/>
            <w:vAlign w:val="center"/>
            <w:hideMark/>
          </w:tcPr>
          <w:p w14:paraId="754A10D9"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South Sudan</w:t>
            </w:r>
          </w:p>
        </w:tc>
        <w:tc>
          <w:tcPr>
            <w:tcW w:w="2592" w:type="dxa"/>
            <w:vAlign w:val="center"/>
            <w:hideMark/>
          </w:tcPr>
          <w:p w14:paraId="3575430D"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Gambia, The</w:t>
            </w:r>
          </w:p>
        </w:tc>
        <w:tc>
          <w:tcPr>
            <w:tcW w:w="2592" w:type="dxa"/>
            <w:vAlign w:val="center"/>
            <w:hideMark/>
          </w:tcPr>
          <w:p w14:paraId="6E9A2B0D"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Cabo Verde</w:t>
            </w:r>
          </w:p>
        </w:tc>
        <w:tc>
          <w:tcPr>
            <w:tcW w:w="2880" w:type="dxa"/>
            <w:vAlign w:val="center"/>
            <w:hideMark/>
          </w:tcPr>
          <w:p w14:paraId="2B72900E"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France</w:t>
            </w:r>
          </w:p>
        </w:tc>
      </w:tr>
      <w:tr w:rsidR="00D73DF7" w:rsidRPr="00CA5F27" w14:paraId="387A9A6B" w14:textId="77777777" w:rsidTr="00274218">
        <w:tc>
          <w:tcPr>
            <w:tcW w:w="2880" w:type="dxa"/>
            <w:vAlign w:val="center"/>
            <w:hideMark/>
          </w:tcPr>
          <w:p w14:paraId="447D816E"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Tanzania</w:t>
            </w:r>
          </w:p>
        </w:tc>
        <w:tc>
          <w:tcPr>
            <w:tcW w:w="2592" w:type="dxa"/>
            <w:vAlign w:val="center"/>
            <w:hideMark/>
          </w:tcPr>
          <w:p w14:paraId="1DDB3BF2"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Algeria</w:t>
            </w:r>
          </w:p>
        </w:tc>
        <w:tc>
          <w:tcPr>
            <w:tcW w:w="2592" w:type="dxa"/>
            <w:vAlign w:val="center"/>
            <w:hideMark/>
          </w:tcPr>
          <w:p w14:paraId="7E97645D"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Sri Lanka</w:t>
            </w:r>
          </w:p>
        </w:tc>
        <w:tc>
          <w:tcPr>
            <w:tcW w:w="2880" w:type="dxa"/>
            <w:vAlign w:val="center"/>
            <w:hideMark/>
          </w:tcPr>
          <w:p w14:paraId="10F23F7F"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Serbia</w:t>
            </w:r>
          </w:p>
        </w:tc>
      </w:tr>
      <w:tr w:rsidR="00D73DF7" w:rsidRPr="00CA5F27" w14:paraId="08B37598" w14:textId="77777777" w:rsidTr="00274218">
        <w:tc>
          <w:tcPr>
            <w:tcW w:w="2880" w:type="dxa"/>
            <w:vAlign w:val="center"/>
            <w:hideMark/>
          </w:tcPr>
          <w:p w14:paraId="5282C5F3"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Tajikistan</w:t>
            </w:r>
          </w:p>
        </w:tc>
        <w:tc>
          <w:tcPr>
            <w:tcW w:w="2592" w:type="dxa"/>
            <w:vAlign w:val="center"/>
            <w:hideMark/>
          </w:tcPr>
          <w:p w14:paraId="7DF0D543"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Japan</w:t>
            </w:r>
          </w:p>
        </w:tc>
        <w:tc>
          <w:tcPr>
            <w:tcW w:w="2592" w:type="dxa"/>
            <w:vAlign w:val="center"/>
            <w:hideMark/>
          </w:tcPr>
          <w:p w14:paraId="1B327150"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Cyprus</w:t>
            </w:r>
          </w:p>
        </w:tc>
        <w:tc>
          <w:tcPr>
            <w:tcW w:w="2880" w:type="dxa"/>
            <w:vAlign w:val="center"/>
            <w:hideMark/>
          </w:tcPr>
          <w:p w14:paraId="7931DB35"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Portugal</w:t>
            </w:r>
          </w:p>
        </w:tc>
      </w:tr>
      <w:tr w:rsidR="00D73DF7" w:rsidRPr="00CA5F27" w14:paraId="4DBB96A0" w14:textId="77777777" w:rsidTr="00274218">
        <w:tc>
          <w:tcPr>
            <w:tcW w:w="2880" w:type="dxa"/>
            <w:vAlign w:val="center"/>
            <w:hideMark/>
          </w:tcPr>
          <w:p w14:paraId="67B30D13"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Benin</w:t>
            </w:r>
          </w:p>
        </w:tc>
        <w:tc>
          <w:tcPr>
            <w:tcW w:w="2592" w:type="dxa"/>
            <w:vAlign w:val="center"/>
            <w:hideMark/>
          </w:tcPr>
          <w:p w14:paraId="5B098F55"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Singapore</w:t>
            </w:r>
          </w:p>
        </w:tc>
        <w:tc>
          <w:tcPr>
            <w:tcW w:w="2592" w:type="dxa"/>
            <w:vAlign w:val="center"/>
            <w:hideMark/>
          </w:tcPr>
          <w:p w14:paraId="18CC8C45"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St. Vincent and the Grenadines</w:t>
            </w:r>
          </w:p>
        </w:tc>
        <w:tc>
          <w:tcPr>
            <w:tcW w:w="2880" w:type="dxa"/>
            <w:vAlign w:val="center"/>
            <w:hideMark/>
          </w:tcPr>
          <w:p w14:paraId="7A2DE51E"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Ecuador</w:t>
            </w:r>
          </w:p>
        </w:tc>
      </w:tr>
      <w:tr w:rsidR="00D73DF7" w:rsidRPr="00CA5F27" w14:paraId="53ED1041" w14:textId="77777777" w:rsidTr="00274218">
        <w:tc>
          <w:tcPr>
            <w:tcW w:w="2880" w:type="dxa"/>
            <w:vAlign w:val="center"/>
            <w:hideMark/>
          </w:tcPr>
          <w:p w14:paraId="308E532A"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Congo, Democratic Republic of the</w:t>
            </w:r>
          </w:p>
        </w:tc>
        <w:tc>
          <w:tcPr>
            <w:tcW w:w="2592" w:type="dxa"/>
            <w:vAlign w:val="center"/>
            <w:hideMark/>
          </w:tcPr>
          <w:p w14:paraId="5F194055"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Syria</w:t>
            </w:r>
          </w:p>
        </w:tc>
        <w:tc>
          <w:tcPr>
            <w:tcW w:w="2592" w:type="dxa"/>
            <w:vAlign w:val="center"/>
            <w:hideMark/>
          </w:tcPr>
          <w:p w14:paraId="66C5E10E"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Fiji</w:t>
            </w:r>
          </w:p>
        </w:tc>
        <w:tc>
          <w:tcPr>
            <w:tcW w:w="2880" w:type="dxa"/>
            <w:vAlign w:val="center"/>
            <w:hideMark/>
          </w:tcPr>
          <w:p w14:paraId="5057D0AB"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Spain</w:t>
            </w:r>
          </w:p>
        </w:tc>
      </w:tr>
      <w:tr w:rsidR="00D73DF7" w:rsidRPr="00CA5F27" w14:paraId="1FE0C9F7" w14:textId="77777777" w:rsidTr="00274218">
        <w:tc>
          <w:tcPr>
            <w:tcW w:w="2880" w:type="dxa"/>
            <w:vAlign w:val="center"/>
            <w:hideMark/>
          </w:tcPr>
          <w:p w14:paraId="4895692D"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Nigeria</w:t>
            </w:r>
          </w:p>
        </w:tc>
        <w:tc>
          <w:tcPr>
            <w:tcW w:w="2592" w:type="dxa"/>
            <w:vAlign w:val="center"/>
            <w:hideMark/>
          </w:tcPr>
          <w:p w14:paraId="26F0BBD7"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Bangladesh</w:t>
            </w:r>
          </w:p>
        </w:tc>
        <w:tc>
          <w:tcPr>
            <w:tcW w:w="2592" w:type="dxa"/>
            <w:vAlign w:val="center"/>
            <w:hideMark/>
          </w:tcPr>
          <w:p w14:paraId="7C62EE6F"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Oman</w:t>
            </w:r>
          </w:p>
        </w:tc>
        <w:tc>
          <w:tcPr>
            <w:tcW w:w="2880" w:type="dxa"/>
            <w:vAlign w:val="center"/>
            <w:hideMark/>
          </w:tcPr>
          <w:p w14:paraId="7A621587"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Greece</w:t>
            </w:r>
          </w:p>
        </w:tc>
      </w:tr>
      <w:tr w:rsidR="00D73DF7" w:rsidRPr="00CA5F27" w14:paraId="39413187" w14:textId="77777777" w:rsidTr="00274218">
        <w:tc>
          <w:tcPr>
            <w:tcW w:w="2880" w:type="dxa"/>
            <w:vAlign w:val="center"/>
            <w:hideMark/>
          </w:tcPr>
          <w:p w14:paraId="0DB0CE31"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Burkina Faso</w:t>
            </w:r>
          </w:p>
        </w:tc>
        <w:tc>
          <w:tcPr>
            <w:tcW w:w="2592" w:type="dxa"/>
            <w:vAlign w:val="center"/>
            <w:hideMark/>
          </w:tcPr>
          <w:p w14:paraId="52E2EFE3"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Comoros</w:t>
            </w:r>
          </w:p>
        </w:tc>
        <w:tc>
          <w:tcPr>
            <w:tcW w:w="2592" w:type="dxa"/>
            <w:vAlign w:val="center"/>
            <w:hideMark/>
          </w:tcPr>
          <w:p w14:paraId="6719B93F"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Canada</w:t>
            </w:r>
          </w:p>
        </w:tc>
        <w:tc>
          <w:tcPr>
            <w:tcW w:w="2880" w:type="dxa"/>
            <w:vAlign w:val="center"/>
            <w:hideMark/>
          </w:tcPr>
          <w:p w14:paraId="60E4814C"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Trinidad and Tobago</w:t>
            </w:r>
          </w:p>
        </w:tc>
      </w:tr>
      <w:tr w:rsidR="00D73DF7" w:rsidRPr="00CA5F27" w14:paraId="76407BA7" w14:textId="77777777" w:rsidTr="00274218">
        <w:tc>
          <w:tcPr>
            <w:tcW w:w="2880" w:type="dxa"/>
            <w:vAlign w:val="center"/>
            <w:hideMark/>
          </w:tcPr>
          <w:p w14:paraId="1515D79F"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Sierra Leone</w:t>
            </w:r>
          </w:p>
        </w:tc>
        <w:tc>
          <w:tcPr>
            <w:tcW w:w="2592" w:type="dxa"/>
            <w:vAlign w:val="center"/>
            <w:hideMark/>
          </w:tcPr>
          <w:p w14:paraId="01FD9E7F"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Cambodia</w:t>
            </w:r>
          </w:p>
        </w:tc>
        <w:tc>
          <w:tcPr>
            <w:tcW w:w="2592" w:type="dxa"/>
            <w:vAlign w:val="center"/>
            <w:hideMark/>
          </w:tcPr>
          <w:p w14:paraId="79B6164C"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Bahrain</w:t>
            </w:r>
          </w:p>
        </w:tc>
        <w:tc>
          <w:tcPr>
            <w:tcW w:w="2880" w:type="dxa"/>
            <w:vAlign w:val="center"/>
            <w:hideMark/>
          </w:tcPr>
          <w:p w14:paraId="5982493C"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Suriname</w:t>
            </w:r>
          </w:p>
        </w:tc>
      </w:tr>
      <w:tr w:rsidR="00D73DF7" w:rsidRPr="00CA5F27" w14:paraId="0A239F2D" w14:textId="77777777" w:rsidTr="00274218">
        <w:tc>
          <w:tcPr>
            <w:tcW w:w="2880" w:type="dxa"/>
            <w:vAlign w:val="center"/>
            <w:hideMark/>
          </w:tcPr>
          <w:p w14:paraId="22D4B559"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Eritrea</w:t>
            </w:r>
          </w:p>
        </w:tc>
        <w:tc>
          <w:tcPr>
            <w:tcW w:w="2592" w:type="dxa"/>
            <w:vAlign w:val="center"/>
            <w:hideMark/>
          </w:tcPr>
          <w:p w14:paraId="553DDE96"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Mauritania</w:t>
            </w:r>
          </w:p>
        </w:tc>
        <w:tc>
          <w:tcPr>
            <w:tcW w:w="2592" w:type="dxa"/>
            <w:vAlign w:val="center"/>
            <w:hideMark/>
          </w:tcPr>
          <w:p w14:paraId="419116BB"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Azerbaijan</w:t>
            </w:r>
          </w:p>
        </w:tc>
        <w:tc>
          <w:tcPr>
            <w:tcW w:w="2880" w:type="dxa"/>
            <w:vAlign w:val="center"/>
            <w:hideMark/>
          </w:tcPr>
          <w:p w14:paraId="7621CF89"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Chile</w:t>
            </w:r>
          </w:p>
        </w:tc>
      </w:tr>
      <w:tr w:rsidR="00D73DF7" w:rsidRPr="00CA5F27" w14:paraId="5FC9F33C" w14:textId="77777777" w:rsidTr="00274218">
        <w:tc>
          <w:tcPr>
            <w:tcW w:w="2880" w:type="dxa"/>
            <w:vAlign w:val="center"/>
            <w:hideMark/>
          </w:tcPr>
          <w:p w14:paraId="139E441D"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Central African Republic</w:t>
            </w:r>
          </w:p>
        </w:tc>
        <w:tc>
          <w:tcPr>
            <w:tcW w:w="2592" w:type="dxa"/>
            <w:vAlign w:val="center"/>
            <w:hideMark/>
          </w:tcPr>
          <w:p w14:paraId="39A7B9F1"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Afghanistan</w:t>
            </w:r>
          </w:p>
        </w:tc>
        <w:tc>
          <w:tcPr>
            <w:tcW w:w="2592" w:type="dxa"/>
            <w:vAlign w:val="center"/>
            <w:hideMark/>
          </w:tcPr>
          <w:p w14:paraId="72952F3C"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Libya</w:t>
            </w:r>
          </w:p>
        </w:tc>
        <w:tc>
          <w:tcPr>
            <w:tcW w:w="2880" w:type="dxa"/>
            <w:vAlign w:val="center"/>
            <w:hideMark/>
          </w:tcPr>
          <w:p w14:paraId="60420515"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Russia</w:t>
            </w:r>
          </w:p>
        </w:tc>
      </w:tr>
      <w:tr w:rsidR="00D73DF7" w:rsidRPr="00CA5F27" w14:paraId="233358B0" w14:textId="77777777" w:rsidTr="00274218">
        <w:tc>
          <w:tcPr>
            <w:tcW w:w="2880" w:type="dxa"/>
            <w:vAlign w:val="center"/>
            <w:hideMark/>
          </w:tcPr>
          <w:p w14:paraId="61852142"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Côte d'Ivoire</w:t>
            </w:r>
          </w:p>
        </w:tc>
        <w:tc>
          <w:tcPr>
            <w:tcW w:w="2592" w:type="dxa"/>
            <w:vAlign w:val="center"/>
            <w:hideMark/>
          </w:tcPr>
          <w:p w14:paraId="4B59C05C"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Venezuela</w:t>
            </w:r>
          </w:p>
        </w:tc>
        <w:tc>
          <w:tcPr>
            <w:tcW w:w="2592" w:type="dxa"/>
            <w:vAlign w:val="center"/>
            <w:hideMark/>
          </w:tcPr>
          <w:p w14:paraId="4D356C07"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Jamaica</w:t>
            </w:r>
          </w:p>
        </w:tc>
        <w:tc>
          <w:tcPr>
            <w:tcW w:w="2880" w:type="dxa"/>
            <w:vAlign w:val="center"/>
            <w:hideMark/>
          </w:tcPr>
          <w:p w14:paraId="157E23E2"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Tunisia</w:t>
            </w:r>
          </w:p>
        </w:tc>
      </w:tr>
      <w:tr w:rsidR="00D73DF7" w:rsidRPr="00CA5F27" w14:paraId="539FE6C6" w14:textId="77777777" w:rsidTr="00274218">
        <w:tc>
          <w:tcPr>
            <w:tcW w:w="2880" w:type="dxa"/>
            <w:vAlign w:val="center"/>
            <w:hideMark/>
          </w:tcPr>
          <w:p w14:paraId="03DE2BA3"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Hong Kong SAR</w:t>
            </w:r>
          </w:p>
        </w:tc>
        <w:tc>
          <w:tcPr>
            <w:tcW w:w="2592" w:type="dxa"/>
            <w:vAlign w:val="center"/>
            <w:hideMark/>
          </w:tcPr>
          <w:p w14:paraId="7D3CBB91"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Djibouti</w:t>
            </w:r>
          </w:p>
        </w:tc>
        <w:tc>
          <w:tcPr>
            <w:tcW w:w="2592" w:type="dxa"/>
            <w:vAlign w:val="center"/>
            <w:hideMark/>
          </w:tcPr>
          <w:p w14:paraId="1DF4A217"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Guatemala</w:t>
            </w:r>
          </w:p>
        </w:tc>
        <w:tc>
          <w:tcPr>
            <w:tcW w:w="2880" w:type="dxa"/>
            <w:vAlign w:val="center"/>
            <w:hideMark/>
          </w:tcPr>
          <w:p w14:paraId="4CFAFBEF"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United Kingdom</w:t>
            </w:r>
          </w:p>
        </w:tc>
      </w:tr>
      <w:tr w:rsidR="00D73DF7" w:rsidRPr="00CA5F27" w14:paraId="45A50C2A" w14:textId="77777777" w:rsidTr="00274218">
        <w:tc>
          <w:tcPr>
            <w:tcW w:w="2880" w:type="dxa"/>
            <w:vAlign w:val="center"/>
            <w:hideMark/>
          </w:tcPr>
          <w:p w14:paraId="386529CC"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Guinea</w:t>
            </w:r>
          </w:p>
        </w:tc>
        <w:tc>
          <w:tcPr>
            <w:tcW w:w="2592" w:type="dxa"/>
            <w:vAlign w:val="center"/>
            <w:hideMark/>
          </w:tcPr>
          <w:p w14:paraId="1C015838"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Zambia</w:t>
            </w:r>
          </w:p>
        </w:tc>
        <w:tc>
          <w:tcPr>
            <w:tcW w:w="2592" w:type="dxa"/>
            <w:vAlign w:val="center"/>
            <w:hideMark/>
          </w:tcPr>
          <w:p w14:paraId="7AA21F67"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Israel</w:t>
            </w:r>
          </w:p>
        </w:tc>
        <w:tc>
          <w:tcPr>
            <w:tcW w:w="2880" w:type="dxa"/>
            <w:vAlign w:val="center"/>
            <w:hideMark/>
          </w:tcPr>
          <w:p w14:paraId="389BA210"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Italy</w:t>
            </w:r>
          </w:p>
        </w:tc>
      </w:tr>
      <w:tr w:rsidR="00D73DF7" w:rsidRPr="00CA5F27" w14:paraId="04A64D74" w14:textId="77777777" w:rsidTr="00274218">
        <w:tc>
          <w:tcPr>
            <w:tcW w:w="2880" w:type="dxa"/>
            <w:vAlign w:val="center"/>
            <w:hideMark/>
          </w:tcPr>
          <w:p w14:paraId="67D0849E"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Togo</w:t>
            </w:r>
          </w:p>
        </w:tc>
        <w:tc>
          <w:tcPr>
            <w:tcW w:w="2592" w:type="dxa"/>
            <w:vAlign w:val="center"/>
            <w:hideMark/>
          </w:tcPr>
          <w:p w14:paraId="457C87AD"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Montserrat</w:t>
            </w:r>
          </w:p>
        </w:tc>
        <w:tc>
          <w:tcPr>
            <w:tcW w:w="2592" w:type="dxa"/>
            <w:vAlign w:val="center"/>
            <w:hideMark/>
          </w:tcPr>
          <w:p w14:paraId="556DCF5D"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Barbados</w:t>
            </w:r>
          </w:p>
        </w:tc>
        <w:tc>
          <w:tcPr>
            <w:tcW w:w="2880" w:type="dxa"/>
            <w:vAlign w:val="center"/>
            <w:hideMark/>
          </w:tcPr>
          <w:p w14:paraId="70B9029E"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Mexico</w:t>
            </w:r>
          </w:p>
        </w:tc>
      </w:tr>
      <w:tr w:rsidR="00D73DF7" w:rsidRPr="00CA5F27" w14:paraId="1A9042C0" w14:textId="77777777" w:rsidTr="00274218">
        <w:tc>
          <w:tcPr>
            <w:tcW w:w="2880" w:type="dxa"/>
            <w:vAlign w:val="center"/>
            <w:hideMark/>
          </w:tcPr>
          <w:p w14:paraId="7AF61DE6"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Mali</w:t>
            </w:r>
          </w:p>
        </w:tc>
        <w:tc>
          <w:tcPr>
            <w:tcW w:w="2592" w:type="dxa"/>
            <w:vAlign w:val="center"/>
            <w:hideMark/>
          </w:tcPr>
          <w:p w14:paraId="4EE5FAB0"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Egypt</w:t>
            </w:r>
          </w:p>
        </w:tc>
        <w:tc>
          <w:tcPr>
            <w:tcW w:w="2592" w:type="dxa"/>
            <w:vAlign w:val="center"/>
            <w:hideMark/>
          </w:tcPr>
          <w:p w14:paraId="67CF0EC6"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Malta</w:t>
            </w:r>
          </w:p>
        </w:tc>
        <w:tc>
          <w:tcPr>
            <w:tcW w:w="2880" w:type="dxa"/>
            <w:vAlign w:val="center"/>
            <w:hideMark/>
          </w:tcPr>
          <w:p w14:paraId="0D769DCC"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Paraguay</w:t>
            </w:r>
          </w:p>
        </w:tc>
      </w:tr>
      <w:tr w:rsidR="00D73DF7" w:rsidRPr="00CA5F27" w14:paraId="3F8192A8" w14:textId="77777777" w:rsidTr="00274218">
        <w:tc>
          <w:tcPr>
            <w:tcW w:w="2880" w:type="dxa"/>
            <w:vAlign w:val="center"/>
            <w:hideMark/>
          </w:tcPr>
          <w:p w14:paraId="2B5D7699"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Nicaragua</w:t>
            </w:r>
          </w:p>
        </w:tc>
        <w:tc>
          <w:tcPr>
            <w:tcW w:w="2592" w:type="dxa"/>
            <w:vAlign w:val="center"/>
            <w:hideMark/>
          </w:tcPr>
          <w:p w14:paraId="3B9BA3EC"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Qatar</w:t>
            </w:r>
          </w:p>
        </w:tc>
        <w:tc>
          <w:tcPr>
            <w:tcW w:w="2592" w:type="dxa"/>
            <w:vAlign w:val="center"/>
            <w:hideMark/>
          </w:tcPr>
          <w:p w14:paraId="5CEC747E"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Malaysia</w:t>
            </w:r>
          </w:p>
        </w:tc>
        <w:tc>
          <w:tcPr>
            <w:tcW w:w="2880" w:type="dxa"/>
            <w:vAlign w:val="center"/>
            <w:hideMark/>
          </w:tcPr>
          <w:p w14:paraId="763DE4DB"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Ukraine</w:t>
            </w:r>
          </w:p>
        </w:tc>
      </w:tr>
      <w:tr w:rsidR="00D73DF7" w:rsidRPr="00CA5F27" w14:paraId="6DCAF963" w14:textId="77777777" w:rsidTr="00274218">
        <w:tc>
          <w:tcPr>
            <w:tcW w:w="2880" w:type="dxa"/>
            <w:vAlign w:val="center"/>
            <w:hideMark/>
          </w:tcPr>
          <w:p w14:paraId="68E3FC7D"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Taiwan Province of China</w:t>
            </w:r>
          </w:p>
        </w:tc>
        <w:tc>
          <w:tcPr>
            <w:tcW w:w="2592" w:type="dxa"/>
            <w:vAlign w:val="center"/>
            <w:hideMark/>
          </w:tcPr>
          <w:p w14:paraId="0D5A2FDD"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United Arab Emirates</w:t>
            </w:r>
          </w:p>
        </w:tc>
        <w:tc>
          <w:tcPr>
            <w:tcW w:w="2592" w:type="dxa"/>
            <w:vAlign w:val="center"/>
            <w:hideMark/>
          </w:tcPr>
          <w:p w14:paraId="57EAECB4"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Kazakhstan</w:t>
            </w:r>
          </w:p>
        </w:tc>
        <w:tc>
          <w:tcPr>
            <w:tcW w:w="2880" w:type="dxa"/>
            <w:vAlign w:val="center"/>
            <w:hideMark/>
          </w:tcPr>
          <w:p w14:paraId="6A8790CD"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Moldova</w:t>
            </w:r>
          </w:p>
        </w:tc>
      </w:tr>
      <w:tr w:rsidR="00D73DF7" w:rsidRPr="00CA5F27" w14:paraId="446358A8" w14:textId="77777777" w:rsidTr="00274218">
        <w:tc>
          <w:tcPr>
            <w:tcW w:w="2880" w:type="dxa"/>
            <w:vAlign w:val="center"/>
            <w:hideMark/>
          </w:tcPr>
          <w:p w14:paraId="1ECE40E8"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Madagascar</w:t>
            </w:r>
          </w:p>
        </w:tc>
        <w:tc>
          <w:tcPr>
            <w:tcW w:w="2592" w:type="dxa"/>
            <w:vAlign w:val="center"/>
            <w:hideMark/>
          </w:tcPr>
          <w:p w14:paraId="699CB429"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Brunei Darussalam</w:t>
            </w:r>
          </w:p>
        </w:tc>
        <w:tc>
          <w:tcPr>
            <w:tcW w:w="2592" w:type="dxa"/>
            <w:vAlign w:val="center"/>
            <w:hideMark/>
          </w:tcPr>
          <w:p w14:paraId="3BB8655B"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Turkey</w:t>
            </w:r>
          </w:p>
        </w:tc>
        <w:tc>
          <w:tcPr>
            <w:tcW w:w="2880" w:type="dxa"/>
            <w:vAlign w:val="center"/>
            <w:hideMark/>
          </w:tcPr>
          <w:p w14:paraId="2C153372"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Latvia</w:t>
            </w:r>
          </w:p>
        </w:tc>
      </w:tr>
      <w:tr w:rsidR="00D73DF7" w:rsidRPr="00CA5F27" w14:paraId="63ACEF22" w14:textId="77777777" w:rsidTr="00274218">
        <w:tc>
          <w:tcPr>
            <w:tcW w:w="2880" w:type="dxa"/>
            <w:vAlign w:val="center"/>
            <w:hideMark/>
          </w:tcPr>
          <w:p w14:paraId="324D005F"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Ghana</w:t>
            </w:r>
          </w:p>
        </w:tc>
        <w:tc>
          <w:tcPr>
            <w:tcW w:w="2592" w:type="dxa"/>
            <w:vAlign w:val="center"/>
            <w:hideMark/>
          </w:tcPr>
          <w:p w14:paraId="4F140019"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Norway</w:t>
            </w:r>
          </w:p>
        </w:tc>
        <w:tc>
          <w:tcPr>
            <w:tcW w:w="2592" w:type="dxa"/>
            <w:vAlign w:val="center"/>
            <w:hideMark/>
          </w:tcPr>
          <w:p w14:paraId="4D5492C7"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Botswana</w:t>
            </w:r>
          </w:p>
        </w:tc>
        <w:tc>
          <w:tcPr>
            <w:tcW w:w="2880" w:type="dxa"/>
            <w:vAlign w:val="center"/>
            <w:hideMark/>
          </w:tcPr>
          <w:p w14:paraId="408FB203"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Belgium</w:t>
            </w:r>
          </w:p>
        </w:tc>
      </w:tr>
      <w:tr w:rsidR="00D73DF7" w:rsidRPr="00CA5F27" w14:paraId="725292F5" w14:textId="77777777" w:rsidTr="00274218">
        <w:tc>
          <w:tcPr>
            <w:tcW w:w="2880" w:type="dxa"/>
            <w:vAlign w:val="center"/>
            <w:hideMark/>
          </w:tcPr>
          <w:p w14:paraId="7C5EE794"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Uzbekistan</w:t>
            </w:r>
          </w:p>
        </w:tc>
        <w:tc>
          <w:tcPr>
            <w:tcW w:w="2592" w:type="dxa"/>
            <w:vAlign w:val="center"/>
            <w:hideMark/>
          </w:tcPr>
          <w:p w14:paraId="5FE71F1C"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Saudi Arabia</w:t>
            </w:r>
          </w:p>
        </w:tc>
        <w:tc>
          <w:tcPr>
            <w:tcW w:w="2592" w:type="dxa"/>
            <w:vAlign w:val="center"/>
            <w:hideMark/>
          </w:tcPr>
          <w:p w14:paraId="40A1693C"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Honduras</w:t>
            </w:r>
          </w:p>
        </w:tc>
        <w:tc>
          <w:tcPr>
            <w:tcW w:w="2880" w:type="dxa"/>
            <w:vAlign w:val="center"/>
            <w:hideMark/>
          </w:tcPr>
          <w:p w14:paraId="0B4F0A80"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United States</w:t>
            </w:r>
          </w:p>
        </w:tc>
      </w:tr>
      <w:tr w:rsidR="00D73DF7" w:rsidRPr="00CA5F27" w14:paraId="1114A126" w14:textId="77777777" w:rsidTr="00274218">
        <w:tc>
          <w:tcPr>
            <w:tcW w:w="2880" w:type="dxa"/>
            <w:vAlign w:val="center"/>
            <w:hideMark/>
          </w:tcPr>
          <w:p w14:paraId="64DCC5A0"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Lao P.D.R.</w:t>
            </w:r>
          </w:p>
        </w:tc>
        <w:tc>
          <w:tcPr>
            <w:tcW w:w="2592" w:type="dxa"/>
            <w:vAlign w:val="center"/>
            <w:hideMark/>
          </w:tcPr>
          <w:p w14:paraId="04967873"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São Tomé and Príncipe</w:t>
            </w:r>
          </w:p>
        </w:tc>
        <w:tc>
          <w:tcPr>
            <w:tcW w:w="2592" w:type="dxa"/>
            <w:vAlign w:val="center"/>
            <w:hideMark/>
          </w:tcPr>
          <w:p w14:paraId="1B9787C8"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Swaziland</w:t>
            </w:r>
          </w:p>
        </w:tc>
        <w:tc>
          <w:tcPr>
            <w:tcW w:w="2880" w:type="dxa"/>
            <w:vAlign w:val="center"/>
            <w:hideMark/>
          </w:tcPr>
          <w:p w14:paraId="1F40B962"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Poland</w:t>
            </w:r>
          </w:p>
        </w:tc>
      </w:tr>
      <w:tr w:rsidR="00D73DF7" w:rsidRPr="00CA5F27" w14:paraId="770BEF11" w14:textId="77777777" w:rsidTr="00274218">
        <w:tc>
          <w:tcPr>
            <w:tcW w:w="2880" w:type="dxa"/>
            <w:vAlign w:val="center"/>
            <w:hideMark/>
          </w:tcPr>
          <w:p w14:paraId="5F76D94A"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Angola</w:t>
            </w:r>
          </w:p>
        </w:tc>
        <w:tc>
          <w:tcPr>
            <w:tcW w:w="2592" w:type="dxa"/>
            <w:vAlign w:val="center"/>
            <w:hideMark/>
          </w:tcPr>
          <w:p w14:paraId="6D7AC558"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Finland</w:t>
            </w:r>
          </w:p>
        </w:tc>
        <w:tc>
          <w:tcPr>
            <w:tcW w:w="2592" w:type="dxa"/>
            <w:vAlign w:val="center"/>
            <w:hideMark/>
          </w:tcPr>
          <w:p w14:paraId="19F1BC87"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Albania</w:t>
            </w:r>
          </w:p>
        </w:tc>
        <w:tc>
          <w:tcPr>
            <w:tcW w:w="2880" w:type="dxa"/>
            <w:vAlign w:val="center"/>
            <w:hideMark/>
          </w:tcPr>
          <w:p w14:paraId="69DA4EBF"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Colombia</w:t>
            </w:r>
          </w:p>
        </w:tc>
      </w:tr>
      <w:tr w:rsidR="00D73DF7" w:rsidRPr="00CA5F27" w14:paraId="07F6C925" w14:textId="77777777" w:rsidTr="00274218">
        <w:tc>
          <w:tcPr>
            <w:tcW w:w="2880" w:type="dxa"/>
            <w:vAlign w:val="center"/>
            <w:hideMark/>
          </w:tcPr>
          <w:p w14:paraId="1FDF5EC8"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Liberia</w:t>
            </w:r>
          </w:p>
        </w:tc>
        <w:tc>
          <w:tcPr>
            <w:tcW w:w="2592" w:type="dxa"/>
            <w:vAlign w:val="center"/>
            <w:hideMark/>
          </w:tcPr>
          <w:p w14:paraId="5743DF05"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Lesotho</w:t>
            </w:r>
          </w:p>
        </w:tc>
        <w:tc>
          <w:tcPr>
            <w:tcW w:w="2592" w:type="dxa"/>
            <w:vAlign w:val="center"/>
            <w:hideMark/>
          </w:tcPr>
          <w:p w14:paraId="61CF9DC7"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Ireland</w:t>
            </w:r>
          </w:p>
        </w:tc>
        <w:tc>
          <w:tcPr>
            <w:tcW w:w="2880" w:type="dxa"/>
            <w:vAlign w:val="center"/>
            <w:hideMark/>
          </w:tcPr>
          <w:p w14:paraId="74E4C8C3"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Argentina</w:t>
            </w:r>
          </w:p>
        </w:tc>
      </w:tr>
      <w:tr w:rsidR="00D73DF7" w:rsidRPr="00CA5F27" w14:paraId="133B0109" w14:textId="77777777" w:rsidTr="00274218">
        <w:tc>
          <w:tcPr>
            <w:tcW w:w="2880" w:type="dxa"/>
            <w:vAlign w:val="center"/>
            <w:hideMark/>
          </w:tcPr>
          <w:p w14:paraId="218F3DED"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Ethiopia</w:t>
            </w:r>
          </w:p>
        </w:tc>
        <w:tc>
          <w:tcPr>
            <w:tcW w:w="2592" w:type="dxa"/>
            <w:vAlign w:val="center"/>
            <w:hideMark/>
          </w:tcPr>
          <w:p w14:paraId="0F476A64"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Thailand</w:t>
            </w:r>
          </w:p>
        </w:tc>
        <w:tc>
          <w:tcPr>
            <w:tcW w:w="2592" w:type="dxa"/>
            <w:vAlign w:val="center"/>
            <w:hideMark/>
          </w:tcPr>
          <w:p w14:paraId="41C94822"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Antigua and Barbuda</w:t>
            </w:r>
          </w:p>
        </w:tc>
        <w:tc>
          <w:tcPr>
            <w:tcW w:w="2880" w:type="dxa"/>
            <w:vAlign w:val="center"/>
            <w:hideMark/>
          </w:tcPr>
          <w:p w14:paraId="61E116F8"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Slovenia</w:t>
            </w:r>
          </w:p>
        </w:tc>
      </w:tr>
      <w:tr w:rsidR="00D73DF7" w:rsidRPr="00CA5F27" w14:paraId="1B0F2077" w14:textId="77777777" w:rsidTr="00274218">
        <w:tc>
          <w:tcPr>
            <w:tcW w:w="2880" w:type="dxa"/>
            <w:vAlign w:val="center"/>
            <w:hideMark/>
          </w:tcPr>
          <w:p w14:paraId="59A3810C"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Mozambique</w:t>
            </w:r>
          </w:p>
        </w:tc>
        <w:tc>
          <w:tcPr>
            <w:tcW w:w="2592" w:type="dxa"/>
            <w:vAlign w:val="center"/>
            <w:hideMark/>
          </w:tcPr>
          <w:p w14:paraId="709A8DD6"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Vietnam</w:t>
            </w:r>
          </w:p>
        </w:tc>
        <w:tc>
          <w:tcPr>
            <w:tcW w:w="2592" w:type="dxa"/>
            <w:vAlign w:val="center"/>
            <w:hideMark/>
          </w:tcPr>
          <w:p w14:paraId="74403AD5"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Netherlands</w:t>
            </w:r>
          </w:p>
        </w:tc>
        <w:tc>
          <w:tcPr>
            <w:tcW w:w="2880" w:type="dxa"/>
            <w:vAlign w:val="center"/>
            <w:hideMark/>
          </w:tcPr>
          <w:p w14:paraId="5F1DF364"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Armenia</w:t>
            </w:r>
          </w:p>
        </w:tc>
      </w:tr>
      <w:tr w:rsidR="00D73DF7" w:rsidRPr="00CA5F27" w14:paraId="339309B3" w14:textId="77777777" w:rsidTr="00274218">
        <w:tc>
          <w:tcPr>
            <w:tcW w:w="2880" w:type="dxa"/>
            <w:vAlign w:val="center"/>
            <w:hideMark/>
          </w:tcPr>
          <w:p w14:paraId="2E5D469B"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Papua New Guinea</w:t>
            </w:r>
          </w:p>
        </w:tc>
        <w:tc>
          <w:tcPr>
            <w:tcW w:w="2592" w:type="dxa"/>
            <w:vAlign w:val="center"/>
            <w:hideMark/>
          </w:tcPr>
          <w:p w14:paraId="4B6A65D3"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Zimbabwe</w:t>
            </w:r>
          </w:p>
        </w:tc>
        <w:tc>
          <w:tcPr>
            <w:tcW w:w="2592" w:type="dxa"/>
            <w:vAlign w:val="center"/>
            <w:hideMark/>
          </w:tcPr>
          <w:p w14:paraId="4BD12E5C"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Jordan</w:t>
            </w:r>
          </w:p>
        </w:tc>
        <w:tc>
          <w:tcPr>
            <w:tcW w:w="2880" w:type="dxa"/>
            <w:vAlign w:val="center"/>
            <w:hideMark/>
          </w:tcPr>
          <w:p w14:paraId="32EC700A"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Lithuania</w:t>
            </w:r>
          </w:p>
        </w:tc>
      </w:tr>
      <w:tr w:rsidR="00D73DF7" w:rsidRPr="00CA5F27" w14:paraId="19E15EBF" w14:textId="77777777" w:rsidTr="00274218">
        <w:tc>
          <w:tcPr>
            <w:tcW w:w="2880" w:type="dxa"/>
            <w:vAlign w:val="center"/>
            <w:hideMark/>
          </w:tcPr>
          <w:p w14:paraId="2AE7D83E"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Congo, Republic of</w:t>
            </w:r>
          </w:p>
        </w:tc>
        <w:tc>
          <w:tcPr>
            <w:tcW w:w="2592" w:type="dxa"/>
            <w:vAlign w:val="center"/>
            <w:hideMark/>
          </w:tcPr>
          <w:p w14:paraId="1B5F8F8D"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Anguilla</w:t>
            </w:r>
          </w:p>
        </w:tc>
        <w:tc>
          <w:tcPr>
            <w:tcW w:w="2592" w:type="dxa"/>
            <w:vAlign w:val="center"/>
            <w:hideMark/>
          </w:tcPr>
          <w:p w14:paraId="3C12E393"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Germany</w:t>
            </w:r>
          </w:p>
        </w:tc>
        <w:tc>
          <w:tcPr>
            <w:tcW w:w="2880" w:type="dxa"/>
            <w:vAlign w:val="center"/>
            <w:hideMark/>
          </w:tcPr>
          <w:p w14:paraId="3BB13F97"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San Marino</w:t>
            </w:r>
          </w:p>
        </w:tc>
      </w:tr>
      <w:tr w:rsidR="00D73DF7" w:rsidRPr="00CA5F27" w14:paraId="18AB5D3F" w14:textId="77777777" w:rsidTr="00274218">
        <w:tc>
          <w:tcPr>
            <w:tcW w:w="2880" w:type="dxa"/>
            <w:vAlign w:val="center"/>
            <w:hideMark/>
          </w:tcPr>
          <w:p w14:paraId="75FC8586"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Yemen</w:t>
            </w:r>
          </w:p>
        </w:tc>
        <w:tc>
          <w:tcPr>
            <w:tcW w:w="2592" w:type="dxa"/>
            <w:vAlign w:val="center"/>
            <w:hideMark/>
          </w:tcPr>
          <w:p w14:paraId="739B5219"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India</w:t>
            </w:r>
          </w:p>
        </w:tc>
        <w:tc>
          <w:tcPr>
            <w:tcW w:w="2592" w:type="dxa"/>
            <w:vAlign w:val="center"/>
            <w:hideMark/>
          </w:tcPr>
          <w:p w14:paraId="28A982FE"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Seychelles</w:t>
            </w:r>
          </w:p>
        </w:tc>
        <w:tc>
          <w:tcPr>
            <w:tcW w:w="2880" w:type="dxa"/>
            <w:vAlign w:val="center"/>
            <w:hideMark/>
          </w:tcPr>
          <w:p w14:paraId="0A131222"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Brazil</w:t>
            </w:r>
          </w:p>
        </w:tc>
      </w:tr>
      <w:tr w:rsidR="00D73DF7" w:rsidRPr="00CA5F27" w14:paraId="325F0827" w14:textId="77777777" w:rsidTr="00274218">
        <w:tc>
          <w:tcPr>
            <w:tcW w:w="2880" w:type="dxa"/>
            <w:vAlign w:val="center"/>
            <w:hideMark/>
          </w:tcPr>
          <w:p w14:paraId="01250AE3"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Haiti</w:t>
            </w:r>
          </w:p>
        </w:tc>
        <w:tc>
          <w:tcPr>
            <w:tcW w:w="2592" w:type="dxa"/>
            <w:vAlign w:val="center"/>
            <w:hideMark/>
          </w:tcPr>
          <w:p w14:paraId="051F6782"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Myanmar</w:t>
            </w:r>
          </w:p>
        </w:tc>
        <w:tc>
          <w:tcPr>
            <w:tcW w:w="2592" w:type="dxa"/>
            <w:vAlign w:val="center"/>
            <w:hideMark/>
          </w:tcPr>
          <w:p w14:paraId="20D28CD1"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Guyana</w:t>
            </w:r>
          </w:p>
        </w:tc>
        <w:tc>
          <w:tcPr>
            <w:tcW w:w="2880" w:type="dxa"/>
            <w:vAlign w:val="center"/>
            <w:hideMark/>
          </w:tcPr>
          <w:p w14:paraId="487101CE"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Slovak Republic</w:t>
            </w:r>
          </w:p>
        </w:tc>
      </w:tr>
      <w:tr w:rsidR="00D73DF7" w:rsidRPr="00CA5F27" w14:paraId="768CC988" w14:textId="77777777" w:rsidTr="00274218">
        <w:tc>
          <w:tcPr>
            <w:tcW w:w="2880" w:type="dxa"/>
            <w:vAlign w:val="center"/>
            <w:hideMark/>
          </w:tcPr>
          <w:p w14:paraId="02C886E8"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lastRenderedPageBreak/>
              <w:t>Cameroon</w:t>
            </w:r>
          </w:p>
        </w:tc>
        <w:tc>
          <w:tcPr>
            <w:tcW w:w="2592" w:type="dxa"/>
            <w:vAlign w:val="center"/>
            <w:hideMark/>
          </w:tcPr>
          <w:p w14:paraId="61EC1160"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Dominican Republic</w:t>
            </w:r>
          </w:p>
        </w:tc>
        <w:tc>
          <w:tcPr>
            <w:tcW w:w="2592" w:type="dxa"/>
            <w:vAlign w:val="center"/>
            <w:hideMark/>
          </w:tcPr>
          <w:p w14:paraId="38637854"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Lebanon</w:t>
            </w:r>
          </w:p>
        </w:tc>
        <w:tc>
          <w:tcPr>
            <w:tcW w:w="2880" w:type="dxa"/>
            <w:vAlign w:val="center"/>
            <w:hideMark/>
          </w:tcPr>
          <w:p w14:paraId="5B0C00EF"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Croatia</w:t>
            </w:r>
          </w:p>
        </w:tc>
      </w:tr>
      <w:tr w:rsidR="00D73DF7" w:rsidRPr="00CA5F27" w14:paraId="1FA31A53" w14:textId="77777777" w:rsidTr="00274218">
        <w:tc>
          <w:tcPr>
            <w:tcW w:w="2880" w:type="dxa"/>
            <w:vAlign w:val="center"/>
            <w:hideMark/>
          </w:tcPr>
          <w:p w14:paraId="121C5827"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Uganda</w:t>
            </w:r>
          </w:p>
        </w:tc>
        <w:tc>
          <w:tcPr>
            <w:tcW w:w="2592" w:type="dxa"/>
            <w:vAlign w:val="center"/>
            <w:hideMark/>
          </w:tcPr>
          <w:p w14:paraId="646E7974"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Nepal</w:t>
            </w:r>
          </w:p>
        </w:tc>
        <w:tc>
          <w:tcPr>
            <w:tcW w:w="2592" w:type="dxa"/>
            <w:vAlign w:val="center"/>
            <w:hideMark/>
          </w:tcPr>
          <w:p w14:paraId="7D363433"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Switzerland</w:t>
            </w:r>
          </w:p>
        </w:tc>
        <w:tc>
          <w:tcPr>
            <w:tcW w:w="2880" w:type="dxa"/>
            <w:vAlign w:val="center"/>
            <w:hideMark/>
          </w:tcPr>
          <w:p w14:paraId="237D794C"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Romania</w:t>
            </w:r>
          </w:p>
        </w:tc>
      </w:tr>
      <w:tr w:rsidR="00D73DF7" w:rsidRPr="00CA5F27" w14:paraId="6D07F598" w14:textId="77777777" w:rsidTr="00274218">
        <w:tc>
          <w:tcPr>
            <w:tcW w:w="2880" w:type="dxa"/>
            <w:vAlign w:val="center"/>
            <w:hideMark/>
          </w:tcPr>
          <w:p w14:paraId="4F35A117"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Sudan</w:t>
            </w:r>
          </w:p>
        </w:tc>
        <w:tc>
          <w:tcPr>
            <w:tcW w:w="2592" w:type="dxa"/>
            <w:vAlign w:val="center"/>
            <w:hideMark/>
          </w:tcPr>
          <w:p w14:paraId="5771DF5F"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Morocco</w:t>
            </w:r>
          </w:p>
        </w:tc>
        <w:tc>
          <w:tcPr>
            <w:tcW w:w="2592" w:type="dxa"/>
            <w:vAlign w:val="center"/>
            <w:hideMark/>
          </w:tcPr>
          <w:p w14:paraId="46932E8E"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Namibia</w:t>
            </w:r>
          </w:p>
        </w:tc>
        <w:tc>
          <w:tcPr>
            <w:tcW w:w="2880" w:type="dxa"/>
            <w:vAlign w:val="center"/>
            <w:hideMark/>
          </w:tcPr>
          <w:p w14:paraId="176DDEC5"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Czech Republic</w:t>
            </w:r>
          </w:p>
        </w:tc>
      </w:tr>
      <w:tr w:rsidR="00D73DF7" w:rsidRPr="00CA5F27" w14:paraId="1D74813B" w14:textId="77777777" w:rsidTr="00274218">
        <w:tc>
          <w:tcPr>
            <w:tcW w:w="2880" w:type="dxa"/>
            <w:vAlign w:val="center"/>
            <w:hideMark/>
          </w:tcPr>
          <w:p w14:paraId="6565B3BD"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Guinea-Bissau</w:t>
            </w:r>
          </w:p>
        </w:tc>
        <w:tc>
          <w:tcPr>
            <w:tcW w:w="2592" w:type="dxa"/>
            <w:vAlign w:val="center"/>
            <w:hideMark/>
          </w:tcPr>
          <w:p w14:paraId="09AD4CAE"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Kyrgyz Republic</w:t>
            </w:r>
          </w:p>
        </w:tc>
        <w:tc>
          <w:tcPr>
            <w:tcW w:w="2592" w:type="dxa"/>
            <w:vAlign w:val="center"/>
            <w:hideMark/>
          </w:tcPr>
          <w:p w14:paraId="58635BB8"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Costa Rica</w:t>
            </w:r>
          </w:p>
        </w:tc>
        <w:tc>
          <w:tcPr>
            <w:tcW w:w="2880" w:type="dxa"/>
            <w:vAlign w:val="center"/>
            <w:hideMark/>
          </w:tcPr>
          <w:p w14:paraId="76C277A2"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Georgia</w:t>
            </w:r>
          </w:p>
        </w:tc>
      </w:tr>
      <w:tr w:rsidR="00D73DF7" w:rsidRPr="00CA5F27" w14:paraId="08D9C400" w14:textId="77777777" w:rsidTr="00274218">
        <w:tc>
          <w:tcPr>
            <w:tcW w:w="2880" w:type="dxa"/>
            <w:vAlign w:val="center"/>
            <w:hideMark/>
          </w:tcPr>
          <w:p w14:paraId="198E862F"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Somalia</w:t>
            </w:r>
          </w:p>
        </w:tc>
        <w:tc>
          <w:tcPr>
            <w:tcW w:w="2592" w:type="dxa"/>
            <w:vAlign w:val="center"/>
            <w:hideMark/>
          </w:tcPr>
          <w:p w14:paraId="0BBE7312"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Philippines</w:t>
            </w:r>
          </w:p>
        </w:tc>
        <w:tc>
          <w:tcPr>
            <w:tcW w:w="2592" w:type="dxa"/>
            <w:vAlign w:val="center"/>
            <w:hideMark/>
          </w:tcPr>
          <w:p w14:paraId="245143A5"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Luxembourg</w:t>
            </w:r>
          </w:p>
        </w:tc>
        <w:tc>
          <w:tcPr>
            <w:tcW w:w="2880" w:type="dxa"/>
            <w:vAlign w:val="center"/>
            <w:hideMark/>
          </w:tcPr>
          <w:p w14:paraId="5C9CDD11"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Macedonia, FYR</w:t>
            </w:r>
          </w:p>
        </w:tc>
      </w:tr>
      <w:tr w:rsidR="00D73DF7" w:rsidRPr="00CA5F27" w14:paraId="13FB1984" w14:textId="77777777" w:rsidTr="00274218">
        <w:tc>
          <w:tcPr>
            <w:tcW w:w="2880" w:type="dxa"/>
            <w:vAlign w:val="center"/>
            <w:hideMark/>
          </w:tcPr>
          <w:p w14:paraId="2540D9EA"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Australia</w:t>
            </w:r>
          </w:p>
        </w:tc>
        <w:tc>
          <w:tcPr>
            <w:tcW w:w="2592" w:type="dxa"/>
            <w:vAlign w:val="center"/>
            <w:hideMark/>
          </w:tcPr>
          <w:p w14:paraId="43F4BC66"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Maldives</w:t>
            </w:r>
          </w:p>
        </w:tc>
        <w:tc>
          <w:tcPr>
            <w:tcW w:w="2592" w:type="dxa"/>
            <w:vAlign w:val="center"/>
            <w:hideMark/>
          </w:tcPr>
          <w:p w14:paraId="1EEC7F75"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Estonia</w:t>
            </w:r>
          </w:p>
        </w:tc>
        <w:tc>
          <w:tcPr>
            <w:tcW w:w="2880" w:type="dxa"/>
            <w:vAlign w:val="center"/>
            <w:hideMark/>
          </w:tcPr>
          <w:p w14:paraId="71E25C48"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Montenegro, Rep. of</w:t>
            </w:r>
          </w:p>
        </w:tc>
      </w:tr>
      <w:tr w:rsidR="00D73DF7" w:rsidRPr="00CA5F27" w14:paraId="52DAC7CE" w14:textId="77777777" w:rsidTr="00274218">
        <w:tc>
          <w:tcPr>
            <w:tcW w:w="2880" w:type="dxa"/>
            <w:vAlign w:val="center"/>
            <w:hideMark/>
          </w:tcPr>
          <w:p w14:paraId="230E8B09"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Timor-Leste</w:t>
            </w:r>
          </w:p>
        </w:tc>
        <w:tc>
          <w:tcPr>
            <w:tcW w:w="2592" w:type="dxa"/>
            <w:vAlign w:val="center"/>
            <w:hideMark/>
          </w:tcPr>
          <w:p w14:paraId="7FF8A6F1"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Indonesia</w:t>
            </w:r>
          </w:p>
        </w:tc>
        <w:tc>
          <w:tcPr>
            <w:tcW w:w="2592" w:type="dxa"/>
            <w:vAlign w:val="center"/>
            <w:hideMark/>
          </w:tcPr>
          <w:p w14:paraId="0129611E"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Belize</w:t>
            </w:r>
          </w:p>
        </w:tc>
        <w:tc>
          <w:tcPr>
            <w:tcW w:w="2880" w:type="dxa"/>
            <w:vAlign w:val="center"/>
            <w:hideMark/>
          </w:tcPr>
          <w:p w14:paraId="2B7F6F3A"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Hungary</w:t>
            </w:r>
          </w:p>
        </w:tc>
      </w:tr>
      <w:tr w:rsidR="00D73DF7" w:rsidRPr="00CA5F27" w14:paraId="1790B38F" w14:textId="77777777" w:rsidTr="00274218">
        <w:tc>
          <w:tcPr>
            <w:tcW w:w="2880" w:type="dxa"/>
            <w:vAlign w:val="center"/>
            <w:hideMark/>
          </w:tcPr>
          <w:p w14:paraId="2E3016F8"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Kenya</w:t>
            </w:r>
          </w:p>
        </w:tc>
        <w:tc>
          <w:tcPr>
            <w:tcW w:w="2592" w:type="dxa"/>
            <w:vAlign w:val="center"/>
            <w:hideMark/>
          </w:tcPr>
          <w:p w14:paraId="05EE0442"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St. Kitts and Nevis</w:t>
            </w:r>
          </w:p>
        </w:tc>
        <w:tc>
          <w:tcPr>
            <w:tcW w:w="2592" w:type="dxa"/>
            <w:vAlign w:val="center"/>
            <w:hideMark/>
          </w:tcPr>
          <w:p w14:paraId="17261B7D"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Sweden</w:t>
            </w:r>
          </w:p>
        </w:tc>
        <w:tc>
          <w:tcPr>
            <w:tcW w:w="2880" w:type="dxa"/>
            <w:vAlign w:val="center"/>
            <w:hideMark/>
          </w:tcPr>
          <w:p w14:paraId="2BF95723"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Bosnia and Herzegovina</w:t>
            </w:r>
          </w:p>
        </w:tc>
      </w:tr>
      <w:tr w:rsidR="00D73DF7" w:rsidRPr="00CA5F27" w14:paraId="0AB2778B" w14:textId="77777777" w:rsidTr="00274218">
        <w:tc>
          <w:tcPr>
            <w:tcW w:w="2880" w:type="dxa"/>
            <w:vAlign w:val="center"/>
            <w:hideMark/>
          </w:tcPr>
          <w:p w14:paraId="25452042"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Iceland</w:t>
            </w:r>
          </w:p>
        </w:tc>
        <w:tc>
          <w:tcPr>
            <w:tcW w:w="2592" w:type="dxa"/>
            <w:vAlign w:val="center"/>
            <w:hideMark/>
          </w:tcPr>
          <w:p w14:paraId="67F35D5D"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Denmark</w:t>
            </w:r>
          </w:p>
        </w:tc>
        <w:tc>
          <w:tcPr>
            <w:tcW w:w="2592" w:type="dxa"/>
            <w:vAlign w:val="center"/>
            <w:hideMark/>
          </w:tcPr>
          <w:p w14:paraId="7E51AD5F"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Austria</w:t>
            </w:r>
          </w:p>
        </w:tc>
        <w:tc>
          <w:tcPr>
            <w:tcW w:w="2880" w:type="dxa"/>
            <w:vAlign w:val="center"/>
            <w:hideMark/>
          </w:tcPr>
          <w:p w14:paraId="1E7507A1"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Bulgaria</w:t>
            </w:r>
          </w:p>
        </w:tc>
      </w:tr>
      <w:tr w:rsidR="00D73DF7" w:rsidRPr="00CA5F27" w14:paraId="366966E0" w14:textId="77777777" w:rsidTr="00274218">
        <w:tc>
          <w:tcPr>
            <w:tcW w:w="2880" w:type="dxa"/>
            <w:vAlign w:val="center"/>
            <w:hideMark/>
          </w:tcPr>
          <w:p w14:paraId="7BA0D0FB"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NA</w:t>
            </w:r>
          </w:p>
        </w:tc>
        <w:tc>
          <w:tcPr>
            <w:tcW w:w="2592" w:type="dxa"/>
            <w:vAlign w:val="center"/>
            <w:hideMark/>
          </w:tcPr>
          <w:p w14:paraId="637E23F1"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NA</w:t>
            </w:r>
          </w:p>
        </w:tc>
        <w:tc>
          <w:tcPr>
            <w:tcW w:w="2592" w:type="dxa"/>
            <w:vAlign w:val="center"/>
            <w:hideMark/>
          </w:tcPr>
          <w:p w14:paraId="7935D101"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South Africa</w:t>
            </w:r>
          </w:p>
        </w:tc>
        <w:tc>
          <w:tcPr>
            <w:tcW w:w="2880" w:type="dxa"/>
            <w:vAlign w:val="center"/>
            <w:hideMark/>
          </w:tcPr>
          <w:p w14:paraId="20A00841" w14:textId="77777777" w:rsidR="00CA5F27" w:rsidRPr="00CA5F27" w:rsidRDefault="00CA5F27" w:rsidP="00274218">
            <w:pPr>
              <w:spacing w:after="0" w:line="240" w:lineRule="auto"/>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Peru</w:t>
            </w:r>
          </w:p>
        </w:tc>
      </w:tr>
    </w:tbl>
    <w:p w14:paraId="1C6CC6CD" w14:textId="14135E26" w:rsidR="00CA5F27" w:rsidRPr="00274218" w:rsidRDefault="00CA5F27" w:rsidP="00274218">
      <w:pPr>
        <w:spacing w:line="360" w:lineRule="auto"/>
        <w:rPr>
          <w:rFonts w:ascii="Times New Roman" w:hAnsi="Times New Roman" w:cs="Times New Roman"/>
          <w:sz w:val="24"/>
          <w:szCs w:val="24"/>
        </w:rPr>
      </w:pPr>
    </w:p>
    <w:p w14:paraId="460F89B5" w14:textId="77777777" w:rsidR="00CA5F27" w:rsidRPr="00173569" w:rsidRDefault="00CA5F27" w:rsidP="00245CBF">
      <w:pPr>
        <w:pStyle w:val="ListParagraph"/>
        <w:spacing w:line="360" w:lineRule="auto"/>
        <w:rPr>
          <w:rFonts w:ascii="Times New Roman" w:hAnsi="Times New Roman" w:cs="Times New Roman"/>
          <w:sz w:val="24"/>
          <w:szCs w:val="24"/>
        </w:rPr>
      </w:pPr>
    </w:p>
    <w:p w14:paraId="50403A8A" w14:textId="34B45503" w:rsidR="00C1313F" w:rsidRPr="00173569" w:rsidRDefault="00C1313F" w:rsidP="00245CBF">
      <w:pPr>
        <w:spacing w:line="360" w:lineRule="auto"/>
        <w:rPr>
          <w:rFonts w:ascii="Times New Roman" w:eastAsia="Times New Roman" w:hAnsi="Times New Roman" w:cs="Times New Roman"/>
          <w:b/>
          <w:bCs/>
          <w:color w:val="222222"/>
          <w:sz w:val="24"/>
          <w:szCs w:val="24"/>
        </w:rPr>
      </w:pPr>
    </w:p>
    <w:p w14:paraId="12C0670E" w14:textId="77777777" w:rsidR="005E64BA" w:rsidRPr="00173569" w:rsidRDefault="005E64BA">
      <w:pPr>
        <w:rPr>
          <w:rFonts w:ascii="Times New Roman" w:hAnsi="Times New Roman" w:cs="Times New Roman"/>
          <w:b/>
          <w:sz w:val="24"/>
          <w:szCs w:val="28"/>
        </w:rPr>
      </w:pPr>
      <w:r w:rsidRPr="00173569">
        <w:rPr>
          <w:rFonts w:ascii="Times New Roman" w:hAnsi="Times New Roman" w:cs="Times New Roman"/>
          <w:b/>
          <w:sz w:val="24"/>
          <w:szCs w:val="28"/>
        </w:rPr>
        <w:br w:type="page"/>
      </w:r>
    </w:p>
    <w:p w14:paraId="676E2923" w14:textId="71743920" w:rsidR="006E6783" w:rsidRPr="00173569" w:rsidRDefault="006E6783" w:rsidP="006E6783">
      <w:pPr>
        <w:spacing w:line="360" w:lineRule="auto"/>
        <w:rPr>
          <w:rFonts w:ascii="Times New Roman" w:hAnsi="Times New Roman" w:cs="Times New Roman"/>
          <w:sz w:val="24"/>
          <w:szCs w:val="28"/>
        </w:rPr>
      </w:pPr>
      <w:r w:rsidRPr="00173569">
        <w:rPr>
          <w:rFonts w:ascii="Times New Roman" w:hAnsi="Times New Roman" w:cs="Times New Roman"/>
          <w:b/>
          <w:sz w:val="24"/>
          <w:szCs w:val="28"/>
        </w:rPr>
        <w:lastRenderedPageBreak/>
        <w:t xml:space="preserve">Table </w:t>
      </w:r>
      <w:r w:rsidR="006454F0" w:rsidRPr="00173569">
        <w:rPr>
          <w:rFonts w:ascii="Times New Roman" w:hAnsi="Times New Roman" w:cs="Times New Roman"/>
          <w:b/>
          <w:sz w:val="24"/>
          <w:szCs w:val="28"/>
        </w:rPr>
        <w:t>2A</w:t>
      </w:r>
      <w:r w:rsidRPr="00173569">
        <w:rPr>
          <w:rFonts w:ascii="Times New Roman" w:hAnsi="Times New Roman" w:cs="Times New Roman"/>
          <w:b/>
          <w:sz w:val="24"/>
          <w:szCs w:val="28"/>
        </w:rPr>
        <w:t>:</w:t>
      </w:r>
      <w:r w:rsidRPr="00173569">
        <w:rPr>
          <w:rFonts w:ascii="Times New Roman" w:hAnsi="Times New Roman" w:cs="Times New Roman"/>
          <w:sz w:val="24"/>
          <w:szCs w:val="28"/>
        </w:rPr>
        <w:t xml:space="preserve"> </w:t>
      </w:r>
      <w:r w:rsidRPr="00173569">
        <w:rPr>
          <w:rFonts w:ascii="Times New Roman" w:hAnsi="Times New Roman" w:cs="Times New Roman"/>
          <w:sz w:val="24"/>
          <w:szCs w:val="24"/>
        </w:rPr>
        <w:t>Country List of Quartiles of Cumulative Excess Mortality/Millions of Countries</w:t>
      </w:r>
      <w:r w:rsidRPr="00173569">
        <w:rPr>
          <w:rFonts w:ascii="Times New Roman" w:hAnsi="Times New Roman" w:cs="Times New Roman"/>
          <w:color w:val="000000" w:themeColor="text1"/>
          <w:sz w:val="24"/>
          <w:szCs w:val="24"/>
        </w:rPr>
        <w:t xml:space="preserve">, December 31, 2021 </w:t>
      </w:r>
    </w:p>
    <w:tbl>
      <w:tblPr>
        <w:tblStyle w:val="TableGrid"/>
        <w:tblW w:w="10944" w:type="dxa"/>
        <w:tblLayout w:type="fixed"/>
        <w:tblLook w:val="06A0" w:firstRow="1" w:lastRow="0" w:firstColumn="1" w:lastColumn="0" w:noHBand="1" w:noVBand="1"/>
      </w:tblPr>
      <w:tblGrid>
        <w:gridCol w:w="2785"/>
        <w:gridCol w:w="2610"/>
        <w:gridCol w:w="2790"/>
        <w:gridCol w:w="2759"/>
      </w:tblGrid>
      <w:tr w:rsidR="00F418F2" w:rsidRPr="00CA5F27" w14:paraId="3CE2401F" w14:textId="77777777" w:rsidTr="00C82A25">
        <w:tc>
          <w:tcPr>
            <w:tcW w:w="2785" w:type="dxa"/>
            <w:vAlign w:val="center"/>
            <w:hideMark/>
          </w:tcPr>
          <w:p w14:paraId="786869AC" w14:textId="77777777" w:rsidR="00F418F2" w:rsidRPr="00C01697" w:rsidRDefault="00F418F2" w:rsidP="00F418F2">
            <w:pPr>
              <w:jc w:val="center"/>
              <w:rPr>
                <w:rFonts w:ascii="Times New Roman" w:eastAsia="Times New Roman" w:hAnsi="Times New Roman" w:cs="Times New Roman"/>
                <w:b/>
                <w:bCs/>
                <w:sz w:val="24"/>
                <w:szCs w:val="24"/>
              </w:rPr>
            </w:pPr>
            <w:r w:rsidRPr="00C01697">
              <w:rPr>
                <w:rFonts w:ascii="Times New Roman" w:eastAsia="Times New Roman" w:hAnsi="Times New Roman" w:cs="Times New Roman"/>
                <w:b/>
                <w:bCs/>
                <w:sz w:val="24"/>
                <w:szCs w:val="24"/>
              </w:rPr>
              <w:t>1</w:t>
            </w:r>
            <w:r w:rsidRPr="00C01697">
              <w:rPr>
                <w:rFonts w:ascii="Times New Roman" w:eastAsia="Times New Roman" w:hAnsi="Times New Roman" w:cs="Times New Roman"/>
                <w:b/>
                <w:bCs/>
                <w:sz w:val="24"/>
                <w:szCs w:val="24"/>
                <w:vertAlign w:val="superscript"/>
              </w:rPr>
              <w:t>st</w:t>
            </w:r>
            <w:r w:rsidRPr="00C01697">
              <w:rPr>
                <w:rFonts w:ascii="Times New Roman" w:eastAsia="Times New Roman" w:hAnsi="Times New Roman" w:cs="Times New Roman"/>
                <w:b/>
                <w:bCs/>
                <w:sz w:val="24"/>
                <w:szCs w:val="24"/>
              </w:rPr>
              <w:t xml:space="preserve"> Quartile (Lowest Cum. Mortality)</w:t>
            </w:r>
          </w:p>
          <w:p w14:paraId="0845B836" w14:textId="0F33CCA0" w:rsidR="00F418F2" w:rsidRPr="00CA5F27" w:rsidRDefault="00F418F2" w:rsidP="00F418F2">
            <w:pPr>
              <w:jc w:val="center"/>
              <w:rPr>
                <w:rFonts w:ascii="Times New Roman" w:eastAsia="Times New Roman" w:hAnsi="Times New Roman" w:cs="Times New Roman"/>
                <w:b/>
                <w:bCs/>
                <w:sz w:val="24"/>
                <w:szCs w:val="24"/>
                <w:lang w:eastAsia="zh-CN"/>
              </w:rPr>
            </w:pPr>
            <w:r w:rsidRPr="002C0BDC">
              <w:rPr>
                <w:rFonts w:ascii="Times New Roman" w:eastAsia="Times New Roman" w:hAnsi="Times New Roman" w:cs="Times New Roman"/>
                <w:b/>
                <w:bCs/>
                <w:sz w:val="24"/>
                <w:szCs w:val="24"/>
                <w:highlight w:val="yellow"/>
                <w:lang w:eastAsia="zh-CN"/>
              </w:rPr>
              <w:t>Range = [</w:t>
            </w:r>
            <w:r>
              <w:rPr>
                <w:rFonts w:ascii="Times New Roman" w:eastAsia="Times New Roman" w:hAnsi="Times New Roman" w:cs="Times New Roman"/>
                <w:b/>
                <w:bCs/>
                <w:sz w:val="24"/>
                <w:szCs w:val="24"/>
                <w:highlight w:val="yellow"/>
                <w:lang w:eastAsia="zh-CN"/>
              </w:rPr>
              <w:t>-610.1</w:t>
            </w:r>
            <w:r w:rsidRPr="002C0BDC">
              <w:rPr>
                <w:rFonts w:ascii="Times New Roman" w:eastAsia="Times New Roman" w:hAnsi="Times New Roman" w:cs="Times New Roman"/>
                <w:b/>
                <w:bCs/>
                <w:sz w:val="24"/>
                <w:szCs w:val="24"/>
                <w:highlight w:val="yellow"/>
                <w:lang w:eastAsia="zh-CN"/>
              </w:rPr>
              <w:t xml:space="preserve">, </w:t>
            </w:r>
            <w:r>
              <w:rPr>
                <w:rFonts w:ascii="Times New Roman" w:eastAsia="Times New Roman" w:hAnsi="Times New Roman" w:cs="Times New Roman"/>
                <w:b/>
                <w:bCs/>
                <w:sz w:val="24"/>
                <w:szCs w:val="24"/>
                <w:highlight w:val="yellow"/>
                <w:lang w:eastAsia="zh-CN"/>
              </w:rPr>
              <w:t>735.8</w:t>
            </w:r>
            <w:r w:rsidRPr="002C0BDC">
              <w:rPr>
                <w:rFonts w:ascii="Times New Roman" w:eastAsia="Times New Roman" w:hAnsi="Times New Roman" w:cs="Times New Roman"/>
                <w:b/>
                <w:bCs/>
                <w:sz w:val="24"/>
                <w:szCs w:val="24"/>
                <w:highlight w:val="yellow"/>
                <w:lang w:eastAsia="zh-CN"/>
              </w:rPr>
              <w:t>]</w:t>
            </w:r>
          </w:p>
        </w:tc>
        <w:tc>
          <w:tcPr>
            <w:tcW w:w="2610" w:type="dxa"/>
            <w:vAlign w:val="center"/>
            <w:hideMark/>
          </w:tcPr>
          <w:p w14:paraId="08F7D849" w14:textId="77777777" w:rsidR="00F418F2" w:rsidRPr="002C0BDC" w:rsidRDefault="00F418F2" w:rsidP="00F418F2">
            <w:pPr>
              <w:jc w:val="center"/>
              <w:rPr>
                <w:rFonts w:ascii="Times New Roman" w:eastAsia="Times New Roman" w:hAnsi="Times New Roman" w:cs="Times New Roman"/>
                <w:b/>
                <w:bCs/>
                <w:sz w:val="24"/>
                <w:szCs w:val="24"/>
              </w:rPr>
            </w:pPr>
            <w:r w:rsidRPr="002C0BDC">
              <w:rPr>
                <w:rFonts w:ascii="Times New Roman" w:eastAsia="Times New Roman" w:hAnsi="Times New Roman" w:cs="Times New Roman"/>
                <w:b/>
                <w:bCs/>
                <w:sz w:val="24"/>
                <w:szCs w:val="24"/>
              </w:rPr>
              <w:t>2</w:t>
            </w:r>
            <w:r w:rsidRPr="002C0BDC">
              <w:rPr>
                <w:rFonts w:ascii="Times New Roman" w:eastAsia="Times New Roman" w:hAnsi="Times New Roman" w:cs="Times New Roman"/>
                <w:b/>
                <w:bCs/>
                <w:sz w:val="24"/>
                <w:szCs w:val="24"/>
                <w:vertAlign w:val="superscript"/>
              </w:rPr>
              <w:t>nd</w:t>
            </w:r>
            <w:r w:rsidRPr="002C0BDC">
              <w:rPr>
                <w:rFonts w:ascii="Times New Roman" w:eastAsia="Times New Roman" w:hAnsi="Times New Roman" w:cs="Times New Roman"/>
                <w:b/>
                <w:bCs/>
                <w:sz w:val="24"/>
                <w:szCs w:val="24"/>
              </w:rPr>
              <w:t xml:space="preserve"> Quartile</w:t>
            </w:r>
          </w:p>
          <w:p w14:paraId="27312464" w14:textId="77777777" w:rsidR="00F418F2" w:rsidRPr="002C0BDC" w:rsidRDefault="00F418F2" w:rsidP="00F418F2">
            <w:pPr>
              <w:jc w:val="center"/>
              <w:rPr>
                <w:rFonts w:ascii="Times New Roman" w:eastAsia="Times New Roman" w:hAnsi="Times New Roman" w:cs="Times New Roman"/>
                <w:b/>
                <w:bCs/>
                <w:sz w:val="24"/>
                <w:szCs w:val="24"/>
              </w:rPr>
            </w:pPr>
          </w:p>
          <w:p w14:paraId="75B89F0B" w14:textId="7D8957E2" w:rsidR="00F418F2" w:rsidRPr="00CA5F27" w:rsidRDefault="00F418F2" w:rsidP="00F418F2">
            <w:pPr>
              <w:jc w:val="center"/>
              <w:rPr>
                <w:rFonts w:ascii="Times New Roman" w:eastAsia="Times New Roman" w:hAnsi="Times New Roman" w:cs="Times New Roman"/>
                <w:b/>
                <w:bCs/>
                <w:sz w:val="24"/>
                <w:szCs w:val="24"/>
                <w:lang w:eastAsia="zh-CN"/>
              </w:rPr>
            </w:pPr>
            <w:r w:rsidRPr="002C0BDC">
              <w:rPr>
                <w:rFonts w:ascii="Times New Roman" w:eastAsia="Times New Roman" w:hAnsi="Times New Roman" w:cs="Times New Roman"/>
                <w:b/>
                <w:bCs/>
                <w:sz w:val="24"/>
                <w:szCs w:val="24"/>
                <w:highlight w:val="yellow"/>
                <w:lang w:eastAsia="zh-CN"/>
              </w:rPr>
              <w:t>Range = [</w:t>
            </w:r>
            <w:r w:rsidR="00406BCD">
              <w:rPr>
                <w:rFonts w:ascii="Times New Roman" w:eastAsia="Times New Roman" w:hAnsi="Times New Roman" w:cs="Times New Roman"/>
                <w:b/>
                <w:bCs/>
                <w:sz w:val="24"/>
                <w:szCs w:val="24"/>
                <w:highlight w:val="yellow"/>
                <w:lang w:eastAsia="zh-CN"/>
              </w:rPr>
              <w:t>755.8</w:t>
            </w:r>
            <w:r w:rsidRPr="002C0BDC">
              <w:rPr>
                <w:rFonts w:ascii="Times New Roman" w:eastAsia="Times New Roman" w:hAnsi="Times New Roman" w:cs="Times New Roman"/>
                <w:b/>
                <w:bCs/>
                <w:sz w:val="24"/>
                <w:szCs w:val="24"/>
                <w:highlight w:val="yellow"/>
                <w:lang w:eastAsia="zh-CN"/>
              </w:rPr>
              <w:t xml:space="preserve">, </w:t>
            </w:r>
            <w:r w:rsidR="00406BCD">
              <w:rPr>
                <w:rFonts w:ascii="Times New Roman" w:eastAsia="Times New Roman" w:hAnsi="Times New Roman" w:cs="Times New Roman"/>
                <w:b/>
                <w:bCs/>
                <w:sz w:val="24"/>
                <w:szCs w:val="24"/>
                <w:highlight w:val="yellow"/>
                <w:lang w:eastAsia="zh-CN"/>
              </w:rPr>
              <w:t>1494.9</w:t>
            </w:r>
            <w:r w:rsidRPr="002C0BDC">
              <w:rPr>
                <w:rFonts w:ascii="Times New Roman" w:eastAsia="Times New Roman" w:hAnsi="Times New Roman" w:cs="Times New Roman"/>
                <w:b/>
                <w:bCs/>
                <w:sz w:val="24"/>
                <w:szCs w:val="24"/>
                <w:highlight w:val="yellow"/>
                <w:lang w:eastAsia="zh-CN"/>
              </w:rPr>
              <w:t>]</w:t>
            </w:r>
          </w:p>
        </w:tc>
        <w:tc>
          <w:tcPr>
            <w:tcW w:w="2790" w:type="dxa"/>
            <w:vAlign w:val="center"/>
            <w:hideMark/>
          </w:tcPr>
          <w:p w14:paraId="297169AD" w14:textId="77777777" w:rsidR="00F418F2" w:rsidRPr="002C0BDC" w:rsidRDefault="00F418F2" w:rsidP="00F418F2">
            <w:pPr>
              <w:jc w:val="center"/>
              <w:rPr>
                <w:rFonts w:ascii="Times New Roman" w:eastAsia="Times New Roman" w:hAnsi="Times New Roman" w:cs="Times New Roman"/>
                <w:b/>
                <w:bCs/>
                <w:sz w:val="24"/>
                <w:szCs w:val="24"/>
              </w:rPr>
            </w:pPr>
            <w:r w:rsidRPr="002C0BDC">
              <w:rPr>
                <w:rFonts w:ascii="Times New Roman" w:eastAsia="Times New Roman" w:hAnsi="Times New Roman" w:cs="Times New Roman"/>
                <w:b/>
                <w:bCs/>
                <w:sz w:val="24"/>
                <w:szCs w:val="24"/>
              </w:rPr>
              <w:t>3</w:t>
            </w:r>
            <w:r w:rsidRPr="002C0BDC">
              <w:rPr>
                <w:rFonts w:ascii="Times New Roman" w:eastAsia="Times New Roman" w:hAnsi="Times New Roman" w:cs="Times New Roman"/>
                <w:b/>
                <w:bCs/>
                <w:sz w:val="24"/>
                <w:szCs w:val="24"/>
                <w:vertAlign w:val="superscript"/>
              </w:rPr>
              <w:t>rd</w:t>
            </w:r>
            <w:r w:rsidRPr="002C0BDC">
              <w:rPr>
                <w:rFonts w:ascii="Times New Roman" w:eastAsia="Times New Roman" w:hAnsi="Times New Roman" w:cs="Times New Roman"/>
                <w:b/>
                <w:bCs/>
                <w:sz w:val="24"/>
                <w:szCs w:val="24"/>
              </w:rPr>
              <w:t xml:space="preserve"> Quartile</w:t>
            </w:r>
          </w:p>
          <w:p w14:paraId="7EEFE550" w14:textId="77777777" w:rsidR="00F418F2" w:rsidRPr="002C0BDC" w:rsidRDefault="00F418F2" w:rsidP="00F418F2">
            <w:pPr>
              <w:jc w:val="center"/>
              <w:rPr>
                <w:rFonts w:ascii="Times New Roman" w:eastAsia="Times New Roman" w:hAnsi="Times New Roman" w:cs="Times New Roman"/>
                <w:b/>
                <w:bCs/>
                <w:sz w:val="24"/>
                <w:szCs w:val="24"/>
              </w:rPr>
            </w:pPr>
          </w:p>
          <w:p w14:paraId="46BA6860" w14:textId="73714746" w:rsidR="00F418F2" w:rsidRPr="00CA5F27" w:rsidRDefault="00F418F2" w:rsidP="00F418F2">
            <w:pPr>
              <w:jc w:val="center"/>
              <w:rPr>
                <w:rFonts w:ascii="Times New Roman" w:eastAsia="Times New Roman" w:hAnsi="Times New Roman" w:cs="Times New Roman"/>
                <w:b/>
                <w:bCs/>
                <w:sz w:val="24"/>
                <w:szCs w:val="24"/>
                <w:lang w:eastAsia="zh-CN"/>
              </w:rPr>
            </w:pPr>
            <w:r w:rsidRPr="002C0BDC">
              <w:rPr>
                <w:rFonts w:ascii="Times New Roman" w:eastAsia="Times New Roman" w:hAnsi="Times New Roman" w:cs="Times New Roman"/>
                <w:b/>
                <w:bCs/>
                <w:sz w:val="24"/>
                <w:szCs w:val="24"/>
                <w:highlight w:val="yellow"/>
                <w:lang w:eastAsia="zh-CN"/>
              </w:rPr>
              <w:t>Range = [</w:t>
            </w:r>
            <w:r w:rsidR="00406BCD">
              <w:rPr>
                <w:rFonts w:ascii="Times New Roman" w:eastAsia="Times New Roman" w:hAnsi="Times New Roman" w:cs="Times New Roman"/>
                <w:b/>
                <w:bCs/>
                <w:sz w:val="24"/>
                <w:szCs w:val="24"/>
                <w:highlight w:val="yellow"/>
                <w:lang w:eastAsia="zh-CN"/>
              </w:rPr>
              <w:t>151</w:t>
            </w:r>
            <w:r w:rsidR="00C041D0">
              <w:rPr>
                <w:rFonts w:ascii="Times New Roman" w:eastAsia="Times New Roman" w:hAnsi="Times New Roman" w:cs="Times New Roman"/>
                <w:b/>
                <w:bCs/>
                <w:sz w:val="24"/>
                <w:szCs w:val="24"/>
                <w:highlight w:val="yellow"/>
                <w:lang w:eastAsia="zh-CN"/>
              </w:rPr>
              <w:t>1.0</w:t>
            </w:r>
            <w:r w:rsidRPr="002C0BDC">
              <w:rPr>
                <w:rFonts w:ascii="Times New Roman" w:eastAsia="Times New Roman" w:hAnsi="Times New Roman" w:cs="Times New Roman"/>
                <w:b/>
                <w:bCs/>
                <w:sz w:val="24"/>
                <w:szCs w:val="24"/>
                <w:highlight w:val="yellow"/>
                <w:lang w:eastAsia="zh-CN"/>
              </w:rPr>
              <w:t xml:space="preserve">, </w:t>
            </w:r>
            <w:r w:rsidR="00C041D0">
              <w:rPr>
                <w:rFonts w:ascii="Times New Roman" w:eastAsia="Times New Roman" w:hAnsi="Times New Roman" w:cs="Times New Roman"/>
                <w:b/>
                <w:bCs/>
                <w:sz w:val="24"/>
                <w:szCs w:val="24"/>
                <w:highlight w:val="yellow"/>
                <w:lang w:eastAsia="zh-CN"/>
              </w:rPr>
              <w:t>2821.9</w:t>
            </w:r>
            <w:r w:rsidRPr="002C0BDC">
              <w:rPr>
                <w:rFonts w:ascii="Times New Roman" w:eastAsia="Times New Roman" w:hAnsi="Times New Roman" w:cs="Times New Roman"/>
                <w:b/>
                <w:bCs/>
                <w:sz w:val="24"/>
                <w:szCs w:val="24"/>
                <w:highlight w:val="yellow"/>
                <w:lang w:eastAsia="zh-CN"/>
              </w:rPr>
              <w:t>]</w:t>
            </w:r>
          </w:p>
        </w:tc>
        <w:tc>
          <w:tcPr>
            <w:tcW w:w="2759" w:type="dxa"/>
            <w:vAlign w:val="center"/>
            <w:hideMark/>
          </w:tcPr>
          <w:p w14:paraId="6D868018" w14:textId="77777777" w:rsidR="00F418F2" w:rsidRPr="002C0BDC" w:rsidRDefault="00F418F2" w:rsidP="00F418F2">
            <w:pPr>
              <w:jc w:val="center"/>
              <w:rPr>
                <w:rFonts w:ascii="Times New Roman" w:eastAsia="Times New Roman" w:hAnsi="Times New Roman" w:cs="Times New Roman"/>
                <w:b/>
                <w:bCs/>
                <w:sz w:val="24"/>
                <w:szCs w:val="24"/>
              </w:rPr>
            </w:pPr>
            <w:r w:rsidRPr="002C0BDC">
              <w:rPr>
                <w:rFonts w:ascii="Times New Roman" w:eastAsia="Times New Roman" w:hAnsi="Times New Roman" w:cs="Times New Roman"/>
                <w:b/>
                <w:bCs/>
                <w:sz w:val="24"/>
                <w:szCs w:val="24"/>
              </w:rPr>
              <w:t>4</w:t>
            </w:r>
            <w:r w:rsidRPr="002C0BDC">
              <w:rPr>
                <w:rFonts w:ascii="Times New Roman" w:eastAsia="Times New Roman" w:hAnsi="Times New Roman" w:cs="Times New Roman"/>
                <w:b/>
                <w:bCs/>
                <w:sz w:val="24"/>
                <w:szCs w:val="24"/>
                <w:vertAlign w:val="superscript"/>
              </w:rPr>
              <w:t>th</w:t>
            </w:r>
            <w:r w:rsidRPr="002C0BDC">
              <w:rPr>
                <w:rFonts w:ascii="Times New Roman" w:eastAsia="Times New Roman" w:hAnsi="Times New Roman" w:cs="Times New Roman"/>
                <w:b/>
                <w:bCs/>
                <w:sz w:val="24"/>
                <w:szCs w:val="24"/>
              </w:rPr>
              <w:t xml:space="preserve"> Quartile (Highest Cum. Mortality)</w:t>
            </w:r>
          </w:p>
          <w:p w14:paraId="7842FC9E" w14:textId="2CA0F908" w:rsidR="00F418F2" w:rsidRPr="00CA5F27" w:rsidRDefault="00F418F2" w:rsidP="00F418F2">
            <w:pPr>
              <w:jc w:val="center"/>
              <w:rPr>
                <w:rFonts w:ascii="Times New Roman" w:eastAsia="Times New Roman" w:hAnsi="Times New Roman" w:cs="Times New Roman"/>
                <w:b/>
                <w:bCs/>
                <w:sz w:val="24"/>
                <w:szCs w:val="24"/>
                <w:lang w:eastAsia="zh-CN"/>
              </w:rPr>
            </w:pPr>
            <w:r w:rsidRPr="002C0BDC">
              <w:rPr>
                <w:rFonts w:ascii="Times New Roman" w:eastAsia="Times New Roman" w:hAnsi="Times New Roman" w:cs="Times New Roman"/>
                <w:b/>
                <w:bCs/>
                <w:sz w:val="24"/>
                <w:szCs w:val="24"/>
                <w:highlight w:val="yellow"/>
                <w:lang w:eastAsia="zh-CN"/>
              </w:rPr>
              <w:t>Range = [</w:t>
            </w:r>
            <w:r w:rsidR="00C041D0">
              <w:rPr>
                <w:rFonts w:ascii="Times New Roman" w:eastAsia="Times New Roman" w:hAnsi="Times New Roman" w:cs="Times New Roman"/>
                <w:b/>
                <w:bCs/>
                <w:sz w:val="24"/>
                <w:szCs w:val="24"/>
                <w:highlight w:val="yellow"/>
                <w:lang w:eastAsia="zh-CN"/>
              </w:rPr>
              <w:t>2879.2</w:t>
            </w:r>
            <w:r w:rsidRPr="002C0BDC">
              <w:rPr>
                <w:rFonts w:ascii="Times New Roman" w:eastAsia="Times New Roman" w:hAnsi="Times New Roman" w:cs="Times New Roman"/>
                <w:b/>
                <w:bCs/>
                <w:sz w:val="24"/>
                <w:szCs w:val="24"/>
                <w:highlight w:val="yellow"/>
                <w:lang w:eastAsia="zh-CN"/>
              </w:rPr>
              <w:t xml:space="preserve">, </w:t>
            </w:r>
            <w:r w:rsidR="00C041D0">
              <w:rPr>
                <w:rFonts w:ascii="Times New Roman" w:eastAsia="Times New Roman" w:hAnsi="Times New Roman" w:cs="Times New Roman"/>
                <w:b/>
                <w:bCs/>
                <w:sz w:val="24"/>
                <w:szCs w:val="24"/>
                <w:highlight w:val="yellow"/>
                <w:lang w:eastAsia="zh-CN"/>
              </w:rPr>
              <w:t>8839.1</w:t>
            </w:r>
            <w:r w:rsidRPr="002C0BDC">
              <w:rPr>
                <w:rFonts w:ascii="Times New Roman" w:eastAsia="Times New Roman" w:hAnsi="Times New Roman" w:cs="Times New Roman"/>
                <w:b/>
                <w:bCs/>
                <w:sz w:val="24"/>
                <w:szCs w:val="24"/>
                <w:highlight w:val="yellow"/>
                <w:lang w:eastAsia="zh-CN"/>
              </w:rPr>
              <w:t>]</w:t>
            </w:r>
          </w:p>
        </w:tc>
      </w:tr>
      <w:tr w:rsidR="00D73DF7" w:rsidRPr="00CA5F27" w14:paraId="45C6CC2C" w14:textId="77777777" w:rsidTr="00C82A25">
        <w:tc>
          <w:tcPr>
            <w:tcW w:w="2785" w:type="dxa"/>
            <w:vAlign w:val="center"/>
            <w:hideMark/>
          </w:tcPr>
          <w:p w14:paraId="4EC2AF84"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Palau</w:t>
            </w:r>
          </w:p>
        </w:tc>
        <w:tc>
          <w:tcPr>
            <w:tcW w:w="2610" w:type="dxa"/>
            <w:vAlign w:val="center"/>
            <w:hideMark/>
          </w:tcPr>
          <w:p w14:paraId="1DD43505"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Ireland</w:t>
            </w:r>
          </w:p>
        </w:tc>
        <w:tc>
          <w:tcPr>
            <w:tcW w:w="2790" w:type="dxa"/>
            <w:vAlign w:val="center"/>
            <w:hideMark/>
          </w:tcPr>
          <w:p w14:paraId="7102C107"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Cameroon</w:t>
            </w:r>
          </w:p>
        </w:tc>
        <w:tc>
          <w:tcPr>
            <w:tcW w:w="2759" w:type="dxa"/>
            <w:vAlign w:val="center"/>
            <w:hideMark/>
          </w:tcPr>
          <w:p w14:paraId="11B41CF0"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Bangladesh</w:t>
            </w:r>
          </w:p>
        </w:tc>
      </w:tr>
      <w:tr w:rsidR="00D73DF7" w:rsidRPr="00CA5F27" w14:paraId="63FB5B60" w14:textId="77777777" w:rsidTr="00C82A25">
        <w:tc>
          <w:tcPr>
            <w:tcW w:w="2785" w:type="dxa"/>
            <w:vAlign w:val="center"/>
            <w:hideMark/>
          </w:tcPr>
          <w:p w14:paraId="76939B88"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New Zealand</w:t>
            </w:r>
          </w:p>
        </w:tc>
        <w:tc>
          <w:tcPr>
            <w:tcW w:w="2610" w:type="dxa"/>
            <w:vAlign w:val="center"/>
            <w:hideMark/>
          </w:tcPr>
          <w:p w14:paraId="17C2B1A9"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Cyprus</w:t>
            </w:r>
          </w:p>
        </w:tc>
        <w:tc>
          <w:tcPr>
            <w:tcW w:w="2790" w:type="dxa"/>
            <w:vAlign w:val="center"/>
            <w:hideMark/>
          </w:tcPr>
          <w:p w14:paraId="2326609C"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Tajikistan</w:t>
            </w:r>
          </w:p>
        </w:tc>
        <w:tc>
          <w:tcPr>
            <w:tcW w:w="2759" w:type="dxa"/>
            <w:vAlign w:val="center"/>
            <w:hideMark/>
          </w:tcPr>
          <w:p w14:paraId="12550DB4"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United States</w:t>
            </w:r>
          </w:p>
        </w:tc>
      </w:tr>
      <w:tr w:rsidR="00D73DF7" w:rsidRPr="00CA5F27" w14:paraId="0EDFB4A1" w14:textId="77777777" w:rsidTr="00C82A25">
        <w:tc>
          <w:tcPr>
            <w:tcW w:w="2785" w:type="dxa"/>
            <w:vAlign w:val="center"/>
            <w:hideMark/>
          </w:tcPr>
          <w:p w14:paraId="3CED596D"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Australia</w:t>
            </w:r>
          </w:p>
        </w:tc>
        <w:tc>
          <w:tcPr>
            <w:tcW w:w="2610" w:type="dxa"/>
            <w:vAlign w:val="center"/>
            <w:hideMark/>
          </w:tcPr>
          <w:p w14:paraId="788C857C"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Antigua and Barbuda</w:t>
            </w:r>
          </w:p>
        </w:tc>
        <w:tc>
          <w:tcPr>
            <w:tcW w:w="2790" w:type="dxa"/>
            <w:vAlign w:val="center"/>
            <w:hideMark/>
          </w:tcPr>
          <w:p w14:paraId="41E9CC8D"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Afghanistan</w:t>
            </w:r>
          </w:p>
        </w:tc>
        <w:tc>
          <w:tcPr>
            <w:tcW w:w="2759" w:type="dxa"/>
            <w:vAlign w:val="center"/>
            <w:hideMark/>
          </w:tcPr>
          <w:p w14:paraId="41590348"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St. Lucia</w:t>
            </w:r>
          </w:p>
        </w:tc>
      </w:tr>
      <w:tr w:rsidR="00D73DF7" w:rsidRPr="00CA5F27" w14:paraId="3E2D2008" w14:textId="77777777" w:rsidTr="00C82A25">
        <w:tc>
          <w:tcPr>
            <w:tcW w:w="2785" w:type="dxa"/>
            <w:vAlign w:val="center"/>
            <w:hideMark/>
          </w:tcPr>
          <w:p w14:paraId="3721454D"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Kiribati</w:t>
            </w:r>
          </w:p>
        </w:tc>
        <w:tc>
          <w:tcPr>
            <w:tcW w:w="2610" w:type="dxa"/>
            <w:vAlign w:val="center"/>
            <w:hideMark/>
          </w:tcPr>
          <w:p w14:paraId="126C7963"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Syria</w:t>
            </w:r>
          </w:p>
        </w:tc>
        <w:tc>
          <w:tcPr>
            <w:tcW w:w="2790" w:type="dxa"/>
            <w:vAlign w:val="center"/>
            <w:hideMark/>
          </w:tcPr>
          <w:p w14:paraId="66797958"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Kenya</w:t>
            </w:r>
          </w:p>
        </w:tc>
        <w:tc>
          <w:tcPr>
            <w:tcW w:w="2759" w:type="dxa"/>
            <w:vAlign w:val="center"/>
            <w:hideMark/>
          </w:tcPr>
          <w:p w14:paraId="5D310F84"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Iran</w:t>
            </w:r>
          </w:p>
        </w:tc>
      </w:tr>
      <w:tr w:rsidR="00D73DF7" w:rsidRPr="00CA5F27" w14:paraId="21427CE8" w14:textId="77777777" w:rsidTr="00C82A25">
        <w:tc>
          <w:tcPr>
            <w:tcW w:w="2785" w:type="dxa"/>
            <w:vAlign w:val="center"/>
            <w:hideMark/>
          </w:tcPr>
          <w:p w14:paraId="6432AE04"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Marshall Islands</w:t>
            </w:r>
          </w:p>
        </w:tc>
        <w:tc>
          <w:tcPr>
            <w:tcW w:w="2610" w:type="dxa"/>
            <w:vAlign w:val="center"/>
            <w:hideMark/>
          </w:tcPr>
          <w:p w14:paraId="074ACADD"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St. Vincent and the Grenadines</w:t>
            </w:r>
          </w:p>
        </w:tc>
        <w:tc>
          <w:tcPr>
            <w:tcW w:w="2790" w:type="dxa"/>
            <w:vAlign w:val="center"/>
            <w:hideMark/>
          </w:tcPr>
          <w:p w14:paraId="5B5539FB"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Mozambique</w:t>
            </w:r>
          </w:p>
        </w:tc>
        <w:tc>
          <w:tcPr>
            <w:tcW w:w="2759" w:type="dxa"/>
            <w:vAlign w:val="center"/>
            <w:hideMark/>
          </w:tcPr>
          <w:p w14:paraId="6F9E26C6"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Suriname</w:t>
            </w:r>
          </w:p>
        </w:tc>
      </w:tr>
      <w:tr w:rsidR="00D73DF7" w:rsidRPr="00CA5F27" w14:paraId="157BAA06" w14:textId="77777777" w:rsidTr="00C82A25">
        <w:tc>
          <w:tcPr>
            <w:tcW w:w="2785" w:type="dxa"/>
            <w:vAlign w:val="center"/>
            <w:hideMark/>
          </w:tcPr>
          <w:p w14:paraId="0EBE973E"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Nauru</w:t>
            </w:r>
          </w:p>
        </w:tc>
        <w:tc>
          <w:tcPr>
            <w:tcW w:w="2610" w:type="dxa"/>
            <w:vAlign w:val="center"/>
            <w:hideMark/>
          </w:tcPr>
          <w:p w14:paraId="40BCD986"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Côte d'Ivoire</w:t>
            </w:r>
          </w:p>
        </w:tc>
        <w:tc>
          <w:tcPr>
            <w:tcW w:w="2790" w:type="dxa"/>
            <w:vAlign w:val="center"/>
            <w:hideMark/>
          </w:tcPr>
          <w:p w14:paraId="27F1C5C5"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Zambia</w:t>
            </w:r>
          </w:p>
        </w:tc>
        <w:tc>
          <w:tcPr>
            <w:tcW w:w="2759" w:type="dxa"/>
            <w:vAlign w:val="center"/>
            <w:hideMark/>
          </w:tcPr>
          <w:p w14:paraId="013CD31D"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Argentina</w:t>
            </w:r>
          </w:p>
        </w:tc>
      </w:tr>
      <w:tr w:rsidR="00D73DF7" w:rsidRPr="00CA5F27" w14:paraId="08D6D215" w14:textId="77777777" w:rsidTr="00C82A25">
        <w:tc>
          <w:tcPr>
            <w:tcW w:w="2785" w:type="dxa"/>
            <w:vAlign w:val="center"/>
            <w:hideMark/>
          </w:tcPr>
          <w:p w14:paraId="44365B48"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Tonga</w:t>
            </w:r>
          </w:p>
        </w:tc>
        <w:tc>
          <w:tcPr>
            <w:tcW w:w="2610" w:type="dxa"/>
            <w:vAlign w:val="center"/>
            <w:hideMark/>
          </w:tcPr>
          <w:p w14:paraId="7458B9D9"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Finland</w:t>
            </w:r>
          </w:p>
        </w:tc>
        <w:tc>
          <w:tcPr>
            <w:tcW w:w="2790" w:type="dxa"/>
            <w:vAlign w:val="center"/>
            <w:hideMark/>
          </w:tcPr>
          <w:p w14:paraId="0ADEB684"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Morocco</w:t>
            </w:r>
          </w:p>
        </w:tc>
        <w:tc>
          <w:tcPr>
            <w:tcW w:w="2759" w:type="dxa"/>
            <w:vAlign w:val="center"/>
            <w:hideMark/>
          </w:tcPr>
          <w:p w14:paraId="1D0CA306"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Italy</w:t>
            </w:r>
          </w:p>
        </w:tc>
      </w:tr>
      <w:tr w:rsidR="00D73DF7" w:rsidRPr="00CA5F27" w14:paraId="273D8ED7" w14:textId="77777777" w:rsidTr="00C82A25">
        <w:tc>
          <w:tcPr>
            <w:tcW w:w="2785" w:type="dxa"/>
            <w:vAlign w:val="center"/>
            <w:hideMark/>
          </w:tcPr>
          <w:p w14:paraId="34462C3F"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Eritrea</w:t>
            </w:r>
          </w:p>
        </w:tc>
        <w:tc>
          <w:tcPr>
            <w:tcW w:w="2610" w:type="dxa"/>
            <w:vAlign w:val="center"/>
            <w:hideMark/>
          </w:tcPr>
          <w:p w14:paraId="031C44B5"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Oman</w:t>
            </w:r>
          </w:p>
        </w:tc>
        <w:tc>
          <w:tcPr>
            <w:tcW w:w="2790" w:type="dxa"/>
            <w:vAlign w:val="center"/>
            <w:hideMark/>
          </w:tcPr>
          <w:p w14:paraId="6E8482BB"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Rwanda</w:t>
            </w:r>
          </w:p>
        </w:tc>
        <w:tc>
          <w:tcPr>
            <w:tcW w:w="2759" w:type="dxa"/>
            <w:vAlign w:val="center"/>
            <w:hideMark/>
          </w:tcPr>
          <w:p w14:paraId="6C983BDD"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Colombia</w:t>
            </w:r>
          </w:p>
        </w:tc>
      </w:tr>
      <w:tr w:rsidR="00D73DF7" w:rsidRPr="00CA5F27" w14:paraId="6B074969" w14:textId="77777777" w:rsidTr="00C82A25">
        <w:tc>
          <w:tcPr>
            <w:tcW w:w="2785" w:type="dxa"/>
            <w:vAlign w:val="center"/>
            <w:hideMark/>
          </w:tcPr>
          <w:p w14:paraId="7F9D83D3"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Vanuatu</w:t>
            </w:r>
          </w:p>
        </w:tc>
        <w:tc>
          <w:tcPr>
            <w:tcW w:w="2610" w:type="dxa"/>
            <w:vAlign w:val="center"/>
            <w:hideMark/>
          </w:tcPr>
          <w:p w14:paraId="58D73EEB"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Fiji</w:t>
            </w:r>
          </w:p>
        </w:tc>
        <w:tc>
          <w:tcPr>
            <w:tcW w:w="2790" w:type="dxa"/>
            <w:vAlign w:val="center"/>
            <w:hideMark/>
          </w:tcPr>
          <w:p w14:paraId="5495B495"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Yemen</w:t>
            </w:r>
          </w:p>
        </w:tc>
        <w:tc>
          <w:tcPr>
            <w:tcW w:w="2759" w:type="dxa"/>
            <w:vAlign w:val="center"/>
            <w:hideMark/>
          </w:tcPr>
          <w:p w14:paraId="0E3D9199"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Brazil</w:t>
            </w:r>
          </w:p>
        </w:tc>
      </w:tr>
      <w:tr w:rsidR="00D73DF7" w:rsidRPr="00CA5F27" w14:paraId="24E008B2" w14:textId="77777777" w:rsidTr="00C82A25">
        <w:tc>
          <w:tcPr>
            <w:tcW w:w="2785" w:type="dxa"/>
            <w:vAlign w:val="center"/>
            <w:hideMark/>
          </w:tcPr>
          <w:p w14:paraId="11982F24"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Samoa</w:t>
            </w:r>
          </w:p>
        </w:tc>
        <w:tc>
          <w:tcPr>
            <w:tcW w:w="2610" w:type="dxa"/>
            <w:vAlign w:val="center"/>
            <w:hideMark/>
          </w:tcPr>
          <w:p w14:paraId="1655446F"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Cambodia</w:t>
            </w:r>
          </w:p>
        </w:tc>
        <w:tc>
          <w:tcPr>
            <w:tcW w:w="2790" w:type="dxa"/>
            <w:vAlign w:val="center"/>
            <w:hideMark/>
          </w:tcPr>
          <w:p w14:paraId="602F0D52"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Congo, Republic of</w:t>
            </w:r>
          </w:p>
        </w:tc>
        <w:tc>
          <w:tcPr>
            <w:tcW w:w="2759" w:type="dxa"/>
            <w:vAlign w:val="center"/>
            <w:hideMark/>
          </w:tcPr>
          <w:p w14:paraId="081EE912"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El Salvador</w:t>
            </w:r>
          </w:p>
        </w:tc>
      </w:tr>
      <w:tr w:rsidR="00D73DF7" w:rsidRPr="00CA5F27" w14:paraId="4532FD9C" w14:textId="77777777" w:rsidTr="00C82A25">
        <w:tc>
          <w:tcPr>
            <w:tcW w:w="2785" w:type="dxa"/>
            <w:vAlign w:val="center"/>
            <w:hideMark/>
          </w:tcPr>
          <w:p w14:paraId="41BA4E22"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Papua New Guinea</w:t>
            </w:r>
          </w:p>
        </w:tc>
        <w:tc>
          <w:tcPr>
            <w:tcW w:w="2610" w:type="dxa"/>
            <w:vAlign w:val="center"/>
            <w:hideMark/>
          </w:tcPr>
          <w:p w14:paraId="23545468"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Israel</w:t>
            </w:r>
          </w:p>
        </w:tc>
        <w:tc>
          <w:tcPr>
            <w:tcW w:w="2790" w:type="dxa"/>
            <w:vAlign w:val="center"/>
            <w:hideMark/>
          </w:tcPr>
          <w:p w14:paraId="7536DC64"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Kuwait</w:t>
            </w:r>
          </w:p>
        </w:tc>
        <w:tc>
          <w:tcPr>
            <w:tcW w:w="2759" w:type="dxa"/>
            <w:vAlign w:val="center"/>
            <w:hideMark/>
          </w:tcPr>
          <w:p w14:paraId="54B1D486"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Libya</w:t>
            </w:r>
          </w:p>
        </w:tc>
      </w:tr>
      <w:tr w:rsidR="00D73DF7" w:rsidRPr="00CA5F27" w14:paraId="4E24D449" w14:textId="77777777" w:rsidTr="00C82A25">
        <w:tc>
          <w:tcPr>
            <w:tcW w:w="2785" w:type="dxa"/>
            <w:vAlign w:val="center"/>
            <w:hideMark/>
          </w:tcPr>
          <w:p w14:paraId="503816D9"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Taiwan Province of China</w:t>
            </w:r>
          </w:p>
        </w:tc>
        <w:tc>
          <w:tcPr>
            <w:tcW w:w="2610" w:type="dxa"/>
            <w:vAlign w:val="center"/>
            <w:hideMark/>
          </w:tcPr>
          <w:p w14:paraId="12D1601F"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Grenada</w:t>
            </w:r>
          </w:p>
        </w:tc>
        <w:tc>
          <w:tcPr>
            <w:tcW w:w="2790" w:type="dxa"/>
            <w:vAlign w:val="center"/>
            <w:hideMark/>
          </w:tcPr>
          <w:p w14:paraId="05613E36"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Gabon</w:t>
            </w:r>
          </w:p>
        </w:tc>
        <w:tc>
          <w:tcPr>
            <w:tcW w:w="2759" w:type="dxa"/>
            <w:vAlign w:val="center"/>
            <w:hideMark/>
          </w:tcPr>
          <w:p w14:paraId="7E9C52E3"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Botswana</w:t>
            </w:r>
          </w:p>
        </w:tc>
      </w:tr>
      <w:tr w:rsidR="00D73DF7" w:rsidRPr="00CA5F27" w14:paraId="4032F9D1" w14:textId="77777777" w:rsidTr="00C82A25">
        <w:tc>
          <w:tcPr>
            <w:tcW w:w="2785" w:type="dxa"/>
            <w:vAlign w:val="center"/>
            <w:hideMark/>
          </w:tcPr>
          <w:p w14:paraId="75F0DE3E"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Solomon Islands</w:t>
            </w:r>
          </w:p>
        </w:tc>
        <w:tc>
          <w:tcPr>
            <w:tcW w:w="2610" w:type="dxa"/>
            <w:vAlign w:val="center"/>
            <w:hideMark/>
          </w:tcPr>
          <w:p w14:paraId="348AD5AD"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Thailand</w:t>
            </w:r>
          </w:p>
        </w:tc>
        <w:tc>
          <w:tcPr>
            <w:tcW w:w="2790" w:type="dxa"/>
            <w:vAlign w:val="center"/>
            <w:hideMark/>
          </w:tcPr>
          <w:p w14:paraId="4D343014"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Panama</w:t>
            </w:r>
          </w:p>
        </w:tc>
        <w:tc>
          <w:tcPr>
            <w:tcW w:w="2759" w:type="dxa"/>
            <w:vAlign w:val="center"/>
            <w:hideMark/>
          </w:tcPr>
          <w:p w14:paraId="66254E1F"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Nepal</w:t>
            </w:r>
          </w:p>
        </w:tc>
      </w:tr>
      <w:tr w:rsidR="00D73DF7" w:rsidRPr="00CA5F27" w14:paraId="1498D046" w14:textId="77777777" w:rsidTr="00C82A25">
        <w:tc>
          <w:tcPr>
            <w:tcW w:w="2785" w:type="dxa"/>
            <w:vAlign w:val="center"/>
            <w:hideMark/>
          </w:tcPr>
          <w:p w14:paraId="7EA698BE"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Seychelles</w:t>
            </w:r>
          </w:p>
        </w:tc>
        <w:tc>
          <w:tcPr>
            <w:tcW w:w="2610" w:type="dxa"/>
            <w:vAlign w:val="center"/>
            <w:hideMark/>
          </w:tcPr>
          <w:p w14:paraId="583EBEB6"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Nigeria</w:t>
            </w:r>
          </w:p>
        </w:tc>
        <w:tc>
          <w:tcPr>
            <w:tcW w:w="2790" w:type="dxa"/>
            <w:vAlign w:val="center"/>
            <w:hideMark/>
          </w:tcPr>
          <w:p w14:paraId="7A273889"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Mauritania</w:t>
            </w:r>
          </w:p>
        </w:tc>
        <w:tc>
          <w:tcPr>
            <w:tcW w:w="2759" w:type="dxa"/>
            <w:vAlign w:val="center"/>
            <w:hideMark/>
          </w:tcPr>
          <w:p w14:paraId="4DB0D99A"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Pakistan</w:t>
            </w:r>
          </w:p>
        </w:tc>
      </w:tr>
      <w:tr w:rsidR="00D73DF7" w:rsidRPr="00CA5F27" w14:paraId="7358F03E" w14:textId="77777777" w:rsidTr="00C82A25">
        <w:tc>
          <w:tcPr>
            <w:tcW w:w="2785" w:type="dxa"/>
            <w:vAlign w:val="center"/>
            <w:hideMark/>
          </w:tcPr>
          <w:p w14:paraId="457AD36A"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Iceland</w:t>
            </w:r>
          </w:p>
        </w:tc>
        <w:tc>
          <w:tcPr>
            <w:tcW w:w="2610" w:type="dxa"/>
            <w:vAlign w:val="center"/>
            <w:hideMark/>
          </w:tcPr>
          <w:p w14:paraId="140D5603"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Uruguay</w:t>
            </w:r>
          </w:p>
        </w:tc>
        <w:tc>
          <w:tcPr>
            <w:tcW w:w="2790" w:type="dxa"/>
            <w:vAlign w:val="center"/>
            <w:hideMark/>
          </w:tcPr>
          <w:p w14:paraId="5EA97606"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Algeria</w:t>
            </w:r>
          </w:p>
        </w:tc>
        <w:tc>
          <w:tcPr>
            <w:tcW w:w="2759" w:type="dxa"/>
            <w:vAlign w:val="center"/>
            <w:hideMark/>
          </w:tcPr>
          <w:p w14:paraId="2621A237"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India</w:t>
            </w:r>
          </w:p>
        </w:tc>
      </w:tr>
      <w:tr w:rsidR="00D73DF7" w:rsidRPr="00CA5F27" w14:paraId="39EEDFA9" w14:textId="77777777" w:rsidTr="00C82A25">
        <w:tc>
          <w:tcPr>
            <w:tcW w:w="2785" w:type="dxa"/>
            <w:vAlign w:val="center"/>
            <w:hideMark/>
          </w:tcPr>
          <w:p w14:paraId="360579AD"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Montserrat</w:t>
            </w:r>
          </w:p>
        </w:tc>
        <w:tc>
          <w:tcPr>
            <w:tcW w:w="2610" w:type="dxa"/>
            <w:vAlign w:val="center"/>
            <w:hideMark/>
          </w:tcPr>
          <w:p w14:paraId="0B19C522"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Tanzania</w:t>
            </w:r>
          </w:p>
        </w:tc>
        <w:tc>
          <w:tcPr>
            <w:tcW w:w="2790" w:type="dxa"/>
            <w:vAlign w:val="center"/>
            <w:hideMark/>
          </w:tcPr>
          <w:p w14:paraId="76AC5050"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Austria</w:t>
            </w:r>
          </w:p>
        </w:tc>
        <w:tc>
          <w:tcPr>
            <w:tcW w:w="2759" w:type="dxa"/>
            <w:vAlign w:val="center"/>
            <w:hideMark/>
          </w:tcPr>
          <w:p w14:paraId="4B91F849"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Namibia</w:t>
            </w:r>
          </w:p>
        </w:tc>
      </w:tr>
      <w:tr w:rsidR="00D73DF7" w:rsidRPr="00CA5F27" w14:paraId="75E5AB8B" w14:textId="77777777" w:rsidTr="00C82A25">
        <w:tc>
          <w:tcPr>
            <w:tcW w:w="2785" w:type="dxa"/>
            <w:vAlign w:val="center"/>
            <w:hideMark/>
          </w:tcPr>
          <w:p w14:paraId="1C0739C1"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Korea</w:t>
            </w:r>
          </w:p>
        </w:tc>
        <w:tc>
          <w:tcPr>
            <w:tcW w:w="2610" w:type="dxa"/>
            <w:vAlign w:val="center"/>
            <w:hideMark/>
          </w:tcPr>
          <w:p w14:paraId="5C3F4F0B"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Malta</w:t>
            </w:r>
          </w:p>
        </w:tc>
        <w:tc>
          <w:tcPr>
            <w:tcW w:w="2790" w:type="dxa"/>
            <w:vAlign w:val="center"/>
            <w:hideMark/>
          </w:tcPr>
          <w:p w14:paraId="03C8401A"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Venezuela</w:t>
            </w:r>
          </w:p>
        </w:tc>
        <w:tc>
          <w:tcPr>
            <w:tcW w:w="2759" w:type="dxa"/>
            <w:vAlign w:val="center"/>
            <w:hideMark/>
          </w:tcPr>
          <w:p w14:paraId="344FD686"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Ecuador</w:t>
            </w:r>
          </w:p>
        </w:tc>
      </w:tr>
      <w:tr w:rsidR="00D73DF7" w:rsidRPr="00CA5F27" w14:paraId="0B2F428E" w14:textId="77777777" w:rsidTr="00C82A25">
        <w:tc>
          <w:tcPr>
            <w:tcW w:w="2785" w:type="dxa"/>
            <w:vAlign w:val="center"/>
            <w:hideMark/>
          </w:tcPr>
          <w:p w14:paraId="06F2DDAC"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Central African Republic</w:t>
            </w:r>
          </w:p>
        </w:tc>
        <w:tc>
          <w:tcPr>
            <w:tcW w:w="2610" w:type="dxa"/>
            <w:vAlign w:val="center"/>
            <w:hideMark/>
          </w:tcPr>
          <w:p w14:paraId="2E2ED1CC"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Jamaica</w:t>
            </w:r>
          </w:p>
        </w:tc>
        <w:tc>
          <w:tcPr>
            <w:tcW w:w="2790" w:type="dxa"/>
            <w:vAlign w:val="center"/>
            <w:hideMark/>
          </w:tcPr>
          <w:p w14:paraId="55334F6E"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Belize</w:t>
            </w:r>
          </w:p>
        </w:tc>
        <w:tc>
          <w:tcPr>
            <w:tcW w:w="2759" w:type="dxa"/>
            <w:vAlign w:val="center"/>
            <w:hideMark/>
          </w:tcPr>
          <w:p w14:paraId="2C7B2460"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Turkey</w:t>
            </w:r>
          </w:p>
        </w:tc>
      </w:tr>
      <w:tr w:rsidR="00D73DF7" w:rsidRPr="00CA5F27" w14:paraId="57558CFA" w14:textId="77777777" w:rsidTr="00C82A25">
        <w:tc>
          <w:tcPr>
            <w:tcW w:w="2785" w:type="dxa"/>
            <w:vAlign w:val="center"/>
            <w:hideMark/>
          </w:tcPr>
          <w:p w14:paraId="2F190699"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Japan</w:t>
            </w:r>
          </w:p>
        </w:tc>
        <w:tc>
          <w:tcPr>
            <w:tcW w:w="2610" w:type="dxa"/>
            <w:vAlign w:val="center"/>
            <w:hideMark/>
          </w:tcPr>
          <w:p w14:paraId="6E1EDA38"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United Arab Emirates</w:t>
            </w:r>
          </w:p>
        </w:tc>
        <w:tc>
          <w:tcPr>
            <w:tcW w:w="2790" w:type="dxa"/>
            <w:vAlign w:val="center"/>
            <w:hideMark/>
          </w:tcPr>
          <w:p w14:paraId="30A690DA"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Niger</w:t>
            </w:r>
          </w:p>
        </w:tc>
        <w:tc>
          <w:tcPr>
            <w:tcW w:w="2759" w:type="dxa"/>
            <w:vAlign w:val="center"/>
            <w:hideMark/>
          </w:tcPr>
          <w:p w14:paraId="010FD470"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Azerbaijan</w:t>
            </w:r>
          </w:p>
        </w:tc>
      </w:tr>
      <w:tr w:rsidR="00D73DF7" w:rsidRPr="00CA5F27" w14:paraId="1D1913EA" w14:textId="77777777" w:rsidTr="00C82A25">
        <w:tc>
          <w:tcPr>
            <w:tcW w:w="2785" w:type="dxa"/>
            <w:vAlign w:val="center"/>
            <w:hideMark/>
          </w:tcPr>
          <w:p w14:paraId="080E26D2"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Singapore</w:t>
            </w:r>
          </w:p>
        </w:tc>
        <w:tc>
          <w:tcPr>
            <w:tcW w:w="2610" w:type="dxa"/>
            <w:vAlign w:val="center"/>
            <w:hideMark/>
          </w:tcPr>
          <w:p w14:paraId="21F3F69F"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Liberia</w:t>
            </w:r>
          </w:p>
        </w:tc>
        <w:tc>
          <w:tcPr>
            <w:tcW w:w="2790" w:type="dxa"/>
            <w:vAlign w:val="center"/>
            <w:hideMark/>
          </w:tcPr>
          <w:p w14:paraId="2748EB4F"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Netherlands</w:t>
            </w:r>
          </w:p>
        </w:tc>
        <w:tc>
          <w:tcPr>
            <w:tcW w:w="2759" w:type="dxa"/>
            <w:vAlign w:val="center"/>
            <w:hideMark/>
          </w:tcPr>
          <w:p w14:paraId="3377FC5C"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San Marino</w:t>
            </w:r>
          </w:p>
        </w:tc>
      </w:tr>
      <w:tr w:rsidR="00D73DF7" w:rsidRPr="00CA5F27" w14:paraId="351E8555" w14:textId="77777777" w:rsidTr="00C82A25">
        <w:tc>
          <w:tcPr>
            <w:tcW w:w="2785" w:type="dxa"/>
            <w:vAlign w:val="center"/>
            <w:hideMark/>
          </w:tcPr>
          <w:p w14:paraId="661DBE37"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Bhutan</w:t>
            </w:r>
          </w:p>
        </w:tc>
        <w:tc>
          <w:tcPr>
            <w:tcW w:w="2610" w:type="dxa"/>
            <w:vAlign w:val="center"/>
            <w:hideMark/>
          </w:tcPr>
          <w:p w14:paraId="1E172564"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Gambia, The</w:t>
            </w:r>
          </w:p>
        </w:tc>
        <w:tc>
          <w:tcPr>
            <w:tcW w:w="2790" w:type="dxa"/>
            <w:vAlign w:val="center"/>
            <w:hideMark/>
          </w:tcPr>
          <w:p w14:paraId="790225E5"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Chile</w:t>
            </w:r>
          </w:p>
        </w:tc>
        <w:tc>
          <w:tcPr>
            <w:tcW w:w="2759" w:type="dxa"/>
            <w:vAlign w:val="center"/>
            <w:hideMark/>
          </w:tcPr>
          <w:p w14:paraId="6274C7B6"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South Africa</w:t>
            </w:r>
          </w:p>
        </w:tc>
      </w:tr>
      <w:tr w:rsidR="00D73DF7" w:rsidRPr="00CA5F27" w14:paraId="43794EC7" w14:textId="77777777" w:rsidTr="00C82A25">
        <w:tc>
          <w:tcPr>
            <w:tcW w:w="2785" w:type="dxa"/>
            <w:vAlign w:val="center"/>
            <w:hideMark/>
          </w:tcPr>
          <w:p w14:paraId="6EEDDD27"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St. Kitts and Nevis</w:t>
            </w:r>
          </w:p>
        </w:tc>
        <w:tc>
          <w:tcPr>
            <w:tcW w:w="2610" w:type="dxa"/>
            <w:vAlign w:val="center"/>
            <w:hideMark/>
          </w:tcPr>
          <w:p w14:paraId="364A01C0"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Togo</w:t>
            </w:r>
          </w:p>
        </w:tc>
        <w:tc>
          <w:tcPr>
            <w:tcW w:w="2790" w:type="dxa"/>
            <w:vAlign w:val="center"/>
            <w:hideMark/>
          </w:tcPr>
          <w:p w14:paraId="503201D5"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Bahamas, The</w:t>
            </w:r>
          </w:p>
        </w:tc>
        <w:tc>
          <w:tcPr>
            <w:tcW w:w="2759" w:type="dxa"/>
            <w:vAlign w:val="center"/>
            <w:hideMark/>
          </w:tcPr>
          <w:p w14:paraId="297D357A"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Czech Republic</w:t>
            </w:r>
          </w:p>
        </w:tc>
      </w:tr>
      <w:tr w:rsidR="00D73DF7" w:rsidRPr="00CA5F27" w14:paraId="5BC5C769" w14:textId="77777777" w:rsidTr="00C82A25">
        <w:tc>
          <w:tcPr>
            <w:tcW w:w="2785" w:type="dxa"/>
            <w:vAlign w:val="center"/>
            <w:hideMark/>
          </w:tcPr>
          <w:p w14:paraId="1FD010BF"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Barbados</w:t>
            </w:r>
          </w:p>
        </w:tc>
        <w:tc>
          <w:tcPr>
            <w:tcW w:w="2610" w:type="dxa"/>
            <w:vAlign w:val="center"/>
            <w:hideMark/>
          </w:tcPr>
          <w:p w14:paraId="0C1F2ACF"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Comoros</w:t>
            </w:r>
          </w:p>
        </w:tc>
        <w:tc>
          <w:tcPr>
            <w:tcW w:w="2790" w:type="dxa"/>
            <w:vAlign w:val="center"/>
            <w:hideMark/>
          </w:tcPr>
          <w:p w14:paraId="22B9FC40"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Belgium</w:t>
            </w:r>
          </w:p>
        </w:tc>
        <w:tc>
          <w:tcPr>
            <w:tcW w:w="2759" w:type="dxa"/>
            <w:vAlign w:val="center"/>
            <w:hideMark/>
          </w:tcPr>
          <w:p w14:paraId="540EEDCE"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Latvia</w:t>
            </w:r>
          </w:p>
        </w:tc>
      </w:tr>
      <w:tr w:rsidR="00D73DF7" w:rsidRPr="00CA5F27" w14:paraId="4B564FFB" w14:textId="77777777" w:rsidTr="00C82A25">
        <w:tc>
          <w:tcPr>
            <w:tcW w:w="2785" w:type="dxa"/>
            <w:vAlign w:val="center"/>
            <w:hideMark/>
          </w:tcPr>
          <w:p w14:paraId="4D7FDD3D"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Anguilla</w:t>
            </w:r>
          </w:p>
        </w:tc>
        <w:tc>
          <w:tcPr>
            <w:tcW w:w="2610" w:type="dxa"/>
            <w:vAlign w:val="center"/>
            <w:hideMark/>
          </w:tcPr>
          <w:p w14:paraId="3D573BAF"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Uzbekistan</w:t>
            </w:r>
          </w:p>
        </w:tc>
        <w:tc>
          <w:tcPr>
            <w:tcW w:w="2790" w:type="dxa"/>
            <w:vAlign w:val="center"/>
            <w:hideMark/>
          </w:tcPr>
          <w:p w14:paraId="56999033"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Lebanon</w:t>
            </w:r>
          </w:p>
        </w:tc>
        <w:tc>
          <w:tcPr>
            <w:tcW w:w="2759" w:type="dxa"/>
            <w:vAlign w:val="center"/>
            <w:hideMark/>
          </w:tcPr>
          <w:p w14:paraId="5C3DD662"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Hungary</w:t>
            </w:r>
          </w:p>
        </w:tc>
      </w:tr>
      <w:tr w:rsidR="00D73DF7" w:rsidRPr="00CA5F27" w14:paraId="760ADFF3" w14:textId="77777777" w:rsidTr="00C82A25">
        <w:tc>
          <w:tcPr>
            <w:tcW w:w="2785" w:type="dxa"/>
            <w:vAlign w:val="center"/>
            <w:hideMark/>
          </w:tcPr>
          <w:p w14:paraId="49473CFB"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Turkmenistan</w:t>
            </w:r>
          </w:p>
        </w:tc>
        <w:tc>
          <w:tcPr>
            <w:tcW w:w="2610" w:type="dxa"/>
            <w:vAlign w:val="center"/>
            <w:hideMark/>
          </w:tcPr>
          <w:p w14:paraId="4CFB3922"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Angola</w:t>
            </w:r>
          </w:p>
        </w:tc>
        <w:tc>
          <w:tcPr>
            <w:tcW w:w="2790" w:type="dxa"/>
            <w:vAlign w:val="center"/>
            <w:hideMark/>
          </w:tcPr>
          <w:p w14:paraId="5CCB9FEC"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Kyrgyz Republic</w:t>
            </w:r>
          </w:p>
        </w:tc>
        <w:tc>
          <w:tcPr>
            <w:tcW w:w="2759" w:type="dxa"/>
            <w:vAlign w:val="center"/>
            <w:hideMark/>
          </w:tcPr>
          <w:p w14:paraId="0AC30105"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Moldova</w:t>
            </w:r>
          </w:p>
        </w:tc>
      </w:tr>
      <w:tr w:rsidR="00D73DF7" w:rsidRPr="00CA5F27" w14:paraId="5318CE29" w14:textId="77777777" w:rsidTr="00C82A25">
        <w:tc>
          <w:tcPr>
            <w:tcW w:w="2785" w:type="dxa"/>
            <w:vAlign w:val="center"/>
            <w:hideMark/>
          </w:tcPr>
          <w:p w14:paraId="1A3E63E4"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Tuvalu</w:t>
            </w:r>
          </w:p>
        </w:tc>
        <w:tc>
          <w:tcPr>
            <w:tcW w:w="2610" w:type="dxa"/>
            <w:vAlign w:val="center"/>
            <w:hideMark/>
          </w:tcPr>
          <w:p w14:paraId="668AE9FB"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Madagascar</w:t>
            </w:r>
          </w:p>
        </w:tc>
        <w:tc>
          <w:tcPr>
            <w:tcW w:w="2790" w:type="dxa"/>
            <w:vAlign w:val="center"/>
            <w:hideMark/>
          </w:tcPr>
          <w:p w14:paraId="7A3F3F50"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Jordan</w:t>
            </w:r>
          </w:p>
        </w:tc>
        <w:tc>
          <w:tcPr>
            <w:tcW w:w="2759" w:type="dxa"/>
            <w:vAlign w:val="center"/>
            <w:hideMark/>
          </w:tcPr>
          <w:p w14:paraId="676CC6F0"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Kazakhstan</w:t>
            </w:r>
          </w:p>
        </w:tc>
      </w:tr>
      <w:tr w:rsidR="00D73DF7" w:rsidRPr="00CA5F27" w14:paraId="2447277B" w14:textId="77777777" w:rsidTr="00C82A25">
        <w:tc>
          <w:tcPr>
            <w:tcW w:w="2785" w:type="dxa"/>
            <w:vAlign w:val="center"/>
            <w:hideMark/>
          </w:tcPr>
          <w:p w14:paraId="79A9E716"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Hong Kong SAR</w:t>
            </w:r>
          </w:p>
        </w:tc>
        <w:tc>
          <w:tcPr>
            <w:tcW w:w="2610" w:type="dxa"/>
            <w:vAlign w:val="center"/>
            <w:hideMark/>
          </w:tcPr>
          <w:p w14:paraId="0613424A"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Mali</w:t>
            </w:r>
          </w:p>
        </w:tc>
        <w:tc>
          <w:tcPr>
            <w:tcW w:w="2790" w:type="dxa"/>
            <w:vAlign w:val="center"/>
            <w:hideMark/>
          </w:tcPr>
          <w:p w14:paraId="2BE2B7C6"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Philippines</w:t>
            </w:r>
          </w:p>
        </w:tc>
        <w:tc>
          <w:tcPr>
            <w:tcW w:w="2759" w:type="dxa"/>
            <w:vAlign w:val="center"/>
            <w:hideMark/>
          </w:tcPr>
          <w:p w14:paraId="33B0E4D2"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Bolivia</w:t>
            </w:r>
          </w:p>
        </w:tc>
      </w:tr>
      <w:tr w:rsidR="00D73DF7" w:rsidRPr="00CA5F27" w14:paraId="15D931E0" w14:textId="77777777" w:rsidTr="00C82A25">
        <w:tc>
          <w:tcPr>
            <w:tcW w:w="2785" w:type="dxa"/>
            <w:vAlign w:val="center"/>
            <w:hideMark/>
          </w:tcPr>
          <w:p w14:paraId="58C24F55"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China</w:t>
            </w:r>
          </w:p>
        </w:tc>
        <w:tc>
          <w:tcPr>
            <w:tcW w:w="2610" w:type="dxa"/>
            <w:vAlign w:val="center"/>
            <w:hideMark/>
          </w:tcPr>
          <w:p w14:paraId="316A4BD1"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Guinea-Bissau</w:t>
            </w:r>
          </w:p>
        </w:tc>
        <w:tc>
          <w:tcPr>
            <w:tcW w:w="2790" w:type="dxa"/>
            <w:vAlign w:val="center"/>
            <w:hideMark/>
          </w:tcPr>
          <w:p w14:paraId="55EB65E5"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United Kingdom</w:t>
            </w:r>
          </w:p>
        </w:tc>
        <w:tc>
          <w:tcPr>
            <w:tcW w:w="2759" w:type="dxa"/>
            <w:vAlign w:val="center"/>
            <w:hideMark/>
          </w:tcPr>
          <w:p w14:paraId="42B0DB48"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Swaziland</w:t>
            </w:r>
          </w:p>
        </w:tc>
      </w:tr>
      <w:tr w:rsidR="00D73DF7" w:rsidRPr="00CA5F27" w14:paraId="4337837B" w14:textId="77777777" w:rsidTr="00C82A25">
        <w:tc>
          <w:tcPr>
            <w:tcW w:w="2785" w:type="dxa"/>
            <w:vAlign w:val="center"/>
            <w:hideMark/>
          </w:tcPr>
          <w:p w14:paraId="485B1440"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Qatar</w:t>
            </w:r>
          </w:p>
        </w:tc>
        <w:tc>
          <w:tcPr>
            <w:tcW w:w="2610" w:type="dxa"/>
            <w:vAlign w:val="center"/>
            <w:hideMark/>
          </w:tcPr>
          <w:p w14:paraId="6924A5BA"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Uganda</w:t>
            </w:r>
          </w:p>
        </w:tc>
        <w:tc>
          <w:tcPr>
            <w:tcW w:w="2790" w:type="dxa"/>
            <w:vAlign w:val="center"/>
            <w:hideMark/>
          </w:tcPr>
          <w:p w14:paraId="3DF6BF8A"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Cabo Verde</w:t>
            </w:r>
          </w:p>
        </w:tc>
        <w:tc>
          <w:tcPr>
            <w:tcW w:w="2759" w:type="dxa"/>
            <w:vAlign w:val="center"/>
            <w:hideMark/>
          </w:tcPr>
          <w:p w14:paraId="3E1EEB59"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Poland</w:t>
            </w:r>
          </w:p>
        </w:tc>
      </w:tr>
      <w:tr w:rsidR="00D73DF7" w:rsidRPr="00CA5F27" w14:paraId="42870B56" w14:textId="77777777" w:rsidTr="00C82A25">
        <w:tc>
          <w:tcPr>
            <w:tcW w:w="2785" w:type="dxa"/>
            <w:vAlign w:val="center"/>
            <w:hideMark/>
          </w:tcPr>
          <w:p w14:paraId="43BBF0D5"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Sierra Leone</w:t>
            </w:r>
          </w:p>
        </w:tc>
        <w:tc>
          <w:tcPr>
            <w:tcW w:w="2610" w:type="dxa"/>
            <w:vAlign w:val="center"/>
            <w:hideMark/>
          </w:tcPr>
          <w:p w14:paraId="1C12EB7B"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Sweden</w:t>
            </w:r>
          </w:p>
        </w:tc>
        <w:tc>
          <w:tcPr>
            <w:tcW w:w="2790" w:type="dxa"/>
            <w:vAlign w:val="center"/>
            <w:hideMark/>
          </w:tcPr>
          <w:p w14:paraId="1CE087D5"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South Sudan</w:t>
            </w:r>
          </w:p>
        </w:tc>
        <w:tc>
          <w:tcPr>
            <w:tcW w:w="2759" w:type="dxa"/>
            <w:vAlign w:val="center"/>
            <w:hideMark/>
          </w:tcPr>
          <w:p w14:paraId="6CC7A80E"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Ukraine</w:t>
            </w:r>
          </w:p>
        </w:tc>
      </w:tr>
      <w:tr w:rsidR="00D73DF7" w:rsidRPr="00CA5F27" w14:paraId="4B6B39AA" w14:textId="77777777" w:rsidTr="00C82A25">
        <w:tc>
          <w:tcPr>
            <w:tcW w:w="2785" w:type="dxa"/>
            <w:vAlign w:val="center"/>
            <w:hideMark/>
          </w:tcPr>
          <w:p w14:paraId="51CAAB99"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Equatorial Guinea</w:t>
            </w:r>
          </w:p>
        </w:tc>
        <w:tc>
          <w:tcPr>
            <w:tcW w:w="2610" w:type="dxa"/>
            <w:vAlign w:val="center"/>
            <w:hideMark/>
          </w:tcPr>
          <w:p w14:paraId="6725DFC0"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Malawi</w:t>
            </w:r>
          </w:p>
        </w:tc>
        <w:tc>
          <w:tcPr>
            <w:tcW w:w="2790" w:type="dxa"/>
            <w:vAlign w:val="center"/>
            <w:hideMark/>
          </w:tcPr>
          <w:p w14:paraId="3305BA6B"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Myanmar</w:t>
            </w:r>
          </w:p>
        </w:tc>
        <w:tc>
          <w:tcPr>
            <w:tcW w:w="2759" w:type="dxa"/>
            <w:vAlign w:val="center"/>
            <w:hideMark/>
          </w:tcPr>
          <w:p w14:paraId="7DCD6366"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Croatia</w:t>
            </w:r>
          </w:p>
        </w:tc>
      </w:tr>
      <w:tr w:rsidR="00D73DF7" w:rsidRPr="00CA5F27" w14:paraId="61B995A3" w14:textId="77777777" w:rsidTr="00C82A25">
        <w:tc>
          <w:tcPr>
            <w:tcW w:w="2785" w:type="dxa"/>
            <w:vAlign w:val="center"/>
            <w:hideMark/>
          </w:tcPr>
          <w:p w14:paraId="6B90011A"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Malaysia</w:t>
            </w:r>
          </w:p>
        </w:tc>
        <w:tc>
          <w:tcPr>
            <w:tcW w:w="2610" w:type="dxa"/>
            <w:vAlign w:val="center"/>
            <w:hideMark/>
          </w:tcPr>
          <w:p w14:paraId="0E873431"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Haiti</w:t>
            </w:r>
          </w:p>
        </w:tc>
        <w:tc>
          <w:tcPr>
            <w:tcW w:w="2790" w:type="dxa"/>
            <w:vAlign w:val="center"/>
            <w:hideMark/>
          </w:tcPr>
          <w:p w14:paraId="73E9E515"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Saudi Arabia</w:t>
            </w:r>
          </w:p>
        </w:tc>
        <w:tc>
          <w:tcPr>
            <w:tcW w:w="2759" w:type="dxa"/>
            <w:vAlign w:val="center"/>
            <w:hideMark/>
          </w:tcPr>
          <w:p w14:paraId="6F065A0D"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Mexico</w:t>
            </w:r>
          </w:p>
        </w:tc>
      </w:tr>
      <w:tr w:rsidR="00D73DF7" w:rsidRPr="00CA5F27" w14:paraId="469416BE" w14:textId="77777777" w:rsidTr="00C82A25">
        <w:tc>
          <w:tcPr>
            <w:tcW w:w="2785" w:type="dxa"/>
            <w:vAlign w:val="center"/>
            <w:hideMark/>
          </w:tcPr>
          <w:p w14:paraId="27AE843B"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Mongolia</w:t>
            </w:r>
          </w:p>
        </w:tc>
        <w:tc>
          <w:tcPr>
            <w:tcW w:w="2610" w:type="dxa"/>
            <w:vAlign w:val="center"/>
            <w:hideMark/>
          </w:tcPr>
          <w:p w14:paraId="6D138221"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Timor-Leste</w:t>
            </w:r>
          </w:p>
        </w:tc>
        <w:tc>
          <w:tcPr>
            <w:tcW w:w="2790" w:type="dxa"/>
            <w:vAlign w:val="center"/>
            <w:hideMark/>
          </w:tcPr>
          <w:p w14:paraId="20741CC2"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Greece</w:t>
            </w:r>
          </w:p>
        </w:tc>
        <w:tc>
          <w:tcPr>
            <w:tcW w:w="2759" w:type="dxa"/>
            <w:vAlign w:val="center"/>
            <w:hideMark/>
          </w:tcPr>
          <w:p w14:paraId="21800031"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Armenia</w:t>
            </w:r>
          </w:p>
        </w:tc>
      </w:tr>
      <w:tr w:rsidR="00D73DF7" w:rsidRPr="00CA5F27" w14:paraId="6312866B" w14:textId="77777777" w:rsidTr="00C82A25">
        <w:tc>
          <w:tcPr>
            <w:tcW w:w="2785" w:type="dxa"/>
            <w:vAlign w:val="center"/>
            <w:hideMark/>
          </w:tcPr>
          <w:p w14:paraId="3A3940AE"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Norway</w:t>
            </w:r>
          </w:p>
        </w:tc>
        <w:tc>
          <w:tcPr>
            <w:tcW w:w="2610" w:type="dxa"/>
            <w:vAlign w:val="center"/>
            <w:hideMark/>
          </w:tcPr>
          <w:p w14:paraId="41731BE4"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Maldives</w:t>
            </w:r>
          </w:p>
        </w:tc>
        <w:tc>
          <w:tcPr>
            <w:tcW w:w="2790" w:type="dxa"/>
            <w:vAlign w:val="center"/>
            <w:hideMark/>
          </w:tcPr>
          <w:p w14:paraId="7801DB02"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Portugal</w:t>
            </w:r>
          </w:p>
        </w:tc>
        <w:tc>
          <w:tcPr>
            <w:tcW w:w="2759" w:type="dxa"/>
            <w:vAlign w:val="center"/>
            <w:hideMark/>
          </w:tcPr>
          <w:p w14:paraId="7A3BCC1E"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Albania</w:t>
            </w:r>
          </w:p>
        </w:tc>
      </w:tr>
      <w:tr w:rsidR="00D73DF7" w:rsidRPr="00CA5F27" w14:paraId="3D895944" w14:textId="77777777" w:rsidTr="00C82A25">
        <w:tc>
          <w:tcPr>
            <w:tcW w:w="2785" w:type="dxa"/>
            <w:vAlign w:val="center"/>
            <w:hideMark/>
          </w:tcPr>
          <w:p w14:paraId="58BBA9E3"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Mauritius</w:t>
            </w:r>
          </w:p>
        </w:tc>
        <w:tc>
          <w:tcPr>
            <w:tcW w:w="2610" w:type="dxa"/>
            <w:vAlign w:val="center"/>
            <w:hideMark/>
          </w:tcPr>
          <w:p w14:paraId="32713C56"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Lesotho</w:t>
            </w:r>
          </w:p>
        </w:tc>
        <w:tc>
          <w:tcPr>
            <w:tcW w:w="2790" w:type="dxa"/>
            <w:vAlign w:val="center"/>
            <w:hideMark/>
          </w:tcPr>
          <w:p w14:paraId="3D248509"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Nicaragua</w:t>
            </w:r>
          </w:p>
        </w:tc>
        <w:tc>
          <w:tcPr>
            <w:tcW w:w="2759" w:type="dxa"/>
            <w:vAlign w:val="center"/>
            <w:hideMark/>
          </w:tcPr>
          <w:p w14:paraId="3D108349"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Slovak Republic</w:t>
            </w:r>
          </w:p>
        </w:tc>
      </w:tr>
      <w:tr w:rsidR="00D73DF7" w:rsidRPr="00CA5F27" w14:paraId="366E6D48" w14:textId="77777777" w:rsidTr="00C82A25">
        <w:tc>
          <w:tcPr>
            <w:tcW w:w="2785" w:type="dxa"/>
            <w:vAlign w:val="center"/>
            <w:hideMark/>
          </w:tcPr>
          <w:p w14:paraId="5932660F"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Brunei Darussalam</w:t>
            </w:r>
          </w:p>
        </w:tc>
        <w:tc>
          <w:tcPr>
            <w:tcW w:w="2610" w:type="dxa"/>
            <w:vAlign w:val="center"/>
            <w:hideMark/>
          </w:tcPr>
          <w:p w14:paraId="7D823DEA"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Congo, Democratic Republic of the</w:t>
            </w:r>
          </w:p>
        </w:tc>
        <w:tc>
          <w:tcPr>
            <w:tcW w:w="2790" w:type="dxa"/>
            <w:vAlign w:val="center"/>
            <w:hideMark/>
          </w:tcPr>
          <w:p w14:paraId="088E2C80"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Spain</w:t>
            </w:r>
          </w:p>
        </w:tc>
        <w:tc>
          <w:tcPr>
            <w:tcW w:w="2759" w:type="dxa"/>
            <w:vAlign w:val="center"/>
            <w:hideMark/>
          </w:tcPr>
          <w:p w14:paraId="514DF2F4"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Georgia</w:t>
            </w:r>
          </w:p>
        </w:tc>
      </w:tr>
      <w:tr w:rsidR="00D73DF7" w:rsidRPr="00CA5F27" w14:paraId="0A5D00E9" w14:textId="77777777" w:rsidTr="00C82A25">
        <w:tc>
          <w:tcPr>
            <w:tcW w:w="2785" w:type="dxa"/>
            <w:vAlign w:val="center"/>
            <w:hideMark/>
          </w:tcPr>
          <w:p w14:paraId="4563398C"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Benin</w:t>
            </w:r>
          </w:p>
        </w:tc>
        <w:tc>
          <w:tcPr>
            <w:tcW w:w="2610" w:type="dxa"/>
            <w:vAlign w:val="center"/>
            <w:hideMark/>
          </w:tcPr>
          <w:p w14:paraId="0AA39A43"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Lao P.D.R.</w:t>
            </w:r>
          </w:p>
        </w:tc>
        <w:tc>
          <w:tcPr>
            <w:tcW w:w="2790" w:type="dxa"/>
            <w:vAlign w:val="center"/>
            <w:hideMark/>
          </w:tcPr>
          <w:p w14:paraId="4161AD1E"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Tunisia</w:t>
            </w:r>
          </w:p>
        </w:tc>
        <w:tc>
          <w:tcPr>
            <w:tcW w:w="2759" w:type="dxa"/>
            <w:vAlign w:val="center"/>
            <w:hideMark/>
          </w:tcPr>
          <w:p w14:paraId="5B3B3B41"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Montenegro, Rep. of</w:t>
            </w:r>
          </w:p>
        </w:tc>
      </w:tr>
      <w:tr w:rsidR="00D73DF7" w:rsidRPr="00CA5F27" w14:paraId="2F80C752" w14:textId="77777777" w:rsidTr="00C82A25">
        <w:tc>
          <w:tcPr>
            <w:tcW w:w="2785" w:type="dxa"/>
            <w:vAlign w:val="center"/>
            <w:hideMark/>
          </w:tcPr>
          <w:p w14:paraId="2CF8AB62"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Micronesia</w:t>
            </w:r>
          </w:p>
        </w:tc>
        <w:tc>
          <w:tcPr>
            <w:tcW w:w="2610" w:type="dxa"/>
            <w:vAlign w:val="center"/>
            <w:hideMark/>
          </w:tcPr>
          <w:p w14:paraId="5AD3A60B"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Germany</w:t>
            </w:r>
          </w:p>
        </w:tc>
        <w:tc>
          <w:tcPr>
            <w:tcW w:w="2790" w:type="dxa"/>
            <w:vAlign w:val="center"/>
            <w:hideMark/>
          </w:tcPr>
          <w:p w14:paraId="0495CCDD"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Trinidad and Tobago</w:t>
            </w:r>
          </w:p>
        </w:tc>
        <w:tc>
          <w:tcPr>
            <w:tcW w:w="2759" w:type="dxa"/>
            <w:vAlign w:val="center"/>
            <w:hideMark/>
          </w:tcPr>
          <w:p w14:paraId="01E0FE19"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Djibouti</w:t>
            </w:r>
          </w:p>
        </w:tc>
      </w:tr>
      <w:tr w:rsidR="00D73DF7" w:rsidRPr="00CA5F27" w14:paraId="38BDEA1A" w14:textId="77777777" w:rsidTr="00C82A25">
        <w:tc>
          <w:tcPr>
            <w:tcW w:w="2785" w:type="dxa"/>
            <w:vAlign w:val="center"/>
            <w:hideMark/>
          </w:tcPr>
          <w:p w14:paraId="7A6B5E25"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Denmark</w:t>
            </w:r>
          </w:p>
        </w:tc>
        <w:tc>
          <w:tcPr>
            <w:tcW w:w="2610" w:type="dxa"/>
            <w:vAlign w:val="center"/>
            <w:hideMark/>
          </w:tcPr>
          <w:p w14:paraId="04079B9E"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Costa Rica</w:t>
            </w:r>
          </w:p>
        </w:tc>
        <w:tc>
          <w:tcPr>
            <w:tcW w:w="2790" w:type="dxa"/>
            <w:vAlign w:val="center"/>
            <w:hideMark/>
          </w:tcPr>
          <w:p w14:paraId="32E9BEB6"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Guatemala</w:t>
            </w:r>
          </w:p>
        </w:tc>
        <w:tc>
          <w:tcPr>
            <w:tcW w:w="2759" w:type="dxa"/>
            <w:vAlign w:val="center"/>
            <w:hideMark/>
          </w:tcPr>
          <w:p w14:paraId="4C461C71"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Romania</w:t>
            </w:r>
          </w:p>
        </w:tc>
      </w:tr>
      <w:tr w:rsidR="00D73DF7" w:rsidRPr="00CA5F27" w14:paraId="0281798F" w14:textId="77777777" w:rsidTr="00C82A25">
        <w:tc>
          <w:tcPr>
            <w:tcW w:w="2785" w:type="dxa"/>
            <w:vAlign w:val="center"/>
            <w:hideMark/>
          </w:tcPr>
          <w:p w14:paraId="68CAB31F"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Dominican Republic</w:t>
            </w:r>
          </w:p>
        </w:tc>
        <w:tc>
          <w:tcPr>
            <w:tcW w:w="2610" w:type="dxa"/>
            <w:vAlign w:val="center"/>
            <w:hideMark/>
          </w:tcPr>
          <w:p w14:paraId="434697A2"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Ethiopia</w:t>
            </w:r>
          </w:p>
        </w:tc>
        <w:tc>
          <w:tcPr>
            <w:tcW w:w="2790" w:type="dxa"/>
            <w:vAlign w:val="center"/>
            <w:hideMark/>
          </w:tcPr>
          <w:p w14:paraId="063406DC"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Chad</w:t>
            </w:r>
          </w:p>
        </w:tc>
        <w:tc>
          <w:tcPr>
            <w:tcW w:w="2759" w:type="dxa"/>
            <w:vAlign w:val="center"/>
            <w:hideMark/>
          </w:tcPr>
          <w:p w14:paraId="14F7D3B5"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Sudan</w:t>
            </w:r>
          </w:p>
        </w:tc>
      </w:tr>
      <w:tr w:rsidR="00D73DF7" w:rsidRPr="00CA5F27" w14:paraId="06F013FB" w14:textId="77777777" w:rsidTr="00C82A25">
        <w:tc>
          <w:tcPr>
            <w:tcW w:w="2785" w:type="dxa"/>
            <w:vAlign w:val="center"/>
            <w:hideMark/>
          </w:tcPr>
          <w:p w14:paraId="3C211C45"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Luxembourg</w:t>
            </w:r>
          </w:p>
        </w:tc>
        <w:tc>
          <w:tcPr>
            <w:tcW w:w="2610" w:type="dxa"/>
            <w:vAlign w:val="center"/>
            <w:hideMark/>
          </w:tcPr>
          <w:p w14:paraId="5D465B2F"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France</w:t>
            </w:r>
          </w:p>
        </w:tc>
        <w:tc>
          <w:tcPr>
            <w:tcW w:w="2790" w:type="dxa"/>
            <w:vAlign w:val="center"/>
            <w:hideMark/>
          </w:tcPr>
          <w:p w14:paraId="6F24FBEE"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Indonesia</w:t>
            </w:r>
          </w:p>
        </w:tc>
        <w:tc>
          <w:tcPr>
            <w:tcW w:w="2759" w:type="dxa"/>
            <w:vAlign w:val="center"/>
            <w:hideMark/>
          </w:tcPr>
          <w:p w14:paraId="78E1BBD7"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Peru</w:t>
            </w:r>
          </w:p>
        </w:tc>
      </w:tr>
      <w:tr w:rsidR="00D73DF7" w:rsidRPr="00CA5F27" w14:paraId="7CD1C6A5" w14:textId="77777777" w:rsidTr="00C82A25">
        <w:tc>
          <w:tcPr>
            <w:tcW w:w="2785" w:type="dxa"/>
            <w:vAlign w:val="center"/>
            <w:hideMark/>
          </w:tcPr>
          <w:p w14:paraId="433B34D0"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lastRenderedPageBreak/>
              <w:t>Dominica</w:t>
            </w:r>
          </w:p>
        </w:tc>
        <w:tc>
          <w:tcPr>
            <w:tcW w:w="2610" w:type="dxa"/>
            <w:vAlign w:val="center"/>
            <w:hideMark/>
          </w:tcPr>
          <w:p w14:paraId="5165E4FB"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Somalia</w:t>
            </w:r>
          </w:p>
        </w:tc>
        <w:tc>
          <w:tcPr>
            <w:tcW w:w="2790" w:type="dxa"/>
            <w:vAlign w:val="center"/>
            <w:hideMark/>
          </w:tcPr>
          <w:p w14:paraId="4D0E4DB8"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Paraguay</w:t>
            </w:r>
          </w:p>
        </w:tc>
        <w:tc>
          <w:tcPr>
            <w:tcW w:w="2759" w:type="dxa"/>
            <w:vAlign w:val="center"/>
            <w:hideMark/>
          </w:tcPr>
          <w:p w14:paraId="38C87232"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Iraq</w:t>
            </w:r>
          </w:p>
        </w:tc>
      </w:tr>
      <w:tr w:rsidR="00D73DF7" w:rsidRPr="00CA5F27" w14:paraId="1C778022" w14:textId="77777777" w:rsidTr="00C82A25">
        <w:tc>
          <w:tcPr>
            <w:tcW w:w="2785" w:type="dxa"/>
            <w:vAlign w:val="center"/>
            <w:hideMark/>
          </w:tcPr>
          <w:p w14:paraId="16BEAA05"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Canada</w:t>
            </w:r>
          </w:p>
        </w:tc>
        <w:tc>
          <w:tcPr>
            <w:tcW w:w="2610" w:type="dxa"/>
            <w:vAlign w:val="center"/>
            <w:hideMark/>
          </w:tcPr>
          <w:p w14:paraId="2B8D41E2"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Burkina Faso</w:t>
            </w:r>
          </w:p>
        </w:tc>
        <w:tc>
          <w:tcPr>
            <w:tcW w:w="2790" w:type="dxa"/>
            <w:vAlign w:val="center"/>
            <w:hideMark/>
          </w:tcPr>
          <w:p w14:paraId="65253A30"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Guyana</w:t>
            </w:r>
          </w:p>
        </w:tc>
        <w:tc>
          <w:tcPr>
            <w:tcW w:w="2759" w:type="dxa"/>
            <w:vAlign w:val="center"/>
            <w:hideMark/>
          </w:tcPr>
          <w:p w14:paraId="60364164"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Belarus</w:t>
            </w:r>
          </w:p>
        </w:tc>
      </w:tr>
      <w:tr w:rsidR="00D73DF7" w:rsidRPr="00CA5F27" w14:paraId="0FDA5EA1" w14:textId="77777777" w:rsidTr="00C82A25">
        <w:tc>
          <w:tcPr>
            <w:tcW w:w="2785" w:type="dxa"/>
            <w:vAlign w:val="center"/>
            <w:hideMark/>
          </w:tcPr>
          <w:p w14:paraId="2F7B53EC"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Senegal</w:t>
            </w:r>
          </w:p>
        </w:tc>
        <w:tc>
          <w:tcPr>
            <w:tcW w:w="2610" w:type="dxa"/>
            <w:vAlign w:val="center"/>
            <w:hideMark/>
          </w:tcPr>
          <w:p w14:paraId="294F47B9"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Burundi</w:t>
            </w:r>
          </w:p>
        </w:tc>
        <w:tc>
          <w:tcPr>
            <w:tcW w:w="2790" w:type="dxa"/>
            <w:vAlign w:val="center"/>
            <w:hideMark/>
          </w:tcPr>
          <w:p w14:paraId="617F4684"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Zimbabwe</w:t>
            </w:r>
          </w:p>
        </w:tc>
        <w:tc>
          <w:tcPr>
            <w:tcW w:w="2759" w:type="dxa"/>
            <w:vAlign w:val="center"/>
            <w:hideMark/>
          </w:tcPr>
          <w:p w14:paraId="6AC12CA3"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Lithuania</w:t>
            </w:r>
          </w:p>
        </w:tc>
      </w:tr>
      <w:tr w:rsidR="00D73DF7" w:rsidRPr="00CA5F27" w14:paraId="082E7E8A" w14:textId="77777777" w:rsidTr="00C82A25">
        <w:tc>
          <w:tcPr>
            <w:tcW w:w="2785" w:type="dxa"/>
            <w:vAlign w:val="center"/>
            <w:hideMark/>
          </w:tcPr>
          <w:p w14:paraId="476D122A"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Ghana</w:t>
            </w:r>
          </w:p>
        </w:tc>
        <w:tc>
          <w:tcPr>
            <w:tcW w:w="2610" w:type="dxa"/>
            <w:vAlign w:val="center"/>
            <w:hideMark/>
          </w:tcPr>
          <w:p w14:paraId="3E5EC0A1"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Sri Lanka</w:t>
            </w:r>
          </w:p>
        </w:tc>
        <w:tc>
          <w:tcPr>
            <w:tcW w:w="2790" w:type="dxa"/>
            <w:vAlign w:val="center"/>
            <w:hideMark/>
          </w:tcPr>
          <w:p w14:paraId="5410C57E"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Slovenia</w:t>
            </w:r>
          </w:p>
        </w:tc>
        <w:tc>
          <w:tcPr>
            <w:tcW w:w="2759" w:type="dxa"/>
            <w:vAlign w:val="center"/>
            <w:hideMark/>
          </w:tcPr>
          <w:p w14:paraId="227546EC"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Bosnia and Herzegovina</w:t>
            </w:r>
          </w:p>
        </w:tc>
      </w:tr>
      <w:tr w:rsidR="00D73DF7" w:rsidRPr="00CA5F27" w14:paraId="36EF07D7" w14:textId="77777777" w:rsidTr="00C82A25">
        <w:tc>
          <w:tcPr>
            <w:tcW w:w="2785" w:type="dxa"/>
            <w:vAlign w:val="center"/>
            <w:hideMark/>
          </w:tcPr>
          <w:p w14:paraId="7AB92D73"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Guinea</w:t>
            </w:r>
          </w:p>
        </w:tc>
        <w:tc>
          <w:tcPr>
            <w:tcW w:w="2610" w:type="dxa"/>
            <w:vAlign w:val="center"/>
            <w:hideMark/>
          </w:tcPr>
          <w:p w14:paraId="2D119342"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Bahrain</w:t>
            </w:r>
          </w:p>
        </w:tc>
        <w:tc>
          <w:tcPr>
            <w:tcW w:w="2790" w:type="dxa"/>
            <w:vAlign w:val="center"/>
            <w:hideMark/>
          </w:tcPr>
          <w:p w14:paraId="164B15D5"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Honduras</w:t>
            </w:r>
          </w:p>
        </w:tc>
        <w:tc>
          <w:tcPr>
            <w:tcW w:w="2759" w:type="dxa"/>
            <w:vAlign w:val="center"/>
            <w:hideMark/>
          </w:tcPr>
          <w:p w14:paraId="59915176"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Macedonia, FYR</w:t>
            </w:r>
          </w:p>
        </w:tc>
      </w:tr>
      <w:tr w:rsidR="00D73DF7" w:rsidRPr="00CA5F27" w14:paraId="1BBD58AC" w14:textId="77777777" w:rsidTr="00C82A25">
        <w:tc>
          <w:tcPr>
            <w:tcW w:w="2785" w:type="dxa"/>
            <w:vAlign w:val="center"/>
            <w:hideMark/>
          </w:tcPr>
          <w:p w14:paraId="0B0C9322"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São Tomé and Príncipe</w:t>
            </w:r>
          </w:p>
        </w:tc>
        <w:tc>
          <w:tcPr>
            <w:tcW w:w="2610" w:type="dxa"/>
            <w:vAlign w:val="center"/>
            <w:hideMark/>
          </w:tcPr>
          <w:p w14:paraId="7C753286"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Switzerland</w:t>
            </w:r>
          </w:p>
        </w:tc>
        <w:tc>
          <w:tcPr>
            <w:tcW w:w="2790" w:type="dxa"/>
            <w:vAlign w:val="center"/>
            <w:hideMark/>
          </w:tcPr>
          <w:p w14:paraId="37204135"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Estonia</w:t>
            </w:r>
          </w:p>
        </w:tc>
        <w:tc>
          <w:tcPr>
            <w:tcW w:w="2759" w:type="dxa"/>
            <w:vAlign w:val="center"/>
            <w:hideMark/>
          </w:tcPr>
          <w:p w14:paraId="6B7251E9"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Russia</w:t>
            </w:r>
          </w:p>
        </w:tc>
      </w:tr>
      <w:tr w:rsidR="00D73DF7" w:rsidRPr="00CA5F27" w14:paraId="1051137B" w14:textId="77777777" w:rsidTr="00C82A25">
        <w:tc>
          <w:tcPr>
            <w:tcW w:w="2785" w:type="dxa"/>
            <w:vAlign w:val="center"/>
            <w:hideMark/>
          </w:tcPr>
          <w:p w14:paraId="49FF903B"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NA</w:t>
            </w:r>
          </w:p>
        </w:tc>
        <w:tc>
          <w:tcPr>
            <w:tcW w:w="2610" w:type="dxa"/>
            <w:vAlign w:val="center"/>
            <w:hideMark/>
          </w:tcPr>
          <w:p w14:paraId="6C4D07CA"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Vietnam</w:t>
            </w:r>
          </w:p>
        </w:tc>
        <w:tc>
          <w:tcPr>
            <w:tcW w:w="2790" w:type="dxa"/>
            <w:vAlign w:val="center"/>
            <w:hideMark/>
          </w:tcPr>
          <w:p w14:paraId="6230C0D9"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Egypt</w:t>
            </w:r>
          </w:p>
        </w:tc>
        <w:tc>
          <w:tcPr>
            <w:tcW w:w="2759" w:type="dxa"/>
            <w:vAlign w:val="center"/>
            <w:hideMark/>
          </w:tcPr>
          <w:p w14:paraId="03633767"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Serbia</w:t>
            </w:r>
          </w:p>
        </w:tc>
      </w:tr>
      <w:tr w:rsidR="00D73DF7" w:rsidRPr="00CA5F27" w14:paraId="318B59E3" w14:textId="77777777" w:rsidTr="00C82A25">
        <w:tc>
          <w:tcPr>
            <w:tcW w:w="2785" w:type="dxa"/>
            <w:vAlign w:val="center"/>
            <w:hideMark/>
          </w:tcPr>
          <w:p w14:paraId="11651DD8"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NA</w:t>
            </w:r>
          </w:p>
        </w:tc>
        <w:tc>
          <w:tcPr>
            <w:tcW w:w="2610" w:type="dxa"/>
            <w:vAlign w:val="center"/>
            <w:hideMark/>
          </w:tcPr>
          <w:p w14:paraId="6F3697DF"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NA</w:t>
            </w:r>
          </w:p>
        </w:tc>
        <w:tc>
          <w:tcPr>
            <w:tcW w:w="2790" w:type="dxa"/>
            <w:vAlign w:val="center"/>
            <w:hideMark/>
          </w:tcPr>
          <w:p w14:paraId="1C6D2CE4"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NA</w:t>
            </w:r>
          </w:p>
        </w:tc>
        <w:tc>
          <w:tcPr>
            <w:tcW w:w="2759" w:type="dxa"/>
            <w:vAlign w:val="center"/>
            <w:hideMark/>
          </w:tcPr>
          <w:p w14:paraId="235FE971" w14:textId="77777777" w:rsidR="00CA5F27" w:rsidRPr="00CA5F27" w:rsidRDefault="00CA5F27" w:rsidP="00274218">
            <w:pPr>
              <w:jc w:val="center"/>
              <w:rPr>
                <w:rFonts w:ascii="Times New Roman" w:eastAsia="Times New Roman" w:hAnsi="Times New Roman" w:cs="Times New Roman"/>
                <w:sz w:val="24"/>
                <w:szCs w:val="24"/>
                <w:lang w:eastAsia="zh-CN"/>
              </w:rPr>
            </w:pPr>
            <w:r w:rsidRPr="00CA5F27">
              <w:rPr>
                <w:rFonts w:ascii="Times New Roman" w:eastAsia="Times New Roman" w:hAnsi="Times New Roman" w:cs="Times New Roman"/>
                <w:sz w:val="24"/>
                <w:szCs w:val="24"/>
                <w:lang w:eastAsia="zh-CN"/>
              </w:rPr>
              <w:t>Bulgaria</w:t>
            </w:r>
          </w:p>
        </w:tc>
      </w:tr>
    </w:tbl>
    <w:p w14:paraId="7D4D8C35" w14:textId="77777777" w:rsidR="00F62A79" w:rsidRPr="00173569" w:rsidRDefault="00F62A79" w:rsidP="00245CBF">
      <w:pPr>
        <w:spacing w:line="360" w:lineRule="auto"/>
        <w:rPr>
          <w:rFonts w:ascii="Times New Roman" w:eastAsia="Times New Roman" w:hAnsi="Times New Roman" w:cs="Times New Roman"/>
          <w:b/>
          <w:bCs/>
          <w:color w:val="222222"/>
          <w:sz w:val="24"/>
          <w:szCs w:val="24"/>
        </w:rPr>
      </w:pPr>
    </w:p>
    <w:p w14:paraId="5A847858" w14:textId="77777777" w:rsidR="004236BE" w:rsidRPr="00173569" w:rsidRDefault="004236BE" w:rsidP="0003065B">
      <w:pPr>
        <w:spacing w:line="360" w:lineRule="auto"/>
        <w:ind w:firstLine="720"/>
        <w:rPr>
          <w:rFonts w:ascii="Times New Roman" w:eastAsia="Times New Roman" w:hAnsi="Times New Roman" w:cs="Times New Roman"/>
          <w:color w:val="222222"/>
          <w:sz w:val="24"/>
          <w:szCs w:val="24"/>
        </w:rPr>
      </w:pPr>
    </w:p>
    <w:p w14:paraId="38F8A1F5" w14:textId="4AF6B7EE" w:rsidR="00EB6C34" w:rsidRPr="00173569" w:rsidRDefault="00EB6C34" w:rsidP="0003065B">
      <w:pPr>
        <w:spacing w:line="360" w:lineRule="auto"/>
        <w:ind w:firstLine="720"/>
        <w:rPr>
          <w:rFonts w:ascii="Times New Roman" w:eastAsia="Times New Roman" w:hAnsi="Times New Roman" w:cs="Times New Roman"/>
          <w:color w:val="222222"/>
          <w:sz w:val="24"/>
          <w:szCs w:val="24"/>
        </w:rPr>
      </w:pPr>
    </w:p>
    <w:p w14:paraId="6E0DFAD3" w14:textId="77777777" w:rsidR="00EB6C34" w:rsidRPr="00173569" w:rsidRDefault="00EB6C34" w:rsidP="00EB6C34">
      <w:pPr>
        <w:rPr>
          <w:rFonts w:ascii="Times New Roman" w:eastAsia="Times New Roman" w:hAnsi="Times New Roman" w:cs="Times New Roman"/>
          <w:sz w:val="24"/>
          <w:szCs w:val="24"/>
        </w:rPr>
      </w:pPr>
    </w:p>
    <w:p w14:paraId="55FE65CC" w14:textId="77777777" w:rsidR="00EB6C34" w:rsidRPr="00173569" w:rsidRDefault="00EB6C34" w:rsidP="00EB6C34">
      <w:pPr>
        <w:rPr>
          <w:rFonts w:ascii="Times New Roman" w:eastAsia="Times New Roman" w:hAnsi="Times New Roman" w:cs="Times New Roman"/>
          <w:sz w:val="24"/>
          <w:szCs w:val="24"/>
        </w:rPr>
      </w:pPr>
    </w:p>
    <w:p w14:paraId="1C190899" w14:textId="77777777" w:rsidR="00EB6C34" w:rsidRPr="00173569" w:rsidRDefault="00EB6C34" w:rsidP="00EB6C34">
      <w:pPr>
        <w:rPr>
          <w:rFonts w:ascii="Times New Roman" w:eastAsia="Times New Roman" w:hAnsi="Times New Roman" w:cs="Times New Roman"/>
          <w:sz w:val="24"/>
          <w:szCs w:val="24"/>
        </w:rPr>
      </w:pPr>
    </w:p>
    <w:p w14:paraId="467B1355" w14:textId="77777777" w:rsidR="00EB6C34" w:rsidRPr="00173569" w:rsidRDefault="00EB6C34" w:rsidP="00EB6C34">
      <w:pPr>
        <w:rPr>
          <w:rFonts w:ascii="Times New Roman" w:eastAsia="Times New Roman" w:hAnsi="Times New Roman" w:cs="Times New Roman"/>
          <w:sz w:val="24"/>
          <w:szCs w:val="24"/>
        </w:rPr>
      </w:pPr>
    </w:p>
    <w:p w14:paraId="20E7E771" w14:textId="77777777" w:rsidR="00EB6C34" w:rsidRPr="00173569" w:rsidRDefault="00EB6C34" w:rsidP="00EB6C34">
      <w:pPr>
        <w:rPr>
          <w:rFonts w:ascii="Times New Roman" w:eastAsia="Times New Roman" w:hAnsi="Times New Roman" w:cs="Times New Roman"/>
          <w:sz w:val="24"/>
          <w:szCs w:val="24"/>
        </w:rPr>
      </w:pPr>
    </w:p>
    <w:p w14:paraId="3F3A0998" w14:textId="77777777" w:rsidR="00EB6C34" w:rsidRPr="00173569" w:rsidRDefault="00EB6C34" w:rsidP="00EB6C34">
      <w:pPr>
        <w:rPr>
          <w:rFonts w:ascii="Times New Roman" w:eastAsia="Times New Roman" w:hAnsi="Times New Roman" w:cs="Times New Roman"/>
          <w:sz w:val="24"/>
          <w:szCs w:val="24"/>
        </w:rPr>
      </w:pPr>
    </w:p>
    <w:p w14:paraId="76531127" w14:textId="77777777" w:rsidR="00EB6C34" w:rsidRPr="00173569" w:rsidRDefault="00EB6C34" w:rsidP="00EB6C34">
      <w:pPr>
        <w:rPr>
          <w:rFonts w:ascii="Times New Roman" w:eastAsia="Times New Roman" w:hAnsi="Times New Roman" w:cs="Times New Roman"/>
          <w:sz w:val="24"/>
          <w:szCs w:val="24"/>
        </w:rPr>
      </w:pPr>
    </w:p>
    <w:p w14:paraId="234247DE" w14:textId="77777777" w:rsidR="00EB6C34" w:rsidRPr="00173569" w:rsidRDefault="00EB6C34" w:rsidP="00EB6C34">
      <w:pPr>
        <w:rPr>
          <w:rFonts w:ascii="Times New Roman" w:eastAsia="Times New Roman" w:hAnsi="Times New Roman" w:cs="Times New Roman"/>
          <w:sz w:val="24"/>
          <w:szCs w:val="24"/>
        </w:rPr>
      </w:pPr>
    </w:p>
    <w:p w14:paraId="6939788C" w14:textId="77777777" w:rsidR="00EB6C34" w:rsidRPr="00173569" w:rsidRDefault="00EB6C34" w:rsidP="00EB6C34">
      <w:pPr>
        <w:rPr>
          <w:rFonts w:ascii="Times New Roman" w:eastAsia="Times New Roman" w:hAnsi="Times New Roman" w:cs="Times New Roman"/>
          <w:sz w:val="24"/>
          <w:szCs w:val="24"/>
        </w:rPr>
      </w:pPr>
    </w:p>
    <w:p w14:paraId="11B1C8E8" w14:textId="77777777" w:rsidR="00EB6C34" w:rsidRPr="00173569" w:rsidRDefault="00EB6C34" w:rsidP="00EB6C34">
      <w:pPr>
        <w:rPr>
          <w:rFonts w:ascii="Times New Roman" w:eastAsia="Times New Roman" w:hAnsi="Times New Roman" w:cs="Times New Roman"/>
          <w:sz w:val="24"/>
          <w:szCs w:val="24"/>
        </w:rPr>
      </w:pPr>
    </w:p>
    <w:p w14:paraId="6597D867" w14:textId="77777777" w:rsidR="00EB6C34" w:rsidRPr="00173569" w:rsidRDefault="00EB6C34" w:rsidP="00EB6C34">
      <w:pPr>
        <w:rPr>
          <w:rFonts w:ascii="Times New Roman" w:eastAsia="Times New Roman" w:hAnsi="Times New Roman" w:cs="Times New Roman"/>
          <w:sz w:val="24"/>
          <w:szCs w:val="24"/>
        </w:rPr>
      </w:pPr>
    </w:p>
    <w:p w14:paraId="32282181" w14:textId="77777777" w:rsidR="00EB6C34" w:rsidRPr="00173569" w:rsidRDefault="00EB6C34" w:rsidP="00EB6C34">
      <w:pPr>
        <w:rPr>
          <w:rFonts w:ascii="Times New Roman" w:eastAsia="Times New Roman" w:hAnsi="Times New Roman" w:cs="Times New Roman"/>
          <w:sz w:val="24"/>
          <w:szCs w:val="24"/>
        </w:rPr>
      </w:pPr>
    </w:p>
    <w:p w14:paraId="5E829EF0" w14:textId="77777777" w:rsidR="00EB6C34" w:rsidRPr="00173569" w:rsidRDefault="00EB6C34" w:rsidP="00EB6C34">
      <w:pPr>
        <w:rPr>
          <w:rFonts w:ascii="Times New Roman" w:eastAsia="Times New Roman" w:hAnsi="Times New Roman" w:cs="Times New Roman"/>
          <w:sz w:val="24"/>
          <w:szCs w:val="24"/>
        </w:rPr>
      </w:pPr>
    </w:p>
    <w:p w14:paraId="4453A78E" w14:textId="77777777" w:rsidR="00EB6C34" w:rsidRPr="00173569" w:rsidRDefault="00EB6C34" w:rsidP="00EB6C34">
      <w:pPr>
        <w:rPr>
          <w:rFonts w:ascii="Times New Roman" w:eastAsia="Times New Roman" w:hAnsi="Times New Roman" w:cs="Times New Roman"/>
          <w:sz w:val="24"/>
          <w:szCs w:val="24"/>
        </w:rPr>
      </w:pPr>
    </w:p>
    <w:p w14:paraId="06E1149A" w14:textId="77777777" w:rsidR="00EB6C34" w:rsidRPr="00173569" w:rsidRDefault="00EB6C34" w:rsidP="00EB6C34">
      <w:pPr>
        <w:rPr>
          <w:rFonts w:ascii="Times New Roman" w:eastAsia="Times New Roman" w:hAnsi="Times New Roman" w:cs="Times New Roman"/>
          <w:sz w:val="24"/>
          <w:szCs w:val="24"/>
        </w:rPr>
      </w:pPr>
    </w:p>
    <w:p w14:paraId="4756668F" w14:textId="77777777" w:rsidR="00EB6C34" w:rsidRPr="00173569" w:rsidRDefault="00EB6C34" w:rsidP="00EB6C34">
      <w:pPr>
        <w:rPr>
          <w:rFonts w:ascii="Times New Roman" w:eastAsia="Times New Roman" w:hAnsi="Times New Roman" w:cs="Times New Roman"/>
          <w:sz w:val="24"/>
          <w:szCs w:val="24"/>
        </w:rPr>
      </w:pPr>
    </w:p>
    <w:p w14:paraId="72EB3C73" w14:textId="77777777" w:rsidR="00EB6C34" w:rsidRPr="00173569" w:rsidRDefault="00EB6C34" w:rsidP="00EB6C34">
      <w:pPr>
        <w:rPr>
          <w:rFonts w:ascii="Times New Roman" w:eastAsia="Times New Roman" w:hAnsi="Times New Roman" w:cs="Times New Roman"/>
          <w:sz w:val="24"/>
          <w:szCs w:val="24"/>
        </w:rPr>
      </w:pPr>
    </w:p>
    <w:p w14:paraId="19DD11BB" w14:textId="77777777" w:rsidR="00EB6C34" w:rsidRPr="00173569" w:rsidRDefault="00EB6C34" w:rsidP="00EB6C34">
      <w:pPr>
        <w:rPr>
          <w:rFonts w:ascii="Times New Roman" w:eastAsia="Times New Roman" w:hAnsi="Times New Roman" w:cs="Times New Roman"/>
          <w:sz w:val="24"/>
          <w:szCs w:val="24"/>
        </w:rPr>
      </w:pPr>
    </w:p>
    <w:p w14:paraId="371E4016" w14:textId="77777777" w:rsidR="00EB6C34" w:rsidRPr="00173569" w:rsidRDefault="00EB6C34" w:rsidP="00EB6C34">
      <w:pPr>
        <w:rPr>
          <w:rFonts w:ascii="Times New Roman" w:eastAsia="Times New Roman" w:hAnsi="Times New Roman" w:cs="Times New Roman"/>
          <w:sz w:val="24"/>
          <w:szCs w:val="24"/>
        </w:rPr>
      </w:pPr>
    </w:p>
    <w:p w14:paraId="2ED96CF6" w14:textId="77777777" w:rsidR="00EB6C34" w:rsidRPr="00173569" w:rsidRDefault="00EB6C34" w:rsidP="00EB6C34">
      <w:pPr>
        <w:rPr>
          <w:rFonts w:ascii="Times New Roman" w:eastAsia="Times New Roman" w:hAnsi="Times New Roman" w:cs="Times New Roman"/>
          <w:sz w:val="24"/>
          <w:szCs w:val="24"/>
        </w:rPr>
      </w:pPr>
    </w:p>
    <w:p w14:paraId="7F849DBA" w14:textId="77777777" w:rsidR="00284651" w:rsidRDefault="00284651">
      <w:pPr>
        <w:spacing w:line="360" w:lineRule="auto"/>
        <w:rPr>
          <w:rFonts w:ascii="Times New Roman" w:eastAsia="Book Antiqua" w:hAnsi="Times New Roman" w:cs="Times New Roman"/>
          <w:b/>
          <w:bCs/>
          <w:sz w:val="24"/>
          <w:szCs w:val="24"/>
        </w:rPr>
      </w:pPr>
    </w:p>
    <w:p w14:paraId="33A74B5E" w14:textId="77777777" w:rsidR="00284651" w:rsidRDefault="00284651">
      <w:pPr>
        <w:spacing w:line="360" w:lineRule="auto"/>
        <w:rPr>
          <w:rFonts w:ascii="Times New Roman" w:eastAsia="Book Antiqua" w:hAnsi="Times New Roman" w:cs="Times New Roman"/>
          <w:b/>
          <w:bCs/>
          <w:sz w:val="24"/>
          <w:szCs w:val="24"/>
        </w:rPr>
      </w:pPr>
    </w:p>
    <w:p w14:paraId="4685C547" w14:textId="1DA3E57A" w:rsidR="009D1A15" w:rsidRPr="00173569" w:rsidRDefault="00C45F31">
      <w:pPr>
        <w:spacing w:line="360" w:lineRule="auto"/>
        <w:rPr>
          <w:rFonts w:ascii="Times New Roman" w:eastAsia="Book Antiqua" w:hAnsi="Times New Roman" w:cs="Times New Roman"/>
          <w:b/>
          <w:sz w:val="24"/>
          <w:szCs w:val="24"/>
        </w:rPr>
      </w:pPr>
      <w:r w:rsidRPr="00173569">
        <w:rPr>
          <w:rFonts w:ascii="Times New Roman" w:eastAsia="Book Antiqua" w:hAnsi="Times New Roman" w:cs="Times New Roman"/>
          <w:b/>
          <w:bCs/>
          <w:sz w:val="24"/>
          <w:szCs w:val="24"/>
        </w:rPr>
        <w:t xml:space="preserve">Table </w:t>
      </w:r>
      <w:r w:rsidR="003E71C4" w:rsidRPr="00173569">
        <w:rPr>
          <w:rFonts w:ascii="Times New Roman" w:eastAsia="Book Antiqua" w:hAnsi="Times New Roman" w:cs="Times New Roman"/>
          <w:b/>
          <w:bCs/>
          <w:sz w:val="24"/>
          <w:szCs w:val="24"/>
        </w:rPr>
        <w:t>3A</w:t>
      </w:r>
      <w:r w:rsidRPr="00173569">
        <w:rPr>
          <w:rFonts w:ascii="Times New Roman" w:eastAsia="Book Antiqua" w:hAnsi="Times New Roman" w:cs="Times New Roman"/>
          <w:b/>
          <w:bCs/>
          <w:sz w:val="24"/>
          <w:szCs w:val="24"/>
        </w:rPr>
        <w:t xml:space="preserve">:  </w:t>
      </w:r>
      <w:r w:rsidR="0097414B" w:rsidRPr="00173569">
        <w:rPr>
          <w:rFonts w:ascii="Times New Roman" w:eastAsia="Book Antiqua" w:hAnsi="Times New Roman" w:cs="Times New Roman"/>
          <w:bCs/>
          <w:sz w:val="24"/>
          <w:szCs w:val="24"/>
        </w:rPr>
        <w:t>Correlation Matrix of Variables in the Estimation</w:t>
      </w:r>
    </w:p>
    <w:p w14:paraId="43711684" w14:textId="77777777" w:rsidR="00C37E18" w:rsidRPr="00173569" w:rsidRDefault="00BD0C6B" w:rsidP="009D1A15">
      <w:pPr>
        <w:spacing w:line="360" w:lineRule="auto"/>
        <w:rPr>
          <w:rFonts w:ascii="Times New Roman" w:eastAsia="Book Antiqua" w:hAnsi="Times New Roman" w:cs="Times New Roman"/>
          <w:i/>
          <w:iCs/>
          <w:sz w:val="24"/>
          <w:szCs w:val="24"/>
        </w:rPr>
      </w:pPr>
      <w:r w:rsidRPr="00173569">
        <w:rPr>
          <w:rFonts w:ascii="Times New Roman" w:eastAsia="Book Antiqua" w:hAnsi="Times New Roman" w:cs="Times New Roman"/>
          <w:i/>
          <w:iCs/>
          <w:sz w:val="24"/>
          <w:szCs w:val="24"/>
        </w:rPr>
        <w:tab/>
      </w:r>
    </w:p>
    <w:tbl>
      <w:tblPr>
        <w:tblW w:w="9902" w:type="dxa"/>
        <w:tblLook w:val="04A0" w:firstRow="1" w:lastRow="0" w:firstColumn="1" w:lastColumn="0" w:noHBand="0" w:noVBand="1"/>
      </w:tblPr>
      <w:tblGrid>
        <w:gridCol w:w="1710"/>
        <w:gridCol w:w="1316"/>
        <w:gridCol w:w="1150"/>
        <w:gridCol w:w="1150"/>
        <w:gridCol w:w="1150"/>
        <w:gridCol w:w="739"/>
        <w:gridCol w:w="636"/>
        <w:gridCol w:w="1472"/>
        <w:gridCol w:w="1327"/>
      </w:tblGrid>
      <w:tr w:rsidR="00C37E18" w:rsidRPr="00C37E18" w14:paraId="2FDBFEDF" w14:textId="77777777" w:rsidTr="00274218">
        <w:trPr>
          <w:trHeight w:val="264"/>
        </w:trPr>
        <w:tc>
          <w:tcPr>
            <w:tcW w:w="1710" w:type="dxa"/>
            <w:tcBorders>
              <w:top w:val="nil"/>
              <w:left w:val="nil"/>
              <w:bottom w:val="nil"/>
              <w:right w:val="nil"/>
            </w:tcBorders>
            <w:shd w:val="clear" w:color="auto" w:fill="auto"/>
            <w:noWrap/>
            <w:vAlign w:val="center"/>
            <w:hideMark/>
          </w:tcPr>
          <w:p w14:paraId="64798D82" w14:textId="77777777" w:rsidR="00C37E18" w:rsidRPr="00274218" w:rsidRDefault="00C37E18" w:rsidP="00274218">
            <w:pPr>
              <w:spacing w:after="0" w:line="240" w:lineRule="auto"/>
              <w:jc w:val="center"/>
              <w:rPr>
                <w:rFonts w:ascii="Times New Roman" w:eastAsia="Times New Roman" w:hAnsi="Times New Roman" w:cs="Times New Roman"/>
                <w:sz w:val="20"/>
                <w:szCs w:val="20"/>
                <w:lang w:eastAsia="zh-CN"/>
              </w:rPr>
            </w:pPr>
          </w:p>
        </w:tc>
        <w:tc>
          <w:tcPr>
            <w:tcW w:w="956" w:type="dxa"/>
            <w:tcBorders>
              <w:top w:val="nil"/>
              <w:left w:val="nil"/>
              <w:bottom w:val="nil"/>
              <w:right w:val="nil"/>
            </w:tcBorders>
            <w:shd w:val="clear" w:color="auto" w:fill="auto"/>
            <w:noWrap/>
            <w:vAlign w:val="center"/>
            <w:hideMark/>
          </w:tcPr>
          <w:p w14:paraId="26369FFA" w14:textId="77777777" w:rsidR="00C37E18" w:rsidRPr="00274218" w:rsidRDefault="00C37E18" w:rsidP="00274218">
            <w:pPr>
              <w:spacing w:after="0" w:line="240" w:lineRule="auto"/>
              <w:jc w:val="center"/>
              <w:rPr>
                <w:rFonts w:ascii="Times New Roman" w:eastAsia="Times New Roman" w:hAnsi="Times New Roman" w:cs="Times New Roman"/>
                <w:b/>
                <w:bCs/>
                <w:color w:val="000000"/>
                <w:sz w:val="20"/>
                <w:szCs w:val="20"/>
                <w:lang w:eastAsia="zh-CN"/>
              </w:rPr>
            </w:pPr>
            <w:r w:rsidRPr="00274218">
              <w:rPr>
                <w:rFonts w:ascii="Times New Roman" w:eastAsia="Times New Roman" w:hAnsi="Times New Roman" w:cs="Times New Roman"/>
                <w:b/>
                <w:bCs/>
                <w:color w:val="000000"/>
                <w:sz w:val="20"/>
                <w:szCs w:val="20"/>
                <w:lang w:eastAsia="zh-CN"/>
              </w:rPr>
              <w:t>Vaccinations</w:t>
            </w:r>
          </w:p>
        </w:tc>
        <w:tc>
          <w:tcPr>
            <w:tcW w:w="1083" w:type="dxa"/>
            <w:tcBorders>
              <w:top w:val="nil"/>
              <w:left w:val="nil"/>
              <w:bottom w:val="nil"/>
              <w:right w:val="nil"/>
            </w:tcBorders>
            <w:shd w:val="clear" w:color="auto" w:fill="auto"/>
            <w:noWrap/>
            <w:vAlign w:val="center"/>
            <w:hideMark/>
          </w:tcPr>
          <w:p w14:paraId="18A3F4F1" w14:textId="77777777" w:rsidR="00C37E18" w:rsidRPr="00274218" w:rsidRDefault="00C37E18" w:rsidP="00274218">
            <w:pPr>
              <w:spacing w:after="0" w:line="240" w:lineRule="auto"/>
              <w:jc w:val="center"/>
              <w:rPr>
                <w:rFonts w:ascii="Times New Roman" w:eastAsia="Times New Roman" w:hAnsi="Times New Roman" w:cs="Times New Roman"/>
                <w:b/>
                <w:bCs/>
                <w:color w:val="000000"/>
                <w:sz w:val="20"/>
                <w:szCs w:val="20"/>
                <w:lang w:eastAsia="zh-CN"/>
              </w:rPr>
            </w:pPr>
            <w:r w:rsidRPr="00274218">
              <w:rPr>
                <w:rFonts w:ascii="Times New Roman" w:eastAsia="Times New Roman" w:hAnsi="Times New Roman" w:cs="Times New Roman"/>
                <w:b/>
                <w:bCs/>
                <w:color w:val="000000"/>
                <w:sz w:val="20"/>
                <w:szCs w:val="20"/>
                <w:lang w:eastAsia="zh-CN"/>
              </w:rPr>
              <w:t>Population Density</w:t>
            </w:r>
          </w:p>
        </w:tc>
        <w:tc>
          <w:tcPr>
            <w:tcW w:w="1083" w:type="dxa"/>
            <w:tcBorders>
              <w:top w:val="nil"/>
              <w:left w:val="nil"/>
              <w:bottom w:val="nil"/>
              <w:right w:val="nil"/>
            </w:tcBorders>
            <w:shd w:val="clear" w:color="auto" w:fill="auto"/>
            <w:noWrap/>
            <w:vAlign w:val="center"/>
            <w:hideMark/>
          </w:tcPr>
          <w:p w14:paraId="64F88117" w14:textId="77777777" w:rsidR="00C37E18" w:rsidRPr="00274218" w:rsidRDefault="00C37E18" w:rsidP="00274218">
            <w:pPr>
              <w:spacing w:after="0" w:line="240" w:lineRule="auto"/>
              <w:jc w:val="center"/>
              <w:rPr>
                <w:rFonts w:ascii="Times New Roman" w:eastAsia="Times New Roman" w:hAnsi="Times New Roman" w:cs="Times New Roman"/>
                <w:b/>
                <w:bCs/>
                <w:color w:val="000000"/>
                <w:sz w:val="20"/>
                <w:szCs w:val="20"/>
                <w:lang w:eastAsia="zh-CN"/>
              </w:rPr>
            </w:pPr>
            <w:r w:rsidRPr="00274218">
              <w:rPr>
                <w:rFonts w:ascii="Times New Roman" w:eastAsia="Times New Roman" w:hAnsi="Times New Roman" w:cs="Times New Roman"/>
                <w:b/>
                <w:bCs/>
                <w:color w:val="000000"/>
                <w:sz w:val="20"/>
                <w:szCs w:val="20"/>
                <w:lang w:eastAsia="zh-CN"/>
              </w:rPr>
              <w:t>Urban Population Share</w:t>
            </w:r>
          </w:p>
        </w:tc>
        <w:tc>
          <w:tcPr>
            <w:tcW w:w="1083" w:type="dxa"/>
            <w:tcBorders>
              <w:top w:val="nil"/>
              <w:left w:val="nil"/>
              <w:bottom w:val="nil"/>
              <w:right w:val="nil"/>
            </w:tcBorders>
            <w:shd w:val="clear" w:color="auto" w:fill="auto"/>
            <w:noWrap/>
            <w:vAlign w:val="center"/>
            <w:hideMark/>
          </w:tcPr>
          <w:p w14:paraId="2C7D2A65" w14:textId="77777777" w:rsidR="00C37E18" w:rsidRPr="00274218" w:rsidRDefault="00C37E18" w:rsidP="00274218">
            <w:pPr>
              <w:spacing w:after="0" w:line="240" w:lineRule="auto"/>
              <w:jc w:val="center"/>
              <w:rPr>
                <w:rFonts w:ascii="Times New Roman" w:eastAsia="Times New Roman" w:hAnsi="Times New Roman" w:cs="Times New Roman"/>
                <w:b/>
                <w:bCs/>
                <w:color w:val="000000"/>
                <w:sz w:val="20"/>
                <w:szCs w:val="20"/>
                <w:lang w:eastAsia="zh-CN"/>
              </w:rPr>
            </w:pPr>
            <w:r w:rsidRPr="00274218">
              <w:rPr>
                <w:rFonts w:ascii="Times New Roman" w:eastAsia="Times New Roman" w:hAnsi="Times New Roman" w:cs="Times New Roman"/>
                <w:b/>
                <w:bCs/>
                <w:color w:val="000000"/>
                <w:sz w:val="20"/>
                <w:szCs w:val="20"/>
                <w:lang w:eastAsia="zh-CN"/>
              </w:rPr>
              <w:t>Aged 65+ Population Share</w:t>
            </w:r>
          </w:p>
        </w:tc>
        <w:tc>
          <w:tcPr>
            <w:tcW w:w="694" w:type="dxa"/>
            <w:tcBorders>
              <w:top w:val="nil"/>
              <w:left w:val="nil"/>
              <w:bottom w:val="nil"/>
              <w:right w:val="nil"/>
            </w:tcBorders>
            <w:shd w:val="clear" w:color="auto" w:fill="auto"/>
            <w:noWrap/>
            <w:vAlign w:val="center"/>
            <w:hideMark/>
          </w:tcPr>
          <w:p w14:paraId="58D032C4" w14:textId="25A3C014" w:rsidR="00C37E18" w:rsidRPr="00274218" w:rsidRDefault="00C37E18" w:rsidP="00274218">
            <w:pPr>
              <w:spacing w:after="0" w:line="240" w:lineRule="auto"/>
              <w:jc w:val="center"/>
              <w:rPr>
                <w:rFonts w:ascii="Times New Roman" w:eastAsia="Times New Roman" w:hAnsi="Times New Roman" w:cs="Times New Roman"/>
                <w:b/>
                <w:bCs/>
                <w:color w:val="000000"/>
                <w:sz w:val="20"/>
                <w:szCs w:val="20"/>
                <w:lang w:eastAsia="zh-CN"/>
              </w:rPr>
            </w:pPr>
            <w:r w:rsidRPr="00274218">
              <w:rPr>
                <w:rFonts w:ascii="Times New Roman" w:eastAsia="Times New Roman" w:hAnsi="Times New Roman" w:cs="Times New Roman"/>
                <w:b/>
                <w:bCs/>
                <w:color w:val="000000"/>
                <w:sz w:val="20"/>
                <w:szCs w:val="20"/>
                <w:lang w:eastAsia="zh-CN"/>
              </w:rPr>
              <w:t>GDP per capita</w:t>
            </w:r>
          </w:p>
        </w:tc>
        <w:tc>
          <w:tcPr>
            <w:tcW w:w="594" w:type="dxa"/>
            <w:tcBorders>
              <w:top w:val="nil"/>
              <w:left w:val="nil"/>
              <w:bottom w:val="nil"/>
              <w:right w:val="nil"/>
            </w:tcBorders>
            <w:shd w:val="clear" w:color="auto" w:fill="auto"/>
            <w:noWrap/>
            <w:vAlign w:val="center"/>
            <w:hideMark/>
          </w:tcPr>
          <w:p w14:paraId="46386D62" w14:textId="77777777" w:rsidR="00C37E18" w:rsidRPr="00274218" w:rsidRDefault="00C37E18" w:rsidP="00274218">
            <w:pPr>
              <w:spacing w:after="0" w:line="240" w:lineRule="auto"/>
              <w:jc w:val="center"/>
              <w:rPr>
                <w:rFonts w:ascii="Times New Roman" w:eastAsia="Times New Roman" w:hAnsi="Times New Roman" w:cs="Times New Roman"/>
                <w:b/>
                <w:bCs/>
                <w:color w:val="000000"/>
                <w:sz w:val="20"/>
                <w:szCs w:val="20"/>
                <w:lang w:eastAsia="zh-CN"/>
              </w:rPr>
            </w:pPr>
            <w:r w:rsidRPr="00274218">
              <w:rPr>
                <w:rFonts w:ascii="Times New Roman" w:eastAsia="Times New Roman" w:hAnsi="Times New Roman" w:cs="Times New Roman"/>
                <w:b/>
                <w:bCs/>
                <w:color w:val="000000"/>
                <w:sz w:val="20"/>
                <w:szCs w:val="20"/>
                <w:lang w:eastAsia="zh-CN"/>
              </w:rPr>
              <w:t>Rule of Law</w:t>
            </w:r>
          </w:p>
        </w:tc>
        <w:tc>
          <w:tcPr>
            <w:tcW w:w="1405" w:type="dxa"/>
            <w:tcBorders>
              <w:top w:val="nil"/>
              <w:left w:val="nil"/>
              <w:bottom w:val="nil"/>
              <w:right w:val="nil"/>
            </w:tcBorders>
            <w:shd w:val="clear" w:color="auto" w:fill="auto"/>
            <w:noWrap/>
            <w:vAlign w:val="center"/>
            <w:hideMark/>
          </w:tcPr>
          <w:p w14:paraId="7DC91CD1" w14:textId="77777777" w:rsidR="00C37E18" w:rsidRPr="00274218" w:rsidRDefault="00C37E18" w:rsidP="00274218">
            <w:pPr>
              <w:spacing w:after="0" w:line="240" w:lineRule="auto"/>
              <w:jc w:val="center"/>
              <w:rPr>
                <w:rFonts w:ascii="Times New Roman" w:eastAsia="Times New Roman" w:hAnsi="Times New Roman" w:cs="Times New Roman"/>
                <w:b/>
                <w:bCs/>
                <w:color w:val="000000"/>
                <w:sz w:val="20"/>
                <w:szCs w:val="20"/>
                <w:lang w:eastAsia="zh-CN"/>
              </w:rPr>
            </w:pPr>
            <w:r w:rsidRPr="00274218">
              <w:rPr>
                <w:rFonts w:ascii="Times New Roman" w:eastAsia="Times New Roman" w:hAnsi="Times New Roman" w:cs="Times New Roman"/>
                <w:b/>
                <w:bCs/>
                <w:color w:val="000000"/>
                <w:sz w:val="20"/>
                <w:szCs w:val="20"/>
                <w:lang w:eastAsia="zh-CN"/>
              </w:rPr>
              <w:t>Voice &amp; Accountability</w:t>
            </w:r>
          </w:p>
        </w:tc>
        <w:tc>
          <w:tcPr>
            <w:tcW w:w="1294" w:type="dxa"/>
            <w:tcBorders>
              <w:top w:val="nil"/>
              <w:left w:val="nil"/>
              <w:bottom w:val="nil"/>
              <w:right w:val="nil"/>
            </w:tcBorders>
            <w:shd w:val="clear" w:color="auto" w:fill="auto"/>
            <w:noWrap/>
            <w:vAlign w:val="center"/>
            <w:hideMark/>
          </w:tcPr>
          <w:p w14:paraId="2763846D" w14:textId="77777777" w:rsidR="00C37E18" w:rsidRPr="00274218" w:rsidRDefault="00C37E18" w:rsidP="00274218">
            <w:pPr>
              <w:spacing w:after="0" w:line="240" w:lineRule="auto"/>
              <w:jc w:val="center"/>
              <w:rPr>
                <w:rFonts w:ascii="Times New Roman" w:eastAsia="Times New Roman" w:hAnsi="Times New Roman" w:cs="Times New Roman"/>
                <w:b/>
                <w:bCs/>
                <w:color w:val="000000"/>
                <w:sz w:val="20"/>
                <w:szCs w:val="20"/>
                <w:lang w:eastAsia="zh-CN"/>
              </w:rPr>
            </w:pPr>
            <w:r w:rsidRPr="00274218">
              <w:rPr>
                <w:rFonts w:ascii="Times New Roman" w:eastAsia="Times New Roman" w:hAnsi="Times New Roman" w:cs="Times New Roman"/>
                <w:b/>
                <w:bCs/>
                <w:color w:val="000000"/>
                <w:sz w:val="20"/>
                <w:szCs w:val="20"/>
                <w:lang w:eastAsia="zh-CN"/>
              </w:rPr>
              <w:t>Government Effectiveness</w:t>
            </w:r>
          </w:p>
        </w:tc>
      </w:tr>
      <w:tr w:rsidR="00C37E18" w:rsidRPr="00C37E18" w14:paraId="1C95BBB0" w14:textId="77777777" w:rsidTr="00274218">
        <w:trPr>
          <w:trHeight w:val="264"/>
        </w:trPr>
        <w:tc>
          <w:tcPr>
            <w:tcW w:w="1710" w:type="dxa"/>
            <w:tcBorders>
              <w:top w:val="nil"/>
              <w:left w:val="nil"/>
              <w:bottom w:val="nil"/>
              <w:right w:val="nil"/>
            </w:tcBorders>
            <w:shd w:val="clear" w:color="auto" w:fill="auto"/>
            <w:noWrap/>
            <w:vAlign w:val="center"/>
            <w:hideMark/>
          </w:tcPr>
          <w:p w14:paraId="25CD9079" w14:textId="77777777" w:rsidR="00C37E18" w:rsidRPr="00284651" w:rsidRDefault="00C37E18" w:rsidP="00274218">
            <w:pPr>
              <w:spacing w:after="0" w:line="240" w:lineRule="auto"/>
              <w:jc w:val="center"/>
              <w:rPr>
                <w:rFonts w:ascii="Times New Roman" w:eastAsia="Times New Roman" w:hAnsi="Times New Roman" w:cs="Times New Roman"/>
                <w:b/>
                <w:bCs/>
                <w:color w:val="000000"/>
                <w:sz w:val="20"/>
                <w:szCs w:val="20"/>
                <w:lang w:eastAsia="zh-CN"/>
              </w:rPr>
            </w:pPr>
            <w:r w:rsidRPr="00284651">
              <w:rPr>
                <w:rFonts w:ascii="Times New Roman" w:eastAsia="Times New Roman" w:hAnsi="Times New Roman" w:cs="Times New Roman"/>
                <w:b/>
                <w:bCs/>
                <w:color w:val="000000"/>
                <w:sz w:val="20"/>
                <w:szCs w:val="20"/>
                <w:lang w:eastAsia="zh-CN"/>
              </w:rPr>
              <w:t>Vaccinations</w:t>
            </w:r>
          </w:p>
        </w:tc>
        <w:tc>
          <w:tcPr>
            <w:tcW w:w="956" w:type="dxa"/>
            <w:tcBorders>
              <w:top w:val="nil"/>
              <w:left w:val="nil"/>
              <w:bottom w:val="nil"/>
              <w:right w:val="nil"/>
            </w:tcBorders>
            <w:shd w:val="clear" w:color="000000" w:fill="5A8AC6"/>
            <w:noWrap/>
            <w:vAlign w:val="center"/>
            <w:hideMark/>
          </w:tcPr>
          <w:p w14:paraId="5A2C352B"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1.00</w:t>
            </w:r>
          </w:p>
        </w:tc>
        <w:tc>
          <w:tcPr>
            <w:tcW w:w="1083" w:type="dxa"/>
            <w:tcBorders>
              <w:top w:val="nil"/>
              <w:left w:val="nil"/>
              <w:bottom w:val="nil"/>
              <w:right w:val="nil"/>
            </w:tcBorders>
            <w:shd w:val="clear" w:color="000000" w:fill="F88B8D"/>
            <w:noWrap/>
            <w:vAlign w:val="center"/>
            <w:hideMark/>
          </w:tcPr>
          <w:p w14:paraId="6D0089D6"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0.15</w:t>
            </w:r>
          </w:p>
        </w:tc>
        <w:tc>
          <w:tcPr>
            <w:tcW w:w="1083" w:type="dxa"/>
            <w:tcBorders>
              <w:top w:val="nil"/>
              <w:left w:val="nil"/>
              <w:bottom w:val="nil"/>
              <w:right w:val="nil"/>
            </w:tcBorders>
            <w:shd w:val="clear" w:color="000000" w:fill="FBF3F6"/>
            <w:noWrap/>
            <w:vAlign w:val="center"/>
            <w:hideMark/>
          </w:tcPr>
          <w:p w14:paraId="48B4C111"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0.51</w:t>
            </w:r>
          </w:p>
        </w:tc>
        <w:tc>
          <w:tcPr>
            <w:tcW w:w="1083" w:type="dxa"/>
            <w:tcBorders>
              <w:top w:val="nil"/>
              <w:left w:val="nil"/>
              <w:bottom w:val="nil"/>
              <w:right w:val="nil"/>
            </w:tcBorders>
            <w:shd w:val="clear" w:color="000000" w:fill="FBEBEE"/>
            <w:noWrap/>
            <w:vAlign w:val="center"/>
            <w:hideMark/>
          </w:tcPr>
          <w:p w14:paraId="595F796C"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0.48</w:t>
            </w:r>
          </w:p>
        </w:tc>
        <w:tc>
          <w:tcPr>
            <w:tcW w:w="694" w:type="dxa"/>
            <w:tcBorders>
              <w:top w:val="nil"/>
              <w:left w:val="nil"/>
              <w:bottom w:val="nil"/>
              <w:right w:val="nil"/>
            </w:tcBorders>
            <w:shd w:val="clear" w:color="000000" w:fill="E1E9F6"/>
            <w:noWrap/>
            <w:vAlign w:val="center"/>
            <w:hideMark/>
          </w:tcPr>
          <w:p w14:paraId="3EC212AE"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0.62</w:t>
            </w:r>
          </w:p>
        </w:tc>
        <w:tc>
          <w:tcPr>
            <w:tcW w:w="594" w:type="dxa"/>
            <w:tcBorders>
              <w:top w:val="nil"/>
              <w:left w:val="nil"/>
              <w:bottom w:val="nil"/>
              <w:right w:val="nil"/>
            </w:tcBorders>
            <w:shd w:val="clear" w:color="000000" w:fill="F2F5FC"/>
            <w:noWrap/>
            <w:vAlign w:val="center"/>
            <w:hideMark/>
          </w:tcPr>
          <w:p w14:paraId="36536D03"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0.57</w:t>
            </w:r>
          </w:p>
        </w:tc>
        <w:tc>
          <w:tcPr>
            <w:tcW w:w="1405" w:type="dxa"/>
            <w:tcBorders>
              <w:top w:val="nil"/>
              <w:left w:val="nil"/>
              <w:bottom w:val="nil"/>
              <w:right w:val="nil"/>
            </w:tcBorders>
            <w:shd w:val="clear" w:color="000000" w:fill="FAC2C4"/>
            <w:noWrap/>
            <w:vAlign w:val="center"/>
            <w:hideMark/>
          </w:tcPr>
          <w:p w14:paraId="3989D0BA"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0.34</w:t>
            </w:r>
          </w:p>
        </w:tc>
        <w:tc>
          <w:tcPr>
            <w:tcW w:w="1294" w:type="dxa"/>
            <w:tcBorders>
              <w:top w:val="nil"/>
              <w:left w:val="nil"/>
              <w:bottom w:val="nil"/>
              <w:right w:val="nil"/>
            </w:tcBorders>
            <w:shd w:val="clear" w:color="000000" w:fill="D7E2F2"/>
            <w:noWrap/>
            <w:vAlign w:val="center"/>
            <w:hideMark/>
          </w:tcPr>
          <w:p w14:paraId="771931BB"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0.65</w:t>
            </w:r>
          </w:p>
        </w:tc>
      </w:tr>
      <w:tr w:rsidR="00C37E18" w:rsidRPr="00C37E18" w14:paraId="0938E339" w14:textId="77777777" w:rsidTr="00274218">
        <w:trPr>
          <w:trHeight w:val="264"/>
        </w:trPr>
        <w:tc>
          <w:tcPr>
            <w:tcW w:w="1710" w:type="dxa"/>
            <w:tcBorders>
              <w:top w:val="nil"/>
              <w:left w:val="nil"/>
              <w:bottom w:val="nil"/>
              <w:right w:val="nil"/>
            </w:tcBorders>
            <w:shd w:val="clear" w:color="auto" w:fill="auto"/>
            <w:noWrap/>
            <w:vAlign w:val="center"/>
            <w:hideMark/>
          </w:tcPr>
          <w:p w14:paraId="374E0004" w14:textId="77777777" w:rsidR="00C37E18" w:rsidRPr="00284651" w:rsidRDefault="00C37E18" w:rsidP="00274218">
            <w:pPr>
              <w:spacing w:after="0" w:line="240" w:lineRule="auto"/>
              <w:jc w:val="center"/>
              <w:rPr>
                <w:rFonts w:ascii="Times New Roman" w:eastAsia="Times New Roman" w:hAnsi="Times New Roman" w:cs="Times New Roman"/>
                <w:b/>
                <w:bCs/>
                <w:color w:val="000000"/>
                <w:sz w:val="20"/>
                <w:szCs w:val="20"/>
                <w:lang w:eastAsia="zh-CN"/>
              </w:rPr>
            </w:pPr>
            <w:r w:rsidRPr="00284651">
              <w:rPr>
                <w:rFonts w:ascii="Times New Roman" w:eastAsia="Times New Roman" w:hAnsi="Times New Roman" w:cs="Times New Roman"/>
                <w:b/>
                <w:bCs/>
                <w:color w:val="000000"/>
                <w:sz w:val="20"/>
                <w:szCs w:val="20"/>
                <w:lang w:eastAsia="zh-CN"/>
              </w:rPr>
              <w:t>Population Density</w:t>
            </w:r>
          </w:p>
        </w:tc>
        <w:tc>
          <w:tcPr>
            <w:tcW w:w="956" w:type="dxa"/>
            <w:tcBorders>
              <w:top w:val="nil"/>
              <w:left w:val="nil"/>
              <w:bottom w:val="nil"/>
              <w:right w:val="nil"/>
            </w:tcBorders>
            <w:shd w:val="clear" w:color="000000" w:fill="F88B8D"/>
            <w:noWrap/>
            <w:vAlign w:val="center"/>
            <w:hideMark/>
          </w:tcPr>
          <w:p w14:paraId="46637251"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0.15</w:t>
            </w:r>
          </w:p>
        </w:tc>
        <w:tc>
          <w:tcPr>
            <w:tcW w:w="1083" w:type="dxa"/>
            <w:tcBorders>
              <w:top w:val="nil"/>
              <w:left w:val="nil"/>
              <w:bottom w:val="nil"/>
              <w:right w:val="nil"/>
            </w:tcBorders>
            <w:shd w:val="clear" w:color="000000" w:fill="5A8AC6"/>
            <w:noWrap/>
            <w:vAlign w:val="center"/>
            <w:hideMark/>
          </w:tcPr>
          <w:p w14:paraId="70257799"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1.00</w:t>
            </w:r>
          </w:p>
        </w:tc>
        <w:tc>
          <w:tcPr>
            <w:tcW w:w="1083" w:type="dxa"/>
            <w:tcBorders>
              <w:top w:val="nil"/>
              <w:left w:val="nil"/>
              <w:bottom w:val="nil"/>
              <w:right w:val="nil"/>
            </w:tcBorders>
            <w:shd w:val="clear" w:color="000000" w:fill="F98F92"/>
            <w:noWrap/>
            <w:vAlign w:val="center"/>
            <w:hideMark/>
          </w:tcPr>
          <w:p w14:paraId="686A112E"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0.17</w:t>
            </w:r>
          </w:p>
        </w:tc>
        <w:tc>
          <w:tcPr>
            <w:tcW w:w="1083" w:type="dxa"/>
            <w:tcBorders>
              <w:top w:val="nil"/>
              <w:left w:val="nil"/>
              <w:bottom w:val="nil"/>
              <w:right w:val="nil"/>
            </w:tcBorders>
            <w:shd w:val="clear" w:color="000000" w:fill="F87F81"/>
            <w:noWrap/>
            <w:vAlign w:val="center"/>
            <w:hideMark/>
          </w:tcPr>
          <w:p w14:paraId="4822016E"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0.11</w:t>
            </w:r>
          </w:p>
        </w:tc>
        <w:tc>
          <w:tcPr>
            <w:tcW w:w="694" w:type="dxa"/>
            <w:tcBorders>
              <w:top w:val="nil"/>
              <w:left w:val="nil"/>
              <w:bottom w:val="nil"/>
              <w:right w:val="nil"/>
            </w:tcBorders>
            <w:shd w:val="clear" w:color="000000" w:fill="F99FA1"/>
            <w:noWrap/>
            <w:vAlign w:val="center"/>
            <w:hideMark/>
          </w:tcPr>
          <w:p w14:paraId="5B9DAC21"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0.22</w:t>
            </w:r>
          </w:p>
        </w:tc>
        <w:tc>
          <w:tcPr>
            <w:tcW w:w="594" w:type="dxa"/>
            <w:tcBorders>
              <w:top w:val="nil"/>
              <w:left w:val="nil"/>
              <w:bottom w:val="nil"/>
              <w:right w:val="nil"/>
            </w:tcBorders>
            <w:shd w:val="clear" w:color="000000" w:fill="F9A0A2"/>
            <w:noWrap/>
            <w:vAlign w:val="center"/>
            <w:hideMark/>
          </w:tcPr>
          <w:p w14:paraId="4AE15FA7"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0.22</w:t>
            </w:r>
          </w:p>
        </w:tc>
        <w:tc>
          <w:tcPr>
            <w:tcW w:w="1405" w:type="dxa"/>
            <w:tcBorders>
              <w:top w:val="nil"/>
              <w:left w:val="nil"/>
              <w:bottom w:val="nil"/>
              <w:right w:val="nil"/>
            </w:tcBorders>
            <w:shd w:val="clear" w:color="000000" w:fill="F8696B"/>
            <w:noWrap/>
            <w:vAlign w:val="center"/>
            <w:hideMark/>
          </w:tcPr>
          <w:p w14:paraId="431F7890"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0.03</w:t>
            </w:r>
          </w:p>
        </w:tc>
        <w:tc>
          <w:tcPr>
            <w:tcW w:w="1294" w:type="dxa"/>
            <w:tcBorders>
              <w:top w:val="nil"/>
              <w:left w:val="nil"/>
              <w:bottom w:val="nil"/>
              <w:right w:val="nil"/>
            </w:tcBorders>
            <w:shd w:val="clear" w:color="000000" w:fill="F99EA0"/>
            <w:noWrap/>
            <w:vAlign w:val="center"/>
            <w:hideMark/>
          </w:tcPr>
          <w:p w14:paraId="2960FF8F"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0.21</w:t>
            </w:r>
          </w:p>
        </w:tc>
      </w:tr>
      <w:tr w:rsidR="00C37E18" w:rsidRPr="00C37E18" w14:paraId="40F83480" w14:textId="77777777" w:rsidTr="00274218">
        <w:trPr>
          <w:trHeight w:val="264"/>
        </w:trPr>
        <w:tc>
          <w:tcPr>
            <w:tcW w:w="1710" w:type="dxa"/>
            <w:tcBorders>
              <w:top w:val="nil"/>
              <w:left w:val="nil"/>
              <w:bottom w:val="nil"/>
              <w:right w:val="nil"/>
            </w:tcBorders>
            <w:shd w:val="clear" w:color="auto" w:fill="auto"/>
            <w:noWrap/>
            <w:vAlign w:val="center"/>
            <w:hideMark/>
          </w:tcPr>
          <w:p w14:paraId="6671C61D" w14:textId="77777777" w:rsidR="00C37E18" w:rsidRPr="00284651" w:rsidRDefault="00C37E18" w:rsidP="00274218">
            <w:pPr>
              <w:spacing w:after="0" w:line="240" w:lineRule="auto"/>
              <w:jc w:val="center"/>
              <w:rPr>
                <w:rFonts w:ascii="Times New Roman" w:eastAsia="Times New Roman" w:hAnsi="Times New Roman" w:cs="Times New Roman"/>
                <w:b/>
                <w:bCs/>
                <w:color w:val="000000"/>
                <w:sz w:val="20"/>
                <w:szCs w:val="20"/>
                <w:lang w:eastAsia="zh-CN"/>
              </w:rPr>
            </w:pPr>
            <w:r w:rsidRPr="00284651">
              <w:rPr>
                <w:rFonts w:ascii="Times New Roman" w:eastAsia="Times New Roman" w:hAnsi="Times New Roman" w:cs="Times New Roman"/>
                <w:b/>
                <w:bCs/>
                <w:color w:val="000000"/>
                <w:sz w:val="20"/>
                <w:szCs w:val="20"/>
                <w:lang w:eastAsia="zh-CN"/>
              </w:rPr>
              <w:t>Urban Population Share</w:t>
            </w:r>
          </w:p>
        </w:tc>
        <w:tc>
          <w:tcPr>
            <w:tcW w:w="956" w:type="dxa"/>
            <w:tcBorders>
              <w:top w:val="nil"/>
              <w:left w:val="nil"/>
              <w:bottom w:val="nil"/>
              <w:right w:val="nil"/>
            </w:tcBorders>
            <w:shd w:val="clear" w:color="000000" w:fill="FBF3F6"/>
            <w:noWrap/>
            <w:vAlign w:val="center"/>
            <w:hideMark/>
          </w:tcPr>
          <w:p w14:paraId="35CA4085"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0.51</w:t>
            </w:r>
          </w:p>
        </w:tc>
        <w:tc>
          <w:tcPr>
            <w:tcW w:w="1083" w:type="dxa"/>
            <w:tcBorders>
              <w:top w:val="nil"/>
              <w:left w:val="nil"/>
              <w:bottom w:val="nil"/>
              <w:right w:val="nil"/>
            </w:tcBorders>
            <w:shd w:val="clear" w:color="000000" w:fill="F98F92"/>
            <w:noWrap/>
            <w:vAlign w:val="center"/>
            <w:hideMark/>
          </w:tcPr>
          <w:p w14:paraId="2B19FD11"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0.17</w:t>
            </w:r>
          </w:p>
        </w:tc>
        <w:tc>
          <w:tcPr>
            <w:tcW w:w="1083" w:type="dxa"/>
            <w:tcBorders>
              <w:top w:val="nil"/>
              <w:left w:val="nil"/>
              <w:bottom w:val="nil"/>
              <w:right w:val="nil"/>
            </w:tcBorders>
            <w:shd w:val="clear" w:color="000000" w:fill="5A8AC6"/>
            <w:noWrap/>
            <w:vAlign w:val="center"/>
            <w:hideMark/>
          </w:tcPr>
          <w:p w14:paraId="1F0E4B58"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1.00</w:t>
            </w:r>
          </w:p>
        </w:tc>
        <w:tc>
          <w:tcPr>
            <w:tcW w:w="1083" w:type="dxa"/>
            <w:tcBorders>
              <w:top w:val="nil"/>
              <w:left w:val="nil"/>
              <w:bottom w:val="nil"/>
              <w:right w:val="nil"/>
            </w:tcBorders>
            <w:shd w:val="clear" w:color="000000" w:fill="FAD6D8"/>
            <w:noWrap/>
            <w:vAlign w:val="center"/>
            <w:hideMark/>
          </w:tcPr>
          <w:p w14:paraId="026D4477"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0.41</w:t>
            </w:r>
          </w:p>
        </w:tc>
        <w:tc>
          <w:tcPr>
            <w:tcW w:w="694" w:type="dxa"/>
            <w:tcBorders>
              <w:top w:val="nil"/>
              <w:left w:val="nil"/>
              <w:bottom w:val="nil"/>
              <w:right w:val="nil"/>
            </w:tcBorders>
            <w:shd w:val="clear" w:color="000000" w:fill="D6E1F2"/>
            <w:noWrap/>
            <w:vAlign w:val="center"/>
            <w:hideMark/>
          </w:tcPr>
          <w:p w14:paraId="34E8465F"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0.65</w:t>
            </w:r>
          </w:p>
        </w:tc>
        <w:tc>
          <w:tcPr>
            <w:tcW w:w="594" w:type="dxa"/>
            <w:tcBorders>
              <w:top w:val="nil"/>
              <w:left w:val="nil"/>
              <w:bottom w:val="nil"/>
              <w:right w:val="nil"/>
            </w:tcBorders>
            <w:shd w:val="clear" w:color="000000" w:fill="FBD7DA"/>
            <w:noWrap/>
            <w:vAlign w:val="center"/>
            <w:hideMark/>
          </w:tcPr>
          <w:p w14:paraId="4DE08CBF"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0.41</w:t>
            </w:r>
          </w:p>
        </w:tc>
        <w:tc>
          <w:tcPr>
            <w:tcW w:w="1405" w:type="dxa"/>
            <w:tcBorders>
              <w:top w:val="nil"/>
              <w:left w:val="nil"/>
              <w:bottom w:val="nil"/>
              <w:right w:val="nil"/>
            </w:tcBorders>
            <w:shd w:val="clear" w:color="000000" w:fill="F9ADAF"/>
            <w:noWrap/>
            <w:vAlign w:val="center"/>
            <w:hideMark/>
          </w:tcPr>
          <w:p w14:paraId="3A844AE3"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0.27</w:t>
            </w:r>
          </w:p>
        </w:tc>
        <w:tc>
          <w:tcPr>
            <w:tcW w:w="1294" w:type="dxa"/>
            <w:tcBorders>
              <w:top w:val="nil"/>
              <w:left w:val="nil"/>
              <w:bottom w:val="nil"/>
              <w:right w:val="nil"/>
            </w:tcBorders>
            <w:shd w:val="clear" w:color="000000" w:fill="FBE0E3"/>
            <w:noWrap/>
            <w:vAlign w:val="center"/>
            <w:hideMark/>
          </w:tcPr>
          <w:p w14:paraId="0039B598"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0.44</w:t>
            </w:r>
          </w:p>
        </w:tc>
      </w:tr>
      <w:tr w:rsidR="00C37E18" w:rsidRPr="00C37E18" w14:paraId="6538B570" w14:textId="77777777" w:rsidTr="00274218">
        <w:trPr>
          <w:trHeight w:val="264"/>
        </w:trPr>
        <w:tc>
          <w:tcPr>
            <w:tcW w:w="1710" w:type="dxa"/>
            <w:tcBorders>
              <w:top w:val="nil"/>
              <w:left w:val="nil"/>
              <w:bottom w:val="nil"/>
              <w:right w:val="nil"/>
            </w:tcBorders>
            <w:shd w:val="clear" w:color="auto" w:fill="auto"/>
            <w:noWrap/>
            <w:vAlign w:val="center"/>
            <w:hideMark/>
          </w:tcPr>
          <w:p w14:paraId="0D02F9C2" w14:textId="77777777" w:rsidR="00C37E18" w:rsidRPr="00284651" w:rsidRDefault="00C37E18" w:rsidP="00274218">
            <w:pPr>
              <w:spacing w:after="0" w:line="240" w:lineRule="auto"/>
              <w:jc w:val="center"/>
              <w:rPr>
                <w:rFonts w:ascii="Times New Roman" w:eastAsia="Times New Roman" w:hAnsi="Times New Roman" w:cs="Times New Roman"/>
                <w:b/>
                <w:bCs/>
                <w:color w:val="000000"/>
                <w:sz w:val="20"/>
                <w:szCs w:val="20"/>
                <w:lang w:eastAsia="zh-CN"/>
              </w:rPr>
            </w:pPr>
            <w:r w:rsidRPr="00284651">
              <w:rPr>
                <w:rFonts w:ascii="Times New Roman" w:eastAsia="Times New Roman" w:hAnsi="Times New Roman" w:cs="Times New Roman"/>
                <w:b/>
                <w:bCs/>
                <w:color w:val="000000"/>
                <w:sz w:val="20"/>
                <w:szCs w:val="20"/>
                <w:lang w:eastAsia="zh-CN"/>
              </w:rPr>
              <w:t>Aged 65+ Population Share</w:t>
            </w:r>
          </w:p>
        </w:tc>
        <w:tc>
          <w:tcPr>
            <w:tcW w:w="956" w:type="dxa"/>
            <w:tcBorders>
              <w:top w:val="nil"/>
              <w:left w:val="nil"/>
              <w:bottom w:val="nil"/>
              <w:right w:val="nil"/>
            </w:tcBorders>
            <w:shd w:val="clear" w:color="000000" w:fill="FBEBEE"/>
            <w:noWrap/>
            <w:vAlign w:val="center"/>
            <w:hideMark/>
          </w:tcPr>
          <w:p w14:paraId="46342E84"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0.48</w:t>
            </w:r>
          </w:p>
        </w:tc>
        <w:tc>
          <w:tcPr>
            <w:tcW w:w="1083" w:type="dxa"/>
            <w:tcBorders>
              <w:top w:val="nil"/>
              <w:left w:val="nil"/>
              <w:bottom w:val="nil"/>
              <w:right w:val="nil"/>
            </w:tcBorders>
            <w:shd w:val="clear" w:color="000000" w:fill="F87F81"/>
            <w:noWrap/>
            <w:vAlign w:val="center"/>
            <w:hideMark/>
          </w:tcPr>
          <w:p w14:paraId="5AE949C7"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0.11</w:t>
            </w:r>
          </w:p>
        </w:tc>
        <w:tc>
          <w:tcPr>
            <w:tcW w:w="1083" w:type="dxa"/>
            <w:tcBorders>
              <w:top w:val="nil"/>
              <w:left w:val="nil"/>
              <w:bottom w:val="nil"/>
              <w:right w:val="nil"/>
            </w:tcBorders>
            <w:shd w:val="clear" w:color="000000" w:fill="FAD6D8"/>
            <w:noWrap/>
            <w:vAlign w:val="center"/>
            <w:hideMark/>
          </w:tcPr>
          <w:p w14:paraId="42C0509A"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0.41</w:t>
            </w:r>
          </w:p>
        </w:tc>
        <w:tc>
          <w:tcPr>
            <w:tcW w:w="1083" w:type="dxa"/>
            <w:tcBorders>
              <w:top w:val="nil"/>
              <w:left w:val="nil"/>
              <w:bottom w:val="nil"/>
              <w:right w:val="nil"/>
            </w:tcBorders>
            <w:shd w:val="clear" w:color="000000" w:fill="5A8AC6"/>
            <w:noWrap/>
            <w:vAlign w:val="center"/>
            <w:hideMark/>
          </w:tcPr>
          <w:p w14:paraId="66E100B4"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1.00</w:t>
            </w:r>
          </w:p>
        </w:tc>
        <w:tc>
          <w:tcPr>
            <w:tcW w:w="694" w:type="dxa"/>
            <w:tcBorders>
              <w:top w:val="nil"/>
              <w:left w:val="nil"/>
              <w:bottom w:val="nil"/>
              <w:right w:val="nil"/>
            </w:tcBorders>
            <w:shd w:val="clear" w:color="000000" w:fill="FBDDE0"/>
            <w:noWrap/>
            <w:vAlign w:val="center"/>
            <w:hideMark/>
          </w:tcPr>
          <w:p w14:paraId="60E4F4A5"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0.43</w:t>
            </w:r>
          </w:p>
        </w:tc>
        <w:tc>
          <w:tcPr>
            <w:tcW w:w="594" w:type="dxa"/>
            <w:tcBorders>
              <w:top w:val="nil"/>
              <w:left w:val="nil"/>
              <w:bottom w:val="nil"/>
              <w:right w:val="nil"/>
            </w:tcBorders>
            <w:shd w:val="clear" w:color="000000" w:fill="D7E2F2"/>
            <w:noWrap/>
            <w:vAlign w:val="center"/>
            <w:hideMark/>
          </w:tcPr>
          <w:p w14:paraId="4A8A566D"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0.64</w:t>
            </w:r>
          </w:p>
        </w:tc>
        <w:tc>
          <w:tcPr>
            <w:tcW w:w="1405" w:type="dxa"/>
            <w:tcBorders>
              <w:top w:val="nil"/>
              <w:left w:val="nil"/>
              <w:bottom w:val="nil"/>
              <w:right w:val="nil"/>
            </w:tcBorders>
            <w:shd w:val="clear" w:color="000000" w:fill="D2DEF0"/>
            <w:noWrap/>
            <w:vAlign w:val="center"/>
            <w:hideMark/>
          </w:tcPr>
          <w:p w14:paraId="3822706F"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0.66</w:t>
            </w:r>
          </w:p>
        </w:tc>
        <w:tc>
          <w:tcPr>
            <w:tcW w:w="1294" w:type="dxa"/>
            <w:tcBorders>
              <w:top w:val="nil"/>
              <w:left w:val="nil"/>
              <w:bottom w:val="nil"/>
              <w:right w:val="nil"/>
            </w:tcBorders>
            <w:shd w:val="clear" w:color="000000" w:fill="D5E1F2"/>
            <w:noWrap/>
            <w:vAlign w:val="center"/>
            <w:hideMark/>
          </w:tcPr>
          <w:p w14:paraId="1C402E30"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0.65</w:t>
            </w:r>
          </w:p>
        </w:tc>
      </w:tr>
      <w:tr w:rsidR="00C37E18" w:rsidRPr="00C37E18" w14:paraId="15245731" w14:textId="77777777" w:rsidTr="00274218">
        <w:trPr>
          <w:trHeight w:val="264"/>
        </w:trPr>
        <w:tc>
          <w:tcPr>
            <w:tcW w:w="1710" w:type="dxa"/>
            <w:tcBorders>
              <w:top w:val="nil"/>
              <w:left w:val="nil"/>
              <w:bottom w:val="nil"/>
              <w:right w:val="nil"/>
            </w:tcBorders>
            <w:shd w:val="clear" w:color="auto" w:fill="auto"/>
            <w:noWrap/>
            <w:vAlign w:val="center"/>
            <w:hideMark/>
          </w:tcPr>
          <w:p w14:paraId="4B9566E6" w14:textId="160C8314" w:rsidR="00C37E18" w:rsidRPr="00284651" w:rsidRDefault="00C37E18" w:rsidP="00274218">
            <w:pPr>
              <w:spacing w:after="0" w:line="240" w:lineRule="auto"/>
              <w:jc w:val="center"/>
              <w:rPr>
                <w:rFonts w:ascii="Times New Roman" w:eastAsia="Times New Roman" w:hAnsi="Times New Roman" w:cs="Times New Roman"/>
                <w:b/>
                <w:bCs/>
                <w:color w:val="000000"/>
                <w:sz w:val="20"/>
                <w:szCs w:val="20"/>
                <w:lang w:eastAsia="zh-CN"/>
              </w:rPr>
            </w:pPr>
            <w:r w:rsidRPr="00284651">
              <w:rPr>
                <w:rFonts w:ascii="Times New Roman" w:eastAsia="Times New Roman" w:hAnsi="Times New Roman" w:cs="Times New Roman"/>
                <w:b/>
                <w:bCs/>
                <w:color w:val="000000"/>
                <w:sz w:val="20"/>
                <w:szCs w:val="20"/>
                <w:lang w:eastAsia="zh-CN"/>
              </w:rPr>
              <w:t>GDP per capita</w:t>
            </w:r>
          </w:p>
        </w:tc>
        <w:tc>
          <w:tcPr>
            <w:tcW w:w="956" w:type="dxa"/>
            <w:tcBorders>
              <w:top w:val="nil"/>
              <w:left w:val="nil"/>
              <w:bottom w:val="nil"/>
              <w:right w:val="nil"/>
            </w:tcBorders>
            <w:shd w:val="clear" w:color="000000" w:fill="E1E9F6"/>
            <w:noWrap/>
            <w:vAlign w:val="center"/>
            <w:hideMark/>
          </w:tcPr>
          <w:p w14:paraId="3D995DE5"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0.62</w:t>
            </w:r>
          </w:p>
        </w:tc>
        <w:tc>
          <w:tcPr>
            <w:tcW w:w="1083" w:type="dxa"/>
            <w:tcBorders>
              <w:top w:val="nil"/>
              <w:left w:val="nil"/>
              <w:bottom w:val="nil"/>
              <w:right w:val="nil"/>
            </w:tcBorders>
            <w:shd w:val="clear" w:color="000000" w:fill="F99FA1"/>
            <w:noWrap/>
            <w:vAlign w:val="center"/>
            <w:hideMark/>
          </w:tcPr>
          <w:p w14:paraId="3FB3F9F3"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0.22</w:t>
            </w:r>
          </w:p>
        </w:tc>
        <w:tc>
          <w:tcPr>
            <w:tcW w:w="1083" w:type="dxa"/>
            <w:tcBorders>
              <w:top w:val="nil"/>
              <w:left w:val="nil"/>
              <w:bottom w:val="nil"/>
              <w:right w:val="nil"/>
            </w:tcBorders>
            <w:shd w:val="clear" w:color="000000" w:fill="D6E1F2"/>
            <w:noWrap/>
            <w:vAlign w:val="center"/>
            <w:hideMark/>
          </w:tcPr>
          <w:p w14:paraId="7688BE5C"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0.65</w:t>
            </w:r>
          </w:p>
        </w:tc>
        <w:tc>
          <w:tcPr>
            <w:tcW w:w="1083" w:type="dxa"/>
            <w:tcBorders>
              <w:top w:val="nil"/>
              <w:left w:val="nil"/>
              <w:bottom w:val="nil"/>
              <w:right w:val="nil"/>
            </w:tcBorders>
            <w:shd w:val="clear" w:color="000000" w:fill="FBDDE0"/>
            <w:noWrap/>
            <w:vAlign w:val="center"/>
            <w:hideMark/>
          </w:tcPr>
          <w:p w14:paraId="76FBBC84"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0.43</w:t>
            </w:r>
          </w:p>
        </w:tc>
        <w:tc>
          <w:tcPr>
            <w:tcW w:w="694" w:type="dxa"/>
            <w:tcBorders>
              <w:top w:val="nil"/>
              <w:left w:val="nil"/>
              <w:bottom w:val="nil"/>
              <w:right w:val="nil"/>
            </w:tcBorders>
            <w:shd w:val="clear" w:color="000000" w:fill="5A8AC6"/>
            <w:noWrap/>
            <w:vAlign w:val="center"/>
            <w:hideMark/>
          </w:tcPr>
          <w:p w14:paraId="327BFFC7"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1.00</w:t>
            </w:r>
          </w:p>
        </w:tc>
        <w:tc>
          <w:tcPr>
            <w:tcW w:w="594" w:type="dxa"/>
            <w:tcBorders>
              <w:top w:val="nil"/>
              <w:left w:val="nil"/>
              <w:bottom w:val="nil"/>
              <w:right w:val="nil"/>
            </w:tcBorders>
            <w:shd w:val="clear" w:color="000000" w:fill="C5D5EC"/>
            <w:noWrap/>
            <w:vAlign w:val="center"/>
            <w:hideMark/>
          </w:tcPr>
          <w:p w14:paraId="5A103774"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0.70</w:t>
            </w:r>
          </w:p>
        </w:tc>
        <w:tc>
          <w:tcPr>
            <w:tcW w:w="1405" w:type="dxa"/>
            <w:tcBorders>
              <w:top w:val="nil"/>
              <w:left w:val="nil"/>
              <w:bottom w:val="nil"/>
              <w:right w:val="nil"/>
            </w:tcBorders>
            <w:shd w:val="clear" w:color="000000" w:fill="FAB3B5"/>
            <w:noWrap/>
            <w:vAlign w:val="center"/>
            <w:hideMark/>
          </w:tcPr>
          <w:p w14:paraId="3B2C45E4"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0.29</w:t>
            </w:r>
          </w:p>
        </w:tc>
        <w:tc>
          <w:tcPr>
            <w:tcW w:w="1294" w:type="dxa"/>
            <w:tcBorders>
              <w:top w:val="nil"/>
              <w:left w:val="nil"/>
              <w:bottom w:val="nil"/>
              <w:right w:val="nil"/>
            </w:tcBorders>
            <w:shd w:val="clear" w:color="000000" w:fill="C6D6EC"/>
            <w:noWrap/>
            <w:vAlign w:val="center"/>
            <w:hideMark/>
          </w:tcPr>
          <w:p w14:paraId="2C82131F"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0.69</w:t>
            </w:r>
          </w:p>
        </w:tc>
      </w:tr>
      <w:tr w:rsidR="00C37E18" w:rsidRPr="00C37E18" w14:paraId="5201A947" w14:textId="77777777" w:rsidTr="00274218">
        <w:trPr>
          <w:trHeight w:val="264"/>
        </w:trPr>
        <w:tc>
          <w:tcPr>
            <w:tcW w:w="1710" w:type="dxa"/>
            <w:tcBorders>
              <w:top w:val="nil"/>
              <w:left w:val="nil"/>
              <w:bottom w:val="nil"/>
              <w:right w:val="nil"/>
            </w:tcBorders>
            <w:shd w:val="clear" w:color="auto" w:fill="auto"/>
            <w:noWrap/>
            <w:vAlign w:val="center"/>
            <w:hideMark/>
          </w:tcPr>
          <w:p w14:paraId="2E31BEDB" w14:textId="77777777" w:rsidR="00C37E18" w:rsidRPr="00284651" w:rsidRDefault="00C37E18" w:rsidP="00274218">
            <w:pPr>
              <w:spacing w:after="0" w:line="240" w:lineRule="auto"/>
              <w:jc w:val="center"/>
              <w:rPr>
                <w:rFonts w:ascii="Times New Roman" w:eastAsia="Times New Roman" w:hAnsi="Times New Roman" w:cs="Times New Roman"/>
                <w:b/>
                <w:bCs/>
                <w:color w:val="000000"/>
                <w:sz w:val="20"/>
                <w:szCs w:val="20"/>
                <w:lang w:eastAsia="zh-CN"/>
              </w:rPr>
            </w:pPr>
            <w:r w:rsidRPr="00284651">
              <w:rPr>
                <w:rFonts w:ascii="Times New Roman" w:eastAsia="Times New Roman" w:hAnsi="Times New Roman" w:cs="Times New Roman"/>
                <w:b/>
                <w:bCs/>
                <w:color w:val="000000"/>
                <w:sz w:val="20"/>
                <w:szCs w:val="20"/>
                <w:lang w:eastAsia="zh-CN"/>
              </w:rPr>
              <w:t>Rule of Law</w:t>
            </w:r>
          </w:p>
        </w:tc>
        <w:tc>
          <w:tcPr>
            <w:tcW w:w="956" w:type="dxa"/>
            <w:tcBorders>
              <w:top w:val="nil"/>
              <w:left w:val="nil"/>
              <w:bottom w:val="nil"/>
              <w:right w:val="nil"/>
            </w:tcBorders>
            <w:shd w:val="clear" w:color="000000" w:fill="F2F5FC"/>
            <w:noWrap/>
            <w:vAlign w:val="center"/>
            <w:hideMark/>
          </w:tcPr>
          <w:p w14:paraId="4573990C"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0.57</w:t>
            </w:r>
          </w:p>
        </w:tc>
        <w:tc>
          <w:tcPr>
            <w:tcW w:w="1083" w:type="dxa"/>
            <w:tcBorders>
              <w:top w:val="nil"/>
              <w:left w:val="nil"/>
              <w:bottom w:val="nil"/>
              <w:right w:val="nil"/>
            </w:tcBorders>
            <w:shd w:val="clear" w:color="000000" w:fill="F9A0A2"/>
            <w:noWrap/>
            <w:vAlign w:val="center"/>
            <w:hideMark/>
          </w:tcPr>
          <w:p w14:paraId="7EC331C1"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0.22</w:t>
            </w:r>
          </w:p>
        </w:tc>
        <w:tc>
          <w:tcPr>
            <w:tcW w:w="1083" w:type="dxa"/>
            <w:tcBorders>
              <w:top w:val="nil"/>
              <w:left w:val="nil"/>
              <w:bottom w:val="nil"/>
              <w:right w:val="nil"/>
            </w:tcBorders>
            <w:shd w:val="clear" w:color="000000" w:fill="FBD7DA"/>
            <w:noWrap/>
            <w:vAlign w:val="center"/>
            <w:hideMark/>
          </w:tcPr>
          <w:p w14:paraId="2158B57F"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0.41</w:t>
            </w:r>
          </w:p>
        </w:tc>
        <w:tc>
          <w:tcPr>
            <w:tcW w:w="1083" w:type="dxa"/>
            <w:tcBorders>
              <w:top w:val="nil"/>
              <w:left w:val="nil"/>
              <w:bottom w:val="nil"/>
              <w:right w:val="nil"/>
            </w:tcBorders>
            <w:shd w:val="clear" w:color="000000" w:fill="D7E2F2"/>
            <w:noWrap/>
            <w:vAlign w:val="center"/>
            <w:hideMark/>
          </w:tcPr>
          <w:p w14:paraId="633790B1"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0.64</w:t>
            </w:r>
          </w:p>
        </w:tc>
        <w:tc>
          <w:tcPr>
            <w:tcW w:w="694" w:type="dxa"/>
            <w:tcBorders>
              <w:top w:val="nil"/>
              <w:left w:val="nil"/>
              <w:bottom w:val="nil"/>
              <w:right w:val="nil"/>
            </w:tcBorders>
            <w:shd w:val="clear" w:color="000000" w:fill="C5D5EC"/>
            <w:noWrap/>
            <w:vAlign w:val="center"/>
            <w:hideMark/>
          </w:tcPr>
          <w:p w14:paraId="65B6C20C"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0.70</w:t>
            </w:r>
          </w:p>
        </w:tc>
        <w:tc>
          <w:tcPr>
            <w:tcW w:w="594" w:type="dxa"/>
            <w:tcBorders>
              <w:top w:val="nil"/>
              <w:left w:val="nil"/>
              <w:bottom w:val="nil"/>
              <w:right w:val="nil"/>
            </w:tcBorders>
            <w:shd w:val="clear" w:color="000000" w:fill="5A8AC6"/>
            <w:noWrap/>
            <w:vAlign w:val="center"/>
            <w:hideMark/>
          </w:tcPr>
          <w:p w14:paraId="2F3F27D8"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1.00</w:t>
            </w:r>
          </w:p>
        </w:tc>
        <w:tc>
          <w:tcPr>
            <w:tcW w:w="1405" w:type="dxa"/>
            <w:tcBorders>
              <w:top w:val="nil"/>
              <w:left w:val="nil"/>
              <w:bottom w:val="nil"/>
              <w:right w:val="nil"/>
            </w:tcBorders>
            <w:shd w:val="clear" w:color="000000" w:fill="C7D7ED"/>
            <w:noWrap/>
            <w:vAlign w:val="center"/>
            <w:hideMark/>
          </w:tcPr>
          <w:p w14:paraId="24E84903"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0.69</w:t>
            </w:r>
          </w:p>
        </w:tc>
        <w:tc>
          <w:tcPr>
            <w:tcW w:w="1294" w:type="dxa"/>
            <w:tcBorders>
              <w:top w:val="nil"/>
              <w:left w:val="nil"/>
              <w:bottom w:val="nil"/>
              <w:right w:val="nil"/>
            </w:tcBorders>
            <w:shd w:val="clear" w:color="000000" w:fill="739CCF"/>
            <w:noWrap/>
            <w:vAlign w:val="center"/>
            <w:hideMark/>
          </w:tcPr>
          <w:p w14:paraId="7E45ACC3"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0.93</w:t>
            </w:r>
          </w:p>
        </w:tc>
      </w:tr>
      <w:tr w:rsidR="00C37E18" w:rsidRPr="00C37E18" w14:paraId="25386A3A" w14:textId="77777777" w:rsidTr="00274218">
        <w:trPr>
          <w:trHeight w:val="264"/>
        </w:trPr>
        <w:tc>
          <w:tcPr>
            <w:tcW w:w="1710" w:type="dxa"/>
            <w:tcBorders>
              <w:top w:val="nil"/>
              <w:left w:val="nil"/>
              <w:bottom w:val="nil"/>
              <w:right w:val="nil"/>
            </w:tcBorders>
            <w:shd w:val="clear" w:color="auto" w:fill="auto"/>
            <w:noWrap/>
            <w:vAlign w:val="center"/>
            <w:hideMark/>
          </w:tcPr>
          <w:p w14:paraId="24C7ED20" w14:textId="77777777" w:rsidR="00C37E18" w:rsidRPr="00284651" w:rsidRDefault="00C37E18" w:rsidP="00274218">
            <w:pPr>
              <w:spacing w:after="0" w:line="240" w:lineRule="auto"/>
              <w:jc w:val="center"/>
              <w:rPr>
                <w:rFonts w:ascii="Times New Roman" w:eastAsia="Times New Roman" w:hAnsi="Times New Roman" w:cs="Times New Roman"/>
                <w:b/>
                <w:bCs/>
                <w:color w:val="000000"/>
                <w:sz w:val="20"/>
                <w:szCs w:val="20"/>
                <w:lang w:eastAsia="zh-CN"/>
              </w:rPr>
            </w:pPr>
            <w:r w:rsidRPr="00284651">
              <w:rPr>
                <w:rFonts w:ascii="Times New Roman" w:eastAsia="Times New Roman" w:hAnsi="Times New Roman" w:cs="Times New Roman"/>
                <w:b/>
                <w:bCs/>
                <w:color w:val="000000"/>
                <w:sz w:val="20"/>
                <w:szCs w:val="20"/>
                <w:lang w:eastAsia="zh-CN"/>
              </w:rPr>
              <w:t>Voice &amp; Accountability</w:t>
            </w:r>
          </w:p>
        </w:tc>
        <w:tc>
          <w:tcPr>
            <w:tcW w:w="956" w:type="dxa"/>
            <w:tcBorders>
              <w:top w:val="nil"/>
              <w:left w:val="nil"/>
              <w:bottom w:val="nil"/>
              <w:right w:val="nil"/>
            </w:tcBorders>
            <w:shd w:val="clear" w:color="000000" w:fill="FAC2C4"/>
            <w:noWrap/>
            <w:vAlign w:val="center"/>
            <w:hideMark/>
          </w:tcPr>
          <w:p w14:paraId="24E0A06B"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0.34</w:t>
            </w:r>
          </w:p>
        </w:tc>
        <w:tc>
          <w:tcPr>
            <w:tcW w:w="1083" w:type="dxa"/>
            <w:tcBorders>
              <w:top w:val="nil"/>
              <w:left w:val="nil"/>
              <w:bottom w:val="nil"/>
              <w:right w:val="nil"/>
            </w:tcBorders>
            <w:shd w:val="clear" w:color="000000" w:fill="F8696B"/>
            <w:noWrap/>
            <w:vAlign w:val="center"/>
            <w:hideMark/>
          </w:tcPr>
          <w:p w14:paraId="587700C3"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0.03</w:t>
            </w:r>
          </w:p>
        </w:tc>
        <w:tc>
          <w:tcPr>
            <w:tcW w:w="1083" w:type="dxa"/>
            <w:tcBorders>
              <w:top w:val="nil"/>
              <w:left w:val="nil"/>
              <w:bottom w:val="nil"/>
              <w:right w:val="nil"/>
            </w:tcBorders>
            <w:shd w:val="clear" w:color="000000" w:fill="F9ADAF"/>
            <w:noWrap/>
            <w:vAlign w:val="center"/>
            <w:hideMark/>
          </w:tcPr>
          <w:p w14:paraId="68651526"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0.27</w:t>
            </w:r>
          </w:p>
        </w:tc>
        <w:tc>
          <w:tcPr>
            <w:tcW w:w="1083" w:type="dxa"/>
            <w:tcBorders>
              <w:top w:val="nil"/>
              <w:left w:val="nil"/>
              <w:bottom w:val="nil"/>
              <w:right w:val="nil"/>
            </w:tcBorders>
            <w:shd w:val="clear" w:color="000000" w:fill="D2DEF0"/>
            <w:noWrap/>
            <w:vAlign w:val="center"/>
            <w:hideMark/>
          </w:tcPr>
          <w:p w14:paraId="08E94A9E"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0.66</w:t>
            </w:r>
          </w:p>
        </w:tc>
        <w:tc>
          <w:tcPr>
            <w:tcW w:w="694" w:type="dxa"/>
            <w:tcBorders>
              <w:top w:val="nil"/>
              <w:left w:val="nil"/>
              <w:bottom w:val="nil"/>
              <w:right w:val="nil"/>
            </w:tcBorders>
            <w:shd w:val="clear" w:color="000000" w:fill="FAB3B5"/>
            <w:noWrap/>
            <w:vAlign w:val="center"/>
            <w:hideMark/>
          </w:tcPr>
          <w:p w14:paraId="78E053E1"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0.29</w:t>
            </w:r>
          </w:p>
        </w:tc>
        <w:tc>
          <w:tcPr>
            <w:tcW w:w="594" w:type="dxa"/>
            <w:tcBorders>
              <w:top w:val="nil"/>
              <w:left w:val="nil"/>
              <w:bottom w:val="nil"/>
              <w:right w:val="nil"/>
            </w:tcBorders>
            <w:shd w:val="clear" w:color="000000" w:fill="C7D7ED"/>
            <w:noWrap/>
            <w:vAlign w:val="center"/>
            <w:hideMark/>
          </w:tcPr>
          <w:p w14:paraId="50FEDFB0"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0.69</w:t>
            </w:r>
          </w:p>
        </w:tc>
        <w:tc>
          <w:tcPr>
            <w:tcW w:w="1405" w:type="dxa"/>
            <w:tcBorders>
              <w:top w:val="nil"/>
              <w:left w:val="nil"/>
              <w:bottom w:val="nil"/>
              <w:right w:val="nil"/>
            </w:tcBorders>
            <w:shd w:val="clear" w:color="000000" w:fill="5A8AC6"/>
            <w:noWrap/>
            <w:vAlign w:val="center"/>
            <w:hideMark/>
          </w:tcPr>
          <w:p w14:paraId="5CD85401"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1.00</w:t>
            </w:r>
          </w:p>
        </w:tc>
        <w:tc>
          <w:tcPr>
            <w:tcW w:w="1294" w:type="dxa"/>
            <w:tcBorders>
              <w:top w:val="nil"/>
              <w:left w:val="nil"/>
              <w:bottom w:val="nil"/>
              <w:right w:val="nil"/>
            </w:tcBorders>
            <w:shd w:val="clear" w:color="000000" w:fill="D7E2F2"/>
            <w:noWrap/>
            <w:vAlign w:val="center"/>
            <w:hideMark/>
          </w:tcPr>
          <w:p w14:paraId="721B87DF"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0.64</w:t>
            </w:r>
          </w:p>
        </w:tc>
      </w:tr>
      <w:tr w:rsidR="00C37E18" w:rsidRPr="00C37E18" w14:paraId="50E14B59" w14:textId="77777777" w:rsidTr="00274218">
        <w:trPr>
          <w:trHeight w:val="264"/>
        </w:trPr>
        <w:tc>
          <w:tcPr>
            <w:tcW w:w="1710" w:type="dxa"/>
            <w:tcBorders>
              <w:top w:val="nil"/>
              <w:left w:val="nil"/>
              <w:bottom w:val="nil"/>
              <w:right w:val="nil"/>
            </w:tcBorders>
            <w:shd w:val="clear" w:color="auto" w:fill="auto"/>
            <w:noWrap/>
            <w:vAlign w:val="center"/>
            <w:hideMark/>
          </w:tcPr>
          <w:p w14:paraId="0050026C" w14:textId="77777777" w:rsidR="00C37E18" w:rsidRPr="00284651" w:rsidRDefault="00C37E18" w:rsidP="00274218">
            <w:pPr>
              <w:spacing w:after="0" w:line="240" w:lineRule="auto"/>
              <w:jc w:val="center"/>
              <w:rPr>
                <w:rFonts w:ascii="Times New Roman" w:eastAsia="Times New Roman" w:hAnsi="Times New Roman" w:cs="Times New Roman"/>
                <w:b/>
                <w:bCs/>
                <w:color w:val="000000"/>
                <w:sz w:val="20"/>
                <w:szCs w:val="20"/>
                <w:lang w:eastAsia="zh-CN"/>
              </w:rPr>
            </w:pPr>
            <w:r w:rsidRPr="00284651">
              <w:rPr>
                <w:rFonts w:ascii="Times New Roman" w:eastAsia="Times New Roman" w:hAnsi="Times New Roman" w:cs="Times New Roman"/>
                <w:b/>
                <w:bCs/>
                <w:color w:val="000000"/>
                <w:sz w:val="20"/>
                <w:szCs w:val="20"/>
                <w:lang w:eastAsia="zh-CN"/>
              </w:rPr>
              <w:t>Government Effectiveness</w:t>
            </w:r>
          </w:p>
        </w:tc>
        <w:tc>
          <w:tcPr>
            <w:tcW w:w="956" w:type="dxa"/>
            <w:tcBorders>
              <w:top w:val="nil"/>
              <w:left w:val="nil"/>
              <w:bottom w:val="nil"/>
              <w:right w:val="nil"/>
            </w:tcBorders>
            <w:shd w:val="clear" w:color="000000" w:fill="D7E2F2"/>
            <w:noWrap/>
            <w:vAlign w:val="center"/>
            <w:hideMark/>
          </w:tcPr>
          <w:p w14:paraId="1879AA6D"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0.65</w:t>
            </w:r>
          </w:p>
        </w:tc>
        <w:tc>
          <w:tcPr>
            <w:tcW w:w="1083" w:type="dxa"/>
            <w:tcBorders>
              <w:top w:val="nil"/>
              <w:left w:val="nil"/>
              <w:bottom w:val="nil"/>
              <w:right w:val="nil"/>
            </w:tcBorders>
            <w:shd w:val="clear" w:color="000000" w:fill="F99EA0"/>
            <w:noWrap/>
            <w:vAlign w:val="center"/>
            <w:hideMark/>
          </w:tcPr>
          <w:p w14:paraId="0E8BCC21"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0.21</w:t>
            </w:r>
          </w:p>
        </w:tc>
        <w:tc>
          <w:tcPr>
            <w:tcW w:w="1083" w:type="dxa"/>
            <w:tcBorders>
              <w:top w:val="nil"/>
              <w:left w:val="nil"/>
              <w:bottom w:val="nil"/>
              <w:right w:val="nil"/>
            </w:tcBorders>
            <w:shd w:val="clear" w:color="000000" w:fill="FBE0E3"/>
            <w:noWrap/>
            <w:vAlign w:val="center"/>
            <w:hideMark/>
          </w:tcPr>
          <w:p w14:paraId="2422B622"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0.44</w:t>
            </w:r>
          </w:p>
        </w:tc>
        <w:tc>
          <w:tcPr>
            <w:tcW w:w="1083" w:type="dxa"/>
            <w:tcBorders>
              <w:top w:val="nil"/>
              <w:left w:val="nil"/>
              <w:bottom w:val="nil"/>
              <w:right w:val="nil"/>
            </w:tcBorders>
            <w:shd w:val="clear" w:color="000000" w:fill="D5E1F2"/>
            <w:noWrap/>
            <w:vAlign w:val="center"/>
            <w:hideMark/>
          </w:tcPr>
          <w:p w14:paraId="62B1FF76"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0.65</w:t>
            </w:r>
          </w:p>
        </w:tc>
        <w:tc>
          <w:tcPr>
            <w:tcW w:w="694" w:type="dxa"/>
            <w:tcBorders>
              <w:top w:val="nil"/>
              <w:left w:val="nil"/>
              <w:bottom w:val="nil"/>
              <w:right w:val="nil"/>
            </w:tcBorders>
            <w:shd w:val="clear" w:color="000000" w:fill="C6D6EC"/>
            <w:noWrap/>
            <w:vAlign w:val="center"/>
            <w:hideMark/>
          </w:tcPr>
          <w:p w14:paraId="61A23E5D"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0.69</w:t>
            </w:r>
          </w:p>
        </w:tc>
        <w:tc>
          <w:tcPr>
            <w:tcW w:w="594" w:type="dxa"/>
            <w:tcBorders>
              <w:top w:val="nil"/>
              <w:left w:val="nil"/>
              <w:bottom w:val="nil"/>
              <w:right w:val="nil"/>
            </w:tcBorders>
            <w:shd w:val="clear" w:color="000000" w:fill="739CCF"/>
            <w:noWrap/>
            <w:vAlign w:val="center"/>
            <w:hideMark/>
          </w:tcPr>
          <w:p w14:paraId="283F503A"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0.93</w:t>
            </w:r>
          </w:p>
        </w:tc>
        <w:tc>
          <w:tcPr>
            <w:tcW w:w="1405" w:type="dxa"/>
            <w:tcBorders>
              <w:top w:val="nil"/>
              <w:left w:val="nil"/>
              <w:bottom w:val="nil"/>
              <w:right w:val="nil"/>
            </w:tcBorders>
            <w:shd w:val="clear" w:color="000000" w:fill="D7E2F2"/>
            <w:noWrap/>
            <w:vAlign w:val="center"/>
            <w:hideMark/>
          </w:tcPr>
          <w:p w14:paraId="1FF57DC4"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0.64</w:t>
            </w:r>
          </w:p>
        </w:tc>
        <w:tc>
          <w:tcPr>
            <w:tcW w:w="1294" w:type="dxa"/>
            <w:tcBorders>
              <w:top w:val="nil"/>
              <w:left w:val="nil"/>
              <w:bottom w:val="nil"/>
              <w:right w:val="nil"/>
            </w:tcBorders>
            <w:shd w:val="clear" w:color="000000" w:fill="5A8AC6"/>
            <w:noWrap/>
            <w:vAlign w:val="center"/>
            <w:hideMark/>
          </w:tcPr>
          <w:p w14:paraId="27E680A0" w14:textId="77777777" w:rsidR="00C37E18" w:rsidRPr="00274218" w:rsidRDefault="00C37E18" w:rsidP="00274218">
            <w:pPr>
              <w:spacing w:after="0" w:line="240" w:lineRule="auto"/>
              <w:jc w:val="center"/>
              <w:rPr>
                <w:rFonts w:ascii="Times New Roman" w:eastAsia="Times New Roman" w:hAnsi="Times New Roman" w:cs="Times New Roman"/>
                <w:color w:val="000000"/>
                <w:sz w:val="24"/>
                <w:szCs w:val="24"/>
                <w:lang w:eastAsia="zh-CN"/>
              </w:rPr>
            </w:pPr>
            <w:r w:rsidRPr="00274218">
              <w:rPr>
                <w:rFonts w:ascii="Times New Roman" w:eastAsia="Times New Roman" w:hAnsi="Times New Roman" w:cs="Times New Roman"/>
                <w:color w:val="000000"/>
                <w:sz w:val="24"/>
                <w:szCs w:val="24"/>
                <w:lang w:eastAsia="zh-CN"/>
              </w:rPr>
              <w:t>1.00</w:t>
            </w:r>
          </w:p>
        </w:tc>
      </w:tr>
    </w:tbl>
    <w:p w14:paraId="126958ED" w14:textId="019AAC1B" w:rsidR="0097414B" w:rsidRPr="00173569" w:rsidRDefault="0097414B" w:rsidP="0097414B">
      <w:pPr>
        <w:spacing w:line="360" w:lineRule="auto"/>
        <w:rPr>
          <w:rFonts w:ascii="Times New Roman" w:eastAsia="Book Antiqua" w:hAnsi="Times New Roman" w:cs="Times New Roman"/>
          <w:i/>
          <w:iCs/>
          <w:sz w:val="24"/>
          <w:szCs w:val="24"/>
        </w:rPr>
      </w:pPr>
      <w:r w:rsidRPr="00173569">
        <w:rPr>
          <w:rFonts w:ascii="Times New Roman" w:eastAsia="Book Antiqua" w:hAnsi="Times New Roman" w:cs="Times New Roman"/>
          <w:i/>
          <w:iCs/>
          <w:sz w:val="24"/>
          <w:szCs w:val="24"/>
        </w:rPr>
        <w:t>Note: Vaccinations is the number of Covid-19 vaccinations administered per hundred population.</w:t>
      </w:r>
    </w:p>
    <w:p w14:paraId="53B82F09" w14:textId="6B4A09DD" w:rsidR="009D1A15" w:rsidRPr="00173569" w:rsidRDefault="009D1A15" w:rsidP="00BD0C6B">
      <w:pPr>
        <w:tabs>
          <w:tab w:val="left" w:pos="90"/>
        </w:tabs>
        <w:spacing w:line="360" w:lineRule="auto"/>
        <w:ind w:left="180"/>
        <w:rPr>
          <w:rFonts w:ascii="Times New Roman" w:eastAsia="Book Antiqua" w:hAnsi="Times New Roman" w:cs="Times New Roman"/>
          <w:b/>
          <w:i/>
          <w:iCs/>
          <w:sz w:val="24"/>
          <w:szCs w:val="24"/>
        </w:rPr>
      </w:pPr>
    </w:p>
    <w:p w14:paraId="5BF13F83" w14:textId="77777777" w:rsidR="009D1A15" w:rsidRPr="00173569" w:rsidRDefault="009D1A15" w:rsidP="009D1A15">
      <w:pPr>
        <w:spacing w:line="360" w:lineRule="auto"/>
        <w:rPr>
          <w:rFonts w:ascii="Times New Roman" w:hAnsi="Times New Roman" w:cs="Times New Roman"/>
          <w:sz w:val="24"/>
          <w:szCs w:val="24"/>
        </w:rPr>
      </w:pPr>
    </w:p>
    <w:p w14:paraId="176BF3E5" w14:textId="77777777" w:rsidR="00525800" w:rsidRPr="00173569" w:rsidRDefault="00525800" w:rsidP="0036768F">
      <w:pPr>
        <w:spacing w:line="360" w:lineRule="auto"/>
        <w:rPr>
          <w:rFonts w:ascii="Times New Roman" w:hAnsi="Times New Roman" w:cs="Times New Roman"/>
          <w:sz w:val="24"/>
          <w:szCs w:val="24"/>
        </w:rPr>
      </w:pPr>
    </w:p>
    <w:p w14:paraId="587A569D" w14:textId="5B25F7BC" w:rsidR="00E3475B" w:rsidRPr="00173569" w:rsidRDefault="00E3475B">
      <w:pPr>
        <w:rPr>
          <w:rFonts w:ascii="Times New Roman" w:hAnsi="Times New Roman" w:cs="Times New Roman"/>
          <w:sz w:val="24"/>
          <w:szCs w:val="24"/>
        </w:rPr>
      </w:pPr>
      <w:r w:rsidRPr="00173569">
        <w:rPr>
          <w:rFonts w:ascii="Times New Roman" w:hAnsi="Times New Roman" w:cs="Times New Roman"/>
          <w:sz w:val="24"/>
          <w:szCs w:val="24"/>
        </w:rPr>
        <w:br w:type="page"/>
      </w:r>
    </w:p>
    <w:p w14:paraId="4B6EFA46" w14:textId="3AF8CA31" w:rsidR="00A10C6C" w:rsidRPr="00173569" w:rsidRDefault="00486113" w:rsidP="0091622A">
      <w:pPr>
        <w:spacing w:line="360" w:lineRule="auto"/>
        <w:rPr>
          <w:rFonts w:ascii="Times New Roman" w:hAnsi="Times New Roman" w:cs="Times New Roman"/>
          <w:b/>
          <w:sz w:val="24"/>
          <w:szCs w:val="24"/>
        </w:rPr>
      </w:pPr>
      <w:r w:rsidRPr="00173569">
        <w:rPr>
          <w:rFonts w:ascii="Times New Roman" w:hAnsi="Times New Roman" w:cs="Times New Roman"/>
          <w:b/>
          <w:sz w:val="24"/>
          <w:szCs w:val="24"/>
        </w:rPr>
        <w:lastRenderedPageBreak/>
        <w:t xml:space="preserve">References </w:t>
      </w:r>
    </w:p>
    <w:p w14:paraId="57F05AEE" w14:textId="7571845A" w:rsidR="3154675B" w:rsidRPr="00173569" w:rsidRDefault="3154675B" w:rsidP="007B7457">
      <w:pPr>
        <w:spacing w:after="0" w:line="360" w:lineRule="auto"/>
        <w:ind w:left="720" w:hanging="720"/>
        <w:rPr>
          <w:rFonts w:ascii="Times New Roman" w:hAnsi="Times New Roman" w:cs="Times New Roman"/>
          <w:sz w:val="24"/>
          <w:szCs w:val="24"/>
        </w:rPr>
      </w:pPr>
      <w:r w:rsidRPr="00173569">
        <w:rPr>
          <w:rFonts w:ascii="Times New Roman" w:hAnsi="Times New Roman" w:cs="Times New Roman"/>
          <w:sz w:val="24"/>
          <w:szCs w:val="24"/>
        </w:rPr>
        <w:t>Adam, D</w:t>
      </w:r>
      <w:r w:rsidR="0010505B" w:rsidRPr="00173569">
        <w:rPr>
          <w:rFonts w:ascii="Times New Roman" w:hAnsi="Times New Roman" w:cs="Times New Roman"/>
          <w:sz w:val="24"/>
          <w:szCs w:val="24"/>
        </w:rPr>
        <w:t>.</w:t>
      </w:r>
      <w:r w:rsidRPr="00173569">
        <w:rPr>
          <w:rFonts w:ascii="Times New Roman" w:hAnsi="Times New Roman" w:cs="Times New Roman"/>
          <w:sz w:val="24"/>
          <w:szCs w:val="24"/>
        </w:rPr>
        <w:t xml:space="preserve">, </w:t>
      </w:r>
      <w:r w:rsidR="0010505B" w:rsidRPr="00173569">
        <w:rPr>
          <w:rFonts w:ascii="Times New Roman" w:hAnsi="Times New Roman" w:cs="Times New Roman"/>
          <w:sz w:val="24"/>
          <w:szCs w:val="24"/>
        </w:rPr>
        <w:t>(</w:t>
      </w:r>
      <w:r w:rsidRPr="00173569">
        <w:rPr>
          <w:rFonts w:ascii="Times New Roman" w:hAnsi="Times New Roman" w:cs="Times New Roman"/>
          <w:sz w:val="24"/>
          <w:szCs w:val="24"/>
        </w:rPr>
        <w:t>2022</w:t>
      </w:r>
      <w:r w:rsidR="0010505B" w:rsidRPr="00173569">
        <w:rPr>
          <w:rFonts w:ascii="Times New Roman" w:hAnsi="Times New Roman" w:cs="Times New Roman"/>
          <w:sz w:val="24"/>
          <w:szCs w:val="24"/>
        </w:rPr>
        <w:t>)</w:t>
      </w:r>
      <w:r w:rsidRPr="00173569">
        <w:rPr>
          <w:rFonts w:ascii="Times New Roman" w:hAnsi="Times New Roman" w:cs="Times New Roman"/>
          <w:sz w:val="24"/>
          <w:szCs w:val="24"/>
        </w:rPr>
        <w:t>, “The pandemic’s true death toll: millions more than official counts,” Nature, 601, 312-315.</w:t>
      </w:r>
    </w:p>
    <w:p w14:paraId="7F757A4E" w14:textId="37BE5AC7" w:rsidR="00A10C6C" w:rsidRPr="00173569" w:rsidRDefault="00A10C6C" w:rsidP="007B7457">
      <w:pPr>
        <w:autoSpaceDE w:val="0"/>
        <w:autoSpaceDN w:val="0"/>
        <w:adjustRightInd w:val="0"/>
        <w:spacing w:after="0" w:line="360" w:lineRule="auto"/>
        <w:ind w:left="720" w:hanging="720"/>
        <w:rPr>
          <w:rFonts w:ascii="Times New Roman" w:hAnsi="Times New Roman" w:cs="Times New Roman"/>
          <w:color w:val="222222"/>
          <w:sz w:val="24"/>
          <w:szCs w:val="24"/>
          <w:shd w:val="clear" w:color="auto" w:fill="FFFFFF"/>
        </w:rPr>
      </w:pPr>
      <w:r w:rsidRPr="00173569">
        <w:rPr>
          <w:rFonts w:ascii="Times New Roman" w:hAnsi="Times New Roman" w:cs="Times New Roman"/>
          <w:sz w:val="24"/>
          <w:szCs w:val="24"/>
        </w:rPr>
        <w:t xml:space="preserve">Aron, J. and J. </w:t>
      </w:r>
      <w:proofErr w:type="spellStart"/>
      <w:r w:rsidRPr="00173569">
        <w:rPr>
          <w:rFonts w:ascii="Times New Roman" w:hAnsi="Times New Roman" w:cs="Times New Roman"/>
          <w:sz w:val="24"/>
          <w:szCs w:val="24"/>
        </w:rPr>
        <w:t>Muellbauer</w:t>
      </w:r>
      <w:proofErr w:type="spellEnd"/>
      <w:r w:rsidRPr="00173569">
        <w:rPr>
          <w:rFonts w:ascii="Times New Roman" w:hAnsi="Times New Roman" w:cs="Times New Roman"/>
          <w:sz w:val="24"/>
          <w:szCs w:val="24"/>
        </w:rPr>
        <w:t xml:space="preserve"> alongside C. </w:t>
      </w:r>
      <w:proofErr w:type="spellStart"/>
      <w:r w:rsidRPr="00173569">
        <w:rPr>
          <w:rFonts w:ascii="Times New Roman" w:hAnsi="Times New Roman" w:cs="Times New Roman"/>
          <w:sz w:val="24"/>
          <w:szCs w:val="24"/>
        </w:rPr>
        <w:t>Giattino</w:t>
      </w:r>
      <w:proofErr w:type="spellEnd"/>
      <w:r w:rsidRPr="00173569">
        <w:rPr>
          <w:rFonts w:ascii="Times New Roman" w:hAnsi="Times New Roman" w:cs="Times New Roman"/>
          <w:sz w:val="24"/>
          <w:szCs w:val="24"/>
        </w:rPr>
        <w:t xml:space="preserve"> and H. Ritchie. (2020). </w:t>
      </w:r>
      <w:hyperlink r:id="rId14" w:history="1">
        <w:r w:rsidRPr="00173569">
          <w:rPr>
            <w:rStyle w:val="Hyperlink"/>
            <w:rFonts w:ascii="Times New Roman" w:hAnsi="Times New Roman" w:cs="Times New Roman"/>
            <w:sz w:val="24"/>
            <w:szCs w:val="24"/>
          </w:rPr>
          <w:t>“A pandemic primer on excess mortality statistics and their comparability across countries.”</w:t>
        </w:r>
      </w:hyperlink>
      <w:r w:rsidRPr="00173569">
        <w:rPr>
          <w:rFonts w:ascii="Times New Roman" w:hAnsi="Times New Roman" w:cs="Times New Roman"/>
          <w:sz w:val="24"/>
          <w:szCs w:val="24"/>
        </w:rPr>
        <w:t xml:space="preserve"> Guest post, Our World in Data, University of Oxford, June 29, 2020</w:t>
      </w:r>
      <w:r w:rsidRPr="00173569">
        <w:rPr>
          <w:rFonts w:ascii="Times New Roman" w:hAnsi="Times New Roman" w:cs="Times New Roman"/>
          <w:color w:val="222222"/>
          <w:sz w:val="24"/>
          <w:szCs w:val="24"/>
          <w:shd w:val="clear" w:color="auto" w:fill="FFFFFF"/>
        </w:rPr>
        <w:t>.</w:t>
      </w:r>
    </w:p>
    <w:p w14:paraId="05120069" w14:textId="67640B85" w:rsidR="00017132" w:rsidRPr="00017132" w:rsidRDefault="00017132" w:rsidP="007B7457">
      <w:pPr>
        <w:spacing w:after="0" w:line="360" w:lineRule="auto"/>
        <w:ind w:left="720" w:hanging="720"/>
        <w:rPr>
          <w:rFonts w:ascii="Times New Roman" w:hAnsi="Times New Roman" w:cs="Times New Roman"/>
          <w:color w:val="222222"/>
          <w:sz w:val="24"/>
          <w:szCs w:val="24"/>
        </w:rPr>
      </w:pPr>
      <w:r w:rsidRPr="00C82A25">
        <w:rPr>
          <w:rFonts w:ascii="Times New Roman" w:hAnsi="Times New Roman" w:cs="Times New Roman"/>
          <w:sz w:val="24"/>
          <w:szCs w:val="24"/>
        </w:rPr>
        <w:t xml:space="preserve">Chen, K., Wang, M., Huang, C., </w:t>
      </w:r>
      <w:r>
        <w:rPr>
          <w:rFonts w:ascii="Times New Roman" w:hAnsi="Times New Roman" w:cs="Times New Roman"/>
          <w:sz w:val="24"/>
          <w:szCs w:val="24"/>
        </w:rPr>
        <w:t xml:space="preserve">Kinney, P.L. and </w:t>
      </w:r>
      <w:proofErr w:type="spellStart"/>
      <w:r>
        <w:rPr>
          <w:rFonts w:ascii="Times New Roman" w:hAnsi="Times New Roman" w:cs="Times New Roman"/>
          <w:sz w:val="24"/>
          <w:szCs w:val="24"/>
        </w:rPr>
        <w:t>Anastas</w:t>
      </w:r>
      <w:proofErr w:type="spellEnd"/>
      <w:r>
        <w:rPr>
          <w:rFonts w:ascii="Times New Roman" w:hAnsi="Times New Roman" w:cs="Times New Roman"/>
          <w:sz w:val="24"/>
          <w:szCs w:val="24"/>
        </w:rPr>
        <w:t>, P.T. (</w:t>
      </w:r>
      <w:r w:rsidRPr="00C82A25">
        <w:rPr>
          <w:rFonts w:ascii="Times New Roman" w:hAnsi="Times New Roman" w:cs="Times New Roman"/>
          <w:sz w:val="24"/>
          <w:szCs w:val="24"/>
        </w:rPr>
        <w:t>2020</w:t>
      </w:r>
      <w:r>
        <w:rPr>
          <w:rFonts w:ascii="Times New Roman" w:hAnsi="Times New Roman" w:cs="Times New Roman"/>
          <w:sz w:val="24"/>
          <w:szCs w:val="24"/>
        </w:rPr>
        <w:t>)</w:t>
      </w:r>
      <w:r w:rsidRPr="00C82A25">
        <w:rPr>
          <w:rFonts w:ascii="Times New Roman" w:hAnsi="Times New Roman" w:cs="Times New Roman"/>
          <w:sz w:val="24"/>
          <w:szCs w:val="24"/>
        </w:rPr>
        <w:t xml:space="preserve">. Air pollution reduction and mortality benefit during the COVID-19 outbreak in China. </w:t>
      </w:r>
      <w:r w:rsidRPr="00C82A25">
        <w:rPr>
          <w:rFonts w:ascii="Times New Roman" w:hAnsi="Times New Roman" w:cs="Times New Roman"/>
          <w:i/>
          <w:iCs/>
          <w:sz w:val="24"/>
          <w:szCs w:val="24"/>
        </w:rPr>
        <w:t>The Lancet Planetary Health</w:t>
      </w:r>
      <w:r w:rsidRPr="00C82A25">
        <w:rPr>
          <w:rFonts w:ascii="Times New Roman" w:hAnsi="Times New Roman" w:cs="Times New Roman"/>
          <w:sz w:val="24"/>
          <w:szCs w:val="24"/>
        </w:rPr>
        <w:t>, 4(6), pp.e210-e212.</w:t>
      </w:r>
    </w:p>
    <w:p w14:paraId="1F49DF93" w14:textId="1041349F" w:rsidR="00580C81" w:rsidRPr="00173569" w:rsidRDefault="00580C81" w:rsidP="00C82A25">
      <w:pPr>
        <w:spacing w:after="0" w:line="360" w:lineRule="auto"/>
        <w:rPr>
          <w:rStyle w:val="Hyperlink"/>
          <w:rFonts w:ascii="Times New Roman" w:hAnsi="Times New Roman" w:cs="Times New Roman"/>
          <w:sz w:val="24"/>
          <w:szCs w:val="24"/>
        </w:rPr>
      </w:pPr>
      <w:r w:rsidRPr="00601CF2">
        <w:rPr>
          <w:rFonts w:ascii="Times New Roman" w:hAnsi="Times New Roman" w:cs="Times New Roman"/>
          <w:color w:val="222222"/>
          <w:sz w:val="24"/>
          <w:szCs w:val="24"/>
        </w:rPr>
        <w:t xml:space="preserve">Data on </w:t>
      </w:r>
      <w:r w:rsidR="00525E77" w:rsidRPr="00173569">
        <w:rPr>
          <w:rFonts w:ascii="Times New Roman" w:hAnsi="Times New Roman" w:cs="Times New Roman"/>
          <w:color w:val="222222"/>
          <w:sz w:val="24"/>
          <w:szCs w:val="24"/>
        </w:rPr>
        <w:t>Covid</w:t>
      </w:r>
      <w:r w:rsidRPr="00173569">
        <w:rPr>
          <w:rFonts w:ascii="Times New Roman" w:hAnsi="Times New Roman" w:cs="Times New Roman"/>
          <w:color w:val="222222"/>
          <w:sz w:val="24"/>
          <w:szCs w:val="24"/>
        </w:rPr>
        <w:t xml:space="preserve">-19 (coronavirus) by </w:t>
      </w:r>
      <w:r w:rsidRPr="00173569">
        <w:rPr>
          <w:rFonts w:ascii="Times New Roman" w:hAnsi="Times New Roman" w:cs="Times New Roman"/>
          <w:i/>
          <w:iCs/>
          <w:color w:val="222222"/>
          <w:sz w:val="24"/>
          <w:szCs w:val="24"/>
        </w:rPr>
        <w:t>Our World in Data</w:t>
      </w:r>
      <w:r w:rsidRPr="00173569">
        <w:rPr>
          <w:rFonts w:ascii="Times New Roman" w:hAnsi="Times New Roman" w:cs="Times New Roman"/>
          <w:color w:val="222222"/>
          <w:sz w:val="24"/>
          <w:szCs w:val="24"/>
        </w:rPr>
        <w:t xml:space="preserve">, </w:t>
      </w:r>
      <w:hyperlink r:id="rId15" w:history="1">
        <w:r w:rsidR="00D0182D" w:rsidRPr="00173569">
          <w:rPr>
            <w:rStyle w:val="Hyperlink"/>
            <w:rFonts w:ascii="Times New Roman" w:hAnsi="Times New Roman" w:cs="Times New Roman"/>
            <w:sz w:val="24"/>
            <w:szCs w:val="24"/>
          </w:rPr>
          <w:t>https://github.com/owid/Covid-19-data/tree/master/public/data</w:t>
        </w:r>
      </w:hyperlink>
      <w:r w:rsidR="00386E3F" w:rsidRPr="00173569">
        <w:rPr>
          <w:rFonts w:ascii="Times New Roman" w:hAnsi="Times New Roman" w:cs="Times New Roman"/>
          <w:color w:val="222222"/>
          <w:sz w:val="24"/>
          <w:szCs w:val="24"/>
        </w:rPr>
        <w:t xml:space="preserve">. </w:t>
      </w:r>
      <w:r w:rsidR="00386E3F" w:rsidRPr="00173569">
        <w:rPr>
          <w:rStyle w:val="Hyperlink"/>
          <w:rFonts w:ascii="Times New Roman" w:hAnsi="Times New Roman" w:cs="Times New Roman"/>
          <w:sz w:val="24"/>
          <w:szCs w:val="24"/>
        </w:rPr>
        <w:t>(Accessed: 3 Feb 2022).</w:t>
      </w:r>
    </w:p>
    <w:p w14:paraId="3A5EDDBB" w14:textId="386C508B" w:rsidR="00990DD2" w:rsidRDefault="00990DD2">
      <w:pPr>
        <w:spacing w:after="0" w:line="360" w:lineRule="auto"/>
        <w:ind w:left="720" w:hanging="720"/>
        <w:rPr>
          <w:rFonts w:ascii="Times New Roman" w:hAnsi="Times New Roman" w:cs="Times New Roman"/>
          <w:color w:val="222222"/>
          <w:sz w:val="24"/>
          <w:szCs w:val="24"/>
        </w:rPr>
      </w:pPr>
      <w:r w:rsidRPr="00173569">
        <w:rPr>
          <w:rFonts w:ascii="Times New Roman" w:hAnsi="Times New Roman" w:cs="Times New Roman"/>
          <w:color w:val="222222"/>
          <w:sz w:val="24"/>
          <w:szCs w:val="24"/>
        </w:rPr>
        <w:t>Economist, 2022</w:t>
      </w:r>
      <w:r w:rsidR="00A769FA">
        <w:rPr>
          <w:rFonts w:ascii="Times New Roman" w:hAnsi="Times New Roman" w:cs="Times New Roman"/>
          <w:color w:val="222222"/>
          <w:sz w:val="24"/>
          <w:szCs w:val="24"/>
        </w:rPr>
        <w:t>a</w:t>
      </w:r>
      <w:r w:rsidRPr="00173569">
        <w:rPr>
          <w:rFonts w:ascii="Times New Roman" w:hAnsi="Times New Roman" w:cs="Times New Roman"/>
          <w:color w:val="222222"/>
          <w:sz w:val="24"/>
          <w:szCs w:val="24"/>
        </w:rPr>
        <w:t xml:space="preserve">, “Autopsies and </w:t>
      </w:r>
      <w:r w:rsidR="0099682C" w:rsidRPr="00173569">
        <w:rPr>
          <w:rFonts w:ascii="Times New Roman" w:hAnsi="Times New Roman" w:cs="Times New Roman"/>
          <w:color w:val="222222"/>
          <w:sz w:val="24"/>
          <w:szCs w:val="24"/>
        </w:rPr>
        <w:t>C</w:t>
      </w:r>
      <w:r w:rsidRPr="00173569">
        <w:rPr>
          <w:rFonts w:ascii="Times New Roman" w:hAnsi="Times New Roman" w:cs="Times New Roman"/>
          <w:color w:val="222222"/>
          <w:sz w:val="24"/>
          <w:szCs w:val="24"/>
        </w:rPr>
        <w:t>ovid-19: America’s elected coroners are too often a public-health liability - The politics of death,” January 29</w:t>
      </w:r>
      <w:r w:rsidRPr="00173569">
        <w:rPr>
          <w:rFonts w:ascii="Times New Roman" w:hAnsi="Times New Roman" w:cs="Times New Roman"/>
          <w:color w:val="222222"/>
          <w:sz w:val="24"/>
          <w:szCs w:val="24"/>
          <w:vertAlign w:val="superscript"/>
        </w:rPr>
        <w:t>th</w:t>
      </w:r>
      <w:r w:rsidRPr="00173569">
        <w:rPr>
          <w:rFonts w:ascii="Times New Roman" w:hAnsi="Times New Roman" w:cs="Times New Roman"/>
          <w:color w:val="222222"/>
          <w:sz w:val="24"/>
          <w:szCs w:val="24"/>
        </w:rPr>
        <w:t>.</w:t>
      </w:r>
    </w:p>
    <w:p w14:paraId="321FE40F" w14:textId="29BB0E80" w:rsidR="00A769FA" w:rsidRDefault="00A769FA">
      <w:pPr>
        <w:spacing w:after="0" w:line="360" w:lineRule="auto"/>
        <w:ind w:left="720" w:hanging="720"/>
        <w:rPr>
          <w:rFonts w:ascii="Times New Roman" w:hAnsi="Times New Roman" w:cs="Times New Roman"/>
          <w:color w:val="222222"/>
          <w:sz w:val="24"/>
          <w:szCs w:val="24"/>
        </w:rPr>
      </w:pPr>
      <w:r>
        <w:rPr>
          <w:rFonts w:ascii="Times New Roman" w:hAnsi="Times New Roman" w:cs="Times New Roman"/>
          <w:color w:val="222222"/>
          <w:sz w:val="24"/>
          <w:szCs w:val="24"/>
        </w:rPr>
        <w:t>Economist, 2022b, “</w:t>
      </w:r>
      <w:r w:rsidRPr="00A769FA">
        <w:rPr>
          <w:rFonts w:ascii="Times New Roman" w:hAnsi="Times New Roman" w:cs="Times New Roman"/>
          <w:color w:val="222222"/>
          <w:sz w:val="24"/>
          <w:szCs w:val="24"/>
        </w:rPr>
        <w:t xml:space="preserve">How the WHO estimates </w:t>
      </w:r>
      <w:proofErr w:type="spellStart"/>
      <w:r w:rsidRPr="00A769FA">
        <w:rPr>
          <w:rFonts w:ascii="Times New Roman" w:hAnsi="Times New Roman" w:cs="Times New Roman"/>
          <w:color w:val="222222"/>
          <w:sz w:val="24"/>
          <w:szCs w:val="24"/>
        </w:rPr>
        <w:t>covid’s</w:t>
      </w:r>
      <w:proofErr w:type="spellEnd"/>
      <w:r w:rsidRPr="00A769FA">
        <w:rPr>
          <w:rFonts w:ascii="Times New Roman" w:hAnsi="Times New Roman" w:cs="Times New Roman"/>
          <w:color w:val="222222"/>
          <w:sz w:val="24"/>
          <w:szCs w:val="24"/>
        </w:rPr>
        <w:t xml:space="preserve"> true death toll</w:t>
      </w:r>
      <w:r>
        <w:rPr>
          <w:rFonts w:ascii="Times New Roman" w:hAnsi="Times New Roman" w:cs="Times New Roman"/>
          <w:color w:val="222222"/>
          <w:sz w:val="24"/>
          <w:szCs w:val="24"/>
        </w:rPr>
        <w:t>, ” June 1</w:t>
      </w:r>
      <w:r w:rsidRPr="00C82A25">
        <w:rPr>
          <w:rFonts w:ascii="Times New Roman" w:hAnsi="Times New Roman" w:cs="Times New Roman"/>
          <w:color w:val="222222"/>
          <w:sz w:val="24"/>
          <w:szCs w:val="24"/>
          <w:vertAlign w:val="superscript"/>
        </w:rPr>
        <w:t>st</w:t>
      </w:r>
      <w:r>
        <w:rPr>
          <w:rFonts w:ascii="Times New Roman" w:hAnsi="Times New Roman" w:cs="Times New Roman"/>
          <w:color w:val="222222"/>
          <w:sz w:val="24"/>
          <w:szCs w:val="24"/>
        </w:rPr>
        <w:t>.</w:t>
      </w:r>
    </w:p>
    <w:p w14:paraId="14DA9F90" w14:textId="2EE96218" w:rsidR="00BE4307" w:rsidRDefault="00BE4307" w:rsidP="00601CF2">
      <w:pPr>
        <w:autoSpaceDE w:val="0"/>
        <w:autoSpaceDN w:val="0"/>
        <w:adjustRightInd w:val="0"/>
        <w:spacing w:after="0" w:line="360" w:lineRule="auto"/>
        <w:ind w:left="720" w:hanging="720"/>
        <w:rPr>
          <w:rStyle w:val="Hyperlink"/>
          <w:rFonts w:ascii="Times New Roman" w:hAnsi="Times New Roman" w:cs="Times New Roman"/>
          <w:color w:val="auto"/>
          <w:sz w:val="24"/>
          <w:szCs w:val="24"/>
        </w:rPr>
      </w:pPr>
      <w:r w:rsidRPr="00601CF2">
        <w:rPr>
          <w:rFonts w:ascii="Times New Roman" w:hAnsi="Times New Roman" w:cs="Times New Roman"/>
          <w:iCs/>
          <w:sz w:val="24"/>
          <w:szCs w:val="24"/>
        </w:rPr>
        <w:t>Economist</w:t>
      </w:r>
      <w:r w:rsidRPr="00601CF2">
        <w:rPr>
          <w:rFonts w:ascii="Times New Roman" w:hAnsi="Times New Roman" w:cs="Times New Roman"/>
          <w:sz w:val="24"/>
          <w:szCs w:val="24"/>
        </w:rPr>
        <w:t xml:space="preserve">'s </w:t>
      </w:r>
      <w:r w:rsidRPr="00173569">
        <w:rPr>
          <w:rFonts w:ascii="Times New Roman" w:hAnsi="Times New Roman" w:cs="Times New Roman"/>
          <w:sz w:val="24"/>
          <w:szCs w:val="24"/>
        </w:rPr>
        <w:t xml:space="preserve">tracker for Covid-19 excess deaths. </w:t>
      </w:r>
      <w:hyperlink r:id="rId16" w:history="1">
        <w:r w:rsidRPr="00173569">
          <w:rPr>
            <w:rStyle w:val="Hyperlink"/>
            <w:rFonts w:ascii="Times New Roman" w:hAnsi="Times New Roman" w:cs="Times New Roman"/>
            <w:color w:val="auto"/>
            <w:sz w:val="24"/>
            <w:szCs w:val="24"/>
          </w:rPr>
          <w:t>https://github.com/TheEconomist/Covid-19-excess-deaths-tracker</w:t>
        </w:r>
      </w:hyperlink>
      <w:r w:rsidRPr="00173569">
        <w:rPr>
          <w:rStyle w:val="Hyperlink"/>
          <w:rFonts w:ascii="Times New Roman" w:hAnsi="Times New Roman" w:cs="Times New Roman"/>
          <w:color w:val="auto"/>
          <w:sz w:val="24"/>
          <w:szCs w:val="24"/>
        </w:rPr>
        <w:t xml:space="preserve">. </w:t>
      </w:r>
      <w:r w:rsidRPr="00173569">
        <w:rPr>
          <w:rStyle w:val="Hyperlink"/>
          <w:rFonts w:ascii="Times New Roman" w:hAnsi="Times New Roman" w:cs="Times New Roman"/>
          <w:sz w:val="24"/>
          <w:szCs w:val="24"/>
        </w:rPr>
        <w:t>(Accessed: 3 Feb 2022).</w:t>
      </w:r>
      <w:r w:rsidRPr="00173569" w:rsidDel="006A0CE8">
        <w:rPr>
          <w:rStyle w:val="Hyperlink"/>
          <w:rFonts w:ascii="Times New Roman" w:hAnsi="Times New Roman" w:cs="Times New Roman"/>
          <w:color w:val="auto"/>
          <w:sz w:val="24"/>
          <w:szCs w:val="24"/>
        </w:rPr>
        <w:t xml:space="preserve"> </w:t>
      </w:r>
    </w:p>
    <w:p w14:paraId="03B2191B" w14:textId="77777777" w:rsidR="00FD0B3F" w:rsidRDefault="00FD0B3F" w:rsidP="00C82A25">
      <w:pPr>
        <w:spacing w:line="240" w:lineRule="auto"/>
        <w:rPr>
          <w:rFonts w:ascii="Times New Roman" w:hAnsi="Times New Roman" w:cs="Times New Roman"/>
          <w:color w:val="222222"/>
          <w:sz w:val="24"/>
          <w:szCs w:val="24"/>
        </w:rPr>
      </w:pPr>
      <w:proofErr w:type="spellStart"/>
      <w:r>
        <w:rPr>
          <w:rFonts w:ascii="Times New Roman" w:hAnsi="Times New Roman" w:cs="Times New Roman"/>
          <w:iCs/>
          <w:sz w:val="24"/>
          <w:szCs w:val="24"/>
        </w:rPr>
        <w:t>Gibertoni</w:t>
      </w:r>
      <w:proofErr w:type="spellEnd"/>
      <w:r>
        <w:rPr>
          <w:rFonts w:ascii="Times New Roman" w:hAnsi="Times New Roman" w:cs="Times New Roman"/>
          <w:iCs/>
          <w:sz w:val="24"/>
          <w:szCs w:val="24"/>
        </w:rPr>
        <w:t xml:space="preserve">, D., Reno, C., </w:t>
      </w:r>
      <w:proofErr w:type="spellStart"/>
      <w:r>
        <w:rPr>
          <w:rFonts w:ascii="Times New Roman" w:hAnsi="Times New Roman" w:cs="Times New Roman"/>
          <w:iCs/>
          <w:sz w:val="24"/>
          <w:szCs w:val="24"/>
        </w:rPr>
        <w:t>Capodici</w:t>
      </w:r>
      <w:proofErr w:type="spellEnd"/>
      <w:r>
        <w:rPr>
          <w:rFonts w:ascii="Times New Roman" w:hAnsi="Times New Roman" w:cs="Times New Roman"/>
          <w:iCs/>
          <w:sz w:val="24"/>
          <w:szCs w:val="24"/>
        </w:rPr>
        <w:t xml:space="preserve">, A., Esposito, F., </w:t>
      </w:r>
      <w:proofErr w:type="spellStart"/>
      <w:r>
        <w:rPr>
          <w:rFonts w:ascii="Times New Roman" w:hAnsi="Times New Roman" w:cs="Times New Roman"/>
          <w:iCs/>
          <w:sz w:val="24"/>
          <w:szCs w:val="24"/>
        </w:rPr>
        <w:t>Lenzi</w:t>
      </w:r>
      <w:proofErr w:type="spellEnd"/>
      <w:r>
        <w:rPr>
          <w:rFonts w:ascii="Times New Roman" w:hAnsi="Times New Roman" w:cs="Times New Roman"/>
          <w:iCs/>
          <w:sz w:val="24"/>
          <w:szCs w:val="24"/>
        </w:rPr>
        <w:t xml:space="preserve">, J., </w:t>
      </w:r>
      <w:proofErr w:type="spellStart"/>
      <w:r>
        <w:rPr>
          <w:rFonts w:ascii="Times New Roman" w:hAnsi="Times New Roman" w:cs="Times New Roman"/>
          <w:iCs/>
          <w:sz w:val="24"/>
          <w:szCs w:val="24"/>
        </w:rPr>
        <w:t>Golinelli</w:t>
      </w:r>
      <w:proofErr w:type="spellEnd"/>
      <w:r>
        <w:rPr>
          <w:rFonts w:ascii="Times New Roman" w:hAnsi="Times New Roman" w:cs="Times New Roman"/>
          <w:iCs/>
          <w:sz w:val="24"/>
          <w:szCs w:val="24"/>
        </w:rPr>
        <w:t>, D.</w:t>
      </w:r>
      <w:r>
        <w:rPr>
          <w:rFonts w:ascii="Times New Roman" w:hAnsi="Times New Roman" w:cs="Times New Roman"/>
          <w:color w:val="222222"/>
          <w:sz w:val="24"/>
          <w:szCs w:val="24"/>
        </w:rPr>
        <w:t xml:space="preserve">, </w:t>
      </w:r>
      <w:proofErr w:type="spellStart"/>
      <w:r>
        <w:rPr>
          <w:rFonts w:ascii="Times New Roman" w:hAnsi="Times New Roman" w:cs="Times New Roman"/>
          <w:color w:val="222222"/>
          <w:sz w:val="24"/>
          <w:szCs w:val="24"/>
        </w:rPr>
        <w:t>Sanmarchi</w:t>
      </w:r>
      <w:proofErr w:type="spellEnd"/>
      <w:r>
        <w:rPr>
          <w:rFonts w:ascii="Times New Roman" w:hAnsi="Times New Roman" w:cs="Times New Roman"/>
          <w:color w:val="222222"/>
          <w:sz w:val="24"/>
          <w:szCs w:val="24"/>
        </w:rPr>
        <w:t xml:space="preserve">, F. (2021). Exploring the </w:t>
      </w:r>
    </w:p>
    <w:p w14:paraId="73E0A812" w14:textId="77777777" w:rsidR="00FD0B3F" w:rsidRDefault="00FD0B3F" w:rsidP="00C82A25">
      <w:pPr>
        <w:spacing w:line="240" w:lineRule="auto"/>
        <w:ind w:firstLine="720"/>
        <w:rPr>
          <w:rFonts w:ascii="Times New Roman" w:hAnsi="Times New Roman" w:cs="Times New Roman"/>
          <w:color w:val="222222"/>
          <w:sz w:val="24"/>
          <w:szCs w:val="24"/>
        </w:rPr>
      </w:pPr>
      <w:r>
        <w:rPr>
          <w:rFonts w:ascii="Times New Roman" w:hAnsi="Times New Roman" w:cs="Times New Roman"/>
          <w:color w:val="222222"/>
          <w:sz w:val="24"/>
          <w:szCs w:val="24"/>
        </w:rPr>
        <w:t xml:space="preserve">Gap Between Excess Mortality and COVID-19 Deaths in 67 Countries. </w:t>
      </w:r>
      <w:r>
        <w:rPr>
          <w:rFonts w:ascii="Times New Roman" w:hAnsi="Times New Roman" w:cs="Times New Roman"/>
          <w:i/>
          <w:iCs/>
          <w:color w:val="222222"/>
          <w:sz w:val="24"/>
          <w:szCs w:val="24"/>
        </w:rPr>
        <w:t>JAMA Network Open</w:t>
      </w:r>
      <w:r>
        <w:rPr>
          <w:rFonts w:ascii="Times New Roman" w:hAnsi="Times New Roman" w:cs="Times New Roman"/>
          <w:color w:val="222222"/>
          <w:sz w:val="24"/>
          <w:szCs w:val="24"/>
        </w:rPr>
        <w:t xml:space="preserve">, 4(7). </w:t>
      </w:r>
    </w:p>
    <w:p w14:paraId="48E94734" w14:textId="6279C0A7" w:rsidR="00FD0B3F" w:rsidRPr="00FD0B3F" w:rsidRDefault="00FD0B3F" w:rsidP="00C82A25">
      <w:pPr>
        <w:spacing w:line="240" w:lineRule="auto"/>
        <w:ind w:firstLine="720"/>
        <w:rPr>
          <w:rFonts w:ascii="Times New Roman" w:hAnsi="Times New Roman" w:cs="Times New Roman"/>
          <w:color w:val="222222"/>
          <w:sz w:val="24"/>
          <w:szCs w:val="24"/>
        </w:rPr>
      </w:pPr>
      <w:r w:rsidRPr="00C82A25">
        <w:rPr>
          <w:rFonts w:ascii="Times New Roman" w:eastAsia="Times New Roman" w:hAnsi="Times New Roman" w:cs="Times New Roman"/>
          <w:color w:val="333333"/>
          <w:sz w:val="24"/>
          <w:szCs w:val="24"/>
        </w:rPr>
        <w:t>doi:10.1001/jamanetworkopen.2021.17359</w:t>
      </w:r>
      <w:r>
        <w:rPr>
          <w:rFonts w:ascii="Times New Roman" w:eastAsia="Times New Roman" w:hAnsi="Times New Roman" w:cs="Times New Roman"/>
          <w:color w:val="333333"/>
          <w:sz w:val="24"/>
          <w:szCs w:val="24"/>
        </w:rPr>
        <w:t>.</w:t>
      </w:r>
    </w:p>
    <w:p w14:paraId="3CD96F0E" w14:textId="29E9003D" w:rsidR="00611035" w:rsidRPr="00173569" w:rsidRDefault="00611035" w:rsidP="007B7457">
      <w:pPr>
        <w:autoSpaceDE w:val="0"/>
        <w:autoSpaceDN w:val="0"/>
        <w:adjustRightInd w:val="0"/>
        <w:spacing w:after="0" w:line="360" w:lineRule="auto"/>
        <w:ind w:left="720" w:hanging="720"/>
        <w:rPr>
          <w:rFonts w:ascii="Times New Roman" w:hAnsi="Times New Roman" w:cs="Times New Roman"/>
          <w:color w:val="30B5E4"/>
          <w:sz w:val="24"/>
          <w:szCs w:val="24"/>
          <w:u w:val="single"/>
        </w:rPr>
      </w:pPr>
      <w:r w:rsidRPr="00173569">
        <w:rPr>
          <w:rFonts w:ascii="Times New Roman" w:hAnsi="Times New Roman" w:cs="Times New Roman"/>
          <w:color w:val="222222"/>
          <w:sz w:val="24"/>
          <w:szCs w:val="24"/>
          <w:shd w:val="clear" w:color="auto" w:fill="FFFFFF"/>
        </w:rPr>
        <w:t xml:space="preserve">Hale, T., Angrist, N., </w:t>
      </w:r>
      <w:proofErr w:type="spellStart"/>
      <w:r w:rsidRPr="00173569">
        <w:rPr>
          <w:rFonts w:ascii="Times New Roman" w:hAnsi="Times New Roman" w:cs="Times New Roman"/>
          <w:color w:val="222222"/>
          <w:sz w:val="24"/>
          <w:szCs w:val="24"/>
          <w:shd w:val="clear" w:color="auto" w:fill="FFFFFF"/>
        </w:rPr>
        <w:t>Goldszmidt</w:t>
      </w:r>
      <w:proofErr w:type="spellEnd"/>
      <w:r w:rsidRPr="00173569">
        <w:rPr>
          <w:rFonts w:ascii="Times New Roman" w:hAnsi="Times New Roman" w:cs="Times New Roman"/>
          <w:color w:val="222222"/>
          <w:sz w:val="24"/>
          <w:szCs w:val="24"/>
          <w:shd w:val="clear" w:color="auto" w:fill="FFFFFF"/>
        </w:rPr>
        <w:t xml:space="preserve">, R., Kira, B., Petherick, A., Phillips, T., ... &amp; </w:t>
      </w:r>
      <w:proofErr w:type="spellStart"/>
      <w:r w:rsidRPr="00173569">
        <w:rPr>
          <w:rFonts w:ascii="Times New Roman" w:hAnsi="Times New Roman" w:cs="Times New Roman"/>
          <w:color w:val="222222"/>
          <w:sz w:val="24"/>
          <w:szCs w:val="24"/>
          <w:shd w:val="clear" w:color="auto" w:fill="FFFFFF"/>
        </w:rPr>
        <w:t>Tatlow</w:t>
      </w:r>
      <w:proofErr w:type="spellEnd"/>
      <w:r w:rsidRPr="00173569">
        <w:rPr>
          <w:rFonts w:ascii="Times New Roman" w:hAnsi="Times New Roman" w:cs="Times New Roman"/>
          <w:color w:val="222222"/>
          <w:sz w:val="24"/>
          <w:szCs w:val="24"/>
          <w:shd w:val="clear" w:color="auto" w:fill="FFFFFF"/>
        </w:rPr>
        <w:t>, H. (2021). A global panel database of pandemic policies (Oxford COVID-19 Government Response Tracker). </w:t>
      </w:r>
      <w:r w:rsidRPr="00173569">
        <w:rPr>
          <w:rFonts w:ascii="Times New Roman" w:hAnsi="Times New Roman" w:cs="Times New Roman"/>
          <w:i/>
          <w:iCs/>
          <w:color w:val="222222"/>
          <w:sz w:val="24"/>
          <w:szCs w:val="24"/>
          <w:shd w:val="clear" w:color="auto" w:fill="FFFFFF"/>
        </w:rPr>
        <w:t xml:space="preserve">Nature Human </w:t>
      </w:r>
      <w:proofErr w:type="spellStart"/>
      <w:r w:rsidRPr="00173569">
        <w:rPr>
          <w:rFonts w:ascii="Times New Roman" w:hAnsi="Times New Roman" w:cs="Times New Roman"/>
          <w:i/>
          <w:iCs/>
          <w:color w:val="222222"/>
          <w:sz w:val="24"/>
          <w:szCs w:val="24"/>
          <w:shd w:val="clear" w:color="auto" w:fill="FFFFFF"/>
        </w:rPr>
        <w:t>Behaviour</w:t>
      </w:r>
      <w:proofErr w:type="spellEnd"/>
      <w:r w:rsidRPr="00173569">
        <w:rPr>
          <w:rFonts w:ascii="Times New Roman" w:hAnsi="Times New Roman" w:cs="Times New Roman"/>
          <w:color w:val="222222"/>
          <w:sz w:val="24"/>
          <w:szCs w:val="24"/>
          <w:shd w:val="clear" w:color="auto" w:fill="FFFFFF"/>
        </w:rPr>
        <w:t>, </w:t>
      </w:r>
      <w:r w:rsidRPr="00173569">
        <w:rPr>
          <w:rFonts w:ascii="Times New Roman" w:hAnsi="Times New Roman" w:cs="Times New Roman"/>
          <w:i/>
          <w:iCs/>
          <w:color w:val="222222"/>
          <w:sz w:val="24"/>
          <w:szCs w:val="24"/>
          <w:shd w:val="clear" w:color="auto" w:fill="FFFFFF"/>
        </w:rPr>
        <w:t>5</w:t>
      </w:r>
      <w:r w:rsidRPr="00173569">
        <w:rPr>
          <w:rFonts w:ascii="Times New Roman" w:hAnsi="Times New Roman" w:cs="Times New Roman"/>
          <w:color w:val="222222"/>
          <w:sz w:val="24"/>
          <w:szCs w:val="24"/>
          <w:shd w:val="clear" w:color="auto" w:fill="FFFFFF"/>
        </w:rPr>
        <w:t xml:space="preserve">(4), 529-538. </w:t>
      </w:r>
      <w:hyperlink r:id="rId17" w:tgtFrame="_blank" w:history="1">
        <w:r w:rsidRPr="00173569">
          <w:rPr>
            <w:rStyle w:val="Hyperlink"/>
            <w:rFonts w:ascii="Times New Roman" w:hAnsi="Times New Roman" w:cs="Times New Roman"/>
            <w:color w:val="30B5E4"/>
            <w:sz w:val="24"/>
            <w:szCs w:val="24"/>
          </w:rPr>
          <w:t>https://doi.org/10.1038/s41562-021-01079-8</w:t>
        </w:r>
      </w:hyperlink>
      <w:r w:rsidRPr="00173569">
        <w:rPr>
          <w:rStyle w:val="Hyperlink"/>
          <w:rFonts w:ascii="Times New Roman" w:hAnsi="Times New Roman" w:cs="Times New Roman"/>
          <w:sz w:val="24"/>
          <w:szCs w:val="24"/>
        </w:rPr>
        <w:t>.</w:t>
      </w:r>
    </w:p>
    <w:p w14:paraId="5D5360B7" w14:textId="5B502903" w:rsidR="00D0182D" w:rsidRPr="00173569" w:rsidRDefault="00D0182D" w:rsidP="007B7457">
      <w:pPr>
        <w:spacing w:after="0" w:line="360" w:lineRule="auto"/>
        <w:ind w:left="720" w:hanging="720"/>
        <w:rPr>
          <w:rFonts w:ascii="Times New Roman" w:hAnsi="Times New Roman" w:cs="Times New Roman"/>
          <w:color w:val="222222"/>
          <w:sz w:val="24"/>
          <w:szCs w:val="24"/>
        </w:rPr>
      </w:pPr>
      <w:proofErr w:type="spellStart"/>
      <w:r w:rsidRPr="00173569">
        <w:rPr>
          <w:rFonts w:ascii="Times New Roman" w:hAnsi="Times New Roman" w:cs="Times New Roman"/>
          <w:color w:val="222222"/>
          <w:sz w:val="24"/>
          <w:szCs w:val="24"/>
          <w:shd w:val="clear" w:color="auto" w:fill="FFFFFF"/>
        </w:rPr>
        <w:t>Helleringer</w:t>
      </w:r>
      <w:proofErr w:type="spellEnd"/>
      <w:r w:rsidRPr="00173569">
        <w:rPr>
          <w:rFonts w:ascii="Times New Roman" w:hAnsi="Times New Roman" w:cs="Times New Roman"/>
          <w:color w:val="222222"/>
          <w:sz w:val="24"/>
          <w:szCs w:val="24"/>
          <w:shd w:val="clear" w:color="auto" w:fill="FFFFFF"/>
        </w:rPr>
        <w:t>, S., &amp; Queiroz, B. L. (2021). Measuring excess mortality due to the C</w:t>
      </w:r>
      <w:r w:rsidR="0099682C" w:rsidRPr="00173569">
        <w:rPr>
          <w:rFonts w:ascii="Times New Roman" w:hAnsi="Times New Roman" w:cs="Times New Roman"/>
          <w:color w:val="222222"/>
          <w:sz w:val="24"/>
          <w:szCs w:val="24"/>
          <w:shd w:val="clear" w:color="auto" w:fill="FFFFFF"/>
        </w:rPr>
        <w:t>ovid</w:t>
      </w:r>
      <w:r w:rsidRPr="00173569">
        <w:rPr>
          <w:rFonts w:ascii="Times New Roman" w:hAnsi="Times New Roman" w:cs="Times New Roman"/>
          <w:color w:val="222222"/>
          <w:sz w:val="24"/>
          <w:szCs w:val="24"/>
          <w:shd w:val="clear" w:color="auto" w:fill="FFFFFF"/>
        </w:rPr>
        <w:t>-19 pandemic: progress and persistent challenges. </w:t>
      </w:r>
      <w:r w:rsidRPr="00173569">
        <w:rPr>
          <w:rFonts w:ascii="Times New Roman" w:hAnsi="Times New Roman" w:cs="Times New Roman"/>
          <w:i/>
          <w:iCs/>
          <w:color w:val="222222"/>
          <w:sz w:val="24"/>
          <w:szCs w:val="24"/>
          <w:shd w:val="clear" w:color="auto" w:fill="FFFFFF"/>
        </w:rPr>
        <w:t>International journal of epidemiology</w:t>
      </w:r>
      <w:r w:rsidRPr="00173569">
        <w:rPr>
          <w:rFonts w:ascii="Times New Roman" w:hAnsi="Times New Roman" w:cs="Times New Roman"/>
          <w:color w:val="222222"/>
          <w:sz w:val="24"/>
          <w:szCs w:val="24"/>
          <w:shd w:val="clear" w:color="auto" w:fill="FFFFFF"/>
        </w:rPr>
        <w:t>.</w:t>
      </w:r>
    </w:p>
    <w:p w14:paraId="022ACE4E" w14:textId="729B4040" w:rsidR="00580C81" w:rsidRPr="00173569" w:rsidRDefault="00580C81" w:rsidP="007B7457">
      <w:pPr>
        <w:spacing w:after="0" w:line="360" w:lineRule="auto"/>
        <w:ind w:left="720" w:hanging="720"/>
        <w:rPr>
          <w:rFonts w:ascii="Times New Roman" w:hAnsi="Times New Roman" w:cs="Times New Roman"/>
          <w:color w:val="222222"/>
          <w:sz w:val="24"/>
          <w:szCs w:val="24"/>
          <w:shd w:val="clear" w:color="auto" w:fill="FFFFFF"/>
        </w:rPr>
      </w:pPr>
      <w:proofErr w:type="spellStart"/>
      <w:r w:rsidRPr="00173569">
        <w:rPr>
          <w:rFonts w:ascii="Times New Roman" w:hAnsi="Times New Roman" w:cs="Times New Roman"/>
          <w:color w:val="222222"/>
          <w:sz w:val="24"/>
          <w:szCs w:val="24"/>
          <w:shd w:val="clear" w:color="auto" w:fill="FFFFFF"/>
        </w:rPr>
        <w:t>Karlinsky</w:t>
      </w:r>
      <w:proofErr w:type="spellEnd"/>
      <w:r w:rsidRPr="00173569">
        <w:rPr>
          <w:rFonts w:ascii="Times New Roman" w:hAnsi="Times New Roman" w:cs="Times New Roman"/>
          <w:color w:val="222222"/>
          <w:sz w:val="24"/>
          <w:szCs w:val="24"/>
          <w:shd w:val="clear" w:color="auto" w:fill="FFFFFF"/>
        </w:rPr>
        <w:t xml:space="preserve">, A., &amp; Kobak, D. (2021). Tracking excess mortality across countries during the </w:t>
      </w:r>
      <w:r w:rsidR="00525E77" w:rsidRPr="00173569">
        <w:rPr>
          <w:rFonts w:ascii="Times New Roman" w:hAnsi="Times New Roman" w:cs="Times New Roman"/>
          <w:color w:val="222222"/>
          <w:sz w:val="24"/>
          <w:szCs w:val="24"/>
          <w:shd w:val="clear" w:color="auto" w:fill="FFFFFF"/>
        </w:rPr>
        <w:t>Covid</w:t>
      </w:r>
      <w:r w:rsidRPr="00173569">
        <w:rPr>
          <w:rFonts w:ascii="Times New Roman" w:hAnsi="Times New Roman" w:cs="Times New Roman"/>
          <w:color w:val="222222"/>
          <w:sz w:val="24"/>
          <w:szCs w:val="24"/>
          <w:shd w:val="clear" w:color="auto" w:fill="FFFFFF"/>
        </w:rPr>
        <w:t>-19 pandemic with the World Mortality Dataset. </w:t>
      </w:r>
      <w:proofErr w:type="spellStart"/>
      <w:r w:rsidRPr="00173569">
        <w:rPr>
          <w:rFonts w:ascii="Times New Roman" w:hAnsi="Times New Roman" w:cs="Times New Roman"/>
          <w:i/>
          <w:iCs/>
          <w:color w:val="222222"/>
          <w:sz w:val="24"/>
          <w:szCs w:val="24"/>
          <w:shd w:val="clear" w:color="auto" w:fill="FFFFFF"/>
        </w:rPr>
        <w:t>Elife</w:t>
      </w:r>
      <w:proofErr w:type="spellEnd"/>
      <w:r w:rsidRPr="00173569">
        <w:rPr>
          <w:rFonts w:ascii="Times New Roman" w:hAnsi="Times New Roman" w:cs="Times New Roman"/>
          <w:color w:val="222222"/>
          <w:sz w:val="24"/>
          <w:szCs w:val="24"/>
          <w:shd w:val="clear" w:color="auto" w:fill="FFFFFF"/>
        </w:rPr>
        <w:t>, </w:t>
      </w:r>
      <w:r w:rsidRPr="00173569">
        <w:rPr>
          <w:rFonts w:ascii="Times New Roman" w:hAnsi="Times New Roman" w:cs="Times New Roman"/>
          <w:i/>
          <w:iCs/>
          <w:color w:val="222222"/>
          <w:sz w:val="24"/>
          <w:szCs w:val="24"/>
          <w:shd w:val="clear" w:color="auto" w:fill="FFFFFF"/>
        </w:rPr>
        <w:t>10</w:t>
      </w:r>
      <w:r w:rsidRPr="00173569">
        <w:rPr>
          <w:rFonts w:ascii="Times New Roman" w:hAnsi="Times New Roman" w:cs="Times New Roman"/>
          <w:color w:val="222222"/>
          <w:sz w:val="24"/>
          <w:szCs w:val="24"/>
          <w:shd w:val="clear" w:color="auto" w:fill="FFFFFF"/>
        </w:rPr>
        <w:t>, e69336.</w:t>
      </w:r>
    </w:p>
    <w:p w14:paraId="48FCCA44" w14:textId="358D67EF" w:rsidR="00E1273E" w:rsidRDefault="00E1273E" w:rsidP="007B7457">
      <w:pPr>
        <w:spacing w:after="0" w:line="360" w:lineRule="auto"/>
        <w:ind w:left="720" w:hanging="720"/>
        <w:rPr>
          <w:rFonts w:ascii="Times New Roman" w:hAnsi="Times New Roman" w:cs="Times New Roman"/>
          <w:color w:val="222222"/>
          <w:sz w:val="24"/>
          <w:szCs w:val="24"/>
        </w:rPr>
      </w:pPr>
      <w:r w:rsidRPr="00173569">
        <w:rPr>
          <w:rFonts w:ascii="Times New Roman" w:hAnsi="Times New Roman" w:cs="Times New Roman"/>
          <w:color w:val="222222"/>
          <w:sz w:val="24"/>
          <w:szCs w:val="24"/>
        </w:rPr>
        <w:t xml:space="preserve">Kaufmann, D., </w:t>
      </w:r>
      <w:proofErr w:type="spellStart"/>
      <w:r w:rsidRPr="00173569">
        <w:rPr>
          <w:rFonts w:ascii="Times New Roman" w:hAnsi="Times New Roman" w:cs="Times New Roman"/>
          <w:color w:val="222222"/>
          <w:sz w:val="24"/>
          <w:szCs w:val="24"/>
        </w:rPr>
        <w:t>Kraay</w:t>
      </w:r>
      <w:proofErr w:type="spellEnd"/>
      <w:r w:rsidRPr="00173569">
        <w:rPr>
          <w:rFonts w:ascii="Times New Roman" w:hAnsi="Times New Roman" w:cs="Times New Roman"/>
          <w:color w:val="222222"/>
          <w:sz w:val="24"/>
          <w:szCs w:val="24"/>
        </w:rPr>
        <w:t xml:space="preserve">, A. and </w:t>
      </w:r>
      <w:proofErr w:type="spellStart"/>
      <w:r w:rsidRPr="00173569">
        <w:rPr>
          <w:rFonts w:ascii="Times New Roman" w:hAnsi="Times New Roman" w:cs="Times New Roman"/>
          <w:color w:val="222222"/>
          <w:sz w:val="24"/>
          <w:szCs w:val="24"/>
        </w:rPr>
        <w:t>Mastruzzi</w:t>
      </w:r>
      <w:proofErr w:type="spellEnd"/>
      <w:r w:rsidRPr="00173569">
        <w:rPr>
          <w:rFonts w:ascii="Times New Roman" w:hAnsi="Times New Roman" w:cs="Times New Roman"/>
          <w:color w:val="222222"/>
          <w:sz w:val="24"/>
          <w:szCs w:val="24"/>
        </w:rPr>
        <w:t xml:space="preserve">, M., 2011. The worldwide governance indicators: Methodology and analytical issues1. </w:t>
      </w:r>
      <w:r w:rsidRPr="00173569">
        <w:rPr>
          <w:rFonts w:ascii="Times New Roman" w:hAnsi="Times New Roman" w:cs="Times New Roman"/>
          <w:i/>
          <w:iCs/>
          <w:color w:val="222222"/>
          <w:sz w:val="24"/>
          <w:szCs w:val="24"/>
        </w:rPr>
        <w:t>Hague journal on the rule of law</w:t>
      </w:r>
      <w:r w:rsidRPr="00173569">
        <w:rPr>
          <w:rFonts w:ascii="Times New Roman" w:hAnsi="Times New Roman" w:cs="Times New Roman"/>
          <w:color w:val="222222"/>
          <w:sz w:val="24"/>
          <w:szCs w:val="24"/>
        </w:rPr>
        <w:t>, 3(2), pp.220-246.</w:t>
      </w:r>
    </w:p>
    <w:p w14:paraId="0CD90CD3" w14:textId="41E74367" w:rsidR="003A4650" w:rsidRDefault="003A4650" w:rsidP="007B7457">
      <w:pPr>
        <w:spacing w:after="0" w:line="360" w:lineRule="auto"/>
        <w:ind w:left="720" w:hanging="720"/>
        <w:rPr>
          <w:rFonts w:ascii="Times New Roman" w:hAnsi="Times New Roman" w:cs="Times New Roman"/>
          <w:color w:val="222222"/>
          <w:sz w:val="24"/>
          <w:szCs w:val="24"/>
        </w:rPr>
      </w:pPr>
      <w:r w:rsidRPr="003A4650">
        <w:rPr>
          <w:rFonts w:ascii="Times New Roman" w:hAnsi="Times New Roman" w:cs="Times New Roman"/>
          <w:color w:val="222222"/>
          <w:sz w:val="24"/>
          <w:szCs w:val="24"/>
        </w:rPr>
        <w:t>Knutson, V., Aleshin-</w:t>
      </w:r>
      <w:proofErr w:type="spellStart"/>
      <w:r w:rsidRPr="003A4650">
        <w:rPr>
          <w:rFonts w:ascii="Times New Roman" w:hAnsi="Times New Roman" w:cs="Times New Roman"/>
          <w:color w:val="222222"/>
          <w:sz w:val="24"/>
          <w:szCs w:val="24"/>
        </w:rPr>
        <w:t>Guendel</w:t>
      </w:r>
      <w:proofErr w:type="spellEnd"/>
      <w:r w:rsidRPr="003A4650">
        <w:rPr>
          <w:rFonts w:ascii="Times New Roman" w:hAnsi="Times New Roman" w:cs="Times New Roman"/>
          <w:color w:val="222222"/>
          <w:sz w:val="24"/>
          <w:szCs w:val="24"/>
        </w:rPr>
        <w:t xml:space="preserve">, S., </w:t>
      </w:r>
      <w:proofErr w:type="spellStart"/>
      <w:r w:rsidRPr="003A4650">
        <w:rPr>
          <w:rFonts w:ascii="Times New Roman" w:hAnsi="Times New Roman" w:cs="Times New Roman"/>
          <w:color w:val="222222"/>
          <w:sz w:val="24"/>
          <w:szCs w:val="24"/>
        </w:rPr>
        <w:t>Karlinsky</w:t>
      </w:r>
      <w:proofErr w:type="spellEnd"/>
      <w:r w:rsidRPr="003A4650">
        <w:rPr>
          <w:rFonts w:ascii="Times New Roman" w:hAnsi="Times New Roman" w:cs="Times New Roman"/>
          <w:color w:val="222222"/>
          <w:sz w:val="24"/>
          <w:szCs w:val="24"/>
        </w:rPr>
        <w:t xml:space="preserve">, A., </w:t>
      </w:r>
      <w:proofErr w:type="spellStart"/>
      <w:r w:rsidRPr="003A4650">
        <w:rPr>
          <w:rFonts w:ascii="Times New Roman" w:hAnsi="Times New Roman" w:cs="Times New Roman"/>
          <w:color w:val="222222"/>
          <w:sz w:val="24"/>
          <w:szCs w:val="24"/>
        </w:rPr>
        <w:t>Msemburi</w:t>
      </w:r>
      <w:proofErr w:type="spellEnd"/>
      <w:r w:rsidRPr="003A4650">
        <w:rPr>
          <w:rFonts w:ascii="Times New Roman" w:hAnsi="Times New Roman" w:cs="Times New Roman"/>
          <w:color w:val="222222"/>
          <w:sz w:val="24"/>
          <w:szCs w:val="24"/>
        </w:rPr>
        <w:t xml:space="preserve">, W., &amp; Wakefield, J. (2022). Estimating Global and Country-Specific Excess Mortality During the COVID-19 Pandemic. </w:t>
      </w:r>
      <w:proofErr w:type="spellStart"/>
      <w:r w:rsidRPr="003A4650">
        <w:rPr>
          <w:rFonts w:ascii="Times New Roman" w:hAnsi="Times New Roman" w:cs="Times New Roman"/>
          <w:color w:val="222222"/>
          <w:sz w:val="24"/>
          <w:szCs w:val="24"/>
        </w:rPr>
        <w:t>arXiv</w:t>
      </w:r>
      <w:proofErr w:type="spellEnd"/>
      <w:r w:rsidRPr="003A4650">
        <w:rPr>
          <w:rFonts w:ascii="Times New Roman" w:hAnsi="Times New Roman" w:cs="Times New Roman"/>
          <w:color w:val="222222"/>
          <w:sz w:val="24"/>
          <w:szCs w:val="24"/>
        </w:rPr>
        <w:t xml:space="preserve"> preprint arXiv:2205.09081.</w:t>
      </w:r>
    </w:p>
    <w:p w14:paraId="6011A25A" w14:textId="6728E7C7" w:rsidR="008922DC" w:rsidRPr="008922DC" w:rsidRDefault="008922DC" w:rsidP="007B7457">
      <w:pPr>
        <w:spacing w:after="0" w:line="360" w:lineRule="auto"/>
        <w:ind w:left="720" w:hanging="720"/>
        <w:rPr>
          <w:rFonts w:ascii="Times New Roman" w:hAnsi="Times New Roman" w:cs="Times New Roman"/>
          <w:color w:val="222222"/>
          <w:sz w:val="24"/>
          <w:szCs w:val="24"/>
        </w:rPr>
      </w:pPr>
      <w:proofErr w:type="spellStart"/>
      <w:r w:rsidRPr="00C82A25">
        <w:rPr>
          <w:rFonts w:ascii="Times New Roman" w:hAnsi="Times New Roman" w:cs="Times New Roman"/>
          <w:sz w:val="24"/>
          <w:szCs w:val="24"/>
        </w:rPr>
        <w:t>Maringe</w:t>
      </w:r>
      <w:proofErr w:type="spellEnd"/>
      <w:r w:rsidRPr="00C82A25">
        <w:rPr>
          <w:rFonts w:ascii="Times New Roman" w:hAnsi="Times New Roman" w:cs="Times New Roman"/>
          <w:sz w:val="24"/>
          <w:szCs w:val="24"/>
        </w:rPr>
        <w:t xml:space="preserve">, C., Spicer, J., Morris, M., </w:t>
      </w:r>
      <w:proofErr w:type="spellStart"/>
      <w:r w:rsidRPr="00C82A25">
        <w:rPr>
          <w:rFonts w:ascii="Times New Roman" w:hAnsi="Times New Roman" w:cs="Times New Roman"/>
          <w:sz w:val="24"/>
          <w:szCs w:val="24"/>
        </w:rPr>
        <w:t>Purushotham</w:t>
      </w:r>
      <w:proofErr w:type="spellEnd"/>
      <w:r w:rsidRPr="00C82A25">
        <w:rPr>
          <w:rFonts w:ascii="Times New Roman" w:hAnsi="Times New Roman" w:cs="Times New Roman"/>
          <w:sz w:val="24"/>
          <w:szCs w:val="24"/>
        </w:rPr>
        <w:t xml:space="preserve">, A., Nolte, E., Sullivan, </w:t>
      </w:r>
      <w:r>
        <w:rPr>
          <w:rFonts w:ascii="Times New Roman" w:hAnsi="Times New Roman" w:cs="Times New Roman"/>
          <w:sz w:val="24"/>
          <w:szCs w:val="24"/>
        </w:rPr>
        <w:t>R., Rachet, B. and Aggarwal, A.</w:t>
      </w:r>
      <w:r w:rsidRPr="00C82A25">
        <w:rPr>
          <w:rFonts w:ascii="Times New Roman" w:hAnsi="Times New Roman" w:cs="Times New Roman"/>
          <w:sz w:val="24"/>
          <w:szCs w:val="24"/>
        </w:rPr>
        <w:t xml:space="preserve"> </w:t>
      </w:r>
      <w:r>
        <w:rPr>
          <w:rFonts w:ascii="Times New Roman" w:hAnsi="Times New Roman" w:cs="Times New Roman"/>
          <w:sz w:val="24"/>
          <w:szCs w:val="24"/>
        </w:rPr>
        <w:t>(</w:t>
      </w:r>
      <w:r w:rsidRPr="00C82A25">
        <w:rPr>
          <w:rFonts w:ascii="Times New Roman" w:hAnsi="Times New Roman" w:cs="Times New Roman"/>
          <w:sz w:val="24"/>
          <w:szCs w:val="24"/>
        </w:rPr>
        <w:t>2020</w:t>
      </w:r>
      <w:r>
        <w:rPr>
          <w:rFonts w:ascii="Times New Roman" w:hAnsi="Times New Roman" w:cs="Times New Roman"/>
          <w:sz w:val="24"/>
          <w:szCs w:val="24"/>
        </w:rPr>
        <w:t>)</w:t>
      </w:r>
      <w:r w:rsidRPr="00C82A25">
        <w:rPr>
          <w:rFonts w:ascii="Times New Roman" w:hAnsi="Times New Roman" w:cs="Times New Roman"/>
          <w:sz w:val="24"/>
          <w:szCs w:val="24"/>
        </w:rPr>
        <w:t>. The impact of the COVID-19 pandemic on cancer deaths due to delays in diagnosis in England, UK: a national, population-based, modelling study. The Lancet Oncology, 21(8), pp.1023-1034.</w:t>
      </w:r>
    </w:p>
    <w:p w14:paraId="4572A7AB" w14:textId="40C139A7" w:rsidR="00580C81" w:rsidRPr="00274218" w:rsidRDefault="00580C81">
      <w:pPr>
        <w:autoSpaceDE w:val="0"/>
        <w:autoSpaceDN w:val="0"/>
        <w:adjustRightInd w:val="0"/>
        <w:spacing w:after="0" w:line="360" w:lineRule="auto"/>
        <w:ind w:left="720" w:hanging="720"/>
        <w:rPr>
          <w:rStyle w:val="Hyperlink"/>
          <w:rFonts w:ascii="Times New Roman" w:hAnsi="Times New Roman" w:cs="Times New Roman"/>
          <w:color w:val="auto"/>
          <w:sz w:val="24"/>
          <w:szCs w:val="24"/>
          <w:shd w:val="clear" w:color="auto" w:fill="FFFFFF"/>
          <w:lang w:val="fr-FR"/>
        </w:rPr>
      </w:pPr>
      <w:r w:rsidRPr="00274218">
        <w:rPr>
          <w:rFonts w:ascii="Times New Roman" w:hAnsi="Times New Roman" w:cs="Times New Roman"/>
          <w:sz w:val="24"/>
          <w:szCs w:val="24"/>
          <w:shd w:val="clear" w:color="auto" w:fill="FFFFFF"/>
          <w:lang w:val="fr-FR"/>
        </w:rPr>
        <w:t>Mathieu, E., Ritchie, H., Ortiz-</w:t>
      </w:r>
      <w:proofErr w:type="spellStart"/>
      <w:r w:rsidRPr="00274218">
        <w:rPr>
          <w:rFonts w:ascii="Times New Roman" w:hAnsi="Times New Roman" w:cs="Times New Roman"/>
          <w:sz w:val="24"/>
          <w:szCs w:val="24"/>
          <w:shd w:val="clear" w:color="auto" w:fill="FFFFFF"/>
          <w:lang w:val="fr-FR"/>
        </w:rPr>
        <w:t>Ospina</w:t>
      </w:r>
      <w:proofErr w:type="spellEnd"/>
      <w:r w:rsidRPr="00274218">
        <w:rPr>
          <w:rFonts w:ascii="Times New Roman" w:hAnsi="Times New Roman" w:cs="Times New Roman"/>
          <w:sz w:val="24"/>
          <w:szCs w:val="24"/>
          <w:shd w:val="clear" w:color="auto" w:fill="FFFFFF"/>
          <w:lang w:val="fr-FR"/>
        </w:rPr>
        <w:t>, E. </w:t>
      </w:r>
      <w:r w:rsidRPr="00872BC1">
        <w:rPr>
          <w:rStyle w:val="Emphasis"/>
          <w:rFonts w:ascii="Times New Roman" w:hAnsi="Times New Roman" w:cs="Times New Roman"/>
          <w:sz w:val="24"/>
          <w:szCs w:val="24"/>
          <w:shd w:val="clear" w:color="auto" w:fill="FFFFFF"/>
          <w:lang w:val="fr-FR"/>
        </w:rPr>
        <w:t>et al.</w:t>
      </w:r>
      <w:r w:rsidRPr="00872BC1">
        <w:rPr>
          <w:rFonts w:ascii="Times New Roman" w:hAnsi="Times New Roman" w:cs="Times New Roman"/>
          <w:sz w:val="24"/>
          <w:szCs w:val="24"/>
          <w:shd w:val="clear" w:color="auto" w:fill="FFFFFF"/>
          <w:lang w:val="fr-FR"/>
        </w:rPr>
        <w:t> </w:t>
      </w:r>
      <w:r w:rsidRPr="00173569">
        <w:rPr>
          <w:rFonts w:ascii="Times New Roman" w:hAnsi="Times New Roman" w:cs="Times New Roman"/>
          <w:sz w:val="24"/>
          <w:szCs w:val="24"/>
          <w:shd w:val="clear" w:color="auto" w:fill="FFFFFF"/>
        </w:rPr>
        <w:t xml:space="preserve">A global database of </w:t>
      </w:r>
      <w:r w:rsidR="00525E77" w:rsidRPr="00173569">
        <w:rPr>
          <w:rFonts w:ascii="Times New Roman" w:hAnsi="Times New Roman" w:cs="Times New Roman"/>
          <w:sz w:val="24"/>
          <w:szCs w:val="24"/>
          <w:shd w:val="clear" w:color="auto" w:fill="FFFFFF"/>
        </w:rPr>
        <w:t>Covid</w:t>
      </w:r>
      <w:r w:rsidRPr="00173569">
        <w:rPr>
          <w:rFonts w:ascii="Times New Roman" w:hAnsi="Times New Roman" w:cs="Times New Roman"/>
          <w:sz w:val="24"/>
          <w:szCs w:val="24"/>
          <w:shd w:val="clear" w:color="auto" w:fill="FFFFFF"/>
        </w:rPr>
        <w:t>-19 vaccinations. </w:t>
      </w:r>
      <w:r w:rsidRPr="00274218">
        <w:rPr>
          <w:rStyle w:val="Emphasis"/>
          <w:rFonts w:ascii="Times New Roman" w:hAnsi="Times New Roman" w:cs="Times New Roman"/>
          <w:sz w:val="24"/>
          <w:szCs w:val="24"/>
          <w:shd w:val="clear" w:color="auto" w:fill="FFFFFF"/>
          <w:lang w:val="fr-FR"/>
        </w:rPr>
        <w:t xml:space="preserve">Nat Hum </w:t>
      </w:r>
      <w:proofErr w:type="spellStart"/>
      <w:r w:rsidRPr="00274218">
        <w:rPr>
          <w:rStyle w:val="Emphasis"/>
          <w:rFonts w:ascii="Times New Roman" w:hAnsi="Times New Roman" w:cs="Times New Roman"/>
          <w:sz w:val="24"/>
          <w:szCs w:val="24"/>
          <w:shd w:val="clear" w:color="auto" w:fill="FFFFFF"/>
          <w:lang w:val="fr-FR"/>
        </w:rPr>
        <w:t>Behav</w:t>
      </w:r>
      <w:proofErr w:type="spellEnd"/>
      <w:r w:rsidRPr="00274218">
        <w:rPr>
          <w:rFonts w:ascii="Times New Roman" w:hAnsi="Times New Roman" w:cs="Times New Roman"/>
          <w:sz w:val="24"/>
          <w:szCs w:val="24"/>
          <w:shd w:val="clear" w:color="auto" w:fill="FFFFFF"/>
          <w:lang w:val="fr-FR"/>
        </w:rPr>
        <w:t> (2021). </w:t>
      </w:r>
      <w:hyperlink r:id="rId18" w:history="1">
        <w:r w:rsidRPr="00274218">
          <w:rPr>
            <w:rStyle w:val="Hyperlink"/>
            <w:rFonts w:ascii="Times New Roman" w:hAnsi="Times New Roman" w:cs="Times New Roman"/>
            <w:color w:val="auto"/>
            <w:sz w:val="24"/>
            <w:szCs w:val="24"/>
            <w:shd w:val="clear" w:color="auto" w:fill="FFFFFF"/>
            <w:lang w:val="fr-FR"/>
          </w:rPr>
          <w:t>https://doi.org/10.1038/s41562-021-01122-8</w:t>
        </w:r>
      </w:hyperlink>
      <w:r w:rsidR="008C485B" w:rsidRPr="00274218">
        <w:rPr>
          <w:rStyle w:val="Hyperlink"/>
          <w:rFonts w:ascii="Times New Roman" w:hAnsi="Times New Roman" w:cs="Times New Roman"/>
          <w:color w:val="auto"/>
          <w:sz w:val="24"/>
          <w:szCs w:val="24"/>
          <w:shd w:val="clear" w:color="auto" w:fill="FFFFFF"/>
          <w:lang w:val="fr-FR"/>
        </w:rPr>
        <w:t>.</w:t>
      </w:r>
    </w:p>
    <w:p w14:paraId="4FCDA0BF" w14:textId="36018A55" w:rsidR="00F60594" w:rsidRDefault="00F60594">
      <w:pPr>
        <w:autoSpaceDE w:val="0"/>
        <w:autoSpaceDN w:val="0"/>
        <w:adjustRightInd w:val="0"/>
        <w:spacing w:after="0" w:line="360" w:lineRule="auto"/>
        <w:ind w:left="720" w:hanging="720"/>
        <w:rPr>
          <w:rFonts w:ascii="Times New Roman" w:hAnsi="Times New Roman" w:cs="Times New Roman"/>
          <w:color w:val="222222"/>
          <w:sz w:val="24"/>
          <w:szCs w:val="24"/>
          <w:shd w:val="clear" w:color="auto" w:fill="FFFFFF"/>
        </w:rPr>
      </w:pPr>
      <w:r w:rsidRPr="00274218">
        <w:rPr>
          <w:rFonts w:ascii="Times New Roman" w:hAnsi="Times New Roman" w:cs="Times New Roman"/>
          <w:color w:val="222222"/>
          <w:sz w:val="24"/>
          <w:szCs w:val="24"/>
          <w:shd w:val="clear" w:color="auto" w:fill="FFFFFF"/>
          <w:lang w:val="fr-FR"/>
        </w:rPr>
        <w:lastRenderedPageBreak/>
        <w:t>Mulligan, C. B. (2021). </w:t>
      </w:r>
      <w:r w:rsidRPr="00601CF2">
        <w:rPr>
          <w:rFonts w:ascii="Times New Roman" w:hAnsi="Times New Roman" w:cs="Times New Roman"/>
          <w:i/>
          <w:iCs/>
          <w:color w:val="222222"/>
          <w:sz w:val="24"/>
          <w:szCs w:val="24"/>
          <w:shd w:val="clear" w:color="auto" w:fill="FFFFFF"/>
        </w:rPr>
        <w:t>Deaths of Despair and the Incidence of Excess Mortality in 2020</w:t>
      </w:r>
      <w:r w:rsidRPr="00601CF2">
        <w:rPr>
          <w:rFonts w:ascii="Times New Roman" w:hAnsi="Times New Roman" w:cs="Times New Roman"/>
          <w:color w:val="222222"/>
          <w:sz w:val="24"/>
          <w:szCs w:val="24"/>
          <w:shd w:val="clear" w:color="auto" w:fill="FFFFFF"/>
        </w:rPr>
        <w:t> (No. w28303). National Bureau of Economic Research.</w:t>
      </w:r>
    </w:p>
    <w:p w14:paraId="7424C17B" w14:textId="76AA3FAB" w:rsidR="00930C4E" w:rsidRDefault="00930C4E">
      <w:pPr>
        <w:autoSpaceDE w:val="0"/>
        <w:autoSpaceDN w:val="0"/>
        <w:adjustRightInd w:val="0"/>
        <w:spacing w:after="0" w:line="36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Rivera, R., Rosenbaum, J.E., </w:t>
      </w:r>
      <w:proofErr w:type="spellStart"/>
      <w:r>
        <w:rPr>
          <w:rFonts w:ascii="Times New Roman" w:hAnsi="Times New Roman" w:cs="Times New Roman"/>
          <w:color w:val="222222"/>
          <w:sz w:val="24"/>
          <w:szCs w:val="24"/>
          <w:shd w:val="clear" w:color="auto" w:fill="FFFFFF"/>
        </w:rPr>
        <w:t>Quispe</w:t>
      </w:r>
      <w:proofErr w:type="spellEnd"/>
      <w:r>
        <w:rPr>
          <w:rFonts w:ascii="Times New Roman" w:hAnsi="Times New Roman" w:cs="Times New Roman"/>
          <w:color w:val="222222"/>
          <w:sz w:val="24"/>
          <w:szCs w:val="24"/>
          <w:shd w:val="clear" w:color="auto" w:fill="FFFFFF"/>
        </w:rPr>
        <w:t xml:space="preserve"> W</w:t>
      </w:r>
      <w:r w:rsidR="00427110">
        <w:rPr>
          <w:rFonts w:ascii="Times New Roman" w:hAnsi="Times New Roman" w:cs="Times New Roman"/>
          <w:color w:val="222222"/>
          <w:sz w:val="24"/>
          <w:szCs w:val="24"/>
          <w:shd w:val="clear" w:color="auto" w:fill="FFFFFF"/>
        </w:rPr>
        <w:t xml:space="preserve"> (2021)</w:t>
      </w:r>
      <w:r>
        <w:rPr>
          <w:rFonts w:ascii="Times New Roman" w:hAnsi="Times New Roman" w:cs="Times New Roman"/>
          <w:color w:val="222222"/>
          <w:sz w:val="24"/>
          <w:szCs w:val="24"/>
          <w:shd w:val="clear" w:color="auto" w:fill="FFFFFF"/>
        </w:rPr>
        <w:t xml:space="preserve">. Excess mortality in the United States during the first three months of the COVID-19 pandemic. </w:t>
      </w:r>
      <w:r>
        <w:rPr>
          <w:rFonts w:ascii="Times New Roman" w:hAnsi="Times New Roman" w:cs="Times New Roman"/>
          <w:i/>
          <w:iCs/>
          <w:color w:val="222222"/>
          <w:sz w:val="24"/>
          <w:szCs w:val="24"/>
          <w:shd w:val="clear" w:color="auto" w:fill="FFFFFF"/>
        </w:rPr>
        <w:t>Epidemiology &amp; Infection</w:t>
      </w:r>
      <w:r>
        <w:rPr>
          <w:rFonts w:ascii="Times New Roman" w:hAnsi="Times New Roman" w:cs="Times New Roman"/>
          <w:color w:val="222222"/>
          <w:sz w:val="24"/>
          <w:szCs w:val="24"/>
          <w:shd w:val="clear" w:color="auto" w:fill="FFFFFF"/>
        </w:rPr>
        <w:t>.</w:t>
      </w:r>
    </w:p>
    <w:p w14:paraId="7C59899D" w14:textId="6ABAF142" w:rsidR="000E4B1C" w:rsidRPr="00C82A25" w:rsidRDefault="000E4B1C">
      <w:pPr>
        <w:autoSpaceDE w:val="0"/>
        <w:autoSpaceDN w:val="0"/>
        <w:adjustRightInd w:val="0"/>
        <w:spacing w:after="0" w:line="360" w:lineRule="auto"/>
        <w:ind w:left="720" w:hanging="720"/>
        <w:rPr>
          <w:rFonts w:ascii="Times New Roman" w:hAnsi="Times New Roman" w:cs="Times New Roman"/>
          <w:color w:val="222222"/>
          <w:sz w:val="24"/>
          <w:szCs w:val="24"/>
          <w:shd w:val="clear" w:color="auto" w:fill="FFFFFF"/>
        </w:rPr>
      </w:pPr>
      <w:r w:rsidRPr="00C82A25">
        <w:rPr>
          <w:rFonts w:ascii="Times New Roman" w:hAnsi="Times New Roman" w:cs="Times New Roman"/>
          <w:color w:val="222222"/>
          <w:sz w:val="24"/>
          <w:szCs w:val="24"/>
          <w:shd w:val="clear" w:color="auto" w:fill="FFFFFF"/>
        </w:rPr>
        <w:t xml:space="preserve">e Silva, Lena </w:t>
      </w:r>
      <w:proofErr w:type="spellStart"/>
      <w:r w:rsidRPr="00C82A25">
        <w:rPr>
          <w:rFonts w:ascii="Times New Roman" w:hAnsi="Times New Roman" w:cs="Times New Roman"/>
          <w:color w:val="222222"/>
          <w:sz w:val="24"/>
          <w:szCs w:val="24"/>
          <w:shd w:val="clear" w:color="auto" w:fill="FFFFFF"/>
        </w:rPr>
        <w:t>Veiga</w:t>
      </w:r>
      <w:proofErr w:type="spellEnd"/>
      <w:r w:rsidRPr="00C82A25">
        <w:rPr>
          <w:rFonts w:ascii="Times New Roman" w:hAnsi="Times New Roman" w:cs="Times New Roman"/>
          <w:color w:val="222222"/>
          <w:sz w:val="24"/>
          <w:szCs w:val="24"/>
          <w:shd w:val="clear" w:color="auto" w:fill="FFFFFF"/>
        </w:rPr>
        <w:t>, et al. (2020) "COVID-19 mortality underreporting in Brazil: analysis of data from</w:t>
      </w:r>
      <w:r w:rsidR="00426D03">
        <w:rPr>
          <w:rFonts w:ascii="Times New Roman" w:hAnsi="Times New Roman" w:cs="Times New Roman"/>
          <w:color w:val="222222"/>
          <w:sz w:val="24"/>
          <w:szCs w:val="24"/>
          <w:shd w:val="clear" w:color="auto" w:fill="FFFFFF"/>
        </w:rPr>
        <w:t xml:space="preserve"> </w:t>
      </w:r>
      <w:r w:rsidRPr="00C82A25">
        <w:rPr>
          <w:rFonts w:ascii="Times New Roman" w:hAnsi="Times New Roman" w:cs="Times New Roman"/>
          <w:color w:val="222222"/>
          <w:sz w:val="24"/>
          <w:szCs w:val="24"/>
          <w:shd w:val="clear" w:color="auto" w:fill="FFFFFF"/>
        </w:rPr>
        <w:t>government internet portals." </w:t>
      </w:r>
      <w:r w:rsidRPr="00C82A25">
        <w:rPr>
          <w:rFonts w:ascii="Times New Roman" w:hAnsi="Times New Roman" w:cs="Times New Roman"/>
          <w:i/>
          <w:iCs/>
          <w:color w:val="222222"/>
          <w:sz w:val="24"/>
          <w:szCs w:val="24"/>
          <w:shd w:val="clear" w:color="auto" w:fill="FFFFFF"/>
        </w:rPr>
        <w:t>Journal of medical Internet research</w:t>
      </w:r>
      <w:r w:rsidRPr="00C82A25">
        <w:rPr>
          <w:rFonts w:ascii="Times New Roman" w:hAnsi="Times New Roman" w:cs="Times New Roman"/>
          <w:color w:val="222222"/>
          <w:sz w:val="24"/>
          <w:szCs w:val="24"/>
          <w:shd w:val="clear" w:color="auto" w:fill="FFFFFF"/>
        </w:rPr>
        <w:t> 22.8: e21413.</w:t>
      </w:r>
    </w:p>
    <w:p w14:paraId="024C18A0" w14:textId="7E236096" w:rsidR="00C92AB1" w:rsidRDefault="00795F66" w:rsidP="00C82A25">
      <w:pPr>
        <w:spacing w:line="240" w:lineRule="auto"/>
        <w:ind w:left="720" w:hanging="720"/>
        <w:rPr>
          <w:rFonts w:ascii="Times New Roman" w:hAnsi="Times New Roman" w:cs="Times New Roman"/>
          <w:sz w:val="24"/>
          <w:szCs w:val="24"/>
          <w:shd w:val="clear" w:color="auto" w:fill="FCFCFC"/>
        </w:rPr>
      </w:pPr>
      <w:hyperlink r:id="rId19" w:history="1">
        <w:r w:rsidR="00C92AB1" w:rsidRPr="00173569">
          <w:rPr>
            <w:rStyle w:val="Hyperlink"/>
            <w:rFonts w:ascii="Times New Roman" w:hAnsi="Times New Roman" w:cs="Times New Roman"/>
            <w:color w:val="auto"/>
            <w:sz w:val="24"/>
            <w:szCs w:val="24"/>
            <w:u w:val="none"/>
            <w:shd w:val="clear" w:color="auto" w:fill="FCFCFC"/>
          </w:rPr>
          <w:t>The Economist. February 4</w:t>
        </w:r>
        <w:r w:rsidR="00C92AB1" w:rsidRPr="00601CF2">
          <w:rPr>
            <w:rStyle w:val="Hyperlink"/>
            <w:rFonts w:ascii="Times New Roman" w:hAnsi="Times New Roman" w:cs="Times New Roman"/>
            <w:color w:val="auto"/>
            <w:u w:val="none"/>
            <w:vertAlign w:val="superscript"/>
          </w:rPr>
          <w:t>th</w:t>
        </w:r>
        <w:r w:rsidR="00C92AB1" w:rsidRPr="00173569">
          <w:rPr>
            <w:rStyle w:val="Hyperlink"/>
            <w:rFonts w:ascii="Times New Roman" w:hAnsi="Times New Roman" w:cs="Times New Roman"/>
            <w:color w:val="auto"/>
            <w:sz w:val="24"/>
            <w:szCs w:val="24"/>
            <w:u w:val="none"/>
            <w:shd w:val="clear" w:color="auto" w:fill="FCFCFC"/>
          </w:rPr>
          <w:t>, 2022</w:t>
        </w:r>
      </w:hyperlink>
      <w:r w:rsidR="00C92AB1" w:rsidRPr="00173569">
        <w:rPr>
          <w:rFonts w:ascii="Times New Roman" w:hAnsi="Times New Roman" w:cs="Times New Roman"/>
          <w:sz w:val="24"/>
          <w:szCs w:val="24"/>
          <w:shd w:val="clear" w:color="auto" w:fill="FCFCFC"/>
        </w:rPr>
        <w:t>.</w:t>
      </w:r>
    </w:p>
    <w:p w14:paraId="63F6D6E2" w14:textId="20C66DA9" w:rsidR="00204DFF" w:rsidRPr="00C82A25" w:rsidRDefault="00426D03" w:rsidP="00C82A25">
      <w:pPr>
        <w:spacing w:line="360" w:lineRule="auto"/>
        <w:ind w:left="720" w:hanging="720"/>
        <w:contextualSpacing/>
        <w:rPr>
          <w:rFonts w:ascii="Times New Roman" w:hAnsi="Times New Roman" w:cs="Times New Roman"/>
          <w:sz w:val="24"/>
          <w:szCs w:val="24"/>
          <w:shd w:val="clear" w:color="auto" w:fill="FCFCFC"/>
        </w:rPr>
      </w:pPr>
      <w:r>
        <w:rPr>
          <w:rFonts w:ascii="Times New Roman" w:hAnsi="Times New Roman" w:cs="Times New Roman"/>
          <w:sz w:val="24"/>
          <w:szCs w:val="24"/>
        </w:rPr>
        <w:t>Tanaka, T. and Okamoto, S. (2021).</w:t>
      </w:r>
      <w:r w:rsidRPr="00C82A25">
        <w:rPr>
          <w:rFonts w:ascii="Times New Roman" w:hAnsi="Times New Roman" w:cs="Times New Roman"/>
          <w:sz w:val="24"/>
          <w:szCs w:val="24"/>
        </w:rPr>
        <w:t xml:space="preserve"> Increase in suicide following an initial decline during the COVID-19 </w:t>
      </w:r>
      <w:r>
        <w:rPr>
          <w:rFonts w:ascii="Times New Roman" w:hAnsi="Times New Roman" w:cs="Times New Roman"/>
          <w:sz w:val="24"/>
          <w:szCs w:val="24"/>
        </w:rPr>
        <w:t xml:space="preserve">                         </w:t>
      </w:r>
      <w:r w:rsidRPr="00C82A25">
        <w:rPr>
          <w:rFonts w:ascii="Times New Roman" w:hAnsi="Times New Roman" w:cs="Times New Roman"/>
          <w:sz w:val="24"/>
          <w:szCs w:val="24"/>
        </w:rPr>
        <w:t xml:space="preserve">pandemic in Japan. </w:t>
      </w:r>
      <w:r w:rsidRPr="00C82A25">
        <w:rPr>
          <w:rFonts w:ascii="Times New Roman" w:hAnsi="Times New Roman" w:cs="Times New Roman"/>
          <w:i/>
          <w:iCs/>
          <w:sz w:val="24"/>
          <w:szCs w:val="24"/>
        </w:rPr>
        <w:t xml:space="preserve">Nature Human </w:t>
      </w:r>
      <w:proofErr w:type="spellStart"/>
      <w:r w:rsidRPr="00C82A25">
        <w:rPr>
          <w:rFonts w:ascii="Times New Roman" w:hAnsi="Times New Roman" w:cs="Times New Roman"/>
          <w:i/>
          <w:iCs/>
          <w:sz w:val="24"/>
          <w:szCs w:val="24"/>
        </w:rPr>
        <w:t>Behaviour</w:t>
      </w:r>
      <w:proofErr w:type="spellEnd"/>
      <w:r w:rsidRPr="00C82A25">
        <w:rPr>
          <w:rFonts w:ascii="Times New Roman" w:hAnsi="Times New Roman" w:cs="Times New Roman"/>
          <w:sz w:val="24"/>
          <w:szCs w:val="24"/>
        </w:rPr>
        <w:t>, 5(2), pp.229-238.</w:t>
      </w:r>
    </w:p>
    <w:p w14:paraId="752B9B45" w14:textId="0051C41A" w:rsidR="00E82D19" w:rsidRDefault="00E82D19" w:rsidP="00C82A25">
      <w:pPr>
        <w:spacing w:line="360" w:lineRule="auto"/>
        <w:ind w:left="720" w:hanging="720"/>
        <w:contextualSpacing/>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Vandoros</w:t>
      </w:r>
      <w:proofErr w:type="spellEnd"/>
      <w:r>
        <w:rPr>
          <w:rFonts w:ascii="Times New Roman" w:hAnsi="Times New Roman" w:cs="Times New Roman"/>
          <w:color w:val="222222"/>
          <w:sz w:val="24"/>
          <w:szCs w:val="24"/>
          <w:shd w:val="clear" w:color="auto" w:fill="FFFFFF"/>
        </w:rPr>
        <w:t xml:space="preserve">, S. (2020). Excess mortality during the Covid-19 pandemic: Early evidence from England and Wales. </w:t>
      </w:r>
      <w:r>
        <w:rPr>
          <w:rFonts w:ascii="Times New Roman" w:hAnsi="Times New Roman" w:cs="Times New Roman"/>
          <w:i/>
          <w:iCs/>
          <w:color w:val="222222"/>
          <w:sz w:val="24"/>
          <w:szCs w:val="24"/>
          <w:shd w:val="clear" w:color="auto" w:fill="FFFFFF"/>
        </w:rPr>
        <w:t>Social Science and Medicine</w:t>
      </w:r>
      <w:r>
        <w:rPr>
          <w:rFonts w:ascii="Times New Roman" w:hAnsi="Times New Roman" w:cs="Times New Roman"/>
          <w:color w:val="222222"/>
          <w:sz w:val="24"/>
          <w:szCs w:val="24"/>
          <w:shd w:val="clear" w:color="auto" w:fill="FFFFFF"/>
        </w:rPr>
        <w:t xml:space="preserve">, </w:t>
      </w:r>
      <w:r w:rsidR="00345356">
        <w:rPr>
          <w:rFonts w:ascii="Times New Roman" w:hAnsi="Times New Roman" w:cs="Times New Roman"/>
          <w:color w:val="222222"/>
          <w:sz w:val="24"/>
          <w:szCs w:val="24"/>
          <w:shd w:val="clear" w:color="auto" w:fill="FFFFFF"/>
        </w:rPr>
        <w:t xml:space="preserve">Volume </w:t>
      </w:r>
      <w:r>
        <w:rPr>
          <w:rFonts w:ascii="Times New Roman" w:hAnsi="Times New Roman" w:cs="Times New Roman"/>
          <w:color w:val="222222"/>
          <w:sz w:val="24"/>
          <w:szCs w:val="24"/>
          <w:shd w:val="clear" w:color="auto" w:fill="FFFFFF"/>
        </w:rPr>
        <w:t>258.</w:t>
      </w:r>
    </w:p>
    <w:p w14:paraId="1FB2A888" w14:textId="2B96EF22" w:rsidR="007E53FC" w:rsidRPr="00426D03" w:rsidRDefault="00426D03" w:rsidP="00C82A25">
      <w:pPr>
        <w:spacing w:line="36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Vandoros</w:t>
      </w:r>
      <w:proofErr w:type="spellEnd"/>
      <w:r>
        <w:rPr>
          <w:rFonts w:ascii="Times New Roman" w:hAnsi="Times New Roman" w:cs="Times New Roman"/>
          <w:sz w:val="24"/>
          <w:szCs w:val="24"/>
        </w:rPr>
        <w:t>, S. (</w:t>
      </w:r>
      <w:r w:rsidRPr="00C82A25">
        <w:rPr>
          <w:rFonts w:ascii="Times New Roman" w:hAnsi="Times New Roman" w:cs="Times New Roman"/>
          <w:sz w:val="24"/>
          <w:szCs w:val="24"/>
        </w:rPr>
        <w:t>2022</w:t>
      </w:r>
      <w:r>
        <w:rPr>
          <w:rFonts w:ascii="Times New Roman" w:hAnsi="Times New Roman" w:cs="Times New Roman"/>
          <w:sz w:val="24"/>
          <w:szCs w:val="24"/>
        </w:rPr>
        <w:t>)</w:t>
      </w:r>
      <w:r w:rsidRPr="00C82A25">
        <w:rPr>
          <w:rFonts w:ascii="Times New Roman" w:hAnsi="Times New Roman" w:cs="Times New Roman"/>
          <w:sz w:val="24"/>
          <w:szCs w:val="24"/>
        </w:rPr>
        <w:t xml:space="preserve">. COVID-19, lockdowns and motor vehicle collisions: empirical evidence from Greece. </w:t>
      </w:r>
      <w:r w:rsidRPr="00C82A25">
        <w:rPr>
          <w:rFonts w:ascii="Times New Roman" w:hAnsi="Times New Roman" w:cs="Times New Roman"/>
          <w:i/>
          <w:iCs/>
          <w:sz w:val="24"/>
          <w:szCs w:val="24"/>
        </w:rPr>
        <w:t>Injury Prevention</w:t>
      </w:r>
      <w:r w:rsidRPr="00C82A25">
        <w:rPr>
          <w:rFonts w:ascii="Times New Roman" w:hAnsi="Times New Roman" w:cs="Times New Roman"/>
          <w:sz w:val="24"/>
          <w:szCs w:val="24"/>
        </w:rPr>
        <w:t>, 28(1), pp.81-85.</w:t>
      </w:r>
    </w:p>
    <w:p w14:paraId="0F2FB94A" w14:textId="3ADD2BEA" w:rsidR="0083795D" w:rsidRPr="002C6241" w:rsidRDefault="0083795D" w:rsidP="0083795D">
      <w:pPr>
        <w:spacing w:line="360" w:lineRule="auto"/>
        <w:ind w:left="720" w:hanging="720"/>
        <w:contextualSpacing/>
        <w:rPr>
          <w:rFonts w:ascii="Times New Roman" w:hAnsi="Times New Roman" w:cs="Times New Roman"/>
          <w:sz w:val="24"/>
          <w:szCs w:val="24"/>
        </w:rPr>
      </w:pPr>
      <w:r w:rsidRPr="0092750E">
        <w:rPr>
          <w:rFonts w:ascii="Times New Roman" w:hAnsi="Times New Roman" w:cs="Times New Roman"/>
          <w:color w:val="222222"/>
          <w:sz w:val="24"/>
          <w:szCs w:val="24"/>
          <w:shd w:val="clear" w:color="auto" w:fill="FFFFFF"/>
        </w:rPr>
        <w:t>Watson, O.J., Barnsley, G., Toor, J., Hogan, B. A., Winskill, P., Ghani, A</w:t>
      </w:r>
      <w:r w:rsidR="006E3C25" w:rsidRPr="002C6241">
        <w:rPr>
          <w:rFonts w:ascii="Times New Roman" w:hAnsi="Times New Roman" w:cs="Times New Roman"/>
          <w:color w:val="222222"/>
          <w:sz w:val="24"/>
          <w:szCs w:val="24"/>
          <w:shd w:val="clear" w:color="auto" w:fill="FFFFFF"/>
        </w:rPr>
        <w:t>.</w:t>
      </w:r>
      <w:r w:rsidRPr="0092750E">
        <w:rPr>
          <w:rFonts w:ascii="Times New Roman" w:hAnsi="Times New Roman" w:cs="Times New Roman"/>
          <w:color w:val="222222"/>
          <w:sz w:val="24"/>
          <w:szCs w:val="24"/>
          <w:shd w:val="clear" w:color="auto" w:fill="FFFFFF"/>
        </w:rPr>
        <w:t xml:space="preserve"> (2022). Global impact of the first year of Covid-19 vaccination: a mathematical modelling study. </w:t>
      </w:r>
      <w:r w:rsidRPr="0092750E">
        <w:rPr>
          <w:rFonts w:ascii="Times New Roman" w:hAnsi="Times New Roman" w:cs="Times New Roman"/>
          <w:i/>
          <w:iCs/>
          <w:color w:val="222222"/>
          <w:sz w:val="24"/>
          <w:szCs w:val="24"/>
          <w:shd w:val="clear" w:color="auto" w:fill="FFFFFF"/>
        </w:rPr>
        <w:t>The Lancet</w:t>
      </w:r>
      <w:r w:rsidR="00FD37D9" w:rsidRPr="0092750E">
        <w:rPr>
          <w:rFonts w:ascii="Times New Roman" w:hAnsi="Times New Roman" w:cs="Times New Roman"/>
          <w:color w:val="222222"/>
          <w:sz w:val="24"/>
          <w:szCs w:val="24"/>
          <w:shd w:val="clear" w:color="auto" w:fill="FFFFFF"/>
        </w:rPr>
        <w:t>.</w:t>
      </w:r>
      <w:r w:rsidRPr="0092750E">
        <w:rPr>
          <w:rFonts w:ascii="Times New Roman" w:hAnsi="Times New Roman" w:cs="Times New Roman"/>
          <w:color w:val="222222"/>
          <w:sz w:val="24"/>
          <w:szCs w:val="24"/>
          <w:shd w:val="clear" w:color="auto" w:fill="FFFFFF"/>
        </w:rPr>
        <w:t> DOI: https://doi.org/10.1016/S1473-3099(22)00320-6.</w:t>
      </w:r>
    </w:p>
    <w:p w14:paraId="23AEAFD8" w14:textId="5AA01B10" w:rsidR="00B8672B" w:rsidRDefault="00B565DE" w:rsidP="00C82A25">
      <w:pPr>
        <w:spacing w:line="360" w:lineRule="auto"/>
        <w:ind w:left="720" w:hanging="720"/>
        <w:contextualSpacing/>
        <w:rPr>
          <w:rFonts w:ascii="Times New Roman" w:hAnsi="Times New Roman" w:cs="Times New Roman"/>
          <w:color w:val="222222"/>
          <w:sz w:val="24"/>
          <w:szCs w:val="24"/>
          <w:shd w:val="clear" w:color="auto" w:fill="FFFFFF"/>
        </w:rPr>
      </w:pPr>
      <w:r w:rsidRPr="00173569">
        <w:rPr>
          <w:rFonts w:ascii="Times New Roman" w:hAnsi="Times New Roman" w:cs="Times New Roman"/>
          <w:color w:val="222222"/>
          <w:sz w:val="24"/>
          <w:szCs w:val="24"/>
          <w:shd w:val="clear" w:color="auto" w:fill="FFFFFF"/>
        </w:rPr>
        <w:t xml:space="preserve">Whittaker, C., Walker, P. G., </w:t>
      </w:r>
      <w:proofErr w:type="spellStart"/>
      <w:r w:rsidRPr="00173569">
        <w:rPr>
          <w:rFonts w:ascii="Times New Roman" w:hAnsi="Times New Roman" w:cs="Times New Roman"/>
          <w:color w:val="222222"/>
          <w:sz w:val="24"/>
          <w:szCs w:val="24"/>
          <w:shd w:val="clear" w:color="auto" w:fill="FFFFFF"/>
        </w:rPr>
        <w:t>Alhaffar</w:t>
      </w:r>
      <w:proofErr w:type="spellEnd"/>
      <w:r w:rsidRPr="00173569">
        <w:rPr>
          <w:rFonts w:ascii="Times New Roman" w:hAnsi="Times New Roman" w:cs="Times New Roman"/>
          <w:color w:val="222222"/>
          <w:sz w:val="24"/>
          <w:szCs w:val="24"/>
          <w:shd w:val="clear" w:color="auto" w:fill="FFFFFF"/>
        </w:rPr>
        <w:t xml:space="preserve">, M., Hamlet, A., </w:t>
      </w:r>
      <w:proofErr w:type="spellStart"/>
      <w:r w:rsidRPr="00173569">
        <w:rPr>
          <w:rFonts w:ascii="Times New Roman" w:hAnsi="Times New Roman" w:cs="Times New Roman"/>
          <w:color w:val="222222"/>
          <w:sz w:val="24"/>
          <w:szCs w:val="24"/>
          <w:shd w:val="clear" w:color="auto" w:fill="FFFFFF"/>
        </w:rPr>
        <w:t>Djaafara</w:t>
      </w:r>
      <w:proofErr w:type="spellEnd"/>
      <w:r w:rsidRPr="00173569">
        <w:rPr>
          <w:rFonts w:ascii="Times New Roman" w:hAnsi="Times New Roman" w:cs="Times New Roman"/>
          <w:color w:val="222222"/>
          <w:sz w:val="24"/>
          <w:szCs w:val="24"/>
          <w:shd w:val="clear" w:color="auto" w:fill="FFFFFF"/>
        </w:rPr>
        <w:t xml:space="preserve">, B. A., Ghani, A., ... &amp; Watson, O. J. (2021). Under-reporting of deaths limits our understanding of true burden of </w:t>
      </w:r>
      <w:r w:rsidR="0099682C" w:rsidRPr="00173569">
        <w:rPr>
          <w:rFonts w:ascii="Times New Roman" w:hAnsi="Times New Roman" w:cs="Times New Roman"/>
          <w:color w:val="222222"/>
          <w:sz w:val="24"/>
          <w:szCs w:val="24"/>
          <w:shd w:val="clear" w:color="auto" w:fill="FFFFFF"/>
        </w:rPr>
        <w:t>C</w:t>
      </w:r>
      <w:r w:rsidRPr="00173569">
        <w:rPr>
          <w:rFonts w:ascii="Times New Roman" w:hAnsi="Times New Roman" w:cs="Times New Roman"/>
          <w:color w:val="222222"/>
          <w:sz w:val="24"/>
          <w:szCs w:val="24"/>
          <w:shd w:val="clear" w:color="auto" w:fill="FFFFFF"/>
        </w:rPr>
        <w:t>ovi</w:t>
      </w:r>
      <w:r w:rsidRPr="007B7457">
        <w:rPr>
          <w:rFonts w:ascii="Times New Roman" w:hAnsi="Times New Roman" w:cs="Times New Roman"/>
          <w:color w:val="222222"/>
          <w:sz w:val="24"/>
          <w:szCs w:val="24"/>
          <w:shd w:val="clear" w:color="auto" w:fill="FFFFFF"/>
        </w:rPr>
        <w:t>d-19.</w:t>
      </w:r>
      <w:r w:rsidR="00FD0B3F">
        <w:rPr>
          <w:rFonts w:ascii="Times New Roman" w:hAnsi="Times New Roman" w:cs="Times New Roman"/>
          <w:color w:val="222222"/>
          <w:sz w:val="24"/>
          <w:szCs w:val="24"/>
          <w:shd w:val="clear" w:color="auto" w:fill="FFFFFF"/>
        </w:rPr>
        <w:t xml:space="preserve"> </w:t>
      </w:r>
      <w:proofErr w:type="spellStart"/>
      <w:r w:rsidRPr="007B7457">
        <w:rPr>
          <w:rFonts w:ascii="Times New Roman" w:hAnsi="Times New Roman" w:cs="Times New Roman"/>
          <w:i/>
          <w:iCs/>
          <w:color w:val="222222"/>
          <w:sz w:val="24"/>
          <w:szCs w:val="24"/>
          <w:shd w:val="clear" w:color="auto" w:fill="FFFFFF"/>
        </w:rPr>
        <w:t>bmj</w:t>
      </w:r>
      <w:proofErr w:type="spellEnd"/>
      <w:r w:rsidRPr="007B7457">
        <w:rPr>
          <w:rFonts w:ascii="Times New Roman" w:hAnsi="Times New Roman" w:cs="Times New Roman"/>
          <w:color w:val="222222"/>
          <w:sz w:val="24"/>
          <w:szCs w:val="24"/>
          <w:shd w:val="clear" w:color="auto" w:fill="FFFFFF"/>
        </w:rPr>
        <w:t>, </w:t>
      </w:r>
      <w:r w:rsidR="00345356">
        <w:rPr>
          <w:rFonts w:ascii="Times New Roman" w:hAnsi="Times New Roman" w:cs="Times New Roman"/>
          <w:color w:val="222222"/>
          <w:sz w:val="24"/>
          <w:szCs w:val="24"/>
          <w:shd w:val="clear" w:color="auto" w:fill="FFFFFF"/>
        </w:rPr>
        <w:t xml:space="preserve">Volume </w:t>
      </w:r>
      <w:r w:rsidRPr="00C82A25">
        <w:rPr>
          <w:rFonts w:ascii="Times New Roman" w:hAnsi="Times New Roman" w:cs="Times New Roman"/>
          <w:color w:val="222222"/>
          <w:sz w:val="24"/>
          <w:szCs w:val="24"/>
          <w:shd w:val="clear" w:color="auto" w:fill="FFFFFF"/>
        </w:rPr>
        <w:t>375</w:t>
      </w:r>
      <w:r w:rsidRPr="007B7457">
        <w:rPr>
          <w:rFonts w:ascii="Times New Roman" w:hAnsi="Times New Roman" w:cs="Times New Roman"/>
          <w:color w:val="222222"/>
          <w:sz w:val="24"/>
          <w:szCs w:val="24"/>
          <w:shd w:val="clear" w:color="auto" w:fill="FFFFFF"/>
        </w:rPr>
        <w:t>.</w:t>
      </w:r>
    </w:p>
    <w:p w14:paraId="4B3B2A26" w14:textId="498F26DE" w:rsidR="002C6241" w:rsidRPr="00D7451B" w:rsidRDefault="002C6241" w:rsidP="002C6241">
      <w:pPr>
        <w:spacing w:line="360" w:lineRule="auto"/>
        <w:ind w:left="720" w:hanging="720"/>
        <w:contextualSpacing/>
        <w:rPr>
          <w:rFonts w:ascii="Times New Roman" w:hAnsi="Times New Roman" w:cs="Times New Roman"/>
          <w:sz w:val="24"/>
          <w:szCs w:val="24"/>
        </w:rPr>
      </w:pPr>
      <w:r w:rsidRPr="0092750E">
        <w:rPr>
          <w:rFonts w:ascii="Times New Roman" w:hAnsi="Times New Roman" w:cs="Times New Roman"/>
          <w:color w:val="222222"/>
          <w:sz w:val="24"/>
          <w:szCs w:val="24"/>
          <w:shd w:val="clear" w:color="auto" w:fill="FFFFFF"/>
        </w:rPr>
        <w:t xml:space="preserve">Zhong, M., </w:t>
      </w:r>
      <w:proofErr w:type="spellStart"/>
      <w:r w:rsidRPr="0092750E">
        <w:rPr>
          <w:rFonts w:ascii="Times New Roman" w:hAnsi="Times New Roman" w:cs="Times New Roman"/>
          <w:color w:val="222222"/>
          <w:sz w:val="24"/>
          <w:szCs w:val="24"/>
          <w:shd w:val="clear" w:color="auto" w:fill="FFFFFF"/>
        </w:rPr>
        <w:t>Kshirsagar</w:t>
      </w:r>
      <w:proofErr w:type="spellEnd"/>
      <w:r w:rsidRPr="0092750E">
        <w:rPr>
          <w:rFonts w:ascii="Times New Roman" w:hAnsi="Times New Roman" w:cs="Times New Roman"/>
          <w:color w:val="222222"/>
          <w:sz w:val="24"/>
          <w:szCs w:val="24"/>
          <w:shd w:val="clear" w:color="auto" w:fill="FFFFFF"/>
        </w:rPr>
        <w:t xml:space="preserve">, M., </w:t>
      </w:r>
      <w:r w:rsidRPr="002C6241">
        <w:rPr>
          <w:rFonts w:ascii="Times New Roman" w:hAnsi="Times New Roman" w:cs="Times New Roman"/>
          <w:color w:val="222222"/>
          <w:sz w:val="24"/>
          <w:szCs w:val="24"/>
          <w:shd w:val="clear" w:color="auto" w:fill="FFFFFF"/>
        </w:rPr>
        <w:t>Johnston</w:t>
      </w:r>
      <w:r w:rsidRPr="0092750E">
        <w:rPr>
          <w:rFonts w:ascii="Times New Roman" w:hAnsi="Times New Roman" w:cs="Times New Roman"/>
          <w:color w:val="222222"/>
          <w:sz w:val="24"/>
          <w:szCs w:val="24"/>
          <w:shd w:val="clear" w:color="auto" w:fill="FFFFFF"/>
        </w:rPr>
        <w:t xml:space="preserve">, </w:t>
      </w:r>
      <w:r w:rsidRPr="002C6241">
        <w:rPr>
          <w:rFonts w:ascii="Times New Roman" w:hAnsi="Times New Roman" w:cs="Times New Roman"/>
          <w:color w:val="222222"/>
          <w:sz w:val="24"/>
          <w:szCs w:val="24"/>
          <w:shd w:val="clear" w:color="auto" w:fill="FFFFFF"/>
        </w:rPr>
        <w:t>R</w:t>
      </w:r>
      <w:r w:rsidRPr="0092750E">
        <w:rPr>
          <w:rFonts w:ascii="Times New Roman" w:hAnsi="Times New Roman" w:cs="Times New Roman"/>
          <w:color w:val="222222"/>
          <w:sz w:val="24"/>
          <w:szCs w:val="24"/>
          <w:shd w:val="clear" w:color="auto" w:fill="FFFFFF"/>
        </w:rPr>
        <w:t xml:space="preserve">., </w:t>
      </w:r>
      <w:proofErr w:type="spellStart"/>
      <w:r w:rsidRPr="002C6241">
        <w:rPr>
          <w:rFonts w:ascii="Times New Roman" w:hAnsi="Times New Roman" w:cs="Times New Roman"/>
          <w:color w:val="222222"/>
          <w:sz w:val="24"/>
          <w:szCs w:val="24"/>
          <w:shd w:val="clear" w:color="auto" w:fill="FFFFFF"/>
        </w:rPr>
        <w:t>Dodhia</w:t>
      </w:r>
      <w:proofErr w:type="spellEnd"/>
      <w:r w:rsidRPr="0092750E">
        <w:rPr>
          <w:rFonts w:ascii="Times New Roman" w:hAnsi="Times New Roman" w:cs="Times New Roman"/>
          <w:color w:val="222222"/>
          <w:sz w:val="24"/>
          <w:szCs w:val="24"/>
          <w:shd w:val="clear" w:color="auto" w:fill="FFFFFF"/>
        </w:rPr>
        <w:t xml:space="preserve">, </w:t>
      </w:r>
      <w:r w:rsidRPr="002C6241">
        <w:rPr>
          <w:rFonts w:ascii="Times New Roman" w:hAnsi="Times New Roman" w:cs="Times New Roman"/>
          <w:color w:val="222222"/>
          <w:sz w:val="24"/>
          <w:szCs w:val="24"/>
          <w:shd w:val="clear" w:color="auto" w:fill="FFFFFF"/>
        </w:rPr>
        <w:t>R</w:t>
      </w:r>
      <w:r w:rsidRPr="0092750E">
        <w:rPr>
          <w:rFonts w:ascii="Times New Roman" w:hAnsi="Times New Roman" w:cs="Times New Roman"/>
          <w:color w:val="222222"/>
          <w:sz w:val="24"/>
          <w:szCs w:val="24"/>
          <w:shd w:val="clear" w:color="auto" w:fill="FFFFFF"/>
        </w:rPr>
        <w:t xml:space="preserve">., </w:t>
      </w:r>
      <w:r w:rsidRPr="002C6241">
        <w:rPr>
          <w:rFonts w:ascii="Times New Roman" w:hAnsi="Times New Roman" w:cs="Times New Roman"/>
          <w:color w:val="222222"/>
          <w:sz w:val="24"/>
          <w:szCs w:val="24"/>
          <w:shd w:val="clear" w:color="auto" w:fill="FFFFFF"/>
        </w:rPr>
        <w:t>Glazer</w:t>
      </w:r>
      <w:r w:rsidRPr="0092750E">
        <w:rPr>
          <w:rFonts w:ascii="Times New Roman" w:hAnsi="Times New Roman" w:cs="Times New Roman"/>
          <w:color w:val="222222"/>
          <w:sz w:val="24"/>
          <w:szCs w:val="24"/>
          <w:shd w:val="clear" w:color="auto" w:fill="FFFFFF"/>
        </w:rPr>
        <w:t xml:space="preserve">, </w:t>
      </w:r>
      <w:r w:rsidRPr="002C6241">
        <w:rPr>
          <w:rFonts w:ascii="Times New Roman" w:hAnsi="Times New Roman" w:cs="Times New Roman"/>
          <w:color w:val="222222"/>
          <w:sz w:val="24"/>
          <w:szCs w:val="24"/>
          <w:shd w:val="clear" w:color="auto" w:fill="FFFFFF"/>
        </w:rPr>
        <w:t>T</w:t>
      </w:r>
      <w:r w:rsidRPr="0092750E">
        <w:rPr>
          <w:rFonts w:ascii="Times New Roman" w:hAnsi="Times New Roman" w:cs="Times New Roman"/>
          <w:color w:val="222222"/>
          <w:sz w:val="24"/>
          <w:szCs w:val="24"/>
          <w:shd w:val="clear" w:color="auto" w:fill="FFFFFF"/>
        </w:rPr>
        <w:t xml:space="preserve">., </w:t>
      </w:r>
      <w:r w:rsidRPr="002C6241">
        <w:rPr>
          <w:rFonts w:ascii="Times New Roman" w:hAnsi="Times New Roman" w:cs="Times New Roman"/>
          <w:color w:val="222222"/>
          <w:sz w:val="24"/>
          <w:szCs w:val="24"/>
          <w:shd w:val="clear" w:color="auto" w:fill="FFFFFF"/>
        </w:rPr>
        <w:t>Kim</w:t>
      </w:r>
      <w:r w:rsidRPr="0092750E">
        <w:rPr>
          <w:rFonts w:ascii="Times New Roman" w:hAnsi="Times New Roman" w:cs="Times New Roman"/>
          <w:color w:val="222222"/>
          <w:sz w:val="24"/>
          <w:szCs w:val="24"/>
          <w:shd w:val="clear" w:color="auto" w:fill="FFFFFF"/>
        </w:rPr>
        <w:t>, A</w:t>
      </w:r>
      <w:r w:rsidRPr="002C6241">
        <w:rPr>
          <w:rFonts w:ascii="Times New Roman" w:hAnsi="Times New Roman" w:cs="Times New Roman"/>
          <w:color w:val="222222"/>
          <w:sz w:val="24"/>
          <w:szCs w:val="24"/>
          <w:shd w:val="clear" w:color="auto" w:fill="FFFFFF"/>
        </w:rPr>
        <w:t xml:space="preserve">., Michael, D., Nair-Desai, S., Tsai, T. C., Friedhoff, S., </w:t>
      </w:r>
      <w:proofErr w:type="spellStart"/>
      <w:r w:rsidRPr="002C6241">
        <w:rPr>
          <w:rFonts w:ascii="Times New Roman" w:hAnsi="Times New Roman" w:cs="Times New Roman"/>
          <w:color w:val="222222"/>
          <w:sz w:val="24"/>
          <w:szCs w:val="24"/>
          <w:shd w:val="clear" w:color="auto" w:fill="FFFFFF"/>
        </w:rPr>
        <w:t>Lavista</w:t>
      </w:r>
      <w:proofErr w:type="spellEnd"/>
      <w:r w:rsidRPr="002C6241">
        <w:rPr>
          <w:rFonts w:ascii="Times New Roman" w:hAnsi="Times New Roman" w:cs="Times New Roman"/>
          <w:color w:val="222222"/>
          <w:sz w:val="24"/>
          <w:szCs w:val="24"/>
          <w:shd w:val="clear" w:color="auto" w:fill="FFFFFF"/>
        </w:rPr>
        <w:t xml:space="preserve"> </w:t>
      </w:r>
      <w:proofErr w:type="spellStart"/>
      <w:r w:rsidRPr="002C6241">
        <w:rPr>
          <w:rFonts w:ascii="Times New Roman" w:hAnsi="Times New Roman" w:cs="Times New Roman"/>
          <w:color w:val="222222"/>
          <w:sz w:val="24"/>
          <w:szCs w:val="24"/>
          <w:shd w:val="clear" w:color="auto" w:fill="FFFFFF"/>
        </w:rPr>
        <w:t>Ferres</w:t>
      </w:r>
      <w:proofErr w:type="spellEnd"/>
      <w:r w:rsidRPr="002C6241">
        <w:rPr>
          <w:rFonts w:ascii="Times New Roman" w:hAnsi="Times New Roman" w:cs="Times New Roman"/>
          <w:color w:val="222222"/>
          <w:sz w:val="24"/>
          <w:szCs w:val="24"/>
          <w:shd w:val="clear" w:color="auto" w:fill="FFFFFF"/>
        </w:rPr>
        <w:t>, J. M.</w:t>
      </w:r>
      <w:r w:rsidRPr="0092750E">
        <w:rPr>
          <w:rFonts w:ascii="Times New Roman" w:hAnsi="Times New Roman" w:cs="Times New Roman"/>
          <w:color w:val="222222"/>
          <w:sz w:val="24"/>
          <w:szCs w:val="24"/>
          <w:shd w:val="clear" w:color="auto" w:fill="FFFFFF"/>
        </w:rPr>
        <w:t xml:space="preserve"> (2022). </w:t>
      </w:r>
      <w:r w:rsidRPr="002C6241">
        <w:rPr>
          <w:rFonts w:ascii="Times New Roman" w:hAnsi="Times New Roman" w:cs="Times New Roman"/>
          <w:color w:val="222222"/>
          <w:sz w:val="24"/>
          <w:szCs w:val="24"/>
          <w:shd w:val="clear" w:color="auto" w:fill="FFFFFF"/>
        </w:rPr>
        <w:t>Estimating Vaccine-Preventable Covid-19 Deaths Under Counterfactual Vaccination Scenarios in the United States</w:t>
      </w:r>
      <w:r w:rsidRPr="0092750E">
        <w:rPr>
          <w:rFonts w:ascii="Times New Roman" w:hAnsi="Times New Roman" w:cs="Times New Roman"/>
          <w:color w:val="222222"/>
          <w:sz w:val="24"/>
          <w:szCs w:val="24"/>
          <w:shd w:val="clear" w:color="auto" w:fill="FFFFFF"/>
        </w:rPr>
        <w:t xml:space="preserve">. </w:t>
      </w:r>
      <w:proofErr w:type="spellStart"/>
      <w:r w:rsidRPr="002C6241">
        <w:rPr>
          <w:rFonts w:ascii="Times New Roman" w:hAnsi="Times New Roman" w:cs="Times New Roman"/>
          <w:i/>
          <w:iCs/>
          <w:color w:val="222222"/>
          <w:sz w:val="24"/>
          <w:szCs w:val="24"/>
          <w:shd w:val="clear" w:color="auto" w:fill="FFFFFF"/>
        </w:rPr>
        <w:t>medRxiv</w:t>
      </w:r>
      <w:proofErr w:type="spellEnd"/>
      <w:r w:rsidRPr="0092750E">
        <w:rPr>
          <w:rFonts w:ascii="Times New Roman" w:hAnsi="Times New Roman" w:cs="Times New Roman"/>
          <w:color w:val="222222"/>
          <w:sz w:val="24"/>
          <w:szCs w:val="24"/>
          <w:shd w:val="clear" w:color="auto" w:fill="FFFFFF"/>
        </w:rPr>
        <w:t>. DOI: https://doi.org/10.1101/2022.05.19.22275310.</w:t>
      </w:r>
    </w:p>
    <w:sectPr w:rsidR="002C6241" w:rsidRPr="00D7451B" w:rsidSect="00601CF2">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9606A" w14:textId="77777777" w:rsidR="00795F66" w:rsidRDefault="00795F66" w:rsidP="00B47C52">
      <w:pPr>
        <w:spacing w:after="0" w:line="240" w:lineRule="auto"/>
      </w:pPr>
      <w:r>
        <w:separator/>
      </w:r>
    </w:p>
  </w:endnote>
  <w:endnote w:type="continuationSeparator" w:id="0">
    <w:p w14:paraId="61F01961" w14:textId="77777777" w:rsidR="00795F66" w:rsidRDefault="00795F66" w:rsidP="00B4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5E38D" w14:textId="6A7713BB" w:rsidR="0083795D" w:rsidRDefault="0083795D">
    <w:pPr>
      <w:pStyle w:val="Footer"/>
      <w:jc w:val="center"/>
    </w:pPr>
    <w:r>
      <w:rPr>
        <w:noProof/>
        <w:lang w:bidi="he-IL"/>
      </w:rPr>
      <mc:AlternateContent>
        <mc:Choice Requires="wps">
          <w:drawing>
            <wp:anchor distT="0" distB="0" distL="114300" distR="114300" simplePos="0" relativeHeight="251660288" behindDoc="0" locked="0" layoutInCell="0" allowOverlap="1" wp14:anchorId="7E1B9257" wp14:editId="330F318E">
              <wp:simplePos x="0" y="0"/>
              <wp:positionH relativeFrom="page">
                <wp:align>left</wp:align>
              </wp:positionH>
              <wp:positionV relativeFrom="page">
                <wp:align>bottom</wp:align>
              </wp:positionV>
              <wp:extent cx="7772400" cy="737235"/>
              <wp:effectExtent l="0" t="0" r="0" b="5715"/>
              <wp:wrapNone/>
              <wp:docPr id="6" name="MSIPCM7f424e53a86d754814bfbd5d" descr="{&quot;HashCode&quot;:418872913,&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73723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0A494D" w14:textId="722EE215" w:rsidR="0083795D" w:rsidRPr="0000755F" w:rsidRDefault="0083795D" w:rsidP="00B85725">
                          <w:pPr>
                            <w:spacing w:after="0"/>
                            <w:rPr>
                              <w:rFonts w:ascii="Times New Roman" w:hAnsi="Times New Roman" w:cs="Times New Roman"/>
                              <w:color w:val="000000"/>
                              <w:sz w:val="18"/>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7E1B9257" id="_x0000_t202" coordsize="21600,21600" o:spt="202" path="m,l,21600r21600,l21600,xe">
              <v:stroke joinstyle="miter"/>
              <v:path gradientshapeok="t" o:connecttype="rect"/>
            </v:shapetype>
            <v:shape id="MSIPCM7f424e53a86d754814bfbd5d" o:spid="_x0000_s1026" type="#_x0000_t202" alt="{&quot;HashCode&quot;:418872913,&quot;Height&quot;:9999999.0,&quot;Width&quot;:9999999.0,&quot;Placement&quot;:&quot;Footer&quot;,&quot;Index&quot;:&quot;Primary&quot;,&quot;Section&quot;:2,&quot;Top&quot;:0.0,&quot;Left&quot;:0.0}" style="position:absolute;left:0;text-align:left;margin-left:0;margin-top:0;width:612pt;height:58.05pt;z-index:251660288;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" o:allowincell="f" filled="f" stroked="f" strokeweight=".5pt">
              <v:textbox inset="20pt,0,,0">
                <w:txbxContent>
                  <w:p w14:paraId="1B0A494D" w14:textId="722EE215" w:rsidR="00304ACE" w:rsidRPr="0000755F" w:rsidRDefault="00304ACE" w:rsidP="00B85725">
                    <w:pPr>
                      <w:spacing w:after="0"/>
                      <w:rPr>
                        <w:rFonts w:ascii="Times New Roman" w:hAnsi="Times New Roman" w:cs="Times New Roman"/>
                        <w:color w:val="000000"/>
                        <w:sz w:val="18"/>
                      </w:rPr>
                    </w:pPr>
                  </w:p>
                </w:txbxContent>
              </v:textbox>
              <w10:wrap anchorx="page" anchory="page"/>
            </v:shape>
          </w:pict>
        </mc:Fallback>
      </mc:AlternateContent>
    </w:r>
    <w:sdt>
      <w:sdtPr>
        <w:id w:val="729194135"/>
        <w:docPartObj>
          <w:docPartGallery w:val="Page Numbers (Bottom of Page)"/>
          <w:docPartUnique/>
        </w:docPartObj>
      </w:sdtPr>
      <w:sdtEndPr>
        <w:rPr>
          <w:noProof/>
        </w:rPr>
      </w:sdtEndPr>
      <w:sdtContent>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Pr>
            <w:rFonts w:ascii="Book Antiqua" w:hAnsi="Book Antiqua"/>
            <w:noProof/>
          </w:rPr>
          <w:t>1</w:t>
        </w:r>
        <w:r w:rsidRPr="009B7ABF">
          <w:rPr>
            <w:rFonts w:ascii="Book Antiqua" w:hAnsi="Book Antiqua"/>
            <w:noProof/>
          </w:rPr>
          <w:fldChar w:fldCharType="end"/>
        </w:r>
      </w:sdtContent>
    </w:sdt>
  </w:p>
  <w:p w14:paraId="475D03BC" w14:textId="77777777" w:rsidR="0083795D" w:rsidRDefault="00837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AF4BD" w14:textId="77777777" w:rsidR="00795F66" w:rsidRDefault="00795F66" w:rsidP="00B47C52">
      <w:pPr>
        <w:spacing w:after="0" w:line="240" w:lineRule="auto"/>
      </w:pPr>
      <w:r>
        <w:separator/>
      </w:r>
    </w:p>
  </w:footnote>
  <w:footnote w:type="continuationSeparator" w:id="0">
    <w:p w14:paraId="25EE751B" w14:textId="77777777" w:rsidR="00795F66" w:rsidRDefault="00795F66" w:rsidP="00B47C52">
      <w:pPr>
        <w:spacing w:after="0" w:line="240" w:lineRule="auto"/>
      </w:pPr>
      <w:r>
        <w:continuationSeparator/>
      </w:r>
    </w:p>
  </w:footnote>
  <w:footnote w:id="1">
    <w:p w14:paraId="0EF98251" w14:textId="4F51F491" w:rsidR="0083795D" w:rsidRPr="00173569" w:rsidRDefault="0083795D" w:rsidP="00CC51CC">
      <w:pPr>
        <w:pStyle w:val="NoSpacing"/>
        <w:spacing w:line="276" w:lineRule="auto"/>
        <w:rPr>
          <w:rFonts w:ascii="Times New Roman" w:hAnsi="Times New Roman" w:cs="Times New Roman"/>
        </w:rPr>
      </w:pPr>
      <w:r w:rsidRPr="00CC51CC">
        <w:rPr>
          <w:rStyle w:val="FootnoteReference"/>
          <w:rFonts w:ascii="Times New Roman" w:hAnsi="Times New Roman" w:cs="Times New Roman"/>
        </w:rPr>
        <w:t>*</w:t>
      </w:r>
      <w:r w:rsidRPr="00CC51CC">
        <w:t xml:space="preserve"> </w:t>
      </w:r>
      <w:r w:rsidRPr="00173569">
        <w:rPr>
          <w:rFonts w:ascii="Times New Roman" w:hAnsi="Times New Roman" w:cs="Times New Roman"/>
        </w:rPr>
        <w:t xml:space="preserve">Joshua Aizenman, Economics and SIR, University of Southern California and NBER, Los Angeles, CA 90089-0043, </w:t>
      </w:r>
      <w:hyperlink r:id="rId1" w:history="1">
        <w:r w:rsidRPr="00173569">
          <w:rPr>
            <w:rStyle w:val="Hyperlink"/>
            <w:rFonts w:ascii="Times New Roman" w:hAnsi="Times New Roman" w:cs="Times New Roman"/>
          </w:rPr>
          <w:t>aizenman@usc.edu</w:t>
        </w:r>
      </w:hyperlink>
      <w:r w:rsidRPr="00173569">
        <w:rPr>
          <w:rFonts w:ascii="Times New Roman" w:hAnsi="Times New Roman" w:cs="Times New Roman"/>
        </w:rPr>
        <w:t xml:space="preserve">. </w:t>
      </w:r>
    </w:p>
    <w:p w14:paraId="15090B49" w14:textId="6CC1D563" w:rsidR="0083795D" w:rsidRPr="00173569" w:rsidRDefault="0083795D" w:rsidP="00CC51CC">
      <w:pPr>
        <w:pStyle w:val="NoSpacing"/>
        <w:spacing w:line="276" w:lineRule="auto"/>
        <w:rPr>
          <w:rFonts w:ascii="Times New Roman" w:hAnsi="Times New Roman" w:cs="Times New Roman"/>
        </w:rPr>
      </w:pPr>
      <w:r w:rsidRPr="00173569">
        <w:rPr>
          <w:rFonts w:ascii="Times New Roman" w:hAnsi="Times New Roman" w:cs="Times New Roman"/>
        </w:rPr>
        <w:t xml:space="preserve">Alex Cukierman, Tel-Aviv University School of Economics, Tel-Aviv, Israel 69978, </w:t>
      </w:r>
      <w:hyperlink r:id="rId2" w:history="1">
        <w:r w:rsidRPr="00173569">
          <w:rPr>
            <w:rStyle w:val="Hyperlink"/>
            <w:rFonts w:ascii="Times New Roman" w:hAnsi="Times New Roman" w:cs="Times New Roman"/>
          </w:rPr>
          <w:t>alexcuk@tauex.tau.ac.il</w:t>
        </w:r>
      </w:hyperlink>
      <w:r w:rsidRPr="00173569">
        <w:rPr>
          <w:rStyle w:val="Hyperlink"/>
          <w:rFonts w:ascii="Times New Roman" w:hAnsi="Times New Roman" w:cs="Times New Roman"/>
          <w:color w:val="000000" w:themeColor="text1"/>
          <w:u w:val="none"/>
        </w:rPr>
        <w:t>.</w:t>
      </w:r>
      <w:r w:rsidRPr="00173569">
        <w:rPr>
          <w:rFonts w:ascii="Times New Roman" w:hAnsi="Times New Roman" w:cs="Times New Roman"/>
          <w:color w:val="000000" w:themeColor="text1"/>
        </w:rPr>
        <w:t xml:space="preserve"> </w:t>
      </w:r>
    </w:p>
    <w:p w14:paraId="1702A94B" w14:textId="105D7799" w:rsidR="0083795D" w:rsidRPr="00173569" w:rsidRDefault="0083795D" w:rsidP="00CC51CC">
      <w:pPr>
        <w:pStyle w:val="NoSpacing"/>
        <w:spacing w:line="276" w:lineRule="auto"/>
        <w:rPr>
          <w:rFonts w:ascii="Times New Roman" w:hAnsi="Times New Roman" w:cs="Times New Roman"/>
        </w:rPr>
      </w:pPr>
      <w:proofErr w:type="spellStart"/>
      <w:r w:rsidRPr="00173569">
        <w:rPr>
          <w:rFonts w:ascii="Times New Roman" w:hAnsi="Times New Roman" w:cs="Times New Roman"/>
        </w:rPr>
        <w:t>Yothin</w:t>
      </w:r>
      <w:proofErr w:type="spellEnd"/>
      <w:r w:rsidRPr="00173569">
        <w:rPr>
          <w:rFonts w:ascii="Times New Roman" w:hAnsi="Times New Roman" w:cs="Times New Roman"/>
        </w:rPr>
        <w:t xml:space="preserve"> </w:t>
      </w:r>
      <w:proofErr w:type="spellStart"/>
      <w:r w:rsidRPr="00173569">
        <w:rPr>
          <w:rFonts w:ascii="Times New Roman" w:hAnsi="Times New Roman" w:cs="Times New Roman"/>
        </w:rPr>
        <w:t>Jinjarak</w:t>
      </w:r>
      <w:proofErr w:type="spellEnd"/>
      <w:r w:rsidRPr="00173569">
        <w:rPr>
          <w:rFonts w:ascii="Times New Roman" w:hAnsi="Times New Roman" w:cs="Times New Roman"/>
        </w:rPr>
        <w:t xml:space="preserve">, ERCD and Asian Development Bank, 1550 Metro Manila, Mandaluyong City, Philippines, </w:t>
      </w:r>
      <w:r w:rsidRPr="00173569">
        <w:rPr>
          <w:rStyle w:val="Hyperlink"/>
          <w:rFonts w:ascii="Times New Roman" w:hAnsi="Times New Roman" w:cs="Times New Roman"/>
        </w:rPr>
        <w:t>yothin.jinjarak@vuw.ac.nz</w:t>
      </w:r>
      <w:r w:rsidRPr="00173569">
        <w:rPr>
          <w:rStyle w:val="Hyperlink"/>
          <w:rFonts w:ascii="Times New Roman" w:hAnsi="Times New Roman" w:cs="Times New Roman"/>
          <w:color w:val="000000" w:themeColor="text1"/>
          <w:u w:val="none"/>
        </w:rPr>
        <w:t>.</w:t>
      </w:r>
    </w:p>
    <w:p w14:paraId="5C255772" w14:textId="38ED6C7D" w:rsidR="0083795D" w:rsidRPr="00173569" w:rsidRDefault="0083795D" w:rsidP="00CC51CC">
      <w:pPr>
        <w:pStyle w:val="NoSpacing"/>
        <w:spacing w:line="276" w:lineRule="auto"/>
        <w:rPr>
          <w:rFonts w:ascii="Times New Roman" w:hAnsi="Times New Roman" w:cs="Times New Roman"/>
          <w:color w:val="555555"/>
          <w:shd w:val="clear" w:color="auto" w:fill="FFFFFF"/>
        </w:rPr>
      </w:pPr>
      <w:r w:rsidRPr="00173569">
        <w:rPr>
          <w:rFonts w:ascii="Times New Roman" w:hAnsi="Times New Roman" w:cs="Times New Roman"/>
        </w:rPr>
        <w:t>Sameer</w:t>
      </w:r>
      <w:r w:rsidRPr="00173569">
        <w:rPr>
          <w:rStyle w:val="Hyperlink"/>
          <w:rFonts w:ascii="Times New Roman" w:hAnsi="Times New Roman" w:cs="Times New Roman"/>
          <w:u w:val="none"/>
          <w:shd w:val="clear" w:color="auto" w:fill="FFFFFF"/>
        </w:rPr>
        <w:t xml:space="preserve"> </w:t>
      </w:r>
      <w:r w:rsidRPr="00173569">
        <w:rPr>
          <w:rStyle w:val="Hyperlink"/>
          <w:rFonts w:ascii="Times New Roman" w:hAnsi="Times New Roman" w:cs="Times New Roman"/>
          <w:color w:val="000000" w:themeColor="text1"/>
          <w:u w:val="none"/>
          <w:shd w:val="clear" w:color="auto" w:fill="FFFFFF"/>
        </w:rPr>
        <w:t xml:space="preserve">Nair-Desai, School of Public Health, Brown University, 121 South Main Street, Providence, RI 02903, </w:t>
      </w:r>
      <w:r w:rsidRPr="00173569">
        <w:rPr>
          <w:rStyle w:val="Hyperlink"/>
          <w:rFonts w:ascii="Times New Roman" w:hAnsi="Times New Roman" w:cs="Times New Roman"/>
          <w:shd w:val="clear" w:color="auto" w:fill="FFFFFF"/>
        </w:rPr>
        <w:t>sameer_nair-desai@brown.edu</w:t>
      </w:r>
      <w:r w:rsidRPr="00173569">
        <w:rPr>
          <w:rStyle w:val="Hyperlink"/>
          <w:rFonts w:ascii="Times New Roman" w:hAnsi="Times New Roman" w:cs="Times New Roman"/>
          <w:color w:val="000000" w:themeColor="text1"/>
          <w:u w:val="none"/>
          <w:shd w:val="clear" w:color="auto" w:fill="FFFFFF"/>
        </w:rPr>
        <w:t>.</w:t>
      </w:r>
    </w:p>
    <w:p w14:paraId="4A97FDD5" w14:textId="7DD8CEE1" w:rsidR="0083795D" w:rsidRPr="00173569" w:rsidRDefault="0083795D" w:rsidP="00CC51CC">
      <w:pPr>
        <w:pStyle w:val="NoSpacing"/>
        <w:spacing w:line="276" w:lineRule="auto"/>
        <w:rPr>
          <w:rFonts w:ascii="Times New Roman" w:eastAsia="Times New Roman" w:hAnsi="Times New Roman" w:cs="Times New Roman"/>
          <w:b/>
          <w:bCs/>
          <w:color w:val="222222"/>
          <w:shd w:val="clear" w:color="auto" w:fill="FFFFFF"/>
        </w:rPr>
      </w:pPr>
      <w:proofErr w:type="spellStart"/>
      <w:r w:rsidRPr="00173569">
        <w:rPr>
          <w:rFonts w:ascii="Times New Roman" w:hAnsi="Times New Roman" w:cs="Times New Roman"/>
        </w:rPr>
        <w:t>Weining</w:t>
      </w:r>
      <w:proofErr w:type="spellEnd"/>
      <w:r w:rsidRPr="00173569">
        <w:rPr>
          <w:rFonts w:ascii="Times New Roman" w:hAnsi="Times New Roman" w:cs="Times New Roman"/>
        </w:rPr>
        <w:t xml:space="preserve"> Xin, International Monetary Fund, 700 19th St NW, Washington, DC 20431, </w:t>
      </w:r>
      <w:hyperlink r:id="rId3" w:history="1">
        <w:r w:rsidRPr="00173569">
          <w:rPr>
            <w:rStyle w:val="Hyperlink"/>
            <w:rFonts w:ascii="Times New Roman" w:hAnsi="Times New Roman" w:cs="Times New Roman"/>
          </w:rPr>
          <w:t>WXin@imf.org</w:t>
        </w:r>
      </w:hyperlink>
      <w:r w:rsidRPr="00173569">
        <w:rPr>
          <w:rStyle w:val="Hyperlink"/>
          <w:rFonts w:ascii="Times New Roman" w:hAnsi="Times New Roman" w:cs="Times New Roman"/>
          <w:color w:val="000000" w:themeColor="text1"/>
          <w:u w:val="none"/>
        </w:rPr>
        <w:t xml:space="preserve">. </w:t>
      </w:r>
    </w:p>
    <w:p w14:paraId="2E1F6892" w14:textId="7FBE3D29" w:rsidR="0083795D" w:rsidRPr="00173569" w:rsidRDefault="0083795D" w:rsidP="00CC51CC">
      <w:pPr>
        <w:pStyle w:val="NoSpacing"/>
        <w:spacing w:line="276" w:lineRule="auto"/>
        <w:rPr>
          <w:rFonts w:ascii="Times New Roman" w:eastAsia="Times New Roman" w:hAnsi="Times New Roman" w:cs="Times New Roman"/>
        </w:rPr>
      </w:pPr>
      <w:r w:rsidRPr="00173569">
        <w:rPr>
          <w:rFonts w:ascii="Times New Roman" w:eastAsia="Times New Roman" w:hAnsi="Times New Roman" w:cs="Times New Roman"/>
          <w:b/>
          <w:bCs/>
          <w:color w:val="222222"/>
          <w:shd w:val="clear" w:color="auto" w:fill="FFFFFF"/>
        </w:rPr>
        <w:t>Note:</w:t>
      </w:r>
      <w:r w:rsidRPr="00173569">
        <w:rPr>
          <w:rFonts w:ascii="Times New Roman" w:eastAsia="Times New Roman" w:hAnsi="Times New Roman" w:cs="Times New Roman"/>
          <w:color w:val="222222"/>
          <w:shd w:val="clear" w:color="auto" w:fill="FFFFFF"/>
        </w:rPr>
        <w:t xml:space="preserve"> </w:t>
      </w:r>
      <w:r w:rsidRPr="00C82A25">
        <w:rPr>
          <w:rFonts w:ascii="Times New Roman" w:eastAsia="Times New Roman" w:hAnsi="Times New Roman" w:cs="Times New Roman"/>
          <w:b/>
          <w:color w:val="222222"/>
          <w:shd w:val="clear" w:color="auto" w:fill="FFFFFF"/>
        </w:rPr>
        <w:t xml:space="preserve">We are </w:t>
      </w:r>
      <w:r w:rsidRPr="00474B3B">
        <w:rPr>
          <w:rFonts w:ascii="Times New Roman" w:eastAsia="Times New Roman" w:hAnsi="Times New Roman" w:cs="Times New Roman"/>
          <w:b/>
          <w:color w:val="222222"/>
          <w:shd w:val="clear" w:color="auto" w:fill="FFFFFF"/>
        </w:rPr>
        <w:t>grateful</w:t>
      </w:r>
      <w:r w:rsidRPr="00C82A25">
        <w:rPr>
          <w:rFonts w:ascii="Times New Roman" w:eastAsia="Times New Roman" w:hAnsi="Times New Roman" w:cs="Times New Roman"/>
          <w:b/>
          <w:color w:val="222222"/>
          <w:shd w:val="clear" w:color="auto" w:fill="FFFFFF"/>
        </w:rPr>
        <w:t xml:space="preserve"> for the detailed comments of </w:t>
      </w:r>
      <w:r w:rsidRPr="00474B3B">
        <w:rPr>
          <w:rFonts w:ascii="Times New Roman" w:eastAsia="Times New Roman" w:hAnsi="Times New Roman" w:cs="Times New Roman"/>
          <w:b/>
          <w:color w:val="222222"/>
          <w:shd w:val="clear" w:color="auto" w:fill="FFFFFF"/>
        </w:rPr>
        <w:t>anonymous</w:t>
      </w:r>
      <w:r w:rsidRPr="00C82A25">
        <w:rPr>
          <w:rFonts w:ascii="Times New Roman" w:eastAsia="Times New Roman" w:hAnsi="Times New Roman" w:cs="Times New Roman"/>
          <w:b/>
          <w:color w:val="222222"/>
          <w:shd w:val="clear" w:color="auto" w:fill="FFFFFF"/>
        </w:rPr>
        <w:t xml:space="preserve"> referees and the Editor.</w:t>
      </w:r>
      <w:r>
        <w:rPr>
          <w:rFonts w:ascii="Times New Roman" w:eastAsia="Times New Roman" w:hAnsi="Times New Roman" w:cs="Times New Roman"/>
          <w:color w:val="222222"/>
          <w:shd w:val="clear" w:color="auto" w:fill="FFFFFF"/>
        </w:rPr>
        <w:t xml:space="preserve">  </w:t>
      </w:r>
      <w:r w:rsidRPr="00173569">
        <w:rPr>
          <w:rFonts w:ascii="Times New Roman" w:eastAsia="Times New Roman" w:hAnsi="Times New Roman" w:cs="Times New Roman"/>
          <w:color w:val="222222"/>
          <w:shd w:val="clear" w:color="auto" w:fill="FFFFFF"/>
        </w:rPr>
        <w:t>The views expressed in this paper are those of the authors and do not necessarily represent the views of the IMF, its Executive Board, and IMF management, nor those of the Brown School of Public Health.</w:t>
      </w:r>
    </w:p>
    <w:p w14:paraId="1F9888E8" w14:textId="500F9A33" w:rsidR="0083795D" w:rsidRPr="00173569" w:rsidRDefault="0083795D" w:rsidP="00CC51CC">
      <w:pPr>
        <w:pStyle w:val="NoSpacing"/>
        <w:spacing w:line="276" w:lineRule="auto"/>
        <w:rPr>
          <w:rStyle w:val="Hyperlink"/>
          <w:rFonts w:ascii="Times New Roman" w:hAnsi="Times New Roman" w:cs="Times New Roman"/>
          <w:color w:val="000000" w:themeColor="text1"/>
          <w:u w:val="none"/>
        </w:rPr>
      </w:pPr>
      <w:r w:rsidRPr="00173569">
        <w:rPr>
          <w:rStyle w:val="Hyperlink"/>
          <w:rFonts w:ascii="Times New Roman" w:hAnsi="Times New Roman" w:cs="Times New Roman"/>
          <w:b/>
          <w:bCs/>
          <w:color w:val="000000" w:themeColor="text1"/>
          <w:u w:val="none"/>
        </w:rPr>
        <w:t xml:space="preserve">Data Availability: </w:t>
      </w:r>
      <w:r w:rsidRPr="00173569">
        <w:rPr>
          <w:rStyle w:val="Hyperlink"/>
          <w:rFonts w:ascii="Times New Roman" w:hAnsi="Times New Roman" w:cs="Times New Roman"/>
          <w:color w:val="000000" w:themeColor="text1"/>
          <w:u w:val="none"/>
        </w:rPr>
        <w:t xml:space="preserve">Interested readers can find a GitHub repository with the paper’s raw data, source code, and analysis at: </w:t>
      </w:r>
      <w:hyperlink r:id="rId4" w:history="1">
        <w:r w:rsidRPr="00173569">
          <w:rPr>
            <w:rStyle w:val="Hyperlink"/>
            <w:rFonts w:ascii="Times New Roman" w:hAnsi="Times New Roman" w:cs="Times New Roman"/>
          </w:rPr>
          <w:t>https://github.com/snairdesai/COVIDMortalities</w:t>
        </w:r>
      </w:hyperlink>
      <w:r w:rsidRPr="00173569">
        <w:rPr>
          <w:rStyle w:val="Hyperlink"/>
          <w:rFonts w:ascii="Times New Roman" w:hAnsi="Times New Roman" w:cs="Times New Roman"/>
          <w:color w:val="000000" w:themeColor="text1"/>
          <w:u w:val="none"/>
        </w:rPr>
        <w:t>.</w:t>
      </w:r>
    </w:p>
    <w:p w14:paraId="2C7CBD8E" w14:textId="77777777" w:rsidR="0083795D" w:rsidRPr="007B7457" w:rsidRDefault="0083795D" w:rsidP="000038CE">
      <w:pPr>
        <w:spacing w:line="240" w:lineRule="auto"/>
        <w:rPr>
          <w:rFonts w:ascii="Times New Roman" w:hAnsi="Times New Roman" w:cs="Times New Roman"/>
        </w:rPr>
      </w:pPr>
    </w:p>
    <w:p w14:paraId="39C8F39D" w14:textId="77777777" w:rsidR="0083795D" w:rsidRPr="00E97AF5" w:rsidRDefault="0083795D" w:rsidP="000038CE">
      <w:pPr>
        <w:spacing w:line="240" w:lineRule="auto"/>
        <w:rPr>
          <w:rFonts w:ascii="Times New Roman" w:eastAsia="Times New Roman" w:hAnsi="Times New Roman" w:cs="Times New Roman"/>
          <w:color w:val="222222"/>
          <w:sz w:val="24"/>
          <w:szCs w:val="24"/>
        </w:rPr>
      </w:pPr>
    </w:p>
    <w:p w14:paraId="6D36A4E0" w14:textId="77777777" w:rsidR="0083795D" w:rsidRDefault="0083795D" w:rsidP="000038CE">
      <w:pPr>
        <w:pStyle w:val="FootnoteText"/>
      </w:pPr>
    </w:p>
  </w:footnote>
  <w:footnote w:id="2">
    <w:p w14:paraId="56ECC364" w14:textId="5281EE87" w:rsidR="0083795D" w:rsidRPr="00C82A25" w:rsidRDefault="0083795D">
      <w:pPr>
        <w:pStyle w:val="FootnoteText"/>
        <w:rPr>
          <w:rFonts w:ascii="Times New Roman" w:hAnsi="Times New Roman" w:cs="Times New Roman"/>
          <w:sz w:val="22"/>
          <w:szCs w:val="22"/>
        </w:rPr>
      </w:pPr>
      <w:r>
        <w:rPr>
          <w:rStyle w:val="FootnoteReference"/>
        </w:rPr>
        <w:footnoteRef/>
      </w:r>
      <w:r>
        <w:t xml:space="preserve"> </w:t>
      </w:r>
      <w:r w:rsidRPr="00C82A25">
        <w:rPr>
          <w:rFonts w:ascii="Times New Roman" w:hAnsi="Times New Roman" w:cs="Times New Roman"/>
          <w:sz w:val="22"/>
          <w:szCs w:val="22"/>
        </w:rPr>
        <w:t>For OWID data, see: https://ourworldindata.org/grapher/cumulative-covid-deaths-region.</w:t>
      </w:r>
    </w:p>
  </w:footnote>
  <w:footnote w:id="3">
    <w:p w14:paraId="33A49795" w14:textId="40560ABE" w:rsidR="0083795D" w:rsidRPr="00C82A25" w:rsidRDefault="0083795D" w:rsidP="002A0FC8">
      <w:pPr>
        <w:pStyle w:val="FootnoteText"/>
        <w:rPr>
          <w:rStyle w:val="FootnoteReference"/>
          <w:rFonts w:ascii="Times New Roman" w:hAnsi="Times New Roman" w:cs="Times New Roman"/>
          <w:sz w:val="22"/>
          <w:szCs w:val="22"/>
        </w:rPr>
      </w:pPr>
      <w:r w:rsidRPr="00C82A25">
        <w:rPr>
          <w:rStyle w:val="FootnoteReference"/>
          <w:rFonts w:ascii="Times New Roman" w:hAnsi="Times New Roman" w:cs="Times New Roman"/>
          <w:sz w:val="22"/>
          <w:szCs w:val="22"/>
        </w:rPr>
        <w:footnoteRef/>
      </w:r>
      <w:r w:rsidRPr="00C82A25">
        <w:rPr>
          <w:rFonts w:ascii="Times New Roman" w:hAnsi="Times New Roman" w:cs="Times New Roman"/>
          <w:sz w:val="22"/>
          <w:szCs w:val="22"/>
        </w:rPr>
        <w:t xml:space="preserve"> See </w:t>
      </w:r>
      <w:proofErr w:type="spellStart"/>
      <w:r w:rsidRPr="00C82A25">
        <w:rPr>
          <w:rFonts w:ascii="Times New Roman" w:hAnsi="Times New Roman" w:cs="Times New Roman"/>
          <w:color w:val="222222"/>
          <w:sz w:val="22"/>
          <w:szCs w:val="22"/>
          <w:shd w:val="clear" w:color="auto" w:fill="FFFFFF"/>
        </w:rPr>
        <w:t>Karlinsky</w:t>
      </w:r>
      <w:proofErr w:type="spellEnd"/>
      <w:r w:rsidRPr="00C82A25">
        <w:rPr>
          <w:rFonts w:ascii="Times New Roman" w:hAnsi="Times New Roman" w:cs="Times New Roman"/>
          <w:sz w:val="22"/>
          <w:szCs w:val="22"/>
        </w:rPr>
        <w:t xml:space="preserve"> and Kobak (2021), the Economist article “</w:t>
      </w:r>
      <w:hyperlink r:id="rId5" w:history="1">
        <w:r w:rsidRPr="00C82A25">
          <w:rPr>
            <w:rStyle w:val="Hyperlink"/>
            <w:rFonts w:ascii="Times New Roman" w:hAnsi="Times New Roman" w:cs="Times New Roman"/>
            <w:color w:val="auto"/>
            <w:sz w:val="22"/>
            <w:szCs w:val="22"/>
            <w:u w:val="none"/>
          </w:rPr>
          <w:t>There have been 7m-13m excess deaths worldwide during the pandemic</w:t>
        </w:r>
      </w:hyperlink>
      <w:r w:rsidRPr="00C82A25">
        <w:rPr>
          <w:rStyle w:val="Hyperlink"/>
          <w:rFonts w:ascii="Times New Roman" w:hAnsi="Times New Roman" w:cs="Times New Roman"/>
          <w:color w:val="auto"/>
          <w:sz w:val="22"/>
          <w:szCs w:val="22"/>
          <w:u w:val="none"/>
        </w:rPr>
        <w:t>.</w:t>
      </w:r>
      <w:r w:rsidRPr="00C82A25">
        <w:rPr>
          <w:rFonts w:ascii="Times New Roman" w:hAnsi="Times New Roman" w:cs="Times New Roman"/>
          <w:sz w:val="22"/>
          <w:szCs w:val="22"/>
        </w:rPr>
        <w:t xml:space="preserve">”  </w:t>
      </w:r>
      <w:r w:rsidRPr="00C82A25">
        <w:rPr>
          <w:rStyle w:val="Strong"/>
          <w:rFonts w:ascii="Times New Roman" w:hAnsi="Times New Roman" w:cs="Times New Roman"/>
          <w:b w:val="0"/>
          <w:color w:val="000000"/>
          <w:sz w:val="22"/>
          <w:szCs w:val="22"/>
          <w:bdr w:val="none" w:sz="0" w:space="0" w:color="auto" w:frame="1"/>
        </w:rPr>
        <w:t>Mulligan (2021)</w:t>
      </w:r>
      <w:r w:rsidRPr="00C82A25">
        <w:rPr>
          <w:rStyle w:val="Strong"/>
          <w:rFonts w:ascii="Times New Roman" w:hAnsi="Times New Roman" w:cs="Times New Roman"/>
          <w:color w:val="000000"/>
          <w:sz w:val="22"/>
          <w:szCs w:val="22"/>
          <w:bdr w:val="none" w:sz="0" w:space="0" w:color="auto" w:frame="1"/>
        </w:rPr>
        <w:t xml:space="preserve"> </w:t>
      </w:r>
      <w:r w:rsidRPr="00C82A25">
        <w:rPr>
          <w:rFonts w:ascii="Times New Roman" w:hAnsi="Times New Roman" w:cs="Times New Roman"/>
          <w:iCs/>
          <w:color w:val="000000"/>
          <w:sz w:val="22"/>
          <w:szCs w:val="22"/>
        </w:rPr>
        <w:t>concluded that in the US, excess mortality is closely related to deaths of despair -- social isolation may be part of the mechanism that turns a pandemic into a wave of deaths of despair</w:t>
      </w:r>
      <w:r w:rsidRPr="00C82A25">
        <w:rPr>
          <w:rFonts w:ascii="Times New Roman" w:hAnsi="Times New Roman" w:cs="Times New Roman"/>
          <w:i/>
          <w:iCs/>
          <w:color w:val="000000"/>
          <w:sz w:val="22"/>
          <w:szCs w:val="22"/>
        </w:rPr>
        <w:t>. </w:t>
      </w:r>
    </w:p>
  </w:footnote>
  <w:footnote w:id="4">
    <w:p w14:paraId="08D4CD6E" w14:textId="219C33B4" w:rsidR="0083795D" w:rsidRPr="00C82A25" w:rsidRDefault="0083795D" w:rsidP="00C82A25">
      <w:pPr>
        <w:pStyle w:val="NoSpacing"/>
        <w:rPr>
          <w:rFonts w:ascii="Times New Roman" w:hAnsi="Times New Roman" w:cs="Times New Roman"/>
        </w:rPr>
      </w:pPr>
      <w:r w:rsidRPr="00C82A25">
        <w:rPr>
          <w:rStyle w:val="FootnoteReference"/>
          <w:rFonts w:ascii="Times New Roman" w:hAnsi="Times New Roman" w:cs="Times New Roman"/>
        </w:rPr>
        <w:footnoteRef/>
      </w:r>
      <w:r w:rsidRPr="00C82A25">
        <w:rPr>
          <w:rFonts w:ascii="Times New Roman" w:hAnsi="Times New Roman" w:cs="Times New Roman"/>
        </w:rPr>
        <w:t xml:space="preserve"> Arguably,</w:t>
      </w:r>
      <w:r w:rsidRPr="00C82A25">
        <w:rPr>
          <w:rFonts w:ascii="Times New Roman" w:hAnsi="Times New Roman" w:cs="Times New Roman"/>
          <w:color w:val="222222"/>
          <w:shd w:val="clear" w:color="auto" w:fill="FFFFFF"/>
        </w:rPr>
        <w:t xml:space="preserve"> ‘strong-men’ regimes with limited voice and accountability may prefer to under-report official </w:t>
      </w:r>
      <w:proofErr w:type="spellStart"/>
      <w:r w:rsidRPr="00C82A25">
        <w:rPr>
          <w:rFonts w:ascii="Times New Roman" w:hAnsi="Times New Roman" w:cs="Times New Roman"/>
          <w:color w:val="222222"/>
          <w:shd w:val="clear" w:color="auto" w:fill="FFFFFF"/>
        </w:rPr>
        <w:t>Covid</w:t>
      </w:r>
      <w:proofErr w:type="spellEnd"/>
      <w:r w:rsidRPr="00C82A25">
        <w:rPr>
          <w:rFonts w:ascii="Times New Roman" w:hAnsi="Times New Roman" w:cs="Times New Roman"/>
          <w:color w:val="222222"/>
          <w:shd w:val="clear" w:color="auto" w:fill="FFFFFF"/>
        </w:rPr>
        <w:t xml:space="preserve"> mortality. See E Silva, Lena </w:t>
      </w:r>
      <w:proofErr w:type="spellStart"/>
      <w:r w:rsidRPr="00C82A25">
        <w:rPr>
          <w:rFonts w:ascii="Times New Roman" w:hAnsi="Times New Roman" w:cs="Times New Roman"/>
          <w:color w:val="222222"/>
          <w:shd w:val="clear" w:color="auto" w:fill="FFFFFF"/>
        </w:rPr>
        <w:t>Veiga</w:t>
      </w:r>
      <w:proofErr w:type="spellEnd"/>
      <w:r w:rsidRPr="00C82A25">
        <w:rPr>
          <w:rFonts w:ascii="Times New Roman" w:hAnsi="Times New Roman" w:cs="Times New Roman"/>
          <w:color w:val="222222"/>
          <w:shd w:val="clear" w:color="auto" w:fill="FFFFFF"/>
        </w:rPr>
        <w:t xml:space="preserve">, et al. (2020) paper on Brazil’s likely intentional underreporting of official </w:t>
      </w:r>
      <w:proofErr w:type="spellStart"/>
      <w:r w:rsidRPr="00C82A25">
        <w:rPr>
          <w:rFonts w:ascii="Times New Roman" w:hAnsi="Times New Roman" w:cs="Times New Roman"/>
          <w:color w:val="222222"/>
          <w:shd w:val="clear" w:color="auto" w:fill="FFFFFF"/>
        </w:rPr>
        <w:t>Covid</w:t>
      </w:r>
      <w:proofErr w:type="spellEnd"/>
      <w:r w:rsidRPr="00C82A25">
        <w:rPr>
          <w:rFonts w:ascii="Times New Roman" w:hAnsi="Times New Roman" w:cs="Times New Roman"/>
          <w:color w:val="222222"/>
          <w:shd w:val="clear" w:color="auto" w:fill="FFFFFF"/>
        </w:rPr>
        <w:t xml:space="preserve"> mortality during 2020.</w:t>
      </w:r>
    </w:p>
  </w:footnote>
  <w:footnote w:id="5">
    <w:p w14:paraId="77089578" w14:textId="77777777" w:rsidR="0083795D" w:rsidRPr="00C82A25" w:rsidRDefault="0083795D" w:rsidP="00C82A25">
      <w:pPr>
        <w:pStyle w:val="NoSpacing"/>
        <w:rPr>
          <w:rFonts w:ascii="Times New Roman" w:hAnsi="Times New Roman" w:cs="Times New Roman"/>
          <w:color w:val="0D0D0D"/>
        </w:rPr>
      </w:pPr>
      <w:r w:rsidRPr="00C82A25">
        <w:rPr>
          <w:rStyle w:val="FootnoteReference"/>
          <w:rFonts w:ascii="Times New Roman" w:hAnsi="Times New Roman" w:cs="Times New Roman"/>
        </w:rPr>
        <w:footnoteRef/>
      </w:r>
      <w:r w:rsidRPr="00C82A25">
        <w:rPr>
          <w:rFonts w:ascii="Times New Roman" w:hAnsi="Times New Roman" w:cs="Times New Roman"/>
        </w:rPr>
        <w:t xml:space="preserve"> </w:t>
      </w:r>
      <w:r w:rsidRPr="00C82A25">
        <w:rPr>
          <w:rFonts w:ascii="Times New Roman" w:hAnsi="Times New Roman" w:cs="Times New Roman"/>
          <w:color w:val="0D0D0D"/>
        </w:rPr>
        <w:t>Among the world’s 156 countries with at least 1 million people data on total mortality was available for just 84. To fill in these voids in estimation of excess-mortality, </w:t>
      </w:r>
      <w:r w:rsidRPr="00C82A25">
        <w:rPr>
          <w:rFonts w:ascii="Times New Roman" w:hAnsi="Times New Roman" w:cs="Times New Roman"/>
          <w:i/>
          <w:iCs/>
          <w:color w:val="0D0D0D"/>
          <w:bdr w:val="none" w:sz="0" w:space="0" w:color="auto" w:frame="1"/>
        </w:rPr>
        <w:t>The Economist</w:t>
      </w:r>
      <w:r w:rsidRPr="00C82A25">
        <w:rPr>
          <w:rFonts w:ascii="Times New Roman" w:hAnsi="Times New Roman" w:cs="Times New Roman"/>
          <w:color w:val="0D0D0D"/>
        </w:rPr>
        <w:t> has built a machine-learning model, which estimates excess deaths for every country on every day since the pandemic began. It is based both on official excess-mortality data and on more than 100 other statistical indicators. The final figures use governments’ official excess-death numbers whenever and wherever they are available, and the model’s estimates in all other cases.</w:t>
      </w:r>
    </w:p>
    <w:p w14:paraId="1F5B15FB" w14:textId="77777777" w:rsidR="0083795D" w:rsidRDefault="0083795D" w:rsidP="001D47A9">
      <w:pPr>
        <w:pStyle w:val="FootnoteText"/>
      </w:pPr>
    </w:p>
  </w:footnote>
  <w:footnote w:id="6">
    <w:p w14:paraId="5C116432" w14:textId="418282DA" w:rsidR="0083795D" w:rsidRDefault="0083795D">
      <w:pPr>
        <w:pStyle w:val="FootnoteText"/>
      </w:pPr>
      <w:r>
        <w:rPr>
          <w:rStyle w:val="FootnoteReference"/>
        </w:rPr>
        <w:footnoteRef/>
      </w:r>
      <w:r>
        <w:t xml:space="preserve"> </w:t>
      </w:r>
      <w:r w:rsidRPr="00C82A25">
        <w:rPr>
          <w:rFonts w:ascii="Times New Roman" w:hAnsi="Times New Roman" w:cs="Times New Roman"/>
          <w:sz w:val="22"/>
          <w:szCs w:val="22"/>
        </w:rPr>
        <w:t xml:space="preserve">See </w:t>
      </w:r>
      <w:proofErr w:type="spellStart"/>
      <w:r w:rsidRPr="00C82A25">
        <w:rPr>
          <w:rFonts w:ascii="Times New Roman" w:hAnsi="Times New Roman" w:cs="Times New Roman"/>
          <w:sz w:val="22"/>
          <w:szCs w:val="22"/>
        </w:rPr>
        <w:t>Vandaros</w:t>
      </w:r>
      <w:proofErr w:type="spellEnd"/>
      <w:r w:rsidRPr="00C82A25">
        <w:rPr>
          <w:rFonts w:ascii="Times New Roman" w:hAnsi="Times New Roman" w:cs="Times New Roman"/>
          <w:sz w:val="22"/>
          <w:szCs w:val="22"/>
        </w:rPr>
        <w:t xml:space="preserve"> 2020: https://www.sciencedirect.com/science/article/pii/S0277953620303208.</w:t>
      </w:r>
    </w:p>
  </w:footnote>
  <w:footnote w:id="7">
    <w:p w14:paraId="3E5836E8" w14:textId="232F282E" w:rsidR="0083795D" w:rsidRDefault="0083795D">
      <w:pPr>
        <w:pStyle w:val="FootnoteText"/>
      </w:pPr>
      <w:r>
        <w:rPr>
          <w:rStyle w:val="FootnoteReference"/>
        </w:rPr>
        <w:footnoteRef/>
      </w:r>
      <w:r>
        <w:t xml:space="preserve"> </w:t>
      </w:r>
      <w:r w:rsidRPr="00C82A25">
        <w:rPr>
          <w:rFonts w:ascii="Times New Roman" w:hAnsi="Times New Roman" w:cs="Times New Roman"/>
          <w:sz w:val="22"/>
          <w:szCs w:val="22"/>
        </w:rPr>
        <w:t xml:space="preserve">See </w:t>
      </w:r>
      <w:proofErr w:type="spellStart"/>
      <w:r w:rsidRPr="00C82A25">
        <w:rPr>
          <w:rFonts w:ascii="Times New Roman" w:hAnsi="Times New Roman" w:cs="Times New Roman"/>
          <w:sz w:val="22"/>
          <w:szCs w:val="22"/>
        </w:rPr>
        <w:t>Gibertoni</w:t>
      </w:r>
      <w:proofErr w:type="spellEnd"/>
      <w:r w:rsidRPr="00C82A25">
        <w:rPr>
          <w:rFonts w:ascii="Times New Roman" w:hAnsi="Times New Roman" w:cs="Times New Roman"/>
          <w:sz w:val="22"/>
          <w:szCs w:val="22"/>
        </w:rPr>
        <w:t xml:space="preserve"> et. al, 2021: https://jamanetwork.com/journals/jamanetworkopen/article-abstract/2781968.</w:t>
      </w:r>
    </w:p>
  </w:footnote>
  <w:footnote w:id="8">
    <w:p w14:paraId="420863AE" w14:textId="5AE347B6" w:rsidR="0083795D" w:rsidRPr="00C82A25" w:rsidRDefault="0083795D">
      <w:pPr>
        <w:pStyle w:val="FootnoteText"/>
        <w:rPr>
          <w:rFonts w:ascii="Times New Roman" w:hAnsi="Times New Roman" w:cs="Times New Roman"/>
          <w:sz w:val="22"/>
          <w:szCs w:val="22"/>
        </w:rPr>
      </w:pPr>
      <w:r w:rsidRPr="00C82A25">
        <w:rPr>
          <w:rStyle w:val="FootnoteReference"/>
          <w:rFonts w:ascii="Times New Roman" w:hAnsi="Times New Roman" w:cs="Times New Roman"/>
          <w:sz w:val="22"/>
          <w:szCs w:val="22"/>
        </w:rPr>
        <w:footnoteRef/>
      </w:r>
      <w:r w:rsidRPr="00C82A25">
        <w:rPr>
          <w:rFonts w:ascii="Times New Roman" w:hAnsi="Times New Roman" w:cs="Times New Roman"/>
          <w:sz w:val="22"/>
          <w:szCs w:val="22"/>
        </w:rPr>
        <w:t xml:space="preserve"> For a complete description of the variables used in these analyses, along with ranges and data sources, see: https://github.com/snairdesai/COVIDMortalities/blob/main/Output%20Data/VariableDescription.xlsx.</w:t>
      </w:r>
    </w:p>
  </w:footnote>
  <w:footnote w:id="9">
    <w:p w14:paraId="19B4DC49" w14:textId="14E7D130" w:rsidR="0083795D" w:rsidRDefault="0083795D">
      <w:pPr>
        <w:pStyle w:val="FootnoteText"/>
      </w:pPr>
      <w:r w:rsidRPr="002C6241">
        <w:rPr>
          <w:rStyle w:val="FootnoteReference"/>
          <w:rFonts w:ascii="Times New Roman" w:hAnsi="Times New Roman" w:cs="Times New Roman"/>
        </w:rPr>
        <w:footnoteRef/>
      </w:r>
      <w:r>
        <w:t xml:space="preserve"> </w:t>
      </w:r>
      <w:r w:rsidRPr="007B7457">
        <w:rPr>
          <w:rFonts w:ascii="Times New Roman" w:hAnsi="Times New Roman" w:cs="Times New Roman"/>
          <w:sz w:val="22"/>
          <w:szCs w:val="22"/>
        </w:rPr>
        <w:t xml:space="preserve">Notably, this finding may </w:t>
      </w:r>
      <w:r>
        <w:rPr>
          <w:rFonts w:ascii="Times New Roman" w:hAnsi="Times New Roman" w:cs="Times New Roman"/>
          <w:sz w:val="22"/>
          <w:szCs w:val="22"/>
        </w:rPr>
        <w:t xml:space="preserve">also </w:t>
      </w:r>
      <w:r w:rsidRPr="007B7457">
        <w:rPr>
          <w:rFonts w:ascii="Times New Roman" w:hAnsi="Times New Roman" w:cs="Times New Roman"/>
          <w:sz w:val="22"/>
          <w:szCs w:val="22"/>
        </w:rPr>
        <w:t>reflect the scarcity of quality vaccinations, and the resultant rationing.</w:t>
      </w:r>
    </w:p>
  </w:footnote>
  <w:footnote w:id="10">
    <w:p w14:paraId="76A85741" w14:textId="399D7CC2" w:rsidR="0083795D" w:rsidRPr="00C82A25" w:rsidRDefault="0083795D">
      <w:pPr>
        <w:pStyle w:val="FootnoteText"/>
        <w:rPr>
          <w:rFonts w:ascii="Times New Roman" w:hAnsi="Times New Roman" w:cs="Times New Roman"/>
          <w:color w:val="222222"/>
          <w:sz w:val="22"/>
          <w:szCs w:val="22"/>
          <w:shd w:val="clear" w:color="auto" w:fill="FFFFFF"/>
        </w:rPr>
      </w:pPr>
      <w:r w:rsidRPr="002C6241">
        <w:rPr>
          <w:rStyle w:val="FootnoteReference"/>
          <w:rFonts w:ascii="Times New Roman" w:hAnsi="Times New Roman" w:cs="Times New Roman"/>
        </w:rPr>
        <w:footnoteRef/>
      </w:r>
      <w:r>
        <w:t xml:space="preserve"> </w:t>
      </w:r>
      <w:bookmarkStart w:id="2" w:name="_Hlk106566595"/>
      <w:r w:rsidRPr="00C82A25">
        <w:rPr>
          <w:rFonts w:ascii="Times New Roman" w:hAnsi="Times New Roman" w:cs="Times New Roman"/>
          <w:sz w:val="22"/>
          <w:szCs w:val="22"/>
        </w:rPr>
        <w:t xml:space="preserve">Note that </w:t>
      </w:r>
      <w:r w:rsidRPr="00C82A25">
        <w:rPr>
          <w:rFonts w:ascii="Times New Roman" w:hAnsi="Times New Roman" w:cs="Times New Roman"/>
          <w:bCs/>
          <w:sz w:val="22"/>
          <w:szCs w:val="22"/>
        </w:rPr>
        <w:t xml:space="preserve">Table 4 also demonstrates that the mortality ranges across all countries of </w:t>
      </w:r>
      <w:r w:rsidRPr="00F85624">
        <w:rPr>
          <w:rFonts w:ascii="Times New Roman" w:hAnsi="Times New Roman" w:cs="Times New Roman"/>
          <w:bCs/>
          <w:sz w:val="22"/>
          <w:szCs w:val="22"/>
        </w:rPr>
        <w:t xml:space="preserve">excess mortality </w:t>
      </w:r>
      <w:r w:rsidRPr="00C82A25">
        <w:rPr>
          <w:rFonts w:ascii="Times New Roman" w:hAnsi="Times New Roman" w:cs="Times New Roman"/>
          <w:bCs/>
          <w:sz w:val="22"/>
          <w:szCs w:val="22"/>
        </w:rPr>
        <w:t>exceed t</w:t>
      </w:r>
      <w:r>
        <w:rPr>
          <w:rFonts w:ascii="Times New Roman" w:hAnsi="Times New Roman" w:cs="Times New Roman"/>
          <w:bCs/>
          <w:sz w:val="22"/>
          <w:szCs w:val="22"/>
        </w:rPr>
        <w:t xml:space="preserve">hose </w:t>
      </w:r>
      <w:r w:rsidRPr="00C82A25">
        <w:rPr>
          <w:rFonts w:ascii="Times New Roman" w:hAnsi="Times New Roman" w:cs="Times New Roman"/>
          <w:bCs/>
          <w:sz w:val="22"/>
          <w:szCs w:val="22"/>
        </w:rPr>
        <w:t xml:space="preserve">of reported Coving mortality by about 50%: </w:t>
      </w:r>
      <w:r w:rsidRPr="00C82A25">
        <w:rPr>
          <w:rFonts w:ascii="Times New Roman" w:hAnsi="Times New Roman" w:cs="Times New Roman"/>
          <w:bCs/>
        </w:rPr>
        <w:t xml:space="preserve">the </w:t>
      </w:r>
      <w:r w:rsidRPr="00C82A25">
        <w:rPr>
          <w:rFonts w:ascii="Times New Roman" w:hAnsi="Times New Roman" w:cs="Times New Roman"/>
          <w:bCs/>
          <w:sz w:val="22"/>
          <w:szCs w:val="22"/>
        </w:rPr>
        <w:t>excess mortality net range is 9</w:t>
      </w:r>
      <w:r w:rsidRPr="00C82A25">
        <w:rPr>
          <w:rFonts w:ascii="Times New Roman" w:hAnsi="Times New Roman" w:cs="Times New Roman"/>
          <w:bCs/>
        </w:rPr>
        <w:t>,</w:t>
      </w:r>
      <w:r w:rsidRPr="00C82A25">
        <w:rPr>
          <w:rFonts w:ascii="Times New Roman" w:hAnsi="Times New Roman" w:cs="Times New Roman"/>
          <w:bCs/>
          <w:sz w:val="22"/>
          <w:szCs w:val="22"/>
        </w:rPr>
        <w:t xml:space="preserve">439 per million </w:t>
      </w:r>
      <w:r w:rsidRPr="00C82A25">
        <w:rPr>
          <w:rFonts w:ascii="Times New Roman" w:hAnsi="Times New Roman" w:cs="Times New Roman"/>
          <w:bCs/>
        </w:rPr>
        <w:t xml:space="preserve">deaths </w:t>
      </w:r>
      <w:r w:rsidRPr="00C82A25">
        <w:rPr>
          <w:rFonts w:ascii="Times New Roman" w:hAnsi="Times New Roman" w:cs="Times New Roman"/>
          <w:bCs/>
          <w:sz w:val="22"/>
          <w:szCs w:val="22"/>
        </w:rPr>
        <w:t>[</w:t>
      </w:r>
      <w:r w:rsidRPr="00C82A25">
        <w:rPr>
          <w:rFonts w:ascii="Times New Roman" w:hAnsi="Times New Roman" w:cs="Times New Roman"/>
          <w:bCs/>
        </w:rPr>
        <w:t>-600</w:t>
      </w:r>
      <w:r w:rsidRPr="00C82A25">
        <w:rPr>
          <w:rFonts w:ascii="Times New Roman" w:hAnsi="Times New Roman" w:cs="Times New Roman"/>
          <w:bCs/>
          <w:sz w:val="22"/>
          <w:szCs w:val="22"/>
        </w:rPr>
        <w:t xml:space="preserve"> – </w:t>
      </w:r>
      <w:r w:rsidRPr="00C82A25">
        <w:rPr>
          <w:rFonts w:ascii="Times New Roman" w:hAnsi="Times New Roman" w:cs="Times New Roman"/>
          <w:bCs/>
        </w:rPr>
        <w:t>8,839</w:t>
      </w:r>
      <w:r w:rsidRPr="00C82A25">
        <w:rPr>
          <w:rFonts w:ascii="Times New Roman" w:hAnsi="Times New Roman" w:cs="Times New Roman"/>
          <w:bCs/>
          <w:sz w:val="22"/>
          <w:szCs w:val="22"/>
        </w:rPr>
        <w:t xml:space="preserve">] versus </w:t>
      </w:r>
      <w:r w:rsidRPr="00C82A25">
        <w:rPr>
          <w:rFonts w:ascii="Times New Roman" w:hAnsi="Times New Roman" w:cs="Times New Roman"/>
          <w:bCs/>
        </w:rPr>
        <w:t xml:space="preserve">the </w:t>
      </w:r>
      <w:r w:rsidRPr="00C82A25">
        <w:rPr>
          <w:rFonts w:ascii="Times New Roman" w:hAnsi="Times New Roman" w:cs="Times New Roman"/>
          <w:bCs/>
          <w:sz w:val="22"/>
          <w:szCs w:val="22"/>
        </w:rPr>
        <w:t xml:space="preserve">reported </w:t>
      </w:r>
      <w:proofErr w:type="spellStart"/>
      <w:r w:rsidRPr="00C82A25">
        <w:rPr>
          <w:rFonts w:ascii="Times New Roman" w:hAnsi="Times New Roman" w:cs="Times New Roman"/>
          <w:bCs/>
          <w:sz w:val="22"/>
          <w:szCs w:val="22"/>
        </w:rPr>
        <w:t>Covid</w:t>
      </w:r>
      <w:proofErr w:type="spellEnd"/>
      <w:r w:rsidRPr="00C82A25">
        <w:rPr>
          <w:rFonts w:ascii="Times New Roman" w:hAnsi="Times New Roman" w:cs="Times New Roman"/>
          <w:bCs/>
          <w:sz w:val="22"/>
          <w:szCs w:val="22"/>
        </w:rPr>
        <w:t xml:space="preserve"> mortality net ra</w:t>
      </w:r>
      <w:r w:rsidRPr="00C82A25">
        <w:rPr>
          <w:rFonts w:ascii="Times New Roman" w:hAnsi="Times New Roman" w:cs="Times New Roman"/>
          <w:bCs/>
        </w:rPr>
        <w:t>n</w:t>
      </w:r>
      <w:r w:rsidRPr="00C82A25">
        <w:rPr>
          <w:rFonts w:ascii="Times New Roman" w:hAnsi="Times New Roman" w:cs="Times New Roman"/>
          <w:bCs/>
          <w:sz w:val="22"/>
          <w:szCs w:val="22"/>
        </w:rPr>
        <w:t>ge of 6</w:t>
      </w:r>
      <w:r w:rsidRPr="00C82A25">
        <w:rPr>
          <w:rFonts w:ascii="Times New Roman" w:hAnsi="Times New Roman" w:cs="Times New Roman"/>
          <w:bCs/>
        </w:rPr>
        <w:t>,</w:t>
      </w:r>
      <w:r w:rsidRPr="00C82A25">
        <w:rPr>
          <w:rFonts w:ascii="Times New Roman" w:hAnsi="Times New Roman" w:cs="Times New Roman"/>
          <w:bCs/>
          <w:sz w:val="22"/>
          <w:szCs w:val="22"/>
        </w:rPr>
        <w:t>068 [</w:t>
      </w:r>
      <w:r w:rsidRPr="00C82A25">
        <w:rPr>
          <w:rFonts w:ascii="Times New Roman" w:hAnsi="Times New Roman" w:cs="Times New Roman"/>
          <w:bCs/>
        </w:rPr>
        <w:t xml:space="preserve">3 </w:t>
      </w:r>
      <w:r w:rsidRPr="00C82A25">
        <w:rPr>
          <w:rFonts w:ascii="Times New Roman" w:hAnsi="Times New Roman" w:cs="Times New Roman"/>
          <w:bCs/>
          <w:sz w:val="22"/>
          <w:szCs w:val="22"/>
        </w:rPr>
        <w:t xml:space="preserve">– </w:t>
      </w:r>
      <w:r w:rsidRPr="00C82A25">
        <w:rPr>
          <w:rFonts w:ascii="Times New Roman" w:hAnsi="Times New Roman" w:cs="Times New Roman"/>
          <w:bCs/>
        </w:rPr>
        <w:t>6,071</w:t>
      </w:r>
      <w:r w:rsidRPr="00C82A25">
        <w:rPr>
          <w:rFonts w:ascii="Times New Roman" w:hAnsi="Times New Roman" w:cs="Times New Roman"/>
          <w:bCs/>
          <w:sz w:val="22"/>
          <w:szCs w:val="22"/>
        </w:rPr>
        <w:t>].</w:t>
      </w:r>
      <w:r w:rsidRPr="00C82A25">
        <w:rPr>
          <w:rFonts w:ascii="Times New Roman" w:hAnsi="Times New Roman" w:cs="Times New Roman"/>
          <w:bCs/>
        </w:rPr>
        <w:t xml:space="preserve"> </w:t>
      </w:r>
      <w:r w:rsidRPr="00C82A25">
        <w:rPr>
          <w:rFonts w:ascii="Times New Roman" w:hAnsi="Times New Roman" w:cs="Times New Roman"/>
          <w:bCs/>
          <w:sz w:val="22"/>
          <w:szCs w:val="22"/>
        </w:rPr>
        <w:t>Notably, the</w:t>
      </w:r>
      <w:r w:rsidRPr="00C82A25">
        <w:rPr>
          <w:rFonts w:ascii="Times New Roman" w:hAnsi="Times New Roman" w:cs="Times New Roman"/>
          <w:bCs/>
          <w:color w:val="222222"/>
          <w:sz w:val="22"/>
          <w:szCs w:val="22"/>
          <w:shd w:val="clear" w:color="auto" w:fill="FFFFFF"/>
        </w:rPr>
        <w:t xml:space="preserve"> negative excess mortality observed in several countries </w:t>
      </w:r>
      <w:r w:rsidRPr="00C82A25">
        <w:rPr>
          <w:rFonts w:ascii="Times New Roman" w:hAnsi="Times New Roman" w:cs="Times New Roman"/>
          <w:bCs/>
          <w:color w:val="212121"/>
          <w:sz w:val="22"/>
          <w:szCs w:val="22"/>
          <w:shd w:val="clear" w:color="auto" w:fill="FFFFFF"/>
        </w:rPr>
        <w:t>during the first two pandemic years was below the usual level, possibly due to social distancing measures also jointly decreasing non-</w:t>
      </w:r>
      <w:proofErr w:type="spellStart"/>
      <w:r w:rsidRPr="00C82A25">
        <w:rPr>
          <w:rFonts w:ascii="Times New Roman" w:hAnsi="Times New Roman" w:cs="Times New Roman"/>
          <w:bCs/>
          <w:color w:val="212121"/>
          <w:sz w:val="22"/>
          <w:szCs w:val="22"/>
          <w:shd w:val="clear" w:color="auto" w:fill="FFFFFF"/>
        </w:rPr>
        <w:t>Covid</w:t>
      </w:r>
      <w:proofErr w:type="spellEnd"/>
      <w:r w:rsidRPr="00C82A25">
        <w:rPr>
          <w:rFonts w:ascii="Times New Roman" w:hAnsi="Times New Roman" w:cs="Times New Roman"/>
          <w:bCs/>
          <w:color w:val="212121"/>
          <w:sz w:val="22"/>
          <w:szCs w:val="22"/>
          <w:shd w:val="clear" w:color="auto" w:fill="FFFFFF"/>
        </w:rPr>
        <w:t xml:space="preserve"> infectious mortality (</w:t>
      </w:r>
      <w:proofErr w:type="spellStart"/>
      <w:r w:rsidRPr="00C82A25">
        <w:rPr>
          <w:rFonts w:ascii="Times New Roman" w:hAnsi="Times New Roman" w:cs="Times New Roman"/>
          <w:bCs/>
          <w:color w:val="212121"/>
          <w:sz w:val="22"/>
          <w:szCs w:val="22"/>
          <w:shd w:val="clear" w:color="auto" w:fill="FFFFFF"/>
        </w:rPr>
        <w:t>i.e</w:t>
      </w:r>
      <w:proofErr w:type="spellEnd"/>
      <w:r w:rsidRPr="00C82A25">
        <w:rPr>
          <w:rFonts w:ascii="Times New Roman" w:hAnsi="Times New Roman" w:cs="Times New Roman"/>
          <w:bCs/>
          <w:color w:val="212121"/>
          <w:sz w:val="22"/>
          <w:szCs w:val="22"/>
          <w:shd w:val="clear" w:color="auto" w:fill="FFFFFF"/>
        </w:rPr>
        <w:t>, from</w:t>
      </w:r>
      <w:r>
        <w:rPr>
          <w:rFonts w:ascii="Times New Roman" w:hAnsi="Times New Roman" w:cs="Times New Roman"/>
          <w:b/>
          <w:color w:val="212121"/>
          <w:sz w:val="22"/>
          <w:szCs w:val="22"/>
          <w:shd w:val="clear" w:color="auto" w:fill="FFFFFF"/>
        </w:rPr>
        <w:t xml:space="preserve"> </w:t>
      </w:r>
      <w:r w:rsidRPr="00C82A25">
        <w:rPr>
          <w:rFonts w:ascii="Times New Roman" w:hAnsi="Times New Roman" w:cs="Times New Roman"/>
          <w:bCs/>
          <w:color w:val="212121"/>
          <w:sz w:val="22"/>
          <w:szCs w:val="22"/>
          <w:shd w:val="clear" w:color="auto" w:fill="FFFFFF"/>
        </w:rPr>
        <w:t xml:space="preserve">the flu), and the ability of some Island Economies to insulate by sharply cutting tourism and enforcing strict quarantine periods for incoming arrivals </w:t>
      </w:r>
      <w:r w:rsidRPr="00C82A25">
        <w:rPr>
          <w:rFonts w:ascii="Times New Roman" w:hAnsi="Times New Roman" w:cs="Times New Roman"/>
          <w:bCs/>
          <w:color w:val="222222"/>
          <w:sz w:val="22"/>
          <w:szCs w:val="22"/>
          <w:shd w:val="clear" w:color="auto" w:fill="FFFFFF"/>
        </w:rPr>
        <w:t>(</w:t>
      </w:r>
      <w:r w:rsidRPr="00C82A25">
        <w:rPr>
          <w:rFonts w:ascii="Times New Roman" w:hAnsi="Times New Roman" w:cs="Times New Roman"/>
          <w:bCs/>
          <w:color w:val="212121"/>
          <w:sz w:val="22"/>
          <w:szCs w:val="22"/>
          <w:shd w:val="clear" w:color="auto" w:fill="FFFFFF"/>
        </w:rPr>
        <w:t>e.g. Australia, New Zealand and several other countries)</w:t>
      </w:r>
      <w:r w:rsidRPr="00C82A25">
        <w:rPr>
          <w:rFonts w:ascii="Times New Roman" w:hAnsi="Times New Roman" w:cs="Times New Roman"/>
          <w:bCs/>
          <w:color w:val="222222"/>
          <w:sz w:val="22"/>
          <w:szCs w:val="22"/>
          <w:shd w:val="clear" w:color="auto" w:fill="FFFFFF"/>
        </w:rPr>
        <w:t>.</w:t>
      </w:r>
    </w:p>
    <w:bookmarkEnd w:id="2"/>
  </w:footnote>
  <w:footnote w:id="11">
    <w:p w14:paraId="35BA035A" w14:textId="38F83CCE" w:rsidR="0083795D" w:rsidRDefault="0083795D">
      <w:pPr>
        <w:pStyle w:val="FootnoteText"/>
      </w:pPr>
      <w:r w:rsidRPr="002C6241">
        <w:rPr>
          <w:rStyle w:val="FootnoteReference"/>
          <w:rFonts w:ascii="Times New Roman" w:hAnsi="Times New Roman" w:cs="Times New Roman"/>
        </w:rPr>
        <w:footnoteRef/>
      </w:r>
      <w:r w:rsidRPr="002C6241">
        <w:rPr>
          <w:rFonts w:ascii="Times New Roman" w:hAnsi="Times New Roman" w:cs="Times New Roman"/>
        </w:rPr>
        <w:t xml:space="preserve"> </w:t>
      </w:r>
      <w:r w:rsidRPr="00F66D14">
        <w:rPr>
          <w:rFonts w:ascii="Times New Roman" w:hAnsi="Times New Roman" w:cs="Times New Roman"/>
          <w:sz w:val="22"/>
          <w:szCs w:val="22"/>
        </w:rPr>
        <w:t xml:space="preserve">The </w:t>
      </w:r>
      <w:r>
        <w:rPr>
          <w:rFonts w:ascii="Times New Roman" w:hAnsi="Times New Roman" w:cs="Times New Roman"/>
          <w:sz w:val="22"/>
          <w:szCs w:val="22"/>
        </w:rPr>
        <w:t>positive a</w:t>
      </w:r>
      <w:r w:rsidRPr="00F66D14">
        <w:rPr>
          <w:rFonts w:ascii="Times New Roman" w:hAnsi="Times New Roman" w:cs="Times New Roman"/>
          <w:sz w:val="22"/>
          <w:szCs w:val="22"/>
        </w:rPr>
        <w:t xml:space="preserve">ssociation of </w:t>
      </w:r>
      <w:r>
        <w:rPr>
          <w:rFonts w:ascii="Times New Roman" w:hAnsi="Times New Roman" w:cs="Times New Roman"/>
          <w:sz w:val="22"/>
          <w:szCs w:val="22"/>
        </w:rPr>
        <w:t xml:space="preserve">the </w:t>
      </w:r>
      <w:r w:rsidRPr="00F66D14">
        <w:rPr>
          <w:rFonts w:ascii="Times New Roman" w:hAnsi="Times New Roman" w:cs="Times New Roman"/>
          <w:sz w:val="22"/>
          <w:szCs w:val="22"/>
        </w:rPr>
        <w:t xml:space="preserve">share of aged 65 plus with ‘doing better’ may reflect higher life expectancy in countries where the older population affords </w:t>
      </w:r>
      <w:r w:rsidRPr="007B7457">
        <w:rPr>
          <w:rFonts w:ascii="Times New Roman" w:hAnsi="Times New Roman" w:cs="Times New Roman"/>
          <w:sz w:val="22"/>
          <w:szCs w:val="22"/>
        </w:rPr>
        <w:t>retirement</w:t>
      </w:r>
      <w:r w:rsidRPr="00F66D14">
        <w:rPr>
          <w:rFonts w:ascii="Times New Roman" w:hAnsi="Times New Roman" w:cs="Times New Roman"/>
          <w:sz w:val="22"/>
          <w:szCs w:val="22"/>
        </w:rPr>
        <w:t xml:space="preserve"> and greater isolation, and higher </w:t>
      </w:r>
      <w:r w:rsidRPr="007B7457">
        <w:rPr>
          <w:rFonts w:ascii="Times New Roman" w:hAnsi="Times New Roman" w:cs="Times New Roman"/>
          <w:sz w:val="22"/>
          <w:szCs w:val="22"/>
        </w:rPr>
        <w:t>vaccination</w:t>
      </w:r>
      <w:r w:rsidRPr="00F66D14">
        <w:rPr>
          <w:rFonts w:ascii="Times New Roman" w:hAnsi="Times New Roman" w:cs="Times New Roman"/>
          <w:sz w:val="22"/>
          <w:szCs w:val="22"/>
        </w:rPr>
        <w:t xml:space="preserve"> rates by the end of 2021.</w:t>
      </w:r>
      <w:r w:rsidRPr="007B7457">
        <w:rPr>
          <w:rFonts w:ascii="Times New Roman" w:hAnsi="Times New Roman" w:cs="Times New Roman"/>
          <w:sz w:val="21"/>
          <w:szCs w:val="18"/>
        </w:rPr>
        <w:t xml:space="preserve">   </w:t>
      </w:r>
    </w:p>
  </w:footnote>
  <w:footnote w:id="12">
    <w:p w14:paraId="668D290A" w14:textId="391D9E04" w:rsidR="0083795D" w:rsidRPr="002E1BCF" w:rsidRDefault="0083795D" w:rsidP="00245CBF">
      <w:pPr>
        <w:rPr>
          <w:rFonts w:ascii="Times New Roman" w:hAnsi="Times New Roman" w:cs="Times New Roman"/>
        </w:rPr>
      </w:pPr>
      <w:r w:rsidRPr="002C6241">
        <w:rPr>
          <w:rStyle w:val="FootnoteReference"/>
          <w:rFonts w:ascii="Times New Roman" w:hAnsi="Times New Roman" w:cs="Times New Roman"/>
        </w:rPr>
        <w:footnoteRef/>
      </w:r>
      <w:r>
        <w:t xml:space="preserve"> </w:t>
      </w:r>
      <w:r w:rsidRPr="00C82A25">
        <w:rPr>
          <w:rFonts w:ascii="Times New Roman" w:hAnsi="Times New Roman" w:cs="Times New Roman"/>
        </w:rPr>
        <w:t xml:space="preserve">The imprecision of official statistics is due to a number of reasons. </w:t>
      </w:r>
      <w:r w:rsidRPr="005D4D85">
        <w:rPr>
          <w:rFonts w:ascii="Times New Roman" w:hAnsi="Times New Roman" w:cs="Times New Roman"/>
        </w:rPr>
        <w:t>First, the infrastructure needed and capacity to register and report all deaths</w:t>
      </w:r>
      <w:r w:rsidRPr="00426D03">
        <w:rPr>
          <w:rFonts w:ascii="Times New Roman" w:hAnsi="Times New Roman" w:cs="Times New Roman"/>
        </w:rPr>
        <w:t xml:space="preserve"> varies across countries. Second, there are delays in death reporting that make mortality data provisional and incomplete</w:t>
      </w:r>
      <w:r w:rsidRPr="002E1BCF">
        <w:rPr>
          <w:rFonts w:ascii="Times New Roman" w:hAnsi="Times New Roman" w:cs="Times New Roman"/>
        </w:rPr>
        <w:t>. The extent of the delay and counting cap</w:t>
      </w:r>
      <w:r w:rsidRPr="00C82A25">
        <w:rPr>
          <w:rFonts w:ascii="Times New Roman" w:hAnsi="Times New Roman" w:cs="Times New Roman"/>
        </w:rPr>
        <w:t>a</w:t>
      </w:r>
      <w:r w:rsidRPr="005D4D85">
        <w:rPr>
          <w:rFonts w:ascii="Times New Roman" w:hAnsi="Times New Roman" w:cs="Times New Roman"/>
        </w:rPr>
        <w:t>city varies by country. See Aron et al. (2020) and Adam (</w:t>
      </w:r>
      <w:r w:rsidRPr="00426D03">
        <w:rPr>
          <w:rFonts w:ascii="Times New Roman" w:hAnsi="Times New Roman" w:cs="Times New Roman"/>
        </w:rPr>
        <w:t xml:space="preserve">2022). </w:t>
      </w:r>
    </w:p>
  </w:footnote>
  <w:footnote w:id="13">
    <w:p w14:paraId="10131659" w14:textId="0A988EB8" w:rsidR="0083795D" w:rsidRPr="007B7457" w:rsidRDefault="0083795D" w:rsidP="000736DB">
      <w:pPr>
        <w:pStyle w:val="FootnoteText"/>
        <w:rPr>
          <w:rFonts w:ascii="Times New Roman" w:hAnsi="Times New Roman" w:cs="Times New Roman"/>
        </w:rPr>
      </w:pPr>
      <w:r w:rsidRPr="007B7457">
        <w:rPr>
          <w:rStyle w:val="FootnoteReference"/>
          <w:rFonts w:ascii="Times New Roman" w:hAnsi="Times New Roman" w:cs="Times New Roman"/>
          <w:sz w:val="22"/>
          <w:szCs w:val="22"/>
        </w:rPr>
        <w:footnoteRef/>
      </w:r>
      <w:r w:rsidRPr="007B7457">
        <w:rPr>
          <w:rFonts w:ascii="Times New Roman" w:hAnsi="Times New Roman" w:cs="Times New Roman"/>
          <w:sz w:val="22"/>
          <w:szCs w:val="22"/>
        </w:rPr>
        <w:t xml:space="preserve"> The precision of official COVID-19 mortality statistics is subject to how well-resourced the medical system is, which tends to vary across countries and is likely to improve with learning-by-doing and the mobilization of public resources to the system. Challenges </w:t>
      </w:r>
      <w:r>
        <w:rPr>
          <w:rFonts w:ascii="Times New Roman" w:hAnsi="Times New Roman" w:cs="Times New Roman"/>
          <w:sz w:val="22"/>
          <w:szCs w:val="22"/>
        </w:rPr>
        <w:t>to</w:t>
      </w:r>
      <w:r w:rsidRPr="007B7457">
        <w:rPr>
          <w:rFonts w:ascii="Times New Roman" w:hAnsi="Times New Roman" w:cs="Times New Roman"/>
          <w:sz w:val="22"/>
          <w:szCs w:val="22"/>
        </w:rPr>
        <w:t xml:space="preserve"> the official mortality statistics include whether COVID-19 was the cause of death. Such determination is subject to the quality of, </w:t>
      </w:r>
      <w:r>
        <w:rPr>
          <w:rFonts w:ascii="Times New Roman" w:hAnsi="Times New Roman" w:cs="Times New Roman"/>
          <w:sz w:val="22"/>
          <w:szCs w:val="22"/>
        </w:rPr>
        <w:t>among other</w:t>
      </w:r>
      <w:r w:rsidRPr="007B7457">
        <w:rPr>
          <w:rFonts w:ascii="Times New Roman" w:hAnsi="Times New Roman" w:cs="Times New Roman"/>
          <w:sz w:val="22"/>
          <w:szCs w:val="22"/>
        </w:rPr>
        <w:t xml:space="preserve">, </w:t>
      </w:r>
      <w:r>
        <w:rPr>
          <w:rFonts w:ascii="Times New Roman" w:hAnsi="Times New Roman" w:cs="Times New Roman"/>
          <w:sz w:val="22"/>
          <w:szCs w:val="22"/>
        </w:rPr>
        <w:t xml:space="preserve">to </w:t>
      </w:r>
      <w:r w:rsidRPr="007B7457">
        <w:rPr>
          <w:rFonts w:ascii="Times New Roman" w:hAnsi="Times New Roman" w:cs="Times New Roman"/>
          <w:sz w:val="22"/>
          <w:szCs w:val="22"/>
        </w:rPr>
        <w:t>the medical-examiner system and the coroner system. More generally, countr</w:t>
      </w:r>
      <w:r>
        <w:rPr>
          <w:rFonts w:ascii="Times New Roman" w:hAnsi="Times New Roman" w:cs="Times New Roman"/>
          <w:sz w:val="22"/>
          <w:szCs w:val="22"/>
        </w:rPr>
        <w:t>ies</w:t>
      </w:r>
      <w:r w:rsidRPr="007B7457">
        <w:rPr>
          <w:rFonts w:ascii="Times New Roman" w:hAnsi="Times New Roman" w:cs="Times New Roman"/>
          <w:sz w:val="22"/>
          <w:szCs w:val="22"/>
        </w:rPr>
        <w:t xml:space="preserve"> ha</w:t>
      </w:r>
      <w:r>
        <w:rPr>
          <w:rFonts w:ascii="Times New Roman" w:hAnsi="Times New Roman" w:cs="Times New Roman"/>
          <w:sz w:val="22"/>
          <w:szCs w:val="22"/>
        </w:rPr>
        <w:t xml:space="preserve">ve different </w:t>
      </w:r>
      <w:r w:rsidRPr="007B7457">
        <w:rPr>
          <w:rFonts w:ascii="Times New Roman" w:hAnsi="Times New Roman" w:cs="Times New Roman"/>
          <w:sz w:val="22"/>
          <w:szCs w:val="22"/>
        </w:rPr>
        <w:t>system</w:t>
      </w:r>
      <w:r>
        <w:rPr>
          <w:rFonts w:ascii="Times New Roman" w:hAnsi="Times New Roman" w:cs="Times New Roman"/>
          <w:sz w:val="22"/>
          <w:szCs w:val="22"/>
        </w:rPr>
        <w:t>s</w:t>
      </w:r>
      <w:r w:rsidRPr="007B7457">
        <w:rPr>
          <w:rFonts w:ascii="Times New Roman" w:hAnsi="Times New Roman" w:cs="Times New Roman"/>
          <w:sz w:val="22"/>
          <w:szCs w:val="22"/>
        </w:rPr>
        <w:t xml:space="preserve"> </w:t>
      </w:r>
      <w:r>
        <w:rPr>
          <w:rFonts w:ascii="Times New Roman" w:hAnsi="Times New Roman" w:cs="Times New Roman"/>
          <w:sz w:val="22"/>
          <w:szCs w:val="22"/>
        </w:rPr>
        <w:t xml:space="preserve">of </w:t>
      </w:r>
      <w:r w:rsidRPr="007B7457">
        <w:rPr>
          <w:rFonts w:ascii="Times New Roman" w:hAnsi="Times New Roman" w:cs="Times New Roman"/>
          <w:sz w:val="22"/>
          <w:szCs w:val="22"/>
        </w:rPr>
        <w:t xml:space="preserve">issuing death certificates, </w:t>
      </w:r>
      <w:r>
        <w:rPr>
          <w:rFonts w:ascii="Times New Roman" w:hAnsi="Times New Roman" w:cs="Times New Roman"/>
          <w:sz w:val="22"/>
          <w:szCs w:val="22"/>
        </w:rPr>
        <w:t>that</w:t>
      </w:r>
      <w:r w:rsidRPr="007B7457">
        <w:rPr>
          <w:rFonts w:ascii="Times New Roman" w:hAnsi="Times New Roman" w:cs="Times New Roman"/>
          <w:sz w:val="22"/>
          <w:szCs w:val="22"/>
        </w:rPr>
        <w:t xml:space="preserve"> involve technocrats, elected officials, and physicians. In the case of COVID-19, the quality of autopsies matters greatly as symptoms of acute respiratory distress inflammatory response</w:t>
      </w:r>
      <w:r>
        <w:rPr>
          <w:rFonts w:ascii="Times New Roman" w:hAnsi="Times New Roman" w:cs="Times New Roman"/>
          <w:sz w:val="22"/>
          <w:szCs w:val="22"/>
        </w:rPr>
        <w:t>s</w:t>
      </w:r>
      <w:r w:rsidRPr="007B7457">
        <w:rPr>
          <w:rFonts w:ascii="Times New Roman" w:hAnsi="Times New Roman" w:cs="Times New Roman"/>
          <w:sz w:val="22"/>
          <w:szCs w:val="22"/>
        </w:rPr>
        <w:t xml:space="preserve"> signal</w:t>
      </w:r>
      <w:r>
        <w:rPr>
          <w:rFonts w:ascii="Times New Roman" w:hAnsi="Times New Roman" w:cs="Times New Roman"/>
          <w:sz w:val="22"/>
          <w:szCs w:val="22"/>
        </w:rPr>
        <w:t>ing</w:t>
      </w:r>
      <w:r w:rsidRPr="007B7457">
        <w:rPr>
          <w:rFonts w:ascii="Times New Roman" w:hAnsi="Times New Roman" w:cs="Times New Roman"/>
          <w:sz w:val="22"/>
          <w:szCs w:val="22"/>
        </w:rPr>
        <w:t xml:space="preserve"> a viral infection needs to be </w:t>
      </w:r>
      <w:r>
        <w:rPr>
          <w:rFonts w:ascii="Times New Roman" w:hAnsi="Times New Roman" w:cs="Times New Roman"/>
          <w:sz w:val="22"/>
          <w:szCs w:val="22"/>
        </w:rPr>
        <w:t>sorted into COVID-19 induced deaths and deaths due to other reasons</w:t>
      </w:r>
      <w:r w:rsidRPr="007B7457">
        <w:rPr>
          <w:rFonts w:ascii="Times New Roman" w:hAnsi="Times New Roman" w:cs="Times New Roman"/>
          <w:sz w:val="22"/>
          <w:szCs w:val="22"/>
        </w:rPr>
        <w:t>. See also The Economist (2022).</w:t>
      </w:r>
    </w:p>
  </w:footnote>
</w:footnotes>
</file>

<file path=word/intelligence.xml><?xml version="1.0" encoding="utf-8"?>
<int:Intelligence xmlns:int="http://schemas.microsoft.com/office/intelligence/2019/intelligence">
  <int:IntelligenceSettings/>
  <int:Manifest>
    <int:WordHash hashCode="jiEJrlCKMZ2c5k" id="6o3jNaQT"/>
  </int:Manifest>
  <int:Observations>
    <int:Content id="6o3jNaQ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1220"/>
    <w:multiLevelType w:val="hybridMultilevel"/>
    <w:tmpl w:val="6A189FEA"/>
    <w:lvl w:ilvl="0" w:tplc="23ACE3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E572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02649"/>
    <w:multiLevelType w:val="hybridMultilevel"/>
    <w:tmpl w:val="983E027A"/>
    <w:lvl w:ilvl="0" w:tplc="5914D6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43185"/>
    <w:multiLevelType w:val="hybridMultilevel"/>
    <w:tmpl w:val="FCC48ADA"/>
    <w:lvl w:ilvl="0" w:tplc="6DBAEA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B4FFE"/>
    <w:multiLevelType w:val="hybridMultilevel"/>
    <w:tmpl w:val="1C90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64573"/>
    <w:multiLevelType w:val="hybridMultilevel"/>
    <w:tmpl w:val="0224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B96189"/>
    <w:multiLevelType w:val="hybridMultilevel"/>
    <w:tmpl w:val="0FB4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6C2A3B"/>
    <w:multiLevelType w:val="hybridMultilevel"/>
    <w:tmpl w:val="9A6E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D21E88"/>
    <w:multiLevelType w:val="hybridMultilevel"/>
    <w:tmpl w:val="3D0E9A68"/>
    <w:lvl w:ilvl="0" w:tplc="04CA3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B14EE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4A55D2"/>
    <w:multiLevelType w:val="hybridMultilevel"/>
    <w:tmpl w:val="3DF65712"/>
    <w:lvl w:ilvl="0" w:tplc="8B305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B8E6BBF"/>
    <w:multiLevelType w:val="hybridMultilevel"/>
    <w:tmpl w:val="051C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B451A5"/>
    <w:multiLevelType w:val="hybridMultilevel"/>
    <w:tmpl w:val="2D687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44E8F"/>
    <w:multiLevelType w:val="multilevel"/>
    <w:tmpl w:val="3C8ADBD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2514F9"/>
    <w:multiLevelType w:val="multilevel"/>
    <w:tmpl w:val="A22A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25573"/>
    <w:multiLevelType w:val="hybridMultilevel"/>
    <w:tmpl w:val="A3F8D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AF53A3"/>
    <w:multiLevelType w:val="hybridMultilevel"/>
    <w:tmpl w:val="AC98CB5A"/>
    <w:lvl w:ilvl="0" w:tplc="4B58EB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2"/>
  </w:num>
  <w:num w:numId="5">
    <w:abstractNumId w:val="11"/>
  </w:num>
  <w:num w:numId="6">
    <w:abstractNumId w:val="3"/>
  </w:num>
  <w:num w:numId="7">
    <w:abstractNumId w:val="14"/>
  </w:num>
  <w:num w:numId="8">
    <w:abstractNumId w:val="1"/>
  </w:num>
  <w:num w:numId="9">
    <w:abstractNumId w:val="9"/>
  </w:num>
  <w:num w:numId="10">
    <w:abstractNumId w:val="13"/>
  </w:num>
  <w:num w:numId="11">
    <w:abstractNumId w:val="5"/>
  </w:num>
  <w:num w:numId="12">
    <w:abstractNumId w:val="6"/>
  </w:num>
  <w:num w:numId="13">
    <w:abstractNumId w:val="10"/>
  </w:num>
  <w:num w:numId="14">
    <w:abstractNumId w:val="0"/>
  </w:num>
  <w:num w:numId="15">
    <w:abstractNumId w:val="15"/>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yMDE2trAwtDQ0MzNX0lEKTi0uzszPAykwqgUAuM9EXiwAAAA="/>
  </w:docVars>
  <w:rsids>
    <w:rsidRoot w:val="009C233E"/>
    <w:rsid w:val="000011E7"/>
    <w:rsid w:val="0000249B"/>
    <w:rsid w:val="000037E7"/>
    <w:rsid w:val="000038CE"/>
    <w:rsid w:val="00004101"/>
    <w:rsid w:val="000060E7"/>
    <w:rsid w:val="0000755F"/>
    <w:rsid w:val="0001323B"/>
    <w:rsid w:val="0001338B"/>
    <w:rsid w:val="00017132"/>
    <w:rsid w:val="00021824"/>
    <w:rsid w:val="0002223B"/>
    <w:rsid w:val="0003065B"/>
    <w:rsid w:val="000345F5"/>
    <w:rsid w:val="000367CB"/>
    <w:rsid w:val="000375E1"/>
    <w:rsid w:val="0004371C"/>
    <w:rsid w:val="00045E84"/>
    <w:rsid w:val="00046544"/>
    <w:rsid w:val="0005057D"/>
    <w:rsid w:val="000519FD"/>
    <w:rsid w:val="00061F46"/>
    <w:rsid w:val="00063050"/>
    <w:rsid w:val="000657B2"/>
    <w:rsid w:val="0006689A"/>
    <w:rsid w:val="00071E94"/>
    <w:rsid w:val="0007332C"/>
    <w:rsid w:val="000736DB"/>
    <w:rsid w:val="00077AD2"/>
    <w:rsid w:val="00080288"/>
    <w:rsid w:val="00080CF4"/>
    <w:rsid w:val="00086990"/>
    <w:rsid w:val="000A3AFA"/>
    <w:rsid w:val="000B5B9E"/>
    <w:rsid w:val="000C6071"/>
    <w:rsid w:val="000E14BA"/>
    <w:rsid w:val="000E3FA4"/>
    <w:rsid w:val="000E4B1C"/>
    <w:rsid w:val="000E7FBC"/>
    <w:rsid w:val="000F16E4"/>
    <w:rsid w:val="000F1872"/>
    <w:rsid w:val="000F1B9F"/>
    <w:rsid w:val="000F2211"/>
    <w:rsid w:val="000F6117"/>
    <w:rsid w:val="00103109"/>
    <w:rsid w:val="001040D5"/>
    <w:rsid w:val="0010505B"/>
    <w:rsid w:val="00105731"/>
    <w:rsid w:val="00124563"/>
    <w:rsid w:val="001272DA"/>
    <w:rsid w:val="00131F75"/>
    <w:rsid w:val="00134C74"/>
    <w:rsid w:val="001357A0"/>
    <w:rsid w:val="00137651"/>
    <w:rsid w:val="0013767B"/>
    <w:rsid w:val="00137A30"/>
    <w:rsid w:val="00142C6B"/>
    <w:rsid w:val="00145180"/>
    <w:rsid w:val="00147A81"/>
    <w:rsid w:val="001507AB"/>
    <w:rsid w:val="00150D4C"/>
    <w:rsid w:val="00156E62"/>
    <w:rsid w:val="0016348C"/>
    <w:rsid w:val="0016411A"/>
    <w:rsid w:val="00164807"/>
    <w:rsid w:val="001655E2"/>
    <w:rsid w:val="00167E4B"/>
    <w:rsid w:val="00173569"/>
    <w:rsid w:val="00175CFA"/>
    <w:rsid w:val="00181A06"/>
    <w:rsid w:val="00183F74"/>
    <w:rsid w:val="001923ED"/>
    <w:rsid w:val="00192BC1"/>
    <w:rsid w:val="00193092"/>
    <w:rsid w:val="001A397E"/>
    <w:rsid w:val="001A4F7D"/>
    <w:rsid w:val="001B0365"/>
    <w:rsid w:val="001B119E"/>
    <w:rsid w:val="001B23B6"/>
    <w:rsid w:val="001B2B8B"/>
    <w:rsid w:val="001C40A8"/>
    <w:rsid w:val="001C44FD"/>
    <w:rsid w:val="001D1615"/>
    <w:rsid w:val="001D38E9"/>
    <w:rsid w:val="001D47A9"/>
    <w:rsid w:val="001D7CEF"/>
    <w:rsid w:val="001F4572"/>
    <w:rsid w:val="001F7259"/>
    <w:rsid w:val="001F7911"/>
    <w:rsid w:val="002010D2"/>
    <w:rsid w:val="00201269"/>
    <w:rsid w:val="00201EC5"/>
    <w:rsid w:val="00204DFF"/>
    <w:rsid w:val="00207945"/>
    <w:rsid w:val="002156F2"/>
    <w:rsid w:val="00215FC2"/>
    <w:rsid w:val="00226A3D"/>
    <w:rsid w:val="00242567"/>
    <w:rsid w:val="00243986"/>
    <w:rsid w:val="00245CBF"/>
    <w:rsid w:val="0026235A"/>
    <w:rsid w:val="00265C97"/>
    <w:rsid w:val="00266404"/>
    <w:rsid w:val="00271249"/>
    <w:rsid w:val="00271891"/>
    <w:rsid w:val="00271EAD"/>
    <w:rsid w:val="00272258"/>
    <w:rsid w:val="00274218"/>
    <w:rsid w:val="002777B0"/>
    <w:rsid w:val="00284651"/>
    <w:rsid w:val="002910E2"/>
    <w:rsid w:val="00292DA8"/>
    <w:rsid w:val="002934E1"/>
    <w:rsid w:val="0029628F"/>
    <w:rsid w:val="002A0FC8"/>
    <w:rsid w:val="002B0938"/>
    <w:rsid w:val="002B1B70"/>
    <w:rsid w:val="002B6946"/>
    <w:rsid w:val="002C611C"/>
    <w:rsid w:val="002C6241"/>
    <w:rsid w:val="002D258B"/>
    <w:rsid w:val="002D2E92"/>
    <w:rsid w:val="002E0701"/>
    <w:rsid w:val="002E1485"/>
    <w:rsid w:val="002E1498"/>
    <w:rsid w:val="002E1BCF"/>
    <w:rsid w:val="002E42B1"/>
    <w:rsid w:val="002E4748"/>
    <w:rsid w:val="002E5803"/>
    <w:rsid w:val="002E6A34"/>
    <w:rsid w:val="002F0E2A"/>
    <w:rsid w:val="002F3CF7"/>
    <w:rsid w:val="002F498C"/>
    <w:rsid w:val="002F502E"/>
    <w:rsid w:val="002F7DF6"/>
    <w:rsid w:val="0030065B"/>
    <w:rsid w:val="00300B0E"/>
    <w:rsid w:val="00304ACE"/>
    <w:rsid w:val="00306172"/>
    <w:rsid w:val="003123AB"/>
    <w:rsid w:val="00316888"/>
    <w:rsid w:val="00323087"/>
    <w:rsid w:val="003261DB"/>
    <w:rsid w:val="00327757"/>
    <w:rsid w:val="00337669"/>
    <w:rsid w:val="003403F1"/>
    <w:rsid w:val="00340FDB"/>
    <w:rsid w:val="00341F20"/>
    <w:rsid w:val="00345356"/>
    <w:rsid w:val="0036202E"/>
    <w:rsid w:val="00365B09"/>
    <w:rsid w:val="0036768F"/>
    <w:rsid w:val="00373C2D"/>
    <w:rsid w:val="00375D8C"/>
    <w:rsid w:val="003805BC"/>
    <w:rsid w:val="00383D0D"/>
    <w:rsid w:val="00383E06"/>
    <w:rsid w:val="00383E83"/>
    <w:rsid w:val="00386E3F"/>
    <w:rsid w:val="00393186"/>
    <w:rsid w:val="00395693"/>
    <w:rsid w:val="00396A83"/>
    <w:rsid w:val="003971F2"/>
    <w:rsid w:val="003A4507"/>
    <w:rsid w:val="003A4650"/>
    <w:rsid w:val="003A764C"/>
    <w:rsid w:val="003A7D07"/>
    <w:rsid w:val="003B048E"/>
    <w:rsid w:val="003B5DF9"/>
    <w:rsid w:val="003C7947"/>
    <w:rsid w:val="003D0183"/>
    <w:rsid w:val="003E03B4"/>
    <w:rsid w:val="003E237B"/>
    <w:rsid w:val="003E2BB9"/>
    <w:rsid w:val="003E44A4"/>
    <w:rsid w:val="003E5424"/>
    <w:rsid w:val="003E71C4"/>
    <w:rsid w:val="003F2F7E"/>
    <w:rsid w:val="003F433C"/>
    <w:rsid w:val="003F75F8"/>
    <w:rsid w:val="00402206"/>
    <w:rsid w:val="0040553D"/>
    <w:rsid w:val="00406BCD"/>
    <w:rsid w:val="00407D07"/>
    <w:rsid w:val="00412142"/>
    <w:rsid w:val="00413673"/>
    <w:rsid w:val="004236BE"/>
    <w:rsid w:val="00424F2B"/>
    <w:rsid w:val="00426D03"/>
    <w:rsid w:val="00427110"/>
    <w:rsid w:val="004344D4"/>
    <w:rsid w:val="004366D1"/>
    <w:rsid w:val="0043716E"/>
    <w:rsid w:val="00444933"/>
    <w:rsid w:val="00445B6C"/>
    <w:rsid w:val="004528D8"/>
    <w:rsid w:val="00452CE5"/>
    <w:rsid w:val="0045318E"/>
    <w:rsid w:val="0045360E"/>
    <w:rsid w:val="00457164"/>
    <w:rsid w:val="004623BB"/>
    <w:rsid w:val="004669DB"/>
    <w:rsid w:val="004702FA"/>
    <w:rsid w:val="004732A7"/>
    <w:rsid w:val="0047464B"/>
    <w:rsid w:val="00474B3B"/>
    <w:rsid w:val="00475120"/>
    <w:rsid w:val="004752E2"/>
    <w:rsid w:val="00483E3D"/>
    <w:rsid w:val="00486113"/>
    <w:rsid w:val="004A27EE"/>
    <w:rsid w:val="004A3395"/>
    <w:rsid w:val="004B33A5"/>
    <w:rsid w:val="004C2E84"/>
    <w:rsid w:val="004D0ABC"/>
    <w:rsid w:val="004D13C2"/>
    <w:rsid w:val="004D6CF2"/>
    <w:rsid w:val="004E11E9"/>
    <w:rsid w:val="004E1660"/>
    <w:rsid w:val="004E3602"/>
    <w:rsid w:val="004E3AF9"/>
    <w:rsid w:val="004E7239"/>
    <w:rsid w:val="004E7F18"/>
    <w:rsid w:val="005011FB"/>
    <w:rsid w:val="00512DE0"/>
    <w:rsid w:val="00520DBA"/>
    <w:rsid w:val="00520EA7"/>
    <w:rsid w:val="00525800"/>
    <w:rsid w:val="00525E77"/>
    <w:rsid w:val="00526AEB"/>
    <w:rsid w:val="00530BF6"/>
    <w:rsid w:val="0053255A"/>
    <w:rsid w:val="00540AD6"/>
    <w:rsid w:val="005418E1"/>
    <w:rsid w:val="00550839"/>
    <w:rsid w:val="00557CA0"/>
    <w:rsid w:val="00561F6E"/>
    <w:rsid w:val="00580C81"/>
    <w:rsid w:val="00581ABD"/>
    <w:rsid w:val="00583719"/>
    <w:rsid w:val="00584395"/>
    <w:rsid w:val="005977E4"/>
    <w:rsid w:val="005A2152"/>
    <w:rsid w:val="005A2F87"/>
    <w:rsid w:val="005A52B4"/>
    <w:rsid w:val="005B0F40"/>
    <w:rsid w:val="005B12EF"/>
    <w:rsid w:val="005B2C3C"/>
    <w:rsid w:val="005B30B8"/>
    <w:rsid w:val="005B364B"/>
    <w:rsid w:val="005C15ED"/>
    <w:rsid w:val="005D142D"/>
    <w:rsid w:val="005D2427"/>
    <w:rsid w:val="005D285E"/>
    <w:rsid w:val="005D2C33"/>
    <w:rsid w:val="005D4D85"/>
    <w:rsid w:val="005E0742"/>
    <w:rsid w:val="005E1955"/>
    <w:rsid w:val="005E64BA"/>
    <w:rsid w:val="005F7322"/>
    <w:rsid w:val="00600F35"/>
    <w:rsid w:val="00601CF2"/>
    <w:rsid w:val="0060489B"/>
    <w:rsid w:val="0060565F"/>
    <w:rsid w:val="00610B3D"/>
    <w:rsid w:val="00611035"/>
    <w:rsid w:val="00612238"/>
    <w:rsid w:val="00612FEE"/>
    <w:rsid w:val="00614F7A"/>
    <w:rsid w:val="00620049"/>
    <w:rsid w:val="00640363"/>
    <w:rsid w:val="00642A2F"/>
    <w:rsid w:val="00642EE0"/>
    <w:rsid w:val="00643713"/>
    <w:rsid w:val="006454F0"/>
    <w:rsid w:val="00650DDE"/>
    <w:rsid w:val="006526F0"/>
    <w:rsid w:val="00653433"/>
    <w:rsid w:val="00655D65"/>
    <w:rsid w:val="00660EC4"/>
    <w:rsid w:val="006661C0"/>
    <w:rsid w:val="0067054D"/>
    <w:rsid w:val="0067422D"/>
    <w:rsid w:val="0067507C"/>
    <w:rsid w:val="00681121"/>
    <w:rsid w:val="0068114A"/>
    <w:rsid w:val="006839A8"/>
    <w:rsid w:val="006841AE"/>
    <w:rsid w:val="00690CAD"/>
    <w:rsid w:val="006956A3"/>
    <w:rsid w:val="00695B92"/>
    <w:rsid w:val="006979CF"/>
    <w:rsid w:val="006A0CC6"/>
    <w:rsid w:val="006A0CE8"/>
    <w:rsid w:val="006A2795"/>
    <w:rsid w:val="006B04C9"/>
    <w:rsid w:val="006C10A9"/>
    <w:rsid w:val="006C1D0C"/>
    <w:rsid w:val="006D1243"/>
    <w:rsid w:val="006D2BA8"/>
    <w:rsid w:val="006D352E"/>
    <w:rsid w:val="006D553E"/>
    <w:rsid w:val="006E31E0"/>
    <w:rsid w:val="006E3C25"/>
    <w:rsid w:val="006E4996"/>
    <w:rsid w:val="006E4DA9"/>
    <w:rsid w:val="006E5A1E"/>
    <w:rsid w:val="006E65C9"/>
    <w:rsid w:val="006E6783"/>
    <w:rsid w:val="006F157F"/>
    <w:rsid w:val="006F36B2"/>
    <w:rsid w:val="006F3F8E"/>
    <w:rsid w:val="006F4AD5"/>
    <w:rsid w:val="0070388E"/>
    <w:rsid w:val="007042E6"/>
    <w:rsid w:val="00712D5D"/>
    <w:rsid w:val="0071370E"/>
    <w:rsid w:val="00716ECA"/>
    <w:rsid w:val="00730CD4"/>
    <w:rsid w:val="00744D1F"/>
    <w:rsid w:val="00746287"/>
    <w:rsid w:val="00746C1F"/>
    <w:rsid w:val="00746E86"/>
    <w:rsid w:val="00752EBC"/>
    <w:rsid w:val="007550A8"/>
    <w:rsid w:val="00757602"/>
    <w:rsid w:val="00757A7C"/>
    <w:rsid w:val="00762533"/>
    <w:rsid w:val="00771DC1"/>
    <w:rsid w:val="0077428D"/>
    <w:rsid w:val="0078004D"/>
    <w:rsid w:val="00780B9E"/>
    <w:rsid w:val="00785861"/>
    <w:rsid w:val="00795F66"/>
    <w:rsid w:val="007973E2"/>
    <w:rsid w:val="007A1968"/>
    <w:rsid w:val="007A3054"/>
    <w:rsid w:val="007A39C8"/>
    <w:rsid w:val="007A61E5"/>
    <w:rsid w:val="007B3A16"/>
    <w:rsid w:val="007B3F08"/>
    <w:rsid w:val="007B7457"/>
    <w:rsid w:val="007C7EF6"/>
    <w:rsid w:val="007D2F3D"/>
    <w:rsid w:val="007D3334"/>
    <w:rsid w:val="007D5332"/>
    <w:rsid w:val="007E1A0A"/>
    <w:rsid w:val="007E3931"/>
    <w:rsid w:val="007E53FC"/>
    <w:rsid w:val="007F07D4"/>
    <w:rsid w:val="007F16D9"/>
    <w:rsid w:val="007F2ABE"/>
    <w:rsid w:val="0080119E"/>
    <w:rsid w:val="008013C9"/>
    <w:rsid w:val="008075FC"/>
    <w:rsid w:val="00810D7B"/>
    <w:rsid w:val="00817C7B"/>
    <w:rsid w:val="00817D52"/>
    <w:rsid w:val="008205AC"/>
    <w:rsid w:val="00822A55"/>
    <w:rsid w:val="00824F09"/>
    <w:rsid w:val="008274BD"/>
    <w:rsid w:val="00827953"/>
    <w:rsid w:val="00830563"/>
    <w:rsid w:val="0083427E"/>
    <w:rsid w:val="00836A77"/>
    <w:rsid w:val="00836B4F"/>
    <w:rsid w:val="0083795D"/>
    <w:rsid w:val="00837F4E"/>
    <w:rsid w:val="00841C83"/>
    <w:rsid w:val="00843098"/>
    <w:rsid w:val="008449AE"/>
    <w:rsid w:val="00853162"/>
    <w:rsid w:val="00853321"/>
    <w:rsid w:val="008569B6"/>
    <w:rsid w:val="00857B18"/>
    <w:rsid w:val="00861BDF"/>
    <w:rsid w:val="00864911"/>
    <w:rsid w:val="00866A28"/>
    <w:rsid w:val="00870A18"/>
    <w:rsid w:val="00871DB0"/>
    <w:rsid w:val="00872BA0"/>
    <w:rsid w:val="00872BC1"/>
    <w:rsid w:val="008768D4"/>
    <w:rsid w:val="00880B15"/>
    <w:rsid w:val="00881143"/>
    <w:rsid w:val="00887ABD"/>
    <w:rsid w:val="008922DC"/>
    <w:rsid w:val="00893B92"/>
    <w:rsid w:val="008A55DE"/>
    <w:rsid w:val="008A561D"/>
    <w:rsid w:val="008A5A57"/>
    <w:rsid w:val="008A722E"/>
    <w:rsid w:val="008B0C2F"/>
    <w:rsid w:val="008B141A"/>
    <w:rsid w:val="008B5898"/>
    <w:rsid w:val="008C1213"/>
    <w:rsid w:val="008C209F"/>
    <w:rsid w:val="008C285C"/>
    <w:rsid w:val="008C485B"/>
    <w:rsid w:val="008D2410"/>
    <w:rsid w:val="008E195F"/>
    <w:rsid w:val="008E4FF7"/>
    <w:rsid w:val="008F4B11"/>
    <w:rsid w:val="00900418"/>
    <w:rsid w:val="00900A6D"/>
    <w:rsid w:val="009114BC"/>
    <w:rsid w:val="00913FBF"/>
    <w:rsid w:val="0091622A"/>
    <w:rsid w:val="00920964"/>
    <w:rsid w:val="00926588"/>
    <w:rsid w:val="00926A04"/>
    <w:rsid w:val="00926F3E"/>
    <w:rsid w:val="0092750E"/>
    <w:rsid w:val="00930BDE"/>
    <w:rsid w:val="00930C4E"/>
    <w:rsid w:val="00935863"/>
    <w:rsid w:val="00936D14"/>
    <w:rsid w:val="00937AD4"/>
    <w:rsid w:val="00951A0D"/>
    <w:rsid w:val="00955B2E"/>
    <w:rsid w:val="0096013B"/>
    <w:rsid w:val="00965A50"/>
    <w:rsid w:val="009716D4"/>
    <w:rsid w:val="00972191"/>
    <w:rsid w:val="00972C78"/>
    <w:rsid w:val="009732B8"/>
    <w:rsid w:val="0097414B"/>
    <w:rsid w:val="00974521"/>
    <w:rsid w:val="00975769"/>
    <w:rsid w:val="0097589C"/>
    <w:rsid w:val="00975915"/>
    <w:rsid w:val="00981698"/>
    <w:rsid w:val="009864B2"/>
    <w:rsid w:val="0098707D"/>
    <w:rsid w:val="00990DD2"/>
    <w:rsid w:val="00994975"/>
    <w:rsid w:val="0099682C"/>
    <w:rsid w:val="00997702"/>
    <w:rsid w:val="009A3358"/>
    <w:rsid w:val="009A765B"/>
    <w:rsid w:val="009B4F6E"/>
    <w:rsid w:val="009B7ABF"/>
    <w:rsid w:val="009B7FF6"/>
    <w:rsid w:val="009C233E"/>
    <w:rsid w:val="009C480D"/>
    <w:rsid w:val="009D1A15"/>
    <w:rsid w:val="009D1DCE"/>
    <w:rsid w:val="009D29AB"/>
    <w:rsid w:val="009E1828"/>
    <w:rsid w:val="00A009E0"/>
    <w:rsid w:val="00A016A7"/>
    <w:rsid w:val="00A04E1C"/>
    <w:rsid w:val="00A10B8D"/>
    <w:rsid w:val="00A10C6C"/>
    <w:rsid w:val="00A12C0F"/>
    <w:rsid w:val="00A143FD"/>
    <w:rsid w:val="00A148C8"/>
    <w:rsid w:val="00A14FA2"/>
    <w:rsid w:val="00A2059F"/>
    <w:rsid w:val="00A30A4D"/>
    <w:rsid w:val="00A530B7"/>
    <w:rsid w:val="00A656BD"/>
    <w:rsid w:val="00A670CE"/>
    <w:rsid w:val="00A70AFF"/>
    <w:rsid w:val="00A749FB"/>
    <w:rsid w:val="00A769FA"/>
    <w:rsid w:val="00A80A9A"/>
    <w:rsid w:val="00A81A68"/>
    <w:rsid w:val="00A90192"/>
    <w:rsid w:val="00A90802"/>
    <w:rsid w:val="00A90AC0"/>
    <w:rsid w:val="00A92170"/>
    <w:rsid w:val="00AA3FE9"/>
    <w:rsid w:val="00AA5003"/>
    <w:rsid w:val="00AA74BD"/>
    <w:rsid w:val="00AB4C71"/>
    <w:rsid w:val="00AC6E51"/>
    <w:rsid w:val="00AD0DA3"/>
    <w:rsid w:val="00AD399B"/>
    <w:rsid w:val="00AD5854"/>
    <w:rsid w:val="00AD7F49"/>
    <w:rsid w:val="00AE062C"/>
    <w:rsid w:val="00AE69EB"/>
    <w:rsid w:val="00AE6CC2"/>
    <w:rsid w:val="00AF0677"/>
    <w:rsid w:val="00AF0DE9"/>
    <w:rsid w:val="00AF1AFC"/>
    <w:rsid w:val="00AF3659"/>
    <w:rsid w:val="00AF4F39"/>
    <w:rsid w:val="00B01573"/>
    <w:rsid w:val="00B02E3C"/>
    <w:rsid w:val="00B0559E"/>
    <w:rsid w:val="00B1210D"/>
    <w:rsid w:val="00B17B04"/>
    <w:rsid w:val="00B2485C"/>
    <w:rsid w:val="00B24CCB"/>
    <w:rsid w:val="00B27FD8"/>
    <w:rsid w:val="00B315D1"/>
    <w:rsid w:val="00B3337D"/>
    <w:rsid w:val="00B33EFD"/>
    <w:rsid w:val="00B3514F"/>
    <w:rsid w:val="00B36385"/>
    <w:rsid w:val="00B41F55"/>
    <w:rsid w:val="00B426F7"/>
    <w:rsid w:val="00B42808"/>
    <w:rsid w:val="00B47C52"/>
    <w:rsid w:val="00B543CD"/>
    <w:rsid w:val="00B565DE"/>
    <w:rsid w:val="00B60174"/>
    <w:rsid w:val="00B612B8"/>
    <w:rsid w:val="00B65DC7"/>
    <w:rsid w:val="00B73D52"/>
    <w:rsid w:val="00B81B13"/>
    <w:rsid w:val="00B84056"/>
    <w:rsid w:val="00B84A75"/>
    <w:rsid w:val="00B85725"/>
    <w:rsid w:val="00B8672B"/>
    <w:rsid w:val="00B91A0B"/>
    <w:rsid w:val="00B91E91"/>
    <w:rsid w:val="00BA569E"/>
    <w:rsid w:val="00BA61C6"/>
    <w:rsid w:val="00BA621C"/>
    <w:rsid w:val="00BA6D65"/>
    <w:rsid w:val="00BB328F"/>
    <w:rsid w:val="00BB427C"/>
    <w:rsid w:val="00BB5B55"/>
    <w:rsid w:val="00BB6C83"/>
    <w:rsid w:val="00BB7A02"/>
    <w:rsid w:val="00BB7F76"/>
    <w:rsid w:val="00BD0C6B"/>
    <w:rsid w:val="00BD10F6"/>
    <w:rsid w:val="00BD3D01"/>
    <w:rsid w:val="00BD5A75"/>
    <w:rsid w:val="00BD770D"/>
    <w:rsid w:val="00BE37C5"/>
    <w:rsid w:val="00BE3CC1"/>
    <w:rsid w:val="00BE4307"/>
    <w:rsid w:val="00BE6180"/>
    <w:rsid w:val="00BF38B3"/>
    <w:rsid w:val="00BF6BAD"/>
    <w:rsid w:val="00C0025E"/>
    <w:rsid w:val="00C01697"/>
    <w:rsid w:val="00C02822"/>
    <w:rsid w:val="00C041D0"/>
    <w:rsid w:val="00C074EB"/>
    <w:rsid w:val="00C12239"/>
    <w:rsid w:val="00C1313F"/>
    <w:rsid w:val="00C145B7"/>
    <w:rsid w:val="00C21516"/>
    <w:rsid w:val="00C23C9E"/>
    <w:rsid w:val="00C2686E"/>
    <w:rsid w:val="00C274DB"/>
    <w:rsid w:val="00C27773"/>
    <w:rsid w:val="00C33159"/>
    <w:rsid w:val="00C33327"/>
    <w:rsid w:val="00C33A1F"/>
    <w:rsid w:val="00C36861"/>
    <w:rsid w:val="00C36BC7"/>
    <w:rsid w:val="00C37E18"/>
    <w:rsid w:val="00C411D3"/>
    <w:rsid w:val="00C411FD"/>
    <w:rsid w:val="00C42AF1"/>
    <w:rsid w:val="00C44907"/>
    <w:rsid w:val="00C45F31"/>
    <w:rsid w:val="00C46580"/>
    <w:rsid w:val="00C511B4"/>
    <w:rsid w:val="00C56C59"/>
    <w:rsid w:val="00C611DB"/>
    <w:rsid w:val="00C61D46"/>
    <w:rsid w:val="00C61EB1"/>
    <w:rsid w:val="00C62696"/>
    <w:rsid w:val="00C715E6"/>
    <w:rsid w:val="00C7392A"/>
    <w:rsid w:val="00C7531F"/>
    <w:rsid w:val="00C75A5C"/>
    <w:rsid w:val="00C82A25"/>
    <w:rsid w:val="00C877DA"/>
    <w:rsid w:val="00C92AB1"/>
    <w:rsid w:val="00C94AD6"/>
    <w:rsid w:val="00C95861"/>
    <w:rsid w:val="00CA1A8D"/>
    <w:rsid w:val="00CA5A3C"/>
    <w:rsid w:val="00CA5F27"/>
    <w:rsid w:val="00CA6488"/>
    <w:rsid w:val="00CB0B4B"/>
    <w:rsid w:val="00CB44A4"/>
    <w:rsid w:val="00CB6220"/>
    <w:rsid w:val="00CB767C"/>
    <w:rsid w:val="00CB7BD7"/>
    <w:rsid w:val="00CC1750"/>
    <w:rsid w:val="00CC51CC"/>
    <w:rsid w:val="00CC6CBE"/>
    <w:rsid w:val="00CD2BFD"/>
    <w:rsid w:val="00CD4EAF"/>
    <w:rsid w:val="00CD5A48"/>
    <w:rsid w:val="00CE04E6"/>
    <w:rsid w:val="00CE17BD"/>
    <w:rsid w:val="00CF327A"/>
    <w:rsid w:val="00CF4DE9"/>
    <w:rsid w:val="00CF7478"/>
    <w:rsid w:val="00D00061"/>
    <w:rsid w:val="00D006C9"/>
    <w:rsid w:val="00D0182D"/>
    <w:rsid w:val="00D06A44"/>
    <w:rsid w:val="00D10359"/>
    <w:rsid w:val="00D12EF4"/>
    <w:rsid w:val="00D15443"/>
    <w:rsid w:val="00D15DD6"/>
    <w:rsid w:val="00D1682E"/>
    <w:rsid w:val="00D20824"/>
    <w:rsid w:val="00D2087D"/>
    <w:rsid w:val="00D243EF"/>
    <w:rsid w:val="00D24B20"/>
    <w:rsid w:val="00D31302"/>
    <w:rsid w:val="00D3579B"/>
    <w:rsid w:val="00D37725"/>
    <w:rsid w:val="00D40E63"/>
    <w:rsid w:val="00D45876"/>
    <w:rsid w:val="00D51694"/>
    <w:rsid w:val="00D51D83"/>
    <w:rsid w:val="00D55812"/>
    <w:rsid w:val="00D63AEC"/>
    <w:rsid w:val="00D671EC"/>
    <w:rsid w:val="00D6752C"/>
    <w:rsid w:val="00D704E8"/>
    <w:rsid w:val="00D73DF7"/>
    <w:rsid w:val="00D7451B"/>
    <w:rsid w:val="00D75808"/>
    <w:rsid w:val="00D84DA9"/>
    <w:rsid w:val="00D8546F"/>
    <w:rsid w:val="00D86369"/>
    <w:rsid w:val="00D86B3F"/>
    <w:rsid w:val="00D909DC"/>
    <w:rsid w:val="00D92545"/>
    <w:rsid w:val="00D948DB"/>
    <w:rsid w:val="00D96B2D"/>
    <w:rsid w:val="00DA0127"/>
    <w:rsid w:val="00DA19D1"/>
    <w:rsid w:val="00DA4E86"/>
    <w:rsid w:val="00DA6A47"/>
    <w:rsid w:val="00DB3E23"/>
    <w:rsid w:val="00DC21BB"/>
    <w:rsid w:val="00DC23DC"/>
    <w:rsid w:val="00DC2677"/>
    <w:rsid w:val="00DC30DC"/>
    <w:rsid w:val="00DC6D0F"/>
    <w:rsid w:val="00DD1796"/>
    <w:rsid w:val="00DD3AB2"/>
    <w:rsid w:val="00DE20CA"/>
    <w:rsid w:val="00DE2B4F"/>
    <w:rsid w:val="00DE3161"/>
    <w:rsid w:val="00DE604E"/>
    <w:rsid w:val="00DE6CE9"/>
    <w:rsid w:val="00DF1815"/>
    <w:rsid w:val="00DF7D42"/>
    <w:rsid w:val="00E010B0"/>
    <w:rsid w:val="00E070E2"/>
    <w:rsid w:val="00E101A0"/>
    <w:rsid w:val="00E109AA"/>
    <w:rsid w:val="00E1273E"/>
    <w:rsid w:val="00E2307B"/>
    <w:rsid w:val="00E30558"/>
    <w:rsid w:val="00E3475B"/>
    <w:rsid w:val="00E365DF"/>
    <w:rsid w:val="00E36FD9"/>
    <w:rsid w:val="00E432C0"/>
    <w:rsid w:val="00E458FC"/>
    <w:rsid w:val="00E46E18"/>
    <w:rsid w:val="00E50259"/>
    <w:rsid w:val="00E54721"/>
    <w:rsid w:val="00E72081"/>
    <w:rsid w:val="00E82D19"/>
    <w:rsid w:val="00E90AF7"/>
    <w:rsid w:val="00E90ED6"/>
    <w:rsid w:val="00E93D0B"/>
    <w:rsid w:val="00E94C12"/>
    <w:rsid w:val="00EB5158"/>
    <w:rsid w:val="00EB5367"/>
    <w:rsid w:val="00EB59B9"/>
    <w:rsid w:val="00EB6C34"/>
    <w:rsid w:val="00EC4053"/>
    <w:rsid w:val="00EC440E"/>
    <w:rsid w:val="00EC723C"/>
    <w:rsid w:val="00ED01D8"/>
    <w:rsid w:val="00ED05DD"/>
    <w:rsid w:val="00ED0E32"/>
    <w:rsid w:val="00ED0EF3"/>
    <w:rsid w:val="00ED3E3B"/>
    <w:rsid w:val="00ED48C3"/>
    <w:rsid w:val="00ED4EAD"/>
    <w:rsid w:val="00ED7300"/>
    <w:rsid w:val="00EE15B7"/>
    <w:rsid w:val="00EE5B49"/>
    <w:rsid w:val="00EE78CD"/>
    <w:rsid w:val="00EF4EA5"/>
    <w:rsid w:val="00EF57EE"/>
    <w:rsid w:val="00EF7289"/>
    <w:rsid w:val="00EF732D"/>
    <w:rsid w:val="00F00CB3"/>
    <w:rsid w:val="00F06A1F"/>
    <w:rsid w:val="00F1044F"/>
    <w:rsid w:val="00F163A8"/>
    <w:rsid w:val="00F16BA2"/>
    <w:rsid w:val="00F17B5F"/>
    <w:rsid w:val="00F2265C"/>
    <w:rsid w:val="00F23B61"/>
    <w:rsid w:val="00F27127"/>
    <w:rsid w:val="00F33BBF"/>
    <w:rsid w:val="00F418F2"/>
    <w:rsid w:val="00F43D5C"/>
    <w:rsid w:val="00F45040"/>
    <w:rsid w:val="00F45FBB"/>
    <w:rsid w:val="00F546C7"/>
    <w:rsid w:val="00F54CA2"/>
    <w:rsid w:val="00F54D25"/>
    <w:rsid w:val="00F556B1"/>
    <w:rsid w:val="00F55918"/>
    <w:rsid w:val="00F57881"/>
    <w:rsid w:val="00F60594"/>
    <w:rsid w:val="00F62A79"/>
    <w:rsid w:val="00F66D14"/>
    <w:rsid w:val="00F72F95"/>
    <w:rsid w:val="00F80EF4"/>
    <w:rsid w:val="00F82E46"/>
    <w:rsid w:val="00F874D8"/>
    <w:rsid w:val="00F96761"/>
    <w:rsid w:val="00FA1994"/>
    <w:rsid w:val="00FA598A"/>
    <w:rsid w:val="00FB0B6D"/>
    <w:rsid w:val="00FC0403"/>
    <w:rsid w:val="00FC0E81"/>
    <w:rsid w:val="00FC2163"/>
    <w:rsid w:val="00FD0B3F"/>
    <w:rsid w:val="00FD159F"/>
    <w:rsid w:val="00FD2C4D"/>
    <w:rsid w:val="00FD2EE6"/>
    <w:rsid w:val="00FD37D9"/>
    <w:rsid w:val="00FD568D"/>
    <w:rsid w:val="00FE148E"/>
    <w:rsid w:val="20F5E4B7"/>
    <w:rsid w:val="2BF303B8"/>
    <w:rsid w:val="2D0D5052"/>
    <w:rsid w:val="3154675B"/>
    <w:rsid w:val="35C1C7C1"/>
    <w:rsid w:val="3807C0C2"/>
    <w:rsid w:val="4FDFB6F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6C185"/>
  <w15:chartTrackingRefBased/>
  <w15:docId w15:val="{3BE5F88D-E7B6-447D-BA8F-01430004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7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90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5F8"/>
    <w:pPr>
      <w:ind w:left="720"/>
      <w:contextualSpacing/>
    </w:pPr>
  </w:style>
  <w:style w:type="character" w:styleId="Hyperlink">
    <w:name w:val="Hyperlink"/>
    <w:basedOn w:val="DefaultParagraphFont"/>
    <w:uiPriority w:val="99"/>
    <w:unhideWhenUsed/>
    <w:rsid w:val="003F75F8"/>
    <w:rPr>
      <w:color w:val="0563C1" w:themeColor="hyperlink"/>
      <w:u w:val="single"/>
    </w:rPr>
  </w:style>
  <w:style w:type="paragraph" w:styleId="NoSpacing">
    <w:name w:val="No Spacing"/>
    <w:uiPriority w:val="1"/>
    <w:qFormat/>
    <w:rsid w:val="00FC2163"/>
    <w:pPr>
      <w:spacing w:after="0" w:line="240" w:lineRule="auto"/>
    </w:pPr>
  </w:style>
  <w:style w:type="paragraph" w:styleId="FootnoteText">
    <w:name w:val="footnote text"/>
    <w:basedOn w:val="Normal"/>
    <w:link w:val="FootnoteTextChar"/>
    <w:uiPriority w:val="99"/>
    <w:semiHidden/>
    <w:unhideWhenUsed/>
    <w:rsid w:val="00B47C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7C52"/>
    <w:rPr>
      <w:sz w:val="20"/>
      <w:szCs w:val="20"/>
    </w:rPr>
  </w:style>
  <w:style w:type="character" w:styleId="FootnoteReference">
    <w:name w:val="footnote reference"/>
    <w:basedOn w:val="DefaultParagraphFont"/>
    <w:uiPriority w:val="99"/>
    <w:semiHidden/>
    <w:unhideWhenUsed/>
    <w:rsid w:val="00B47C52"/>
    <w:rPr>
      <w:vertAlign w:val="superscript"/>
    </w:rPr>
  </w:style>
  <w:style w:type="paragraph" w:styleId="BalloonText">
    <w:name w:val="Balloon Text"/>
    <w:basedOn w:val="Normal"/>
    <w:link w:val="BalloonTextChar"/>
    <w:uiPriority w:val="99"/>
    <w:semiHidden/>
    <w:unhideWhenUsed/>
    <w:rsid w:val="007A19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968"/>
    <w:rPr>
      <w:rFonts w:ascii="Segoe UI" w:hAnsi="Segoe UI" w:cs="Segoe UI"/>
      <w:sz w:val="18"/>
      <w:szCs w:val="18"/>
    </w:rPr>
  </w:style>
  <w:style w:type="character" w:styleId="Emphasis">
    <w:name w:val="Emphasis"/>
    <w:basedOn w:val="DefaultParagraphFont"/>
    <w:uiPriority w:val="20"/>
    <w:qFormat/>
    <w:rsid w:val="003E5424"/>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B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ABF"/>
  </w:style>
  <w:style w:type="paragraph" w:styleId="Footer">
    <w:name w:val="footer"/>
    <w:basedOn w:val="Normal"/>
    <w:link w:val="FooterChar"/>
    <w:uiPriority w:val="99"/>
    <w:unhideWhenUsed/>
    <w:rsid w:val="009B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ABF"/>
  </w:style>
  <w:style w:type="character" w:customStyle="1" w:styleId="Heading1Char">
    <w:name w:val="Heading 1 Char"/>
    <w:basedOn w:val="DefaultParagraphFont"/>
    <w:link w:val="Heading1"/>
    <w:uiPriority w:val="9"/>
    <w:rsid w:val="00F874D8"/>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D7451B"/>
    <w:rPr>
      <w:color w:val="605E5C"/>
      <w:shd w:val="clear" w:color="auto" w:fill="E1DFDD"/>
    </w:rPr>
  </w:style>
  <w:style w:type="character" w:styleId="CommentReference">
    <w:name w:val="annotation reference"/>
    <w:basedOn w:val="DefaultParagraphFont"/>
    <w:uiPriority w:val="99"/>
    <w:semiHidden/>
    <w:unhideWhenUsed/>
    <w:rsid w:val="00150D4C"/>
    <w:rPr>
      <w:sz w:val="16"/>
      <w:szCs w:val="16"/>
    </w:rPr>
  </w:style>
  <w:style w:type="paragraph" w:styleId="CommentText">
    <w:name w:val="annotation text"/>
    <w:basedOn w:val="Normal"/>
    <w:link w:val="CommentTextChar"/>
    <w:uiPriority w:val="99"/>
    <w:semiHidden/>
    <w:unhideWhenUsed/>
    <w:rsid w:val="00150D4C"/>
    <w:pPr>
      <w:spacing w:line="240" w:lineRule="auto"/>
    </w:pPr>
    <w:rPr>
      <w:sz w:val="20"/>
      <w:szCs w:val="20"/>
    </w:rPr>
  </w:style>
  <w:style w:type="character" w:customStyle="1" w:styleId="CommentTextChar">
    <w:name w:val="Comment Text Char"/>
    <w:basedOn w:val="DefaultParagraphFont"/>
    <w:link w:val="CommentText"/>
    <w:uiPriority w:val="99"/>
    <w:semiHidden/>
    <w:rsid w:val="00150D4C"/>
    <w:rPr>
      <w:sz w:val="20"/>
      <w:szCs w:val="20"/>
    </w:rPr>
  </w:style>
  <w:style w:type="paragraph" w:styleId="CommentSubject">
    <w:name w:val="annotation subject"/>
    <w:basedOn w:val="CommentText"/>
    <w:next w:val="CommentText"/>
    <w:link w:val="CommentSubjectChar"/>
    <w:uiPriority w:val="99"/>
    <w:semiHidden/>
    <w:unhideWhenUsed/>
    <w:rsid w:val="00150D4C"/>
    <w:rPr>
      <w:b/>
      <w:bCs/>
    </w:rPr>
  </w:style>
  <w:style w:type="character" w:customStyle="1" w:styleId="CommentSubjectChar">
    <w:name w:val="Comment Subject Char"/>
    <w:basedOn w:val="CommentTextChar"/>
    <w:link w:val="CommentSubject"/>
    <w:uiPriority w:val="99"/>
    <w:semiHidden/>
    <w:rsid w:val="00150D4C"/>
    <w:rPr>
      <w:b/>
      <w:bCs/>
      <w:sz w:val="20"/>
      <w:szCs w:val="20"/>
    </w:rPr>
  </w:style>
  <w:style w:type="character" w:styleId="Strong">
    <w:name w:val="Strong"/>
    <w:basedOn w:val="DefaultParagraphFont"/>
    <w:uiPriority w:val="22"/>
    <w:qFormat/>
    <w:rsid w:val="009C480D"/>
    <w:rPr>
      <w:b/>
      <w:bCs/>
    </w:rPr>
  </w:style>
  <w:style w:type="paragraph" w:styleId="Revision">
    <w:name w:val="Revision"/>
    <w:hidden/>
    <w:uiPriority w:val="99"/>
    <w:semiHidden/>
    <w:rsid w:val="00610B3D"/>
    <w:pPr>
      <w:spacing w:after="0" w:line="240" w:lineRule="auto"/>
    </w:pPr>
  </w:style>
  <w:style w:type="character" w:customStyle="1" w:styleId="Heading2Char">
    <w:name w:val="Heading 2 Char"/>
    <w:basedOn w:val="DefaultParagraphFont"/>
    <w:link w:val="Heading2"/>
    <w:uiPriority w:val="9"/>
    <w:semiHidden/>
    <w:rsid w:val="00990DD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11035"/>
    <w:rPr>
      <w:color w:val="954F72" w:themeColor="followedHyperlink"/>
      <w:u w:val="single"/>
    </w:rPr>
  </w:style>
  <w:style w:type="character" w:customStyle="1" w:styleId="UnresolvedMention2">
    <w:name w:val="Unresolved Mention2"/>
    <w:basedOn w:val="DefaultParagraphFont"/>
    <w:uiPriority w:val="99"/>
    <w:semiHidden/>
    <w:unhideWhenUsed/>
    <w:rsid w:val="004E11E9"/>
    <w:rPr>
      <w:color w:val="605E5C"/>
      <w:shd w:val="clear" w:color="auto" w:fill="E1DFDD"/>
    </w:rPr>
  </w:style>
  <w:style w:type="paragraph" w:styleId="EndnoteText">
    <w:name w:val="endnote text"/>
    <w:basedOn w:val="Normal"/>
    <w:link w:val="EndnoteTextChar"/>
    <w:uiPriority w:val="99"/>
    <w:semiHidden/>
    <w:unhideWhenUsed/>
    <w:rsid w:val="000F61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F6117"/>
    <w:rPr>
      <w:sz w:val="20"/>
      <w:szCs w:val="20"/>
    </w:rPr>
  </w:style>
  <w:style w:type="character" w:styleId="EndnoteReference">
    <w:name w:val="endnote reference"/>
    <w:basedOn w:val="DefaultParagraphFont"/>
    <w:uiPriority w:val="99"/>
    <w:semiHidden/>
    <w:unhideWhenUsed/>
    <w:rsid w:val="000F6117"/>
    <w:rPr>
      <w:vertAlign w:val="superscript"/>
    </w:rPr>
  </w:style>
  <w:style w:type="paragraph" w:styleId="BodyText">
    <w:name w:val="Body Text"/>
    <w:basedOn w:val="Normal"/>
    <w:link w:val="BodyTextChar"/>
    <w:uiPriority w:val="1"/>
    <w:unhideWhenUsed/>
    <w:qFormat/>
    <w:rsid w:val="003E2BB9"/>
    <w:pPr>
      <w:widowControl w:val="0"/>
      <w:spacing w:after="0" w:line="240" w:lineRule="auto"/>
      <w:ind w:left="554"/>
    </w:pPr>
    <w:rPr>
      <w:rFonts w:ascii="Arial" w:eastAsia="Arial" w:hAnsi="Arial"/>
      <w:sz w:val="19"/>
      <w:szCs w:val="19"/>
    </w:rPr>
  </w:style>
  <w:style w:type="character" w:customStyle="1" w:styleId="BodyTextChar">
    <w:name w:val="Body Text Char"/>
    <w:basedOn w:val="DefaultParagraphFont"/>
    <w:link w:val="BodyText"/>
    <w:uiPriority w:val="1"/>
    <w:rsid w:val="003E2BB9"/>
    <w:rPr>
      <w:rFonts w:ascii="Arial" w:eastAsia="Arial" w:hAnsi="Arial"/>
      <w:sz w:val="19"/>
      <w:szCs w:val="19"/>
    </w:rPr>
  </w:style>
  <w:style w:type="paragraph" w:customStyle="1" w:styleId="articlebody-text">
    <w:name w:val="article__body-text"/>
    <w:basedOn w:val="Normal"/>
    <w:rsid w:val="001D47A9"/>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15167">
      <w:bodyDiv w:val="1"/>
      <w:marLeft w:val="0"/>
      <w:marRight w:val="0"/>
      <w:marTop w:val="0"/>
      <w:marBottom w:val="0"/>
      <w:divBdr>
        <w:top w:val="none" w:sz="0" w:space="0" w:color="auto"/>
        <w:left w:val="none" w:sz="0" w:space="0" w:color="auto"/>
        <w:bottom w:val="none" w:sz="0" w:space="0" w:color="auto"/>
        <w:right w:val="none" w:sz="0" w:space="0" w:color="auto"/>
      </w:divBdr>
    </w:div>
    <w:div w:id="74397193">
      <w:bodyDiv w:val="1"/>
      <w:marLeft w:val="0"/>
      <w:marRight w:val="0"/>
      <w:marTop w:val="0"/>
      <w:marBottom w:val="0"/>
      <w:divBdr>
        <w:top w:val="none" w:sz="0" w:space="0" w:color="auto"/>
        <w:left w:val="none" w:sz="0" w:space="0" w:color="auto"/>
        <w:bottom w:val="none" w:sz="0" w:space="0" w:color="auto"/>
        <w:right w:val="none" w:sz="0" w:space="0" w:color="auto"/>
      </w:divBdr>
    </w:div>
    <w:div w:id="91976729">
      <w:bodyDiv w:val="1"/>
      <w:marLeft w:val="0"/>
      <w:marRight w:val="0"/>
      <w:marTop w:val="0"/>
      <w:marBottom w:val="0"/>
      <w:divBdr>
        <w:top w:val="none" w:sz="0" w:space="0" w:color="auto"/>
        <w:left w:val="none" w:sz="0" w:space="0" w:color="auto"/>
        <w:bottom w:val="none" w:sz="0" w:space="0" w:color="auto"/>
        <w:right w:val="none" w:sz="0" w:space="0" w:color="auto"/>
      </w:divBdr>
    </w:div>
    <w:div w:id="93479691">
      <w:bodyDiv w:val="1"/>
      <w:marLeft w:val="0"/>
      <w:marRight w:val="0"/>
      <w:marTop w:val="0"/>
      <w:marBottom w:val="0"/>
      <w:divBdr>
        <w:top w:val="none" w:sz="0" w:space="0" w:color="auto"/>
        <w:left w:val="none" w:sz="0" w:space="0" w:color="auto"/>
        <w:bottom w:val="none" w:sz="0" w:space="0" w:color="auto"/>
        <w:right w:val="none" w:sz="0" w:space="0" w:color="auto"/>
      </w:divBdr>
    </w:div>
    <w:div w:id="263077772">
      <w:bodyDiv w:val="1"/>
      <w:marLeft w:val="0"/>
      <w:marRight w:val="0"/>
      <w:marTop w:val="0"/>
      <w:marBottom w:val="0"/>
      <w:divBdr>
        <w:top w:val="none" w:sz="0" w:space="0" w:color="auto"/>
        <w:left w:val="none" w:sz="0" w:space="0" w:color="auto"/>
        <w:bottom w:val="none" w:sz="0" w:space="0" w:color="auto"/>
        <w:right w:val="none" w:sz="0" w:space="0" w:color="auto"/>
      </w:divBdr>
      <w:divsChild>
        <w:div w:id="1346635914">
          <w:marLeft w:val="0"/>
          <w:marRight w:val="0"/>
          <w:marTop w:val="0"/>
          <w:marBottom w:val="0"/>
          <w:divBdr>
            <w:top w:val="none" w:sz="0" w:space="0" w:color="auto"/>
            <w:left w:val="none" w:sz="0" w:space="0" w:color="auto"/>
            <w:bottom w:val="none" w:sz="0" w:space="0" w:color="auto"/>
            <w:right w:val="none" w:sz="0" w:space="0" w:color="auto"/>
          </w:divBdr>
        </w:div>
      </w:divsChild>
    </w:div>
    <w:div w:id="339044971">
      <w:bodyDiv w:val="1"/>
      <w:marLeft w:val="0"/>
      <w:marRight w:val="0"/>
      <w:marTop w:val="0"/>
      <w:marBottom w:val="0"/>
      <w:divBdr>
        <w:top w:val="none" w:sz="0" w:space="0" w:color="auto"/>
        <w:left w:val="none" w:sz="0" w:space="0" w:color="auto"/>
        <w:bottom w:val="none" w:sz="0" w:space="0" w:color="auto"/>
        <w:right w:val="none" w:sz="0" w:space="0" w:color="auto"/>
      </w:divBdr>
    </w:div>
    <w:div w:id="468015854">
      <w:bodyDiv w:val="1"/>
      <w:marLeft w:val="0"/>
      <w:marRight w:val="0"/>
      <w:marTop w:val="0"/>
      <w:marBottom w:val="0"/>
      <w:divBdr>
        <w:top w:val="none" w:sz="0" w:space="0" w:color="auto"/>
        <w:left w:val="none" w:sz="0" w:space="0" w:color="auto"/>
        <w:bottom w:val="none" w:sz="0" w:space="0" w:color="auto"/>
        <w:right w:val="none" w:sz="0" w:space="0" w:color="auto"/>
      </w:divBdr>
    </w:div>
    <w:div w:id="469636606">
      <w:bodyDiv w:val="1"/>
      <w:marLeft w:val="0"/>
      <w:marRight w:val="0"/>
      <w:marTop w:val="0"/>
      <w:marBottom w:val="0"/>
      <w:divBdr>
        <w:top w:val="none" w:sz="0" w:space="0" w:color="auto"/>
        <w:left w:val="none" w:sz="0" w:space="0" w:color="auto"/>
        <w:bottom w:val="none" w:sz="0" w:space="0" w:color="auto"/>
        <w:right w:val="none" w:sz="0" w:space="0" w:color="auto"/>
      </w:divBdr>
      <w:divsChild>
        <w:div w:id="1974603539">
          <w:marLeft w:val="0"/>
          <w:marRight w:val="0"/>
          <w:marTop w:val="0"/>
          <w:marBottom w:val="0"/>
          <w:divBdr>
            <w:top w:val="none" w:sz="0" w:space="0" w:color="auto"/>
            <w:left w:val="none" w:sz="0" w:space="0" w:color="auto"/>
            <w:bottom w:val="none" w:sz="0" w:space="0" w:color="auto"/>
            <w:right w:val="none" w:sz="0" w:space="0" w:color="auto"/>
          </w:divBdr>
        </w:div>
        <w:div w:id="1316569473">
          <w:marLeft w:val="0"/>
          <w:marRight w:val="0"/>
          <w:marTop w:val="0"/>
          <w:marBottom w:val="0"/>
          <w:divBdr>
            <w:top w:val="none" w:sz="0" w:space="0" w:color="auto"/>
            <w:left w:val="none" w:sz="0" w:space="0" w:color="auto"/>
            <w:bottom w:val="none" w:sz="0" w:space="0" w:color="auto"/>
            <w:right w:val="none" w:sz="0" w:space="0" w:color="auto"/>
          </w:divBdr>
        </w:div>
        <w:div w:id="431324040">
          <w:marLeft w:val="0"/>
          <w:marRight w:val="0"/>
          <w:marTop w:val="0"/>
          <w:marBottom w:val="0"/>
          <w:divBdr>
            <w:top w:val="none" w:sz="0" w:space="0" w:color="auto"/>
            <w:left w:val="none" w:sz="0" w:space="0" w:color="auto"/>
            <w:bottom w:val="none" w:sz="0" w:space="0" w:color="auto"/>
            <w:right w:val="none" w:sz="0" w:space="0" w:color="auto"/>
          </w:divBdr>
        </w:div>
        <w:div w:id="1218738306">
          <w:marLeft w:val="0"/>
          <w:marRight w:val="0"/>
          <w:marTop w:val="0"/>
          <w:marBottom w:val="0"/>
          <w:divBdr>
            <w:top w:val="none" w:sz="0" w:space="0" w:color="auto"/>
            <w:left w:val="none" w:sz="0" w:space="0" w:color="auto"/>
            <w:bottom w:val="none" w:sz="0" w:space="0" w:color="auto"/>
            <w:right w:val="none" w:sz="0" w:space="0" w:color="auto"/>
          </w:divBdr>
        </w:div>
        <w:div w:id="1212614866">
          <w:marLeft w:val="0"/>
          <w:marRight w:val="0"/>
          <w:marTop w:val="0"/>
          <w:marBottom w:val="0"/>
          <w:divBdr>
            <w:top w:val="none" w:sz="0" w:space="0" w:color="auto"/>
            <w:left w:val="none" w:sz="0" w:space="0" w:color="auto"/>
            <w:bottom w:val="none" w:sz="0" w:space="0" w:color="auto"/>
            <w:right w:val="none" w:sz="0" w:space="0" w:color="auto"/>
          </w:divBdr>
        </w:div>
        <w:div w:id="1737821142">
          <w:marLeft w:val="0"/>
          <w:marRight w:val="0"/>
          <w:marTop w:val="0"/>
          <w:marBottom w:val="0"/>
          <w:divBdr>
            <w:top w:val="none" w:sz="0" w:space="0" w:color="auto"/>
            <w:left w:val="none" w:sz="0" w:space="0" w:color="auto"/>
            <w:bottom w:val="none" w:sz="0" w:space="0" w:color="auto"/>
            <w:right w:val="none" w:sz="0" w:space="0" w:color="auto"/>
          </w:divBdr>
        </w:div>
      </w:divsChild>
    </w:div>
    <w:div w:id="481384063">
      <w:bodyDiv w:val="1"/>
      <w:marLeft w:val="0"/>
      <w:marRight w:val="0"/>
      <w:marTop w:val="0"/>
      <w:marBottom w:val="0"/>
      <w:divBdr>
        <w:top w:val="none" w:sz="0" w:space="0" w:color="auto"/>
        <w:left w:val="none" w:sz="0" w:space="0" w:color="auto"/>
        <w:bottom w:val="none" w:sz="0" w:space="0" w:color="auto"/>
        <w:right w:val="none" w:sz="0" w:space="0" w:color="auto"/>
      </w:divBdr>
    </w:div>
    <w:div w:id="539558033">
      <w:bodyDiv w:val="1"/>
      <w:marLeft w:val="0"/>
      <w:marRight w:val="0"/>
      <w:marTop w:val="0"/>
      <w:marBottom w:val="0"/>
      <w:divBdr>
        <w:top w:val="none" w:sz="0" w:space="0" w:color="auto"/>
        <w:left w:val="none" w:sz="0" w:space="0" w:color="auto"/>
        <w:bottom w:val="none" w:sz="0" w:space="0" w:color="auto"/>
        <w:right w:val="none" w:sz="0" w:space="0" w:color="auto"/>
      </w:divBdr>
    </w:div>
    <w:div w:id="573861463">
      <w:bodyDiv w:val="1"/>
      <w:marLeft w:val="0"/>
      <w:marRight w:val="0"/>
      <w:marTop w:val="0"/>
      <w:marBottom w:val="0"/>
      <w:divBdr>
        <w:top w:val="none" w:sz="0" w:space="0" w:color="auto"/>
        <w:left w:val="none" w:sz="0" w:space="0" w:color="auto"/>
        <w:bottom w:val="none" w:sz="0" w:space="0" w:color="auto"/>
        <w:right w:val="none" w:sz="0" w:space="0" w:color="auto"/>
      </w:divBdr>
    </w:div>
    <w:div w:id="583145127">
      <w:bodyDiv w:val="1"/>
      <w:marLeft w:val="0"/>
      <w:marRight w:val="0"/>
      <w:marTop w:val="0"/>
      <w:marBottom w:val="0"/>
      <w:divBdr>
        <w:top w:val="none" w:sz="0" w:space="0" w:color="auto"/>
        <w:left w:val="none" w:sz="0" w:space="0" w:color="auto"/>
        <w:bottom w:val="none" w:sz="0" w:space="0" w:color="auto"/>
        <w:right w:val="none" w:sz="0" w:space="0" w:color="auto"/>
      </w:divBdr>
    </w:div>
    <w:div w:id="592982391">
      <w:bodyDiv w:val="1"/>
      <w:marLeft w:val="0"/>
      <w:marRight w:val="0"/>
      <w:marTop w:val="0"/>
      <w:marBottom w:val="0"/>
      <w:divBdr>
        <w:top w:val="none" w:sz="0" w:space="0" w:color="auto"/>
        <w:left w:val="none" w:sz="0" w:space="0" w:color="auto"/>
        <w:bottom w:val="none" w:sz="0" w:space="0" w:color="auto"/>
        <w:right w:val="none" w:sz="0" w:space="0" w:color="auto"/>
      </w:divBdr>
    </w:div>
    <w:div w:id="639965591">
      <w:bodyDiv w:val="1"/>
      <w:marLeft w:val="0"/>
      <w:marRight w:val="0"/>
      <w:marTop w:val="0"/>
      <w:marBottom w:val="0"/>
      <w:divBdr>
        <w:top w:val="none" w:sz="0" w:space="0" w:color="auto"/>
        <w:left w:val="none" w:sz="0" w:space="0" w:color="auto"/>
        <w:bottom w:val="none" w:sz="0" w:space="0" w:color="auto"/>
        <w:right w:val="none" w:sz="0" w:space="0" w:color="auto"/>
      </w:divBdr>
    </w:div>
    <w:div w:id="781997323">
      <w:bodyDiv w:val="1"/>
      <w:marLeft w:val="0"/>
      <w:marRight w:val="0"/>
      <w:marTop w:val="0"/>
      <w:marBottom w:val="0"/>
      <w:divBdr>
        <w:top w:val="none" w:sz="0" w:space="0" w:color="auto"/>
        <w:left w:val="none" w:sz="0" w:space="0" w:color="auto"/>
        <w:bottom w:val="none" w:sz="0" w:space="0" w:color="auto"/>
        <w:right w:val="none" w:sz="0" w:space="0" w:color="auto"/>
      </w:divBdr>
    </w:div>
    <w:div w:id="889338408">
      <w:bodyDiv w:val="1"/>
      <w:marLeft w:val="0"/>
      <w:marRight w:val="0"/>
      <w:marTop w:val="0"/>
      <w:marBottom w:val="0"/>
      <w:divBdr>
        <w:top w:val="none" w:sz="0" w:space="0" w:color="auto"/>
        <w:left w:val="none" w:sz="0" w:space="0" w:color="auto"/>
        <w:bottom w:val="none" w:sz="0" w:space="0" w:color="auto"/>
        <w:right w:val="none" w:sz="0" w:space="0" w:color="auto"/>
      </w:divBdr>
    </w:div>
    <w:div w:id="905871245">
      <w:bodyDiv w:val="1"/>
      <w:marLeft w:val="0"/>
      <w:marRight w:val="0"/>
      <w:marTop w:val="0"/>
      <w:marBottom w:val="0"/>
      <w:divBdr>
        <w:top w:val="none" w:sz="0" w:space="0" w:color="auto"/>
        <w:left w:val="none" w:sz="0" w:space="0" w:color="auto"/>
        <w:bottom w:val="none" w:sz="0" w:space="0" w:color="auto"/>
        <w:right w:val="none" w:sz="0" w:space="0" w:color="auto"/>
      </w:divBdr>
    </w:div>
    <w:div w:id="936257154">
      <w:bodyDiv w:val="1"/>
      <w:marLeft w:val="0"/>
      <w:marRight w:val="0"/>
      <w:marTop w:val="0"/>
      <w:marBottom w:val="0"/>
      <w:divBdr>
        <w:top w:val="none" w:sz="0" w:space="0" w:color="auto"/>
        <w:left w:val="none" w:sz="0" w:space="0" w:color="auto"/>
        <w:bottom w:val="none" w:sz="0" w:space="0" w:color="auto"/>
        <w:right w:val="none" w:sz="0" w:space="0" w:color="auto"/>
      </w:divBdr>
    </w:div>
    <w:div w:id="944852120">
      <w:bodyDiv w:val="1"/>
      <w:marLeft w:val="0"/>
      <w:marRight w:val="0"/>
      <w:marTop w:val="0"/>
      <w:marBottom w:val="0"/>
      <w:divBdr>
        <w:top w:val="none" w:sz="0" w:space="0" w:color="auto"/>
        <w:left w:val="none" w:sz="0" w:space="0" w:color="auto"/>
        <w:bottom w:val="none" w:sz="0" w:space="0" w:color="auto"/>
        <w:right w:val="none" w:sz="0" w:space="0" w:color="auto"/>
      </w:divBdr>
    </w:div>
    <w:div w:id="1024861762">
      <w:bodyDiv w:val="1"/>
      <w:marLeft w:val="0"/>
      <w:marRight w:val="0"/>
      <w:marTop w:val="0"/>
      <w:marBottom w:val="0"/>
      <w:divBdr>
        <w:top w:val="none" w:sz="0" w:space="0" w:color="auto"/>
        <w:left w:val="none" w:sz="0" w:space="0" w:color="auto"/>
        <w:bottom w:val="none" w:sz="0" w:space="0" w:color="auto"/>
        <w:right w:val="none" w:sz="0" w:space="0" w:color="auto"/>
      </w:divBdr>
    </w:div>
    <w:div w:id="1050613383">
      <w:bodyDiv w:val="1"/>
      <w:marLeft w:val="0"/>
      <w:marRight w:val="0"/>
      <w:marTop w:val="0"/>
      <w:marBottom w:val="0"/>
      <w:divBdr>
        <w:top w:val="none" w:sz="0" w:space="0" w:color="auto"/>
        <w:left w:val="none" w:sz="0" w:space="0" w:color="auto"/>
        <w:bottom w:val="none" w:sz="0" w:space="0" w:color="auto"/>
        <w:right w:val="none" w:sz="0" w:space="0" w:color="auto"/>
      </w:divBdr>
    </w:div>
    <w:div w:id="1103182427">
      <w:bodyDiv w:val="1"/>
      <w:marLeft w:val="0"/>
      <w:marRight w:val="0"/>
      <w:marTop w:val="0"/>
      <w:marBottom w:val="0"/>
      <w:divBdr>
        <w:top w:val="none" w:sz="0" w:space="0" w:color="auto"/>
        <w:left w:val="none" w:sz="0" w:space="0" w:color="auto"/>
        <w:bottom w:val="none" w:sz="0" w:space="0" w:color="auto"/>
        <w:right w:val="none" w:sz="0" w:space="0" w:color="auto"/>
      </w:divBdr>
    </w:div>
    <w:div w:id="1270309873">
      <w:bodyDiv w:val="1"/>
      <w:marLeft w:val="0"/>
      <w:marRight w:val="0"/>
      <w:marTop w:val="0"/>
      <w:marBottom w:val="0"/>
      <w:divBdr>
        <w:top w:val="none" w:sz="0" w:space="0" w:color="auto"/>
        <w:left w:val="none" w:sz="0" w:space="0" w:color="auto"/>
        <w:bottom w:val="none" w:sz="0" w:space="0" w:color="auto"/>
        <w:right w:val="none" w:sz="0" w:space="0" w:color="auto"/>
      </w:divBdr>
    </w:div>
    <w:div w:id="1352102292">
      <w:bodyDiv w:val="1"/>
      <w:marLeft w:val="0"/>
      <w:marRight w:val="0"/>
      <w:marTop w:val="0"/>
      <w:marBottom w:val="0"/>
      <w:divBdr>
        <w:top w:val="none" w:sz="0" w:space="0" w:color="auto"/>
        <w:left w:val="none" w:sz="0" w:space="0" w:color="auto"/>
        <w:bottom w:val="none" w:sz="0" w:space="0" w:color="auto"/>
        <w:right w:val="none" w:sz="0" w:space="0" w:color="auto"/>
      </w:divBdr>
    </w:div>
    <w:div w:id="1599559698">
      <w:bodyDiv w:val="1"/>
      <w:marLeft w:val="0"/>
      <w:marRight w:val="0"/>
      <w:marTop w:val="0"/>
      <w:marBottom w:val="0"/>
      <w:divBdr>
        <w:top w:val="none" w:sz="0" w:space="0" w:color="auto"/>
        <w:left w:val="none" w:sz="0" w:space="0" w:color="auto"/>
        <w:bottom w:val="none" w:sz="0" w:space="0" w:color="auto"/>
        <w:right w:val="none" w:sz="0" w:space="0" w:color="auto"/>
      </w:divBdr>
    </w:div>
    <w:div w:id="1650015923">
      <w:bodyDiv w:val="1"/>
      <w:marLeft w:val="0"/>
      <w:marRight w:val="0"/>
      <w:marTop w:val="0"/>
      <w:marBottom w:val="0"/>
      <w:divBdr>
        <w:top w:val="none" w:sz="0" w:space="0" w:color="auto"/>
        <w:left w:val="none" w:sz="0" w:space="0" w:color="auto"/>
        <w:bottom w:val="none" w:sz="0" w:space="0" w:color="auto"/>
        <w:right w:val="none" w:sz="0" w:space="0" w:color="auto"/>
      </w:divBdr>
    </w:div>
    <w:div w:id="1783920932">
      <w:bodyDiv w:val="1"/>
      <w:marLeft w:val="0"/>
      <w:marRight w:val="0"/>
      <w:marTop w:val="0"/>
      <w:marBottom w:val="0"/>
      <w:divBdr>
        <w:top w:val="none" w:sz="0" w:space="0" w:color="auto"/>
        <w:left w:val="none" w:sz="0" w:space="0" w:color="auto"/>
        <w:bottom w:val="none" w:sz="0" w:space="0" w:color="auto"/>
        <w:right w:val="none" w:sz="0" w:space="0" w:color="auto"/>
      </w:divBdr>
    </w:div>
    <w:div w:id="1864242473">
      <w:bodyDiv w:val="1"/>
      <w:marLeft w:val="0"/>
      <w:marRight w:val="0"/>
      <w:marTop w:val="0"/>
      <w:marBottom w:val="0"/>
      <w:divBdr>
        <w:top w:val="none" w:sz="0" w:space="0" w:color="auto"/>
        <w:left w:val="none" w:sz="0" w:space="0" w:color="auto"/>
        <w:bottom w:val="none" w:sz="0" w:space="0" w:color="auto"/>
        <w:right w:val="none" w:sz="0" w:space="0" w:color="auto"/>
      </w:divBdr>
    </w:div>
    <w:div w:id="2066484373">
      <w:bodyDiv w:val="1"/>
      <w:marLeft w:val="0"/>
      <w:marRight w:val="0"/>
      <w:marTop w:val="0"/>
      <w:marBottom w:val="0"/>
      <w:divBdr>
        <w:top w:val="none" w:sz="0" w:space="0" w:color="auto"/>
        <w:left w:val="none" w:sz="0" w:space="0" w:color="auto"/>
        <w:bottom w:val="none" w:sz="0" w:space="0" w:color="auto"/>
        <w:right w:val="none" w:sz="0" w:space="0" w:color="auto"/>
      </w:divBdr>
    </w:div>
    <w:div w:id="211146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hyperlink" Target="https://doi.org/10.1038/s41562-021-01122-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owid/covid-19-data/tree/master/public/data" TargetMode="External"/><Relationship Id="rId17" Type="http://schemas.openxmlformats.org/officeDocument/2006/relationships/hyperlink" Target="https://www.nature.com/articles/s41562-021-01079-8" TargetMode="External"/><Relationship Id="rId2" Type="http://schemas.openxmlformats.org/officeDocument/2006/relationships/numbering" Target="numbering.xml"/><Relationship Id="rId16" Type="http://schemas.openxmlformats.org/officeDocument/2006/relationships/hyperlink" Target="https://github.com/TheEconomist/covid-19-excess-deaths-track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pulation.un.org/wup/DataQuery/" TargetMode="External"/><Relationship Id="rId5" Type="http://schemas.openxmlformats.org/officeDocument/2006/relationships/webSettings" Target="webSettings.xml"/><Relationship Id="rId15" Type="http://schemas.openxmlformats.org/officeDocument/2006/relationships/hyperlink" Target="https://github.com/owid/Covid-19-data/tree/master/public/data" TargetMode="External"/><Relationship Id="rId10" Type="http://schemas.openxmlformats.org/officeDocument/2006/relationships/hyperlink" Target="https://www.economist.com/graphic-detail/2021/11/02/the-number-of-people-who-have-died-from-covid-19-is-likely-to-be-close-to-17m" TargetMode="External"/><Relationship Id="rId19" Type="http://schemas.openxmlformats.org/officeDocument/2006/relationships/hyperlink" Target="https://www.economist.com/graphic-detail/2021/11/02/the-number-of-people-who-have-died-from-covid-19-is-likely-to-be-close-to-17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urworldindata.org/covid-excess-mortality" TargetMode="External"/><Relationship Id="rId22" Type="http://schemas.openxmlformats.org/officeDocument/2006/relationships/theme" Target="theme/theme1.xml"/><Relationship Id="Rd192c2d967ca40fd" Type="http://schemas.microsoft.com/office/2019/09/relationships/intelligence" Target="intelligence.xml"/></Relationships>
</file>

<file path=word/_rels/footnotes.xml.rels><?xml version="1.0" encoding="UTF-8" standalone="yes"?>
<Relationships xmlns="http://schemas.openxmlformats.org/package/2006/relationships"><Relationship Id="rId3" Type="http://schemas.openxmlformats.org/officeDocument/2006/relationships/hyperlink" Target="mailto:WXin@imf.org" TargetMode="External"/><Relationship Id="rId2" Type="http://schemas.openxmlformats.org/officeDocument/2006/relationships/hyperlink" Target="mailto:alexcuk@tauex.tau.ac.il" TargetMode="External"/><Relationship Id="rId1" Type="http://schemas.openxmlformats.org/officeDocument/2006/relationships/hyperlink" Target="mailto:aizenman@usc.edu" TargetMode="External"/><Relationship Id="rId5" Type="http://schemas.openxmlformats.org/officeDocument/2006/relationships/hyperlink" Target="https://www.economist.com/briefing/2021/05/15/there-have-been-7m-13m-excess-deaths-worldwide-during-the-pandemic" TargetMode="External"/><Relationship Id="rId4" Type="http://schemas.openxmlformats.org/officeDocument/2006/relationships/hyperlink" Target="https://github.com/snairdesai/COVIDMorta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35F07-F562-4CE8-A2F3-BDC45F418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6898</Words>
  <Characters>39324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USC Dornsife College</Company>
  <LinksUpToDate>false</LinksUpToDate>
  <CharactersWithSpaces>46130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Aizenman</dc:creator>
  <cp:keywords/>
  <dc:description/>
  <cp:lastModifiedBy>Nair-Desai, Sameer</cp:lastModifiedBy>
  <cp:revision>2</cp:revision>
  <cp:lastPrinted>2022-02-05T12:26:00Z</cp:lastPrinted>
  <dcterms:created xsi:type="dcterms:W3CDTF">2022-06-30T02:29:00Z</dcterms:created>
  <dcterms:modified xsi:type="dcterms:W3CDTF">2022-06-30T02:29:00Z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documentId_909</vt:lpwstr>
  </property>
  <property fmtid="{D5CDD505-2E9C-101B-9397-08002B2CF9AE}" pid="3" name="grammarly_documentContext">
    <vt:lpwstr>{"goals":[],"domain":"general","emotions":[],"dialect":"american"}</vt:lpwstr>
  </property>
  <property fmtid="{D5CDD505-2E9C-101B-9397-08002B2CF9AE}" pid="4" name="MSIP_Label_817d4574-7375-4d17-b29c-6e4c6df0fcb0_Enabled">
    <vt:lpwstr>true</vt:lpwstr>
  </property>
  <property fmtid="{D5CDD505-2E9C-101B-9397-08002B2CF9AE}" pid="5" name="MSIP_Label_817d4574-7375-4d17-b29c-6e4c6df0fcb0_SetDate">
    <vt:lpwstr>2022-02-10T13:21:03Z</vt:lpwstr>
  </property>
  <property fmtid="{D5CDD505-2E9C-101B-9397-08002B2CF9AE}" pid="6" name="MSIP_Label_817d4574-7375-4d17-b29c-6e4c6df0fcb0_Method">
    <vt:lpwstr>Standard</vt:lpwstr>
  </property>
  <property fmtid="{D5CDD505-2E9C-101B-9397-08002B2CF9AE}" pid="7" name="MSIP_Label_817d4574-7375-4d17-b29c-6e4c6df0fcb0_Name">
    <vt:lpwstr>ADB Internal</vt:lpwstr>
  </property>
  <property fmtid="{D5CDD505-2E9C-101B-9397-08002B2CF9AE}" pid="8" name="MSIP_Label_817d4574-7375-4d17-b29c-6e4c6df0fcb0_SiteId">
    <vt:lpwstr>9495d6bb-41c2-4c58-848f-92e52cf3d640</vt:lpwstr>
  </property>
  <property fmtid="{D5CDD505-2E9C-101B-9397-08002B2CF9AE}" pid="9" name="MSIP_Label_817d4574-7375-4d17-b29c-6e4c6df0fcb0_ActionId">
    <vt:lpwstr>cb0f2228-4e1d-4f70-8b4a-642adcd35ee4</vt:lpwstr>
  </property>
  <property fmtid="{D5CDD505-2E9C-101B-9397-08002B2CF9AE}" pid="10" name="MSIP_Label_817d4574-7375-4d17-b29c-6e4c6df0fcb0_ContentBits">
    <vt:lpwstr>2</vt:lpwstr>
  </property>
</Properties>
</file>