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ascii="Helvetica" w:hAnsi="Helvetica" w:cs="Helvetica"/>
          <w:sz w:val="22"/>
          <w:szCs w:val="22"/>
        </w:rPr>
        <w:id w:val="1260100634"/>
        <w:docPartObj>
          <w:docPartGallery w:val="Table of Contents"/>
          <w:docPartUnique/>
        </w:docPartObj>
      </w:sdtPr>
      <w:sdtEndPr>
        <w:rPr>
          <w:b/>
          <w:bCs/>
          <w:noProof/>
        </w:rPr>
      </w:sdtEndPr>
      <w:sdtContent>
        <w:p w14:paraId="2DA5F479" w14:textId="7BC7372B" w:rsidR="00D91F4C" w:rsidRPr="009E13BE" w:rsidRDefault="00D91F4C" w:rsidP="00D91F4C">
          <w:pPr>
            <w:spacing w:line="480" w:lineRule="auto"/>
            <w:rPr>
              <w:rFonts w:ascii="Helvetica" w:hAnsi="Helvetica" w:cs="Helvetica"/>
            </w:rPr>
          </w:pPr>
          <w:r w:rsidRPr="009E13BE">
            <w:rPr>
              <w:rFonts w:ascii="Helvetica" w:hAnsi="Helvetica" w:cs="Helvetica"/>
            </w:rPr>
            <w:t xml:space="preserve">Drivers of stunting reduction in </w:t>
          </w:r>
          <w:r>
            <w:rPr>
              <w:rFonts w:ascii="Helvetica" w:hAnsi="Helvetica" w:cs="Helvetica"/>
            </w:rPr>
            <w:t>Peru</w:t>
          </w:r>
          <w:r w:rsidRPr="009E13BE">
            <w:rPr>
              <w:rFonts w:ascii="Helvetica" w:hAnsi="Helvetica" w:cs="Helvetica"/>
            </w:rPr>
            <w:t>: a country case study</w:t>
          </w:r>
        </w:p>
        <w:p w14:paraId="52A07F6D" w14:textId="25BFF4A6" w:rsidR="00D91F4C" w:rsidRPr="009E13BE" w:rsidRDefault="00D91F4C" w:rsidP="00D91F4C">
          <w:pPr>
            <w:rPr>
              <w:rFonts w:ascii="Helvetica" w:hAnsi="Helvetica" w:cs="Helvetica"/>
            </w:rPr>
          </w:pPr>
          <w:r w:rsidRPr="009E13BE">
            <w:rPr>
              <w:rFonts w:ascii="Helvetica" w:hAnsi="Helvetica" w:cs="Helvetica"/>
            </w:rPr>
            <w:t>Author</w:t>
          </w:r>
          <w:r>
            <w:rPr>
              <w:rFonts w:ascii="Helvetica" w:hAnsi="Helvetica" w:cs="Helvetica"/>
            </w:rPr>
            <w:t>s</w:t>
          </w:r>
          <w:r w:rsidRPr="009E13BE">
            <w:rPr>
              <w:rFonts w:ascii="Helvetica" w:hAnsi="Helvetica" w:cs="Helvetica"/>
            </w:rPr>
            <w:t xml:space="preserve">: </w:t>
          </w:r>
          <w:r w:rsidRPr="005A012D">
            <w:rPr>
              <w:rFonts w:ascii="Helvetica" w:hAnsi="Helvetica" w:cs="Helvetica"/>
              <w:lang w:val="en-US"/>
            </w:rPr>
            <w:t>Luis Huicho, Elisa Vidal</w:t>
          </w:r>
          <w:r w:rsidRPr="005A012D">
            <w:rPr>
              <w:rFonts w:ascii="Helvetica" w:hAnsi="Helvetica" w:cs="Helvetica"/>
            </w:rPr>
            <w:t xml:space="preserve"> -Cárdenas</w:t>
          </w:r>
          <w:r w:rsidRPr="005A012D">
            <w:rPr>
              <w:rFonts w:ascii="Helvetica" w:hAnsi="Helvetica" w:cs="Helvetica"/>
              <w:lang w:val="en-US"/>
            </w:rPr>
            <w:t xml:space="preserve">, </w:t>
          </w:r>
          <w:r>
            <w:rPr>
              <w:rFonts w:ascii="Helvetica" w:hAnsi="Helvetica" w:cs="Helvetica"/>
              <w:lang w:val="en-US"/>
            </w:rPr>
            <w:t xml:space="preserve">Nadia Akseer, </w:t>
          </w:r>
          <w:r w:rsidRPr="00D7581A">
            <w:rPr>
              <w:rFonts w:ascii="Helvetica" w:hAnsi="Helvetica" w:cs="Helvetica"/>
            </w:rPr>
            <w:t>Samanpreet Brar</w:t>
          </w:r>
          <w:r>
            <w:rPr>
              <w:rFonts w:ascii="Helvetica" w:hAnsi="Helvetica" w:cs="Helvetica"/>
            </w:rPr>
            <w:t xml:space="preserve">, Kaitlin </w:t>
          </w:r>
          <w:r w:rsidRPr="001B732D">
            <w:rPr>
              <w:rFonts w:ascii="Helvetica" w:hAnsi="Helvetica" w:cs="Helvetica"/>
            </w:rPr>
            <w:t>Conway</w:t>
          </w:r>
          <w:r>
            <w:rPr>
              <w:rFonts w:ascii="Helvetica" w:hAnsi="Helvetica" w:cs="Helvetica"/>
            </w:rPr>
            <w:t xml:space="preserve">, Muhammad Islam, Elisa Juarez, Aviva Rappaport, </w:t>
          </w:r>
          <w:r w:rsidRPr="001B732D">
            <w:rPr>
              <w:rFonts w:ascii="Helvetica" w:hAnsi="Helvetica" w:cs="Helvetica"/>
            </w:rPr>
            <w:t>Hana</w:t>
          </w:r>
          <w:r>
            <w:rPr>
              <w:rFonts w:ascii="Helvetica" w:hAnsi="Helvetica" w:cs="Helvetica"/>
            </w:rPr>
            <w:t xml:space="preserve"> Tasic, Tyler Vaivada, </w:t>
          </w:r>
          <w:r w:rsidRPr="00405BAD">
            <w:rPr>
              <w:rFonts w:ascii="Helvetica" w:hAnsi="Helvetica" w:cs="Helvetica"/>
            </w:rPr>
            <w:t>Jannah</w:t>
          </w:r>
          <w:r>
            <w:rPr>
              <w:rFonts w:ascii="Helvetica" w:hAnsi="Helvetica" w:cs="Helvetica"/>
            </w:rPr>
            <w:t xml:space="preserve"> Wigle, </w:t>
          </w:r>
          <w:r w:rsidRPr="00D7581A">
            <w:rPr>
              <w:rFonts w:ascii="Helvetica" w:hAnsi="Helvetica" w:cs="Helvetica"/>
            </w:rPr>
            <w:t>Dr. Zulfiqar Bhutta</w:t>
          </w:r>
        </w:p>
        <w:p w14:paraId="1D31FE82" w14:textId="77777777" w:rsidR="00D91F4C" w:rsidRDefault="00D91F4C" w:rsidP="0090198D">
          <w:pPr>
            <w:spacing w:after="100"/>
            <w:rPr>
              <w:rFonts w:ascii="Helvetica" w:hAnsi="Helvetica" w:cs="Helvetica"/>
              <w:sz w:val="22"/>
              <w:szCs w:val="22"/>
            </w:rPr>
          </w:pPr>
        </w:p>
        <w:p w14:paraId="17F3B235" w14:textId="77777777" w:rsidR="00D91F4C" w:rsidRDefault="00D91F4C" w:rsidP="0090198D">
          <w:pPr>
            <w:spacing w:after="100"/>
            <w:rPr>
              <w:rFonts w:ascii="Helvetica" w:hAnsi="Helvetica" w:cs="Helvetica"/>
              <w:sz w:val="22"/>
              <w:szCs w:val="22"/>
            </w:rPr>
          </w:pPr>
        </w:p>
        <w:p w14:paraId="0CA3C0DD" w14:textId="77777777" w:rsidR="00D91F4C" w:rsidRDefault="00D91F4C" w:rsidP="0090198D">
          <w:pPr>
            <w:spacing w:after="100"/>
            <w:rPr>
              <w:rFonts w:ascii="Helvetica" w:hAnsi="Helvetica" w:cs="Helvetica"/>
              <w:sz w:val="22"/>
              <w:szCs w:val="22"/>
            </w:rPr>
          </w:pPr>
        </w:p>
        <w:p w14:paraId="581E4369" w14:textId="77777777" w:rsidR="00D91F4C" w:rsidRDefault="00D91F4C" w:rsidP="0090198D">
          <w:pPr>
            <w:spacing w:after="100"/>
            <w:rPr>
              <w:rFonts w:ascii="Helvetica" w:hAnsi="Helvetica" w:cs="Helvetica"/>
              <w:sz w:val="22"/>
              <w:szCs w:val="22"/>
            </w:rPr>
          </w:pPr>
        </w:p>
        <w:p w14:paraId="362EA538" w14:textId="77777777" w:rsidR="00D91F4C" w:rsidRDefault="00D91F4C" w:rsidP="0090198D">
          <w:pPr>
            <w:spacing w:after="100"/>
            <w:rPr>
              <w:rFonts w:ascii="Helvetica" w:hAnsi="Helvetica" w:cs="Helvetica"/>
              <w:sz w:val="22"/>
              <w:szCs w:val="22"/>
            </w:rPr>
          </w:pPr>
        </w:p>
        <w:p w14:paraId="2DAF586A" w14:textId="77777777" w:rsidR="00D91F4C" w:rsidRDefault="00D91F4C" w:rsidP="0090198D">
          <w:pPr>
            <w:spacing w:after="100"/>
            <w:rPr>
              <w:rFonts w:ascii="Helvetica" w:hAnsi="Helvetica" w:cs="Helvetica"/>
              <w:sz w:val="22"/>
              <w:szCs w:val="22"/>
            </w:rPr>
          </w:pPr>
        </w:p>
        <w:p w14:paraId="2E67E1EF" w14:textId="77777777" w:rsidR="00D91F4C" w:rsidRDefault="00D91F4C" w:rsidP="0090198D">
          <w:pPr>
            <w:spacing w:after="100"/>
            <w:rPr>
              <w:rFonts w:ascii="Helvetica" w:hAnsi="Helvetica" w:cs="Helvetica"/>
              <w:sz w:val="22"/>
              <w:szCs w:val="22"/>
            </w:rPr>
          </w:pPr>
        </w:p>
        <w:p w14:paraId="337DA4C9" w14:textId="77777777" w:rsidR="00D91F4C" w:rsidRDefault="00D91F4C" w:rsidP="0090198D">
          <w:pPr>
            <w:spacing w:after="100"/>
            <w:rPr>
              <w:rFonts w:ascii="Helvetica" w:hAnsi="Helvetica" w:cs="Helvetica"/>
              <w:sz w:val="22"/>
              <w:szCs w:val="22"/>
            </w:rPr>
          </w:pPr>
        </w:p>
        <w:p w14:paraId="65D24B69" w14:textId="77777777" w:rsidR="00D91F4C" w:rsidRDefault="00D91F4C" w:rsidP="0090198D">
          <w:pPr>
            <w:spacing w:after="100"/>
            <w:rPr>
              <w:rFonts w:ascii="Helvetica" w:hAnsi="Helvetica" w:cs="Helvetica"/>
              <w:sz w:val="22"/>
              <w:szCs w:val="22"/>
            </w:rPr>
          </w:pPr>
        </w:p>
        <w:p w14:paraId="5FEBA2A4" w14:textId="77777777" w:rsidR="00D91F4C" w:rsidRDefault="00D91F4C" w:rsidP="0090198D">
          <w:pPr>
            <w:spacing w:after="100"/>
            <w:rPr>
              <w:rFonts w:ascii="Helvetica" w:hAnsi="Helvetica" w:cs="Helvetica"/>
              <w:sz w:val="22"/>
              <w:szCs w:val="22"/>
            </w:rPr>
          </w:pPr>
        </w:p>
        <w:p w14:paraId="2E457A17" w14:textId="77777777" w:rsidR="00D91F4C" w:rsidRDefault="00D91F4C" w:rsidP="0090198D">
          <w:pPr>
            <w:spacing w:after="100"/>
            <w:rPr>
              <w:rFonts w:ascii="Helvetica" w:hAnsi="Helvetica" w:cs="Helvetica"/>
              <w:sz w:val="22"/>
              <w:szCs w:val="22"/>
            </w:rPr>
          </w:pPr>
        </w:p>
        <w:p w14:paraId="00513C91" w14:textId="77777777" w:rsidR="00D91F4C" w:rsidRDefault="00D91F4C" w:rsidP="0090198D">
          <w:pPr>
            <w:spacing w:after="100"/>
            <w:rPr>
              <w:rFonts w:ascii="Helvetica" w:hAnsi="Helvetica" w:cs="Helvetica"/>
              <w:sz w:val="22"/>
              <w:szCs w:val="22"/>
            </w:rPr>
          </w:pPr>
        </w:p>
        <w:p w14:paraId="0D8A180A" w14:textId="77777777" w:rsidR="00D91F4C" w:rsidRDefault="00D91F4C" w:rsidP="0090198D">
          <w:pPr>
            <w:spacing w:after="100"/>
            <w:rPr>
              <w:rFonts w:ascii="Helvetica" w:hAnsi="Helvetica" w:cs="Helvetica"/>
              <w:sz w:val="22"/>
              <w:szCs w:val="22"/>
            </w:rPr>
          </w:pPr>
        </w:p>
        <w:p w14:paraId="06AE7155" w14:textId="77777777" w:rsidR="00D91F4C" w:rsidRDefault="00D91F4C" w:rsidP="0090198D">
          <w:pPr>
            <w:spacing w:after="100"/>
            <w:rPr>
              <w:rFonts w:ascii="Helvetica" w:hAnsi="Helvetica" w:cs="Helvetica"/>
              <w:sz w:val="22"/>
              <w:szCs w:val="22"/>
            </w:rPr>
          </w:pPr>
        </w:p>
        <w:p w14:paraId="11789C71" w14:textId="77777777" w:rsidR="00D91F4C" w:rsidRDefault="00D91F4C" w:rsidP="0090198D">
          <w:pPr>
            <w:spacing w:after="100"/>
            <w:rPr>
              <w:rFonts w:ascii="Helvetica" w:hAnsi="Helvetica" w:cs="Helvetica"/>
              <w:sz w:val="22"/>
              <w:szCs w:val="22"/>
            </w:rPr>
          </w:pPr>
        </w:p>
        <w:p w14:paraId="0150E869" w14:textId="77777777" w:rsidR="00D91F4C" w:rsidRDefault="00D91F4C" w:rsidP="0090198D">
          <w:pPr>
            <w:spacing w:after="100"/>
            <w:rPr>
              <w:rFonts w:ascii="Helvetica" w:hAnsi="Helvetica" w:cs="Helvetica"/>
              <w:sz w:val="22"/>
              <w:szCs w:val="22"/>
            </w:rPr>
          </w:pPr>
        </w:p>
        <w:p w14:paraId="071D7352" w14:textId="77777777" w:rsidR="00D91F4C" w:rsidRDefault="00D91F4C" w:rsidP="0090198D">
          <w:pPr>
            <w:spacing w:after="100"/>
            <w:rPr>
              <w:rFonts w:ascii="Helvetica" w:hAnsi="Helvetica" w:cs="Helvetica"/>
              <w:sz w:val="22"/>
              <w:szCs w:val="22"/>
            </w:rPr>
          </w:pPr>
        </w:p>
        <w:p w14:paraId="49958840" w14:textId="77777777" w:rsidR="00D91F4C" w:rsidRDefault="00D91F4C" w:rsidP="0090198D">
          <w:pPr>
            <w:spacing w:after="100"/>
            <w:rPr>
              <w:rFonts w:ascii="Helvetica" w:hAnsi="Helvetica" w:cs="Helvetica"/>
              <w:sz w:val="22"/>
              <w:szCs w:val="22"/>
            </w:rPr>
          </w:pPr>
        </w:p>
        <w:p w14:paraId="6B10A606" w14:textId="77777777" w:rsidR="00D91F4C" w:rsidRDefault="00D91F4C" w:rsidP="0090198D">
          <w:pPr>
            <w:spacing w:after="100"/>
            <w:rPr>
              <w:rFonts w:ascii="Helvetica" w:hAnsi="Helvetica" w:cs="Helvetica"/>
              <w:sz w:val="22"/>
              <w:szCs w:val="22"/>
            </w:rPr>
          </w:pPr>
        </w:p>
        <w:p w14:paraId="315D02D6" w14:textId="77777777" w:rsidR="00D91F4C" w:rsidRDefault="00D91F4C" w:rsidP="0090198D">
          <w:pPr>
            <w:spacing w:after="100"/>
            <w:rPr>
              <w:rFonts w:ascii="Helvetica" w:hAnsi="Helvetica" w:cs="Helvetica"/>
              <w:sz w:val="22"/>
              <w:szCs w:val="22"/>
            </w:rPr>
          </w:pPr>
        </w:p>
        <w:p w14:paraId="0DE8AD0C" w14:textId="77777777" w:rsidR="00D91F4C" w:rsidRDefault="00D91F4C" w:rsidP="0090198D">
          <w:pPr>
            <w:spacing w:after="100"/>
            <w:rPr>
              <w:rFonts w:ascii="Helvetica" w:hAnsi="Helvetica" w:cs="Helvetica"/>
              <w:sz w:val="22"/>
              <w:szCs w:val="22"/>
            </w:rPr>
          </w:pPr>
        </w:p>
        <w:p w14:paraId="5F5FFCA2" w14:textId="77777777" w:rsidR="00D91F4C" w:rsidRDefault="00D91F4C" w:rsidP="0090198D">
          <w:pPr>
            <w:spacing w:after="100"/>
            <w:rPr>
              <w:rFonts w:ascii="Helvetica" w:hAnsi="Helvetica" w:cs="Helvetica"/>
              <w:sz w:val="22"/>
              <w:szCs w:val="22"/>
            </w:rPr>
          </w:pPr>
        </w:p>
        <w:p w14:paraId="4039B80A" w14:textId="77777777" w:rsidR="00D91F4C" w:rsidRDefault="00D91F4C" w:rsidP="0090198D">
          <w:pPr>
            <w:spacing w:after="100"/>
            <w:rPr>
              <w:rFonts w:ascii="Helvetica" w:hAnsi="Helvetica" w:cs="Helvetica"/>
              <w:sz w:val="22"/>
              <w:szCs w:val="22"/>
            </w:rPr>
          </w:pPr>
        </w:p>
        <w:p w14:paraId="61789A51" w14:textId="77777777" w:rsidR="00D91F4C" w:rsidRDefault="00D91F4C" w:rsidP="0090198D">
          <w:pPr>
            <w:spacing w:after="100"/>
            <w:rPr>
              <w:rFonts w:ascii="Helvetica" w:hAnsi="Helvetica" w:cs="Helvetica"/>
              <w:sz w:val="22"/>
              <w:szCs w:val="22"/>
            </w:rPr>
          </w:pPr>
        </w:p>
        <w:p w14:paraId="23889966" w14:textId="77777777" w:rsidR="00D91F4C" w:rsidRDefault="00D91F4C" w:rsidP="0090198D">
          <w:pPr>
            <w:spacing w:after="100"/>
            <w:rPr>
              <w:rFonts w:ascii="Helvetica" w:hAnsi="Helvetica" w:cs="Helvetica"/>
              <w:sz w:val="22"/>
              <w:szCs w:val="22"/>
            </w:rPr>
          </w:pPr>
        </w:p>
        <w:p w14:paraId="01FFDF0C" w14:textId="77777777" w:rsidR="00D91F4C" w:rsidRDefault="00D91F4C" w:rsidP="0090198D">
          <w:pPr>
            <w:spacing w:after="100"/>
            <w:rPr>
              <w:rFonts w:ascii="Helvetica" w:hAnsi="Helvetica" w:cs="Helvetica"/>
              <w:sz w:val="22"/>
              <w:szCs w:val="22"/>
            </w:rPr>
          </w:pPr>
        </w:p>
        <w:p w14:paraId="7191D4E1" w14:textId="77777777" w:rsidR="00D91F4C" w:rsidRDefault="00D91F4C" w:rsidP="0090198D">
          <w:pPr>
            <w:spacing w:after="100"/>
            <w:rPr>
              <w:rFonts w:ascii="Helvetica" w:hAnsi="Helvetica" w:cs="Helvetica"/>
              <w:sz w:val="22"/>
              <w:szCs w:val="22"/>
            </w:rPr>
          </w:pPr>
        </w:p>
        <w:p w14:paraId="68741F9B" w14:textId="77777777" w:rsidR="00D91F4C" w:rsidRDefault="00D91F4C" w:rsidP="0090198D">
          <w:pPr>
            <w:spacing w:after="100"/>
            <w:rPr>
              <w:rFonts w:ascii="Helvetica" w:hAnsi="Helvetica" w:cs="Helvetica"/>
              <w:sz w:val="22"/>
              <w:szCs w:val="22"/>
            </w:rPr>
          </w:pPr>
        </w:p>
        <w:p w14:paraId="36B895FB" w14:textId="77777777" w:rsidR="00D91F4C" w:rsidRDefault="00D91F4C" w:rsidP="0090198D">
          <w:pPr>
            <w:spacing w:after="100"/>
            <w:rPr>
              <w:rFonts w:ascii="Helvetica" w:hAnsi="Helvetica" w:cs="Helvetica"/>
              <w:sz w:val="22"/>
              <w:szCs w:val="22"/>
            </w:rPr>
          </w:pPr>
        </w:p>
        <w:p w14:paraId="62066F55" w14:textId="77777777" w:rsidR="00D91F4C" w:rsidRDefault="00D91F4C" w:rsidP="0090198D">
          <w:pPr>
            <w:spacing w:after="100"/>
            <w:rPr>
              <w:rFonts w:ascii="Helvetica" w:hAnsi="Helvetica" w:cs="Helvetica"/>
              <w:sz w:val="22"/>
              <w:szCs w:val="22"/>
            </w:rPr>
          </w:pPr>
        </w:p>
        <w:p w14:paraId="4AEE2487" w14:textId="77777777" w:rsidR="00D91F4C" w:rsidRDefault="00D91F4C" w:rsidP="0090198D">
          <w:pPr>
            <w:spacing w:after="100"/>
            <w:rPr>
              <w:rFonts w:ascii="Helvetica" w:hAnsi="Helvetica" w:cs="Helvetica"/>
              <w:sz w:val="22"/>
              <w:szCs w:val="22"/>
            </w:rPr>
          </w:pPr>
        </w:p>
        <w:p w14:paraId="6240262F" w14:textId="77777777" w:rsidR="00D91F4C" w:rsidRDefault="00D91F4C" w:rsidP="0090198D">
          <w:pPr>
            <w:spacing w:after="100"/>
            <w:rPr>
              <w:rFonts w:ascii="Helvetica" w:hAnsi="Helvetica" w:cs="Helvetica"/>
              <w:sz w:val="22"/>
              <w:szCs w:val="22"/>
            </w:rPr>
          </w:pPr>
        </w:p>
        <w:p w14:paraId="41DB3397" w14:textId="77777777" w:rsidR="00D91F4C" w:rsidRDefault="00D91F4C" w:rsidP="0090198D">
          <w:pPr>
            <w:spacing w:after="100"/>
            <w:rPr>
              <w:rFonts w:ascii="Helvetica" w:hAnsi="Helvetica" w:cs="Helvetica"/>
              <w:sz w:val="22"/>
              <w:szCs w:val="22"/>
            </w:rPr>
          </w:pPr>
        </w:p>
        <w:p w14:paraId="52C35182" w14:textId="77777777" w:rsidR="00D91F4C" w:rsidRDefault="00D91F4C" w:rsidP="0090198D">
          <w:pPr>
            <w:spacing w:after="100"/>
            <w:rPr>
              <w:rFonts w:ascii="Helvetica" w:hAnsi="Helvetica" w:cs="Helvetica"/>
              <w:sz w:val="22"/>
              <w:szCs w:val="22"/>
            </w:rPr>
          </w:pPr>
        </w:p>
        <w:p w14:paraId="5E91237C" w14:textId="77777777" w:rsidR="00D91F4C" w:rsidRDefault="00D91F4C" w:rsidP="0090198D">
          <w:pPr>
            <w:spacing w:after="100"/>
            <w:rPr>
              <w:rFonts w:ascii="Helvetica" w:hAnsi="Helvetica" w:cs="Helvetica"/>
              <w:sz w:val="22"/>
              <w:szCs w:val="22"/>
            </w:rPr>
          </w:pPr>
        </w:p>
        <w:p w14:paraId="5F76232D" w14:textId="77777777" w:rsidR="00D91F4C" w:rsidRPr="00C57A73" w:rsidRDefault="00D91F4C" w:rsidP="00D91F4C">
          <w:pPr>
            <w:rPr>
              <w:rFonts w:ascii="Helvetica" w:hAnsi="Helvetica" w:cs="Helvetica"/>
              <w:b/>
              <w:bCs/>
            </w:rPr>
          </w:pPr>
          <w:r w:rsidRPr="00C57A73">
            <w:rPr>
              <w:rFonts w:ascii="Helvetica" w:hAnsi="Helvetica" w:cs="Helvetica"/>
              <w:b/>
              <w:bCs/>
            </w:rPr>
            <w:lastRenderedPageBreak/>
            <w:t>Online Supplementary Material</w:t>
          </w:r>
        </w:p>
        <w:p w14:paraId="52306750" w14:textId="77777777" w:rsidR="00D91F4C" w:rsidRPr="00C57A73" w:rsidRDefault="00D91F4C" w:rsidP="00D91F4C">
          <w:pPr>
            <w:pStyle w:val="TOCHeading"/>
            <w:rPr>
              <w:rFonts w:ascii="Helvetica" w:hAnsi="Helvetica" w:cs="Helvetica"/>
              <w:b/>
              <w:bCs/>
              <w:sz w:val="22"/>
              <w:szCs w:val="22"/>
            </w:rPr>
          </w:pPr>
          <w:r w:rsidRPr="00C57A73">
            <w:rPr>
              <w:rFonts w:ascii="Helvetica" w:hAnsi="Helvetica" w:cs="Helvetica"/>
              <w:b/>
              <w:bCs/>
              <w:sz w:val="22"/>
              <w:szCs w:val="22"/>
            </w:rPr>
            <w:t>List of Appendices</w:t>
          </w:r>
        </w:p>
        <w:p w14:paraId="25F26C79" w14:textId="77777777" w:rsidR="003E1E6C" w:rsidRPr="0090198D" w:rsidRDefault="003E1E6C" w:rsidP="0090198D">
          <w:pPr>
            <w:spacing w:after="100"/>
            <w:rPr>
              <w:rFonts w:ascii="Helvetica" w:hAnsi="Helvetica" w:cs="Helvetica"/>
              <w:sz w:val="22"/>
              <w:szCs w:val="22"/>
            </w:rPr>
          </w:pPr>
        </w:p>
        <w:p w14:paraId="18D8B820" w14:textId="0669C2F3" w:rsidR="008E41D1" w:rsidRDefault="0053162B">
          <w:pPr>
            <w:pStyle w:val="TOC1"/>
            <w:tabs>
              <w:tab w:val="right" w:leader="dot" w:pos="8488"/>
            </w:tabs>
            <w:rPr>
              <w:rFonts w:asciiTheme="minorHAnsi" w:eastAsiaTheme="minorEastAsia" w:hAnsiTheme="minorHAnsi" w:cstheme="minorBidi"/>
              <w:noProof/>
              <w:szCs w:val="22"/>
              <w:lang w:eastAsia="en-US"/>
            </w:rPr>
          </w:pPr>
          <w:r w:rsidRPr="0090198D">
            <w:rPr>
              <w:rFonts w:ascii="Helvetica" w:hAnsi="Helvetica" w:cs="Helvetica"/>
              <w:szCs w:val="22"/>
            </w:rPr>
            <w:fldChar w:fldCharType="begin"/>
          </w:r>
          <w:r w:rsidRPr="0090198D">
            <w:rPr>
              <w:rFonts w:ascii="Helvetica" w:hAnsi="Helvetica" w:cs="Helvetica"/>
              <w:szCs w:val="22"/>
            </w:rPr>
            <w:instrText xml:space="preserve"> TOC \o "1-3" \h \z \u </w:instrText>
          </w:r>
          <w:r w:rsidRPr="0090198D">
            <w:rPr>
              <w:rFonts w:ascii="Helvetica" w:hAnsi="Helvetica" w:cs="Helvetica"/>
              <w:szCs w:val="22"/>
            </w:rPr>
            <w:fldChar w:fldCharType="separate"/>
          </w:r>
          <w:hyperlink w:anchor="_Toc40953298" w:history="1">
            <w:r w:rsidR="008E41D1" w:rsidRPr="006D5B7F">
              <w:rPr>
                <w:rStyle w:val="Hyperlink"/>
                <w:rFonts w:ascii="Helvetica" w:hAnsi="Helvetica" w:cs="Helvetica"/>
                <w:b/>
                <w:noProof/>
              </w:rPr>
              <w:t xml:space="preserve">Supplementary Appendix 1: </w:t>
            </w:r>
            <w:r w:rsidR="008E41D1" w:rsidRPr="006D5B7F">
              <w:rPr>
                <w:rStyle w:val="Hyperlink"/>
                <w:rFonts w:ascii="Helvetica" w:hAnsi="Helvetica" w:cs="Helvetica"/>
                <w:noProof/>
              </w:rPr>
              <w:t>Descriptive Analysis of Contextual Factors</w:t>
            </w:r>
            <w:r w:rsidR="008E41D1">
              <w:rPr>
                <w:noProof/>
                <w:webHidden/>
              </w:rPr>
              <w:tab/>
            </w:r>
            <w:r w:rsidR="008E41D1">
              <w:rPr>
                <w:noProof/>
                <w:webHidden/>
              </w:rPr>
              <w:fldChar w:fldCharType="begin"/>
            </w:r>
            <w:r w:rsidR="008E41D1">
              <w:rPr>
                <w:noProof/>
                <w:webHidden/>
              </w:rPr>
              <w:instrText xml:space="preserve"> PAGEREF _Toc40953298 \h </w:instrText>
            </w:r>
            <w:r w:rsidR="008E41D1">
              <w:rPr>
                <w:noProof/>
                <w:webHidden/>
              </w:rPr>
            </w:r>
            <w:r w:rsidR="008E41D1">
              <w:rPr>
                <w:noProof/>
                <w:webHidden/>
              </w:rPr>
              <w:fldChar w:fldCharType="separate"/>
            </w:r>
            <w:r w:rsidR="008E41D1">
              <w:rPr>
                <w:noProof/>
                <w:webHidden/>
              </w:rPr>
              <w:t>4</w:t>
            </w:r>
            <w:r w:rsidR="008E41D1">
              <w:rPr>
                <w:noProof/>
                <w:webHidden/>
              </w:rPr>
              <w:fldChar w:fldCharType="end"/>
            </w:r>
          </w:hyperlink>
        </w:p>
        <w:p w14:paraId="4D1C5F44" w14:textId="4C47C197"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299" w:history="1">
            <w:r w:rsidR="008E41D1" w:rsidRPr="006D5B7F">
              <w:rPr>
                <w:rStyle w:val="Hyperlink"/>
                <w:rFonts w:cs="Helvetica"/>
                <w:b/>
                <w:noProof/>
              </w:rPr>
              <w:t>Supplementary Appendix Figure 1A:</w:t>
            </w:r>
            <w:r w:rsidR="008E41D1" w:rsidRPr="006D5B7F">
              <w:rPr>
                <w:rStyle w:val="Hyperlink"/>
                <w:rFonts w:cs="Helvetica"/>
                <w:noProof/>
              </w:rPr>
              <w:t xml:space="preserve"> Trends in GDP per capita, poverty and urbanization, Peru, 1990-2016</w:t>
            </w:r>
            <w:r w:rsidR="008E41D1">
              <w:rPr>
                <w:noProof/>
                <w:webHidden/>
              </w:rPr>
              <w:tab/>
            </w:r>
            <w:r w:rsidR="008E41D1">
              <w:rPr>
                <w:noProof/>
                <w:webHidden/>
              </w:rPr>
              <w:fldChar w:fldCharType="begin"/>
            </w:r>
            <w:r w:rsidR="008E41D1">
              <w:rPr>
                <w:noProof/>
                <w:webHidden/>
              </w:rPr>
              <w:instrText xml:space="preserve"> PAGEREF _Toc40953299 \h </w:instrText>
            </w:r>
            <w:r w:rsidR="008E41D1">
              <w:rPr>
                <w:noProof/>
                <w:webHidden/>
              </w:rPr>
            </w:r>
            <w:r w:rsidR="008E41D1">
              <w:rPr>
                <w:noProof/>
                <w:webHidden/>
              </w:rPr>
              <w:fldChar w:fldCharType="separate"/>
            </w:r>
            <w:r w:rsidR="008E41D1">
              <w:rPr>
                <w:noProof/>
                <w:webHidden/>
              </w:rPr>
              <w:t>4</w:t>
            </w:r>
            <w:r w:rsidR="008E41D1">
              <w:rPr>
                <w:noProof/>
                <w:webHidden/>
              </w:rPr>
              <w:fldChar w:fldCharType="end"/>
            </w:r>
          </w:hyperlink>
        </w:p>
        <w:p w14:paraId="547FA405" w14:textId="3F7DF20A"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00" w:history="1">
            <w:r w:rsidR="008E41D1" w:rsidRPr="006D5B7F">
              <w:rPr>
                <w:rStyle w:val="Hyperlink"/>
                <w:rFonts w:cs="Helvetica"/>
                <w:b/>
                <w:noProof/>
              </w:rPr>
              <w:t>Supplementary Appendix Figure 1B:</w:t>
            </w:r>
            <w:r w:rsidR="008E41D1" w:rsidRPr="006D5B7F">
              <w:rPr>
                <w:rStyle w:val="Hyperlink"/>
                <w:rFonts w:cs="Helvetica"/>
                <w:noProof/>
              </w:rPr>
              <w:t xml:space="preserve"> Trends in key contextual indicators, 1990-2017</w:t>
            </w:r>
            <w:r w:rsidR="008E41D1">
              <w:rPr>
                <w:noProof/>
                <w:webHidden/>
              </w:rPr>
              <w:tab/>
            </w:r>
            <w:r w:rsidR="008E41D1">
              <w:rPr>
                <w:noProof/>
                <w:webHidden/>
              </w:rPr>
              <w:fldChar w:fldCharType="begin"/>
            </w:r>
            <w:r w:rsidR="008E41D1">
              <w:rPr>
                <w:noProof/>
                <w:webHidden/>
              </w:rPr>
              <w:instrText xml:space="preserve"> PAGEREF _Toc40953300 \h </w:instrText>
            </w:r>
            <w:r w:rsidR="008E41D1">
              <w:rPr>
                <w:noProof/>
                <w:webHidden/>
              </w:rPr>
            </w:r>
            <w:r w:rsidR="008E41D1">
              <w:rPr>
                <w:noProof/>
                <w:webHidden/>
              </w:rPr>
              <w:fldChar w:fldCharType="separate"/>
            </w:r>
            <w:r w:rsidR="008E41D1">
              <w:rPr>
                <w:noProof/>
                <w:webHidden/>
              </w:rPr>
              <w:t>4</w:t>
            </w:r>
            <w:r w:rsidR="008E41D1">
              <w:rPr>
                <w:noProof/>
                <w:webHidden/>
              </w:rPr>
              <w:fldChar w:fldCharType="end"/>
            </w:r>
          </w:hyperlink>
        </w:p>
        <w:p w14:paraId="3FC4385F" w14:textId="65DF3D29" w:rsidR="008E41D1" w:rsidRDefault="007E0452">
          <w:pPr>
            <w:pStyle w:val="TOC1"/>
            <w:tabs>
              <w:tab w:val="right" w:leader="dot" w:pos="8488"/>
            </w:tabs>
            <w:rPr>
              <w:rFonts w:asciiTheme="minorHAnsi" w:eastAsiaTheme="minorEastAsia" w:hAnsiTheme="minorHAnsi" w:cstheme="minorBidi"/>
              <w:noProof/>
              <w:szCs w:val="22"/>
              <w:lang w:eastAsia="en-US"/>
            </w:rPr>
          </w:pPr>
          <w:hyperlink w:anchor="_Toc40953301" w:history="1">
            <w:r w:rsidR="008E41D1" w:rsidRPr="006D5B7F">
              <w:rPr>
                <w:rStyle w:val="Hyperlink"/>
                <w:rFonts w:ascii="Helvetica" w:hAnsi="Helvetica" w:cs="Helvetica"/>
                <w:b/>
                <w:noProof/>
              </w:rPr>
              <w:t xml:space="preserve">Supplementary Appendix 2: </w:t>
            </w:r>
            <w:r w:rsidR="008E41D1" w:rsidRPr="006D5B7F">
              <w:rPr>
                <w:rStyle w:val="Hyperlink"/>
                <w:rFonts w:ascii="Helvetica" w:hAnsi="Helvetica" w:cs="Helvetica"/>
                <w:noProof/>
              </w:rPr>
              <w:t>Systematic Literature review</w:t>
            </w:r>
            <w:r w:rsidR="008E41D1">
              <w:rPr>
                <w:noProof/>
                <w:webHidden/>
              </w:rPr>
              <w:tab/>
            </w:r>
            <w:r w:rsidR="008E41D1">
              <w:rPr>
                <w:noProof/>
                <w:webHidden/>
              </w:rPr>
              <w:fldChar w:fldCharType="begin"/>
            </w:r>
            <w:r w:rsidR="008E41D1">
              <w:rPr>
                <w:noProof/>
                <w:webHidden/>
              </w:rPr>
              <w:instrText xml:space="preserve"> PAGEREF _Toc40953301 \h </w:instrText>
            </w:r>
            <w:r w:rsidR="008E41D1">
              <w:rPr>
                <w:noProof/>
                <w:webHidden/>
              </w:rPr>
            </w:r>
            <w:r w:rsidR="008E41D1">
              <w:rPr>
                <w:noProof/>
                <w:webHidden/>
              </w:rPr>
              <w:fldChar w:fldCharType="separate"/>
            </w:r>
            <w:r w:rsidR="008E41D1">
              <w:rPr>
                <w:noProof/>
                <w:webHidden/>
              </w:rPr>
              <w:t>5</w:t>
            </w:r>
            <w:r w:rsidR="008E41D1">
              <w:rPr>
                <w:noProof/>
                <w:webHidden/>
              </w:rPr>
              <w:fldChar w:fldCharType="end"/>
            </w:r>
          </w:hyperlink>
        </w:p>
        <w:p w14:paraId="65B36535" w14:textId="4467EDC6"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02" w:history="1">
            <w:r w:rsidR="008E41D1" w:rsidRPr="006D5B7F">
              <w:rPr>
                <w:rStyle w:val="Hyperlink"/>
                <w:rFonts w:cs="Helvetica"/>
                <w:b/>
                <w:noProof/>
              </w:rPr>
              <w:t>Supplementary Appendix Figure 2</w:t>
            </w:r>
            <w:r w:rsidR="008E41D1" w:rsidRPr="006D5B7F">
              <w:rPr>
                <w:rStyle w:val="Hyperlink"/>
                <w:rFonts w:cs="Helvetica"/>
                <w:noProof/>
              </w:rPr>
              <w:t>: Literature review flow diagram</w:t>
            </w:r>
            <w:r w:rsidR="008E41D1">
              <w:rPr>
                <w:noProof/>
                <w:webHidden/>
              </w:rPr>
              <w:tab/>
            </w:r>
            <w:r w:rsidR="008E41D1">
              <w:rPr>
                <w:noProof/>
                <w:webHidden/>
              </w:rPr>
              <w:fldChar w:fldCharType="begin"/>
            </w:r>
            <w:r w:rsidR="008E41D1">
              <w:rPr>
                <w:noProof/>
                <w:webHidden/>
              </w:rPr>
              <w:instrText xml:space="preserve"> PAGEREF _Toc40953302 \h </w:instrText>
            </w:r>
            <w:r w:rsidR="008E41D1">
              <w:rPr>
                <w:noProof/>
                <w:webHidden/>
              </w:rPr>
            </w:r>
            <w:r w:rsidR="008E41D1">
              <w:rPr>
                <w:noProof/>
                <w:webHidden/>
              </w:rPr>
              <w:fldChar w:fldCharType="separate"/>
            </w:r>
            <w:r w:rsidR="008E41D1">
              <w:rPr>
                <w:noProof/>
                <w:webHidden/>
              </w:rPr>
              <w:t>6</w:t>
            </w:r>
            <w:r w:rsidR="008E41D1">
              <w:rPr>
                <w:noProof/>
                <w:webHidden/>
              </w:rPr>
              <w:fldChar w:fldCharType="end"/>
            </w:r>
          </w:hyperlink>
        </w:p>
        <w:p w14:paraId="2E3E9425" w14:textId="513D26CA" w:rsidR="008E41D1" w:rsidRDefault="007E0452">
          <w:pPr>
            <w:pStyle w:val="TOC1"/>
            <w:tabs>
              <w:tab w:val="right" w:leader="dot" w:pos="8488"/>
            </w:tabs>
            <w:rPr>
              <w:rFonts w:asciiTheme="minorHAnsi" w:eastAsiaTheme="minorEastAsia" w:hAnsiTheme="minorHAnsi" w:cstheme="minorBidi"/>
              <w:noProof/>
              <w:szCs w:val="22"/>
              <w:lang w:eastAsia="en-US"/>
            </w:rPr>
          </w:pPr>
          <w:hyperlink w:anchor="_Toc40953303" w:history="1">
            <w:r w:rsidR="008E41D1" w:rsidRPr="006D5B7F">
              <w:rPr>
                <w:rStyle w:val="Hyperlink"/>
                <w:rFonts w:ascii="Helvetica" w:hAnsi="Helvetica" w:cs="Helvetica"/>
                <w:b/>
                <w:noProof/>
              </w:rPr>
              <w:t>Supplementary Appendix 3:</w:t>
            </w:r>
            <w:r w:rsidR="008E41D1" w:rsidRPr="006D5B7F">
              <w:rPr>
                <w:rStyle w:val="Hyperlink"/>
                <w:rFonts w:ascii="Helvetica" w:hAnsi="Helvetica" w:cs="Helvetica"/>
                <w:noProof/>
              </w:rPr>
              <w:t xml:space="preserve"> Multivariable Analyses Methods</w:t>
            </w:r>
            <w:r w:rsidR="008E41D1">
              <w:rPr>
                <w:noProof/>
                <w:webHidden/>
              </w:rPr>
              <w:tab/>
            </w:r>
            <w:r w:rsidR="008E41D1">
              <w:rPr>
                <w:noProof/>
                <w:webHidden/>
              </w:rPr>
              <w:fldChar w:fldCharType="begin"/>
            </w:r>
            <w:r w:rsidR="008E41D1">
              <w:rPr>
                <w:noProof/>
                <w:webHidden/>
              </w:rPr>
              <w:instrText xml:space="preserve"> PAGEREF _Toc40953303 \h </w:instrText>
            </w:r>
            <w:r w:rsidR="008E41D1">
              <w:rPr>
                <w:noProof/>
                <w:webHidden/>
              </w:rPr>
            </w:r>
            <w:r w:rsidR="008E41D1">
              <w:rPr>
                <w:noProof/>
                <w:webHidden/>
              </w:rPr>
              <w:fldChar w:fldCharType="separate"/>
            </w:r>
            <w:r w:rsidR="008E41D1">
              <w:rPr>
                <w:noProof/>
                <w:webHidden/>
              </w:rPr>
              <w:t>10</w:t>
            </w:r>
            <w:r w:rsidR="008E41D1">
              <w:rPr>
                <w:noProof/>
                <w:webHidden/>
              </w:rPr>
              <w:fldChar w:fldCharType="end"/>
            </w:r>
          </w:hyperlink>
        </w:p>
        <w:p w14:paraId="31C62CE1" w14:textId="51BBDA04" w:rsidR="008E41D1" w:rsidRDefault="007E0452">
          <w:pPr>
            <w:pStyle w:val="TOC1"/>
            <w:tabs>
              <w:tab w:val="right" w:leader="dot" w:pos="8488"/>
            </w:tabs>
            <w:rPr>
              <w:rFonts w:asciiTheme="minorHAnsi" w:eastAsiaTheme="minorEastAsia" w:hAnsiTheme="minorHAnsi" w:cstheme="minorBidi"/>
              <w:noProof/>
              <w:szCs w:val="22"/>
              <w:lang w:eastAsia="en-US"/>
            </w:rPr>
          </w:pPr>
          <w:hyperlink w:anchor="_Toc40953304" w:history="1">
            <w:r w:rsidR="008E41D1" w:rsidRPr="006D5B7F">
              <w:rPr>
                <w:rStyle w:val="Hyperlink"/>
                <w:rFonts w:ascii="Helvetica" w:hAnsi="Helvetica" w:cs="Helvetica"/>
                <w:b/>
                <w:noProof/>
              </w:rPr>
              <w:t xml:space="preserve">Supplementary Appendix 4: </w:t>
            </w:r>
            <w:r w:rsidR="008E41D1" w:rsidRPr="006D5B7F">
              <w:rPr>
                <w:rStyle w:val="Hyperlink"/>
                <w:rFonts w:ascii="Helvetica" w:hAnsi="Helvetica" w:cs="Helvetica"/>
                <w:noProof/>
              </w:rPr>
              <w:t>Qualitative Data Collection and Analyses Methods</w:t>
            </w:r>
            <w:r w:rsidR="008E41D1">
              <w:rPr>
                <w:noProof/>
                <w:webHidden/>
              </w:rPr>
              <w:tab/>
            </w:r>
            <w:r w:rsidR="008E41D1">
              <w:rPr>
                <w:noProof/>
                <w:webHidden/>
              </w:rPr>
              <w:fldChar w:fldCharType="begin"/>
            </w:r>
            <w:r w:rsidR="008E41D1">
              <w:rPr>
                <w:noProof/>
                <w:webHidden/>
              </w:rPr>
              <w:instrText xml:space="preserve"> PAGEREF _Toc40953304 \h </w:instrText>
            </w:r>
            <w:r w:rsidR="008E41D1">
              <w:rPr>
                <w:noProof/>
                <w:webHidden/>
              </w:rPr>
            </w:r>
            <w:r w:rsidR="008E41D1">
              <w:rPr>
                <w:noProof/>
                <w:webHidden/>
              </w:rPr>
              <w:fldChar w:fldCharType="separate"/>
            </w:r>
            <w:r w:rsidR="008E41D1">
              <w:rPr>
                <w:noProof/>
                <w:webHidden/>
              </w:rPr>
              <w:t>13</w:t>
            </w:r>
            <w:r w:rsidR="008E41D1">
              <w:rPr>
                <w:noProof/>
                <w:webHidden/>
              </w:rPr>
              <w:fldChar w:fldCharType="end"/>
            </w:r>
          </w:hyperlink>
        </w:p>
        <w:p w14:paraId="1AB47AA0" w14:textId="0B998B5E"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05" w:history="1">
            <w:r w:rsidR="008E41D1" w:rsidRPr="006D5B7F">
              <w:rPr>
                <w:rStyle w:val="Hyperlink"/>
                <w:rFonts w:cs="Helvetica"/>
                <w:b/>
                <w:noProof/>
              </w:rPr>
              <w:t>Supplementary Appendix Figure 3:</w:t>
            </w:r>
            <w:r w:rsidR="008E41D1" w:rsidRPr="006D5B7F">
              <w:rPr>
                <w:rStyle w:val="Hyperlink"/>
                <w:rFonts w:cs="Helvetica"/>
                <w:noProof/>
              </w:rPr>
              <w:t xml:space="preserve"> Framework proposed by Huicho et al for the determinants of stunting reduction</w:t>
            </w:r>
            <w:r w:rsidR="008E41D1">
              <w:rPr>
                <w:noProof/>
                <w:webHidden/>
              </w:rPr>
              <w:tab/>
            </w:r>
            <w:r w:rsidR="008E41D1">
              <w:rPr>
                <w:noProof/>
                <w:webHidden/>
              </w:rPr>
              <w:fldChar w:fldCharType="begin"/>
            </w:r>
            <w:r w:rsidR="008E41D1">
              <w:rPr>
                <w:noProof/>
                <w:webHidden/>
              </w:rPr>
              <w:instrText xml:space="preserve"> PAGEREF _Toc40953305 \h </w:instrText>
            </w:r>
            <w:r w:rsidR="008E41D1">
              <w:rPr>
                <w:noProof/>
                <w:webHidden/>
              </w:rPr>
            </w:r>
            <w:r w:rsidR="008E41D1">
              <w:rPr>
                <w:noProof/>
                <w:webHidden/>
              </w:rPr>
              <w:fldChar w:fldCharType="separate"/>
            </w:r>
            <w:r w:rsidR="008E41D1">
              <w:rPr>
                <w:noProof/>
                <w:webHidden/>
              </w:rPr>
              <w:t>13</w:t>
            </w:r>
            <w:r w:rsidR="008E41D1">
              <w:rPr>
                <w:noProof/>
                <w:webHidden/>
              </w:rPr>
              <w:fldChar w:fldCharType="end"/>
            </w:r>
          </w:hyperlink>
        </w:p>
        <w:p w14:paraId="18D0F929" w14:textId="1A9CEC9E"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06" w:history="1">
            <w:r w:rsidR="008E41D1" w:rsidRPr="006D5B7F">
              <w:rPr>
                <w:rStyle w:val="Hyperlink"/>
                <w:rFonts w:cs="Helvetica"/>
                <w:b/>
                <w:noProof/>
              </w:rPr>
              <w:t>Supplementary Appendix Table 1:</w:t>
            </w:r>
            <w:r w:rsidR="008E41D1" w:rsidRPr="006D5B7F">
              <w:rPr>
                <w:rStyle w:val="Hyperlink"/>
                <w:rFonts w:cs="Helvetica"/>
                <w:noProof/>
              </w:rPr>
              <w:t xml:space="preserve"> List of participants and their affiliation that were included in the FGD</w:t>
            </w:r>
            <w:r w:rsidR="008E41D1">
              <w:rPr>
                <w:noProof/>
                <w:webHidden/>
              </w:rPr>
              <w:tab/>
            </w:r>
            <w:r w:rsidR="008E41D1">
              <w:rPr>
                <w:noProof/>
                <w:webHidden/>
              </w:rPr>
              <w:fldChar w:fldCharType="begin"/>
            </w:r>
            <w:r w:rsidR="008E41D1">
              <w:rPr>
                <w:noProof/>
                <w:webHidden/>
              </w:rPr>
              <w:instrText xml:space="preserve"> PAGEREF _Toc40953306 \h </w:instrText>
            </w:r>
            <w:r w:rsidR="008E41D1">
              <w:rPr>
                <w:noProof/>
                <w:webHidden/>
              </w:rPr>
            </w:r>
            <w:r w:rsidR="008E41D1">
              <w:rPr>
                <w:noProof/>
                <w:webHidden/>
              </w:rPr>
              <w:fldChar w:fldCharType="separate"/>
            </w:r>
            <w:r w:rsidR="008E41D1">
              <w:rPr>
                <w:noProof/>
                <w:webHidden/>
              </w:rPr>
              <w:t>14</w:t>
            </w:r>
            <w:r w:rsidR="008E41D1">
              <w:rPr>
                <w:noProof/>
                <w:webHidden/>
              </w:rPr>
              <w:fldChar w:fldCharType="end"/>
            </w:r>
          </w:hyperlink>
        </w:p>
        <w:p w14:paraId="23F353BE" w14:textId="5F5F5C0C"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07" w:history="1">
            <w:r w:rsidR="008E41D1" w:rsidRPr="006D5B7F">
              <w:rPr>
                <w:rStyle w:val="Hyperlink"/>
                <w:rFonts w:cs="Helvetica"/>
                <w:b/>
                <w:noProof/>
              </w:rPr>
              <w:t>Supplementary Appendix Table 2:</w:t>
            </w:r>
            <w:r w:rsidR="008E41D1" w:rsidRPr="006D5B7F">
              <w:rPr>
                <w:rStyle w:val="Hyperlink"/>
                <w:rFonts w:cs="Helvetica"/>
                <w:noProof/>
              </w:rPr>
              <w:t xml:space="preserve"> List of participants and their affiliation that were included in the in-depth interviews</w:t>
            </w:r>
            <w:r w:rsidR="008E41D1">
              <w:rPr>
                <w:noProof/>
                <w:webHidden/>
              </w:rPr>
              <w:tab/>
            </w:r>
            <w:r w:rsidR="008E41D1">
              <w:rPr>
                <w:noProof/>
                <w:webHidden/>
              </w:rPr>
              <w:fldChar w:fldCharType="begin"/>
            </w:r>
            <w:r w:rsidR="008E41D1">
              <w:rPr>
                <w:noProof/>
                <w:webHidden/>
              </w:rPr>
              <w:instrText xml:space="preserve"> PAGEREF _Toc40953307 \h </w:instrText>
            </w:r>
            <w:r w:rsidR="008E41D1">
              <w:rPr>
                <w:noProof/>
                <w:webHidden/>
              </w:rPr>
            </w:r>
            <w:r w:rsidR="008E41D1">
              <w:rPr>
                <w:noProof/>
                <w:webHidden/>
              </w:rPr>
              <w:fldChar w:fldCharType="separate"/>
            </w:r>
            <w:r w:rsidR="008E41D1">
              <w:rPr>
                <w:noProof/>
                <w:webHidden/>
              </w:rPr>
              <w:t>15</w:t>
            </w:r>
            <w:r w:rsidR="008E41D1">
              <w:rPr>
                <w:noProof/>
                <w:webHidden/>
              </w:rPr>
              <w:fldChar w:fldCharType="end"/>
            </w:r>
          </w:hyperlink>
        </w:p>
        <w:p w14:paraId="48E05C31" w14:textId="3D8414F0" w:rsidR="008E41D1" w:rsidRDefault="007E0452">
          <w:pPr>
            <w:pStyle w:val="TOC1"/>
            <w:tabs>
              <w:tab w:val="right" w:leader="dot" w:pos="8488"/>
            </w:tabs>
            <w:rPr>
              <w:rFonts w:asciiTheme="minorHAnsi" w:eastAsiaTheme="minorEastAsia" w:hAnsiTheme="minorHAnsi" w:cstheme="minorBidi"/>
              <w:noProof/>
              <w:szCs w:val="22"/>
              <w:lang w:eastAsia="en-US"/>
            </w:rPr>
          </w:pPr>
          <w:hyperlink w:anchor="_Toc40953308" w:history="1">
            <w:r w:rsidR="008E41D1" w:rsidRPr="006D5B7F">
              <w:rPr>
                <w:rStyle w:val="Hyperlink"/>
                <w:rFonts w:ascii="Helvetica" w:hAnsi="Helvetica" w:cs="Helvetica"/>
                <w:b/>
                <w:noProof/>
              </w:rPr>
              <w:t xml:space="preserve">Supplementary Appendix 5: </w:t>
            </w:r>
            <w:r w:rsidR="008E41D1" w:rsidRPr="006D5B7F">
              <w:rPr>
                <w:rStyle w:val="Hyperlink"/>
                <w:rFonts w:ascii="Helvetica" w:hAnsi="Helvetica" w:cs="Helvetica"/>
                <w:noProof/>
              </w:rPr>
              <w:t>Quantitative Results</w:t>
            </w:r>
            <w:r w:rsidR="008E41D1">
              <w:rPr>
                <w:noProof/>
                <w:webHidden/>
              </w:rPr>
              <w:tab/>
            </w:r>
            <w:r w:rsidR="008E41D1">
              <w:rPr>
                <w:noProof/>
                <w:webHidden/>
              </w:rPr>
              <w:fldChar w:fldCharType="begin"/>
            </w:r>
            <w:r w:rsidR="008E41D1">
              <w:rPr>
                <w:noProof/>
                <w:webHidden/>
              </w:rPr>
              <w:instrText xml:space="preserve"> PAGEREF _Toc40953308 \h </w:instrText>
            </w:r>
            <w:r w:rsidR="008E41D1">
              <w:rPr>
                <w:noProof/>
                <w:webHidden/>
              </w:rPr>
            </w:r>
            <w:r w:rsidR="008E41D1">
              <w:rPr>
                <w:noProof/>
                <w:webHidden/>
              </w:rPr>
              <w:fldChar w:fldCharType="separate"/>
            </w:r>
            <w:r w:rsidR="008E41D1">
              <w:rPr>
                <w:noProof/>
                <w:webHidden/>
              </w:rPr>
              <w:t>17</w:t>
            </w:r>
            <w:r w:rsidR="008E41D1">
              <w:rPr>
                <w:noProof/>
                <w:webHidden/>
              </w:rPr>
              <w:fldChar w:fldCharType="end"/>
            </w:r>
          </w:hyperlink>
        </w:p>
        <w:p w14:paraId="623D982B" w14:textId="53149477"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09" w:history="1">
            <w:r w:rsidR="008E41D1" w:rsidRPr="006D5B7F">
              <w:rPr>
                <w:rStyle w:val="Hyperlink"/>
                <w:rFonts w:cs="Helvetica"/>
                <w:b/>
                <w:noProof/>
              </w:rPr>
              <w:t>Supplementary Appendix Figure 4A</w:t>
            </w:r>
            <w:r w:rsidR="008E41D1" w:rsidRPr="006D5B7F">
              <w:rPr>
                <w:rStyle w:val="Hyperlink"/>
                <w:rFonts w:cs="Helvetica"/>
                <w:noProof/>
              </w:rPr>
              <w:t>: Spline analysis of inflection points of change in the slope of HAZ, 2000</w:t>
            </w:r>
            <w:r w:rsidR="008E41D1">
              <w:rPr>
                <w:noProof/>
                <w:webHidden/>
              </w:rPr>
              <w:tab/>
            </w:r>
            <w:r w:rsidR="008E41D1">
              <w:rPr>
                <w:noProof/>
                <w:webHidden/>
              </w:rPr>
              <w:fldChar w:fldCharType="begin"/>
            </w:r>
            <w:r w:rsidR="008E41D1">
              <w:rPr>
                <w:noProof/>
                <w:webHidden/>
              </w:rPr>
              <w:instrText xml:space="preserve"> PAGEREF _Toc40953309 \h </w:instrText>
            </w:r>
            <w:r w:rsidR="008E41D1">
              <w:rPr>
                <w:noProof/>
                <w:webHidden/>
              </w:rPr>
            </w:r>
            <w:r w:rsidR="008E41D1">
              <w:rPr>
                <w:noProof/>
                <w:webHidden/>
              </w:rPr>
              <w:fldChar w:fldCharType="separate"/>
            </w:r>
            <w:r w:rsidR="008E41D1">
              <w:rPr>
                <w:noProof/>
                <w:webHidden/>
              </w:rPr>
              <w:t>17</w:t>
            </w:r>
            <w:r w:rsidR="008E41D1">
              <w:rPr>
                <w:noProof/>
                <w:webHidden/>
              </w:rPr>
              <w:fldChar w:fldCharType="end"/>
            </w:r>
          </w:hyperlink>
        </w:p>
        <w:p w14:paraId="700397B0" w14:textId="429F21E7"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0" w:history="1">
            <w:r w:rsidR="008E41D1" w:rsidRPr="006D5B7F">
              <w:rPr>
                <w:rStyle w:val="Hyperlink"/>
                <w:rFonts w:cs="Helvetica"/>
                <w:b/>
                <w:noProof/>
              </w:rPr>
              <w:t>Supplementary Appendix Figure 4B</w:t>
            </w:r>
            <w:r w:rsidR="008E41D1" w:rsidRPr="006D5B7F">
              <w:rPr>
                <w:rStyle w:val="Hyperlink"/>
                <w:rFonts w:cs="Helvetica"/>
                <w:noProof/>
              </w:rPr>
              <w:t>: Spline analysis of inflection points of change in the slope of HAZ, 2007/08</w:t>
            </w:r>
            <w:r w:rsidR="008E41D1">
              <w:rPr>
                <w:noProof/>
                <w:webHidden/>
              </w:rPr>
              <w:tab/>
            </w:r>
            <w:r w:rsidR="008E41D1">
              <w:rPr>
                <w:noProof/>
                <w:webHidden/>
              </w:rPr>
              <w:fldChar w:fldCharType="begin"/>
            </w:r>
            <w:r w:rsidR="008E41D1">
              <w:rPr>
                <w:noProof/>
                <w:webHidden/>
              </w:rPr>
              <w:instrText xml:space="preserve"> PAGEREF _Toc40953310 \h </w:instrText>
            </w:r>
            <w:r w:rsidR="008E41D1">
              <w:rPr>
                <w:noProof/>
                <w:webHidden/>
              </w:rPr>
            </w:r>
            <w:r w:rsidR="008E41D1">
              <w:rPr>
                <w:noProof/>
                <w:webHidden/>
              </w:rPr>
              <w:fldChar w:fldCharType="separate"/>
            </w:r>
            <w:r w:rsidR="008E41D1">
              <w:rPr>
                <w:noProof/>
                <w:webHidden/>
              </w:rPr>
              <w:t>17</w:t>
            </w:r>
            <w:r w:rsidR="008E41D1">
              <w:rPr>
                <w:noProof/>
                <w:webHidden/>
              </w:rPr>
              <w:fldChar w:fldCharType="end"/>
            </w:r>
          </w:hyperlink>
        </w:p>
        <w:p w14:paraId="54DF349F" w14:textId="20769421"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1" w:history="1">
            <w:r w:rsidR="008E41D1" w:rsidRPr="006D5B7F">
              <w:rPr>
                <w:rStyle w:val="Hyperlink"/>
                <w:rFonts w:cs="Helvetica"/>
                <w:b/>
                <w:noProof/>
              </w:rPr>
              <w:t>Supplementary Appendix Figure 4C</w:t>
            </w:r>
            <w:r w:rsidR="008E41D1" w:rsidRPr="006D5B7F">
              <w:rPr>
                <w:rStyle w:val="Hyperlink"/>
                <w:rFonts w:cs="Helvetica"/>
                <w:noProof/>
              </w:rPr>
              <w:t>: Spline analysis of inflection points of change in the slope of HAZ, 2016</w:t>
            </w:r>
            <w:r w:rsidR="008E41D1">
              <w:rPr>
                <w:noProof/>
                <w:webHidden/>
              </w:rPr>
              <w:tab/>
            </w:r>
            <w:r w:rsidR="008E41D1">
              <w:rPr>
                <w:noProof/>
                <w:webHidden/>
              </w:rPr>
              <w:fldChar w:fldCharType="begin"/>
            </w:r>
            <w:r w:rsidR="008E41D1">
              <w:rPr>
                <w:noProof/>
                <w:webHidden/>
              </w:rPr>
              <w:instrText xml:space="preserve"> PAGEREF _Toc40953311 \h </w:instrText>
            </w:r>
            <w:r w:rsidR="008E41D1">
              <w:rPr>
                <w:noProof/>
                <w:webHidden/>
              </w:rPr>
            </w:r>
            <w:r w:rsidR="008E41D1">
              <w:rPr>
                <w:noProof/>
                <w:webHidden/>
              </w:rPr>
              <w:fldChar w:fldCharType="separate"/>
            </w:r>
            <w:r w:rsidR="008E41D1">
              <w:rPr>
                <w:noProof/>
                <w:webHidden/>
              </w:rPr>
              <w:t>18</w:t>
            </w:r>
            <w:r w:rsidR="008E41D1">
              <w:rPr>
                <w:noProof/>
                <w:webHidden/>
              </w:rPr>
              <w:fldChar w:fldCharType="end"/>
            </w:r>
          </w:hyperlink>
        </w:p>
        <w:p w14:paraId="11F29101" w14:textId="48979DAF"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2" w:history="1">
            <w:r w:rsidR="008E41D1" w:rsidRPr="006D5B7F">
              <w:rPr>
                <w:rStyle w:val="Hyperlink"/>
                <w:rFonts w:cs="Helvetica"/>
                <w:b/>
                <w:noProof/>
              </w:rPr>
              <w:t>Supplementary Appendix Figure 5</w:t>
            </w:r>
            <w:r w:rsidR="008E41D1" w:rsidRPr="006D5B7F">
              <w:rPr>
                <w:rStyle w:val="Hyperlink"/>
                <w:rFonts w:cs="Helvetica"/>
                <w:noProof/>
              </w:rPr>
              <w:t>: Stunting estimates for children under-5 years old from 2005-2016</w:t>
            </w:r>
            <w:r w:rsidR="008E41D1">
              <w:rPr>
                <w:noProof/>
                <w:webHidden/>
              </w:rPr>
              <w:tab/>
            </w:r>
            <w:r w:rsidR="008E41D1">
              <w:rPr>
                <w:noProof/>
                <w:webHidden/>
              </w:rPr>
              <w:fldChar w:fldCharType="begin"/>
            </w:r>
            <w:r w:rsidR="008E41D1">
              <w:rPr>
                <w:noProof/>
                <w:webHidden/>
              </w:rPr>
              <w:instrText xml:space="preserve"> PAGEREF _Toc40953312 \h </w:instrText>
            </w:r>
            <w:r w:rsidR="008E41D1">
              <w:rPr>
                <w:noProof/>
                <w:webHidden/>
              </w:rPr>
            </w:r>
            <w:r w:rsidR="008E41D1">
              <w:rPr>
                <w:noProof/>
                <w:webHidden/>
              </w:rPr>
              <w:fldChar w:fldCharType="separate"/>
            </w:r>
            <w:r w:rsidR="008E41D1">
              <w:rPr>
                <w:noProof/>
                <w:webHidden/>
              </w:rPr>
              <w:t>19</w:t>
            </w:r>
            <w:r w:rsidR="008E41D1">
              <w:rPr>
                <w:noProof/>
                <w:webHidden/>
              </w:rPr>
              <w:fldChar w:fldCharType="end"/>
            </w:r>
          </w:hyperlink>
        </w:p>
        <w:p w14:paraId="21B193A7" w14:textId="7E31E6DE"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3" w:history="1">
            <w:r w:rsidR="008E41D1" w:rsidRPr="006D5B7F">
              <w:rPr>
                <w:rStyle w:val="Hyperlink"/>
                <w:rFonts w:cs="Helvetica"/>
                <w:b/>
                <w:noProof/>
              </w:rPr>
              <w:t>Supplementary Appendix Figure 6A</w:t>
            </w:r>
            <w:r w:rsidR="008E41D1" w:rsidRPr="006D5B7F">
              <w:rPr>
                <w:rStyle w:val="Hyperlink"/>
                <w:rFonts w:cs="Helvetica"/>
                <w:noProof/>
              </w:rPr>
              <w:t>: Change in absolute SII by year in Peru</w:t>
            </w:r>
            <w:r w:rsidR="008E41D1">
              <w:rPr>
                <w:noProof/>
                <w:webHidden/>
              </w:rPr>
              <w:tab/>
            </w:r>
            <w:r w:rsidR="008E41D1">
              <w:rPr>
                <w:noProof/>
                <w:webHidden/>
              </w:rPr>
              <w:fldChar w:fldCharType="begin"/>
            </w:r>
            <w:r w:rsidR="008E41D1">
              <w:rPr>
                <w:noProof/>
                <w:webHidden/>
              </w:rPr>
              <w:instrText xml:space="preserve"> PAGEREF _Toc40953313 \h </w:instrText>
            </w:r>
            <w:r w:rsidR="008E41D1">
              <w:rPr>
                <w:noProof/>
                <w:webHidden/>
              </w:rPr>
            </w:r>
            <w:r w:rsidR="008E41D1">
              <w:rPr>
                <w:noProof/>
                <w:webHidden/>
              </w:rPr>
              <w:fldChar w:fldCharType="separate"/>
            </w:r>
            <w:r w:rsidR="008E41D1">
              <w:rPr>
                <w:noProof/>
                <w:webHidden/>
              </w:rPr>
              <w:t>20</w:t>
            </w:r>
            <w:r w:rsidR="008E41D1">
              <w:rPr>
                <w:noProof/>
                <w:webHidden/>
              </w:rPr>
              <w:fldChar w:fldCharType="end"/>
            </w:r>
          </w:hyperlink>
        </w:p>
        <w:p w14:paraId="347A41AA" w14:textId="0B34AF47"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4" w:history="1">
            <w:r w:rsidR="008E41D1" w:rsidRPr="006D5B7F">
              <w:rPr>
                <w:rStyle w:val="Hyperlink"/>
                <w:rFonts w:cs="Helvetica"/>
                <w:b/>
                <w:noProof/>
              </w:rPr>
              <w:t>Supplementary Appendix Figure 6B</w:t>
            </w:r>
            <w:r w:rsidR="008E41D1" w:rsidRPr="006D5B7F">
              <w:rPr>
                <w:rStyle w:val="Hyperlink"/>
                <w:rFonts w:cs="Helvetica"/>
                <w:noProof/>
              </w:rPr>
              <w:t>: Change in relative CIX by year in Peru</w:t>
            </w:r>
            <w:r w:rsidR="008E41D1">
              <w:rPr>
                <w:noProof/>
                <w:webHidden/>
              </w:rPr>
              <w:tab/>
            </w:r>
            <w:r w:rsidR="008E41D1">
              <w:rPr>
                <w:noProof/>
                <w:webHidden/>
              </w:rPr>
              <w:fldChar w:fldCharType="begin"/>
            </w:r>
            <w:r w:rsidR="008E41D1">
              <w:rPr>
                <w:noProof/>
                <w:webHidden/>
              </w:rPr>
              <w:instrText xml:space="preserve"> PAGEREF _Toc40953314 \h </w:instrText>
            </w:r>
            <w:r w:rsidR="008E41D1">
              <w:rPr>
                <w:noProof/>
                <w:webHidden/>
              </w:rPr>
            </w:r>
            <w:r w:rsidR="008E41D1">
              <w:rPr>
                <w:noProof/>
                <w:webHidden/>
              </w:rPr>
              <w:fldChar w:fldCharType="separate"/>
            </w:r>
            <w:r w:rsidR="008E41D1">
              <w:rPr>
                <w:noProof/>
                <w:webHidden/>
              </w:rPr>
              <w:t>20</w:t>
            </w:r>
            <w:r w:rsidR="008E41D1">
              <w:rPr>
                <w:noProof/>
                <w:webHidden/>
              </w:rPr>
              <w:fldChar w:fldCharType="end"/>
            </w:r>
          </w:hyperlink>
        </w:p>
        <w:p w14:paraId="5135E1FC" w14:textId="2D8D9662"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5" w:history="1">
            <w:r w:rsidR="008E41D1" w:rsidRPr="006D5B7F">
              <w:rPr>
                <w:rStyle w:val="Hyperlink"/>
                <w:rFonts w:cs="Helvetica"/>
                <w:b/>
                <w:noProof/>
              </w:rPr>
              <w:t>Supplementary Appendix Figure 7A</w:t>
            </w:r>
            <w:r w:rsidR="008E41D1" w:rsidRPr="006D5B7F">
              <w:rPr>
                <w:rStyle w:val="Hyperlink"/>
                <w:rFonts w:cs="Helvetica"/>
                <w:noProof/>
              </w:rPr>
              <w:t>: Stunting prevalence by gender, 1992/93 – 2017</w:t>
            </w:r>
            <w:r w:rsidR="008E41D1">
              <w:rPr>
                <w:noProof/>
                <w:webHidden/>
              </w:rPr>
              <w:tab/>
            </w:r>
            <w:r w:rsidR="008E41D1">
              <w:rPr>
                <w:noProof/>
                <w:webHidden/>
              </w:rPr>
              <w:fldChar w:fldCharType="begin"/>
            </w:r>
            <w:r w:rsidR="008E41D1">
              <w:rPr>
                <w:noProof/>
                <w:webHidden/>
              </w:rPr>
              <w:instrText xml:space="preserve"> PAGEREF _Toc40953315 \h </w:instrText>
            </w:r>
            <w:r w:rsidR="008E41D1">
              <w:rPr>
                <w:noProof/>
                <w:webHidden/>
              </w:rPr>
            </w:r>
            <w:r w:rsidR="008E41D1">
              <w:rPr>
                <w:noProof/>
                <w:webHidden/>
              </w:rPr>
              <w:fldChar w:fldCharType="separate"/>
            </w:r>
            <w:r w:rsidR="008E41D1">
              <w:rPr>
                <w:noProof/>
                <w:webHidden/>
              </w:rPr>
              <w:t>21</w:t>
            </w:r>
            <w:r w:rsidR="008E41D1">
              <w:rPr>
                <w:noProof/>
                <w:webHidden/>
              </w:rPr>
              <w:fldChar w:fldCharType="end"/>
            </w:r>
          </w:hyperlink>
        </w:p>
        <w:p w14:paraId="1B2B687A" w14:textId="353C559A"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6" w:history="1">
            <w:r w:rsidR="008E41D1" w:rsidRPr="006D5B7F">
              <w:rPr>
                <w:rStyle w:val="Hyperlink"/>
                <w:rFonts w:cs="Helvetica"/>
                <w:b/>
                <w:noProof/>
              </w:rPr>
              <w:t>Supplementary Appendix Figure 7B</w:t>
            </w:r>
            <w:r w:rsidR="008E41D1" w:rsidRPr="006D5B7F">
              <w:rPr>
                <w:rStyle w:val="Hyperlink"/>
                <w:rFonts w:cs="Helvetica"/>
                <w:noProof/>
              </w:rPr>
              <w:t>: Stunting prevalence by geographic región, 2000 – 2016</w:t>
            </w:r>
            <w:r w:rsidR="008E41D1">
              <w:rPr>
                <w:noProof/>
                <w:webHidden/>
              </w:rPr>
              <w:tab/>
            </w:r>
            <w:r w:rsidR="008E41D1">
              <w:rPr>
                <w:noProof/>
                <w:webHidden/>
              </w:rPr>
              <w:fldChar w:fldCharType="begin"/>
            </w:r>
            <w:r w:rsidR="008E41D1">
              <w:rPr>
                <w:noProof/>
                <w:webHidden/>
              </w:rPr>
              <w:instrText xml:space="preserve"> PAGEREF _Toc40953316 \h </w:instrText>
            </w:r>
            <w:r w:rsidR="008E41D1">
              <w:rPr>
                <w:noProof/>
                <w:webHidden/>
              </w:rPr>
            </w:r>
            <w:r w:rsidR="008E41D1">
              <w:rPr>
                <w:noProof/>
                <w:webHidden/>
              </w:rPr>
              <w:fldChar w:fldCharType="separate"/>
            </w:r>
            <w:r w:rsidR="008E41D1">
              <w:rPr>
                <w:noProof/>
                <w:webHidden/>
              </w:rPr>
              <w:t>21</w:t>
            </w:r>
            <w:r w:rsidR="008E41D1">
              <w:rPr>
                <w:noProof/>
                <w:webHidden/>
              </w:rPr>
              <w:fldChar w:fldCharType="end"/>
            </w:r>
          </w:hyperlink>
        </w:p>
        <w:p w14:paraId="6B53C152" w14:textId="59E2E2A3"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7" w:history="1">
            <w:r w:rsidR="008E41D1" w:rsidRPr="006D5B7F">
              <w:rPr>
                <w:rStyle w:val="Hyperlink"/>
                <w:rFonts w:cs="Helvetica"/>
                <w:b/>
                <w:noProof/>
              </w:rPr>
              <w:t>Supplementary Appendix Table 3:</w:t>
            </w:r>
            <w:r w:rsidR="008E41D1" w:rsidRPr="006D5B7F">
              <w:rPr>
                <w:rStyle w:val="Hyperlink"/>
                <w:rFonts w:cs="Helvetica"/>
                <w:noProof/>
              </w:rPr>
              <w:t xml:space="preserve"> Descriptive trends in stunting determinants in children &lt;5 years 2000, 2007/08, 2016</w:t>
            </w:r>
            <w:r w:rsidR="008E41D1">
              <w:rPr>
                <w:noProof/>
                <w:webHidden/>
              </w:rPr>
              <w:tab/>
            </w:r>
            <w:r w:rsidR="008E41D1">
              <w:rPr>
                <w:noProof/>
                <w:webHidden/>
              </w:rPr>
              <w:fldChar w:fldCharType="begin"/>
            </w:r>
            <w:r w:rsidR="008E41D1">
              <w:rPr>
                <w:noProof/>
                <w:webHidden/>
              </w:rPr>
              <w:instrText xml:space="preserve"> PAGEREF _Toc40953317 \h </w:instrText>
            </w:r>
            <w:r w:rsidR="008E41D1">
              <w:rPr>
                <w:noProof/>
                <w:webHidden/>
              </w:rPr>
            </w:r>
            <w:r w:rsidR="008E41D1">
              <w:rPr>
                <w:noProof/>
                <w:webHidden/>
              </w:rPr>
              <w:fldChar w:fldCharType="separate"/>
            </w:r>
            <w:r w:rsidR="008E41D1">
              <w:rPr>
                <w:noProof/>
                <w:webHidden/>
              </w:rPr>
              <w:t>22</w:t>
            </w:r>
            <w:r w:rsidR="008E41D1">
              <w:rPr>
                <w:noProof/>
                <w:webHidden/>
              </w:rPr>
              <w:fldChar w:fldCharType="end"/>
            </w:r>
          </w:hyperlink>
        </w:p>
        <w:p w14:paraId="072C5F0E" w14:textId="15ACB030"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8" w:history="1">
            <w:r w:rsidR="008E41D1" w:rsidRPr="006D5B7F">
              <w:rPr>
                <w:rStyle w:val="Hyperlink"/>
                <w:rFonts w:cs="Helvetica"/>
                <w:b/>
                <w:noProof/>
              </w:rPr>
              <w:t>Supplementary Appendix Table 4:</w:t>
            </w:r>
            <w:r w:rsidR="008E41D1" w:rsidRPr="006D5B7F">
              <w:rPr>
                <w:rStyle w:val="Hyperlink"/>
                <w:rFonts w:cs="Helvetica"/>
                <w:noProof/>
              </w:rPr>
              <w:t xml:space="preserve"> Decomposition analysis for children &lt;5 months from 2000-2016</w:t>
            </w:r>
            <w:r w:rsidR="008E41D1">
              <w:rPr>
                <w:noProof/>
                <w:webHidden/>
              </w:rPr>
              <w:tab/>
            </w:r>
            <w:r w:rsidR="008E41D1">
              <w:rPr>
                <w:noProof/>
                <w:webHidden/>
              </w:rPr>
              <w:fldChar w:fldCharType="begin"/>
            </w:r>
            <w:r w:rsidR="008E41D1">
              <w:rPr>
                <w:noProof/>
                <w:webHidden/>
              </w:rPr>
              <w:instrText xml:space="preserve"> PAGEREF _Toc40953318 \h </w:instrText>
            </w:r>
            <w:r w:rsidR="008E41D1">
              <w:rPr>
                <w:noProof/>
                <w:webHidden/>
              </w:rPr>
            </w:r>
            <w:r w:rsidR="008E41D1">
              <w:rPr>
                <w:noProof/>
                <w:webHidden/>
              </w:rPr>
              <w:fldChar w:fldCharType="separate"/>
            </w:r>
            <w:r w:rsidR="008E41D1">
              <w:rPr>
                <w:noProof/>
                <w:webHidden/>
              </w:rPr>
              <w:t>27</w:t>
            </w:r>
            <w:r w:rsidR="008E41D1">
              <w:rPr>
                <w:noProof/>
                <w:webHidden/>
              </w:rPr>
              <w:fldChar w:fldCharType="end"/>
            </w:r>
          </w:hyperlink>
        </w:p>
        <w:p w14:paraId="4C473DBA" w14:textId="64D440FE"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19" w:history="1">
            <w:r w:rsidR="008E41D1" w:rsidRPr="006D5B7F">
              <w:rPr>
                <w:rStyle w:val="Hyperlink"/>
                <w:rFonts w:cs="Helvetica"/>
                <w:b/>
                <w:noProof/>
              </w:rPr>
              <w:t xml:space="preserve">Supplementary </w:t>
            </w:r>
            <w:r w:rsidR="008E41D1" w:rsidRPr="006D5B7F">
              <w:rPr>
                <w:rStyle w:val="Hyperlink"/>
                <w:b/>
                <w:noProof/>
              </w:rPr>
              <w:t xml:space="preserve">Appendix Figure 8: </w:t>
            </w:r>
            <w:r w:rsidR="008E41D1" w:rsidRPr="006D5B7F">
              <w:rPr>
                <w:rStyle w:val="Hyperlink"/>
                <w:noProof/>
              </w:rPr>
              <w:t>Decomposing predicted changes in HAZ among children &lt;5 (i.e. relative ranking of product coefficients for determinant domains) from 2000-2016</w:t>
            </w:r>
            <w:r w:rsidR="008E41D1">
              <w:rPr>
                <w:noProof/>
                <w:webHidden/>
              </w:rPr>
              <w:tab/>
            </w:r>
            <w:r w:rsidR="008E41D1">
              <w:rPr>
                <w:noProof/>
                <w:webHidden/>
              </w:rPr>
              <w:fldChar w:fldCharType="begin"/>
            </w:r>
            <w:r w:rsidR="008E41D1">
              <w:rPr>
                <w:noProof/>
                <w:webHidden/>
              </w:rPr>
              <w:instrText xml:space="preserve"> PAGEREF _Toc40953319 \h </w:instrText>
            </w:r>
            <w:r w:rsidR="008E41D1">
              <w:rPr>
                <w:noProof/>
                <w:webHidden/>
              </w:rPr>
            </w:r>
            <w:r w:rsidR="008E41D1">
              <w:rPr>
                <w:noProof/>
                <w:webHidden/>
              </w:rPr>
              <w:fldChar w:fldCharType="separate"/>
            </w:r>
            <w:r w:rsidR="008E41D1">
              <w:rPr>
                <w:noProof/>
                <w:webHidden/>
              </w:rPr>
              <w:t>27</w:t>
            </w:r>
            <w:r w:rsidR="008E41D1">
              <w:rPr>
                <w:noProof/>
                <w:webHidden/>
              </w:rPr>
              <w:fldChar w:fldCharType="end"/>
            </w:r>
          </w:hyperlink>
        </w:p>
        <w:p w14:paraId="6417F7C3" w14:textId="17472EC2"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0" w:history="1">
            <w:r w:rsidR="008E41D1" w:rsidRPr="006D5B7F">
              <w:rPr>
                <w:rStyle w:val="Hyperlink"/>
                <w:rFonts w:cs="Helvetica"/>
                <w:b/>
                <w:noProof/>
              </w:rPr>
              <w:t>Supplementary Appendix Table 5:</w:t>
            </w:r>
            <w:r w:rsidR="008E41D1" w:rsidRPr="006D5B7F">
              <w:rPr>
                <w:rStyle w:val="Hyperlink"/>
                <w:rFonts w:cs="Helvetica"/>
                <w:noProof/>
              </w:rPr>
              <w:t xml:space="preserve"> Decomposition analysis for children 6-23 months from 2000-2016</w:t>
            </w:r>
            <w:r w:rsidR="008E41D1">
              <w:rPr>
                <w:noProof/>
                <w:webHidden/>
              </w:rPr>
              <w:tab/>
            </w:r>
            <w:r w:rsidR="008E41D1">
              <w:rPr>
                <w:noProof/>
                <w:webHidden/>
              </w:rPr>
              <w:fldChar w:fldCharType="begin"/>
            </w:r>
            <w:r w:rsidR="008E41D1">
              <w:rPr>
                <w:noProof/>
                <w:webHidden/>
              </w:rPr>
              <w:instrText xml:space="preserve"> PAGEREF _Toc40953320 \h </w:instrText>
            </w:r>
            <w:r w:rsidR="008E41D1">
              <w:rPr>
                <w:noProof/>
                <w:webHidden/>
              </w:rPr>
            </w:r>
            <w:r w:rsidR="008E41D1">
              <w:rPr>
                <w:noProof/>
                <w:webHidden/>
              </w:rPr>
              <w:fldChar w:fldCharType="separate"/>
            </w:r>
            <w:r w:rsidR="008E41D1">
              <w:rPr>
                <w:noProof/>
                <w:webHidden/>
              </w:rPr>
              <w:t>28</w:t>
            </w:r>
            <w:r w:rsidR="008E41D1">
              <w:rPr>
                <w:noProof/>
                <w:webHidden/>
              </w:rPr>
              <w:fldChar w:fldCharType="end"/>
            </w:r>
          </w:hyperlink>
        </w:p>
        <w:p w14:paraId="0688E2F6" w14:textId="7295EDB6"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1" w:history="1">
            <w:r w:rsidR="008E41D1" w:rsidRPr="006D5B7F">
              <w:rPr>
                <w:rStyle w:val="Hyperlink"/>
                <w:rFonts w:cs="Helvetica"/>
                <w:b/>
                <w:noProof/>
              </w:rPr>
              <w:t xml:space="preserve">Supplementary </w:t>
            </w:r>
            <w:r w:rsidR="008E41D1" w:rsidRPr="006D5B7F">
              <w:rPr>
                <w:rStyle w:val="Hyperlink"/>
                <w:b/>
                <w:noProof/>
              </w:rPr>
              <w:t xml:space="preserve">Appendix Figure 9: </w:t>
            </w:r>
            <w:r w:rsidR="008E41D1" w:rsidRPr="006D5B7F">
              <w:rPr>
                <w:rStyle w:val="Hyperlink"/>
                <w:noProof/>
              </w:rPr>
              <w:t>Decomposing predicted changes in HAZ among children 6-23 months (i.e. relative ranking of product coefficients for determinant domains) from 2000-2016</w:t>
            </w:r>
            <w:r w:rsidR="008E41D1">
              <w:rPr>
                <w:noProof/>
                <w:webHidden/>
              </w:rPr>
              <w:tab/>
            </w:r>
            <w:r w:rsidR="008E41D1">
              <w:rPr>
                <w:noProof/>
                <w:webHidden/>
              </w:rPr>
              <w:fldChar w:fldCharType="begin"/>
            </w:r>
            <w:r w:rsidR="008E41D1">
              <w:rPr>
                <w:noProof/>
                <w:webHidden/>
              </w:rPr>
              <w:instrText xml:space="preserve"> PAGEREF _Toc40953321 \h </w:instrText>
            </w:r>
            <w:r w:rsidR="008E41D1">
              <w:rPr>
                <w:noProof/>
                <w:webHidden/>
              </w:rPr>
            </w:r>
            <w:r w:rsidR="008E41D1">
              <w:rPr>
                <w:noProof/>
                <w:webHidden/>
              </w:rPr>
              <w:fldChar w:fldCharType="separate"/>
            </w:r>
            <w:r w:rsidR="008E41D1">
              <w:rPr>
                <w:noProof/>
                <w:webHidden/>
              </w:rPr>
              <w:t>28</w:t>
            </w:r>
            <w:r w:rsidR="008E41D1">
              <w:rPr>
                <w:noProof/>
                <w:webHidden/>
              </w:rPr>
              <w:fldChar w:fldCharType="end"/>
            </w:r>
          </w:hyperlink>
        </w:p>
        <w:p w14:paraId="4C77B927" w14:textId="24A11C57"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2" w:history="1">
            <w:r w:rsidR="008E41D1" w:rsidRPr="006D5B7F">
              <w:rPr>
                <w:rStyle w:val="Hyperlink"/>
                <w:rFonts w:cs="Helvetica"/>
                <w:b/>
                <w:noProof/>
              </w:rPr>
              <w:t>Supplementary Appendix Table 6:</w:t>
            </w:r>
            <w:r w:rsidR="008E41D1" w:rsidRPr="006D5B7F">
              <w:rPr>
                <w:rStyle w:val="Hyperlink"/>
                <w:rFonts w:cs="Helvetica"/>
                <w:noProof/>
              </w:rPr>
              <w:t xml:space="preserve"> Decomposition analysis for children 24-59 months from 2000-2016</w:t>
            </w:r>
            <w:r w:rsidR="008E41D1">
              <w:rPr>
                <w:noProof/>
                <w:webHidden/>
              </w:rPr>
              <w:tab/>
            </w:r>
            <w:r w:rsidR="008E41D1">
              <w:rPr>
                <w:noProof/>
                <w:webHidden/>
              </w:rPr>
              <w:fldChar w:fldCharType="begin"/>
            </w:r>
            <w:r w:rsidR="008E41D1">
              <w:rPr>
                <w:noProof/>
                <w:webHidden/>
              </w:rPr>
              <w:instrText xml:space="preserve"> PAGEREF _Toc40953322 \h </w:instrText>
            </w:r>
            <w:r w:rsidR="008E41D1">
              <w:rPr>
                <w:noProof/>
                <w:webHidden/>
              </w:rPr>
            </w:r>
            <w:r w:rsidR="008E41D1">
              <w:rPr>
                <w:noProof/>
                <w:webHidden/>
              </w:rPr>
              <w:fldChar w:fldCharType="separate"/>
            </w:r>
            <w:r w:rsidR="008E41D1">
              <w:rPr>
                <w:noProof/>
                <w:webHidden/>
              </w:rPr>
              <w:t>29</w:t>
            </w:r>
            <w:r w:rsidR="008E41D1">
              <w:rPr>
                <w:noProof/>
                <w:webHidden/>
              </w:rPr>
              <w:fldChar w:fldCharType="end"/>
            </w:r>
          </w:hyperlink>
        </w:p>
        <w:p w14:paraId="2806F971" w14:textId="3189863B"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3" w:history="1">
            <w:r w:rsidR="008E41D1" w:rsidRPr="006D5B7F">
              <w:rPr>
                <w:rStyle w:val="Hyperlink"/>
                <w:rFonts w:cs="Helvetica"/>
                <w:b/>
                <w:noProof/>
              </w:rPr>
              <w:t xml:space="preserve">Supplementary </w:t>
            </w:r>
            <w:r w:rsidR="008E41D1" w:rsidRPr="006D5B7F">
              <w:rPr>
                <w:rStyle w:val="Hyperlink"/>
                <w:b/>
                <w:noProof/>
              </w:rPr>
              <w:t xml:space="preserve">Appendix Figure 10: </w:t>
            </w:r>
            <w:r w:rsidR="008E41D1" w:rsidRPr="006D5B7F">
              <w:rPr>
                <w:rStyle w:val="Hyperlink"/>
                <w:noProof/>
              </w:rPr>
              <w:t>Decomposing predicted changes in HAZ among children 24-59 months (i.e. relative ranking of product coefficients for determinant domains) from 2000-2016</w:t>
            </w:r>
            <w:r w:rsidR="008E41D1">
              <w:rPr>
                <w:noProof/>
                <w:webHidden/>
              </w:rPr>
              <w:tab/>
            </w:r>
            <w:r w:rsidR="008E41D1">
              <w:rPr>
                <w:noProof/>
                <w:webHidden/>
              </w:rPr>
              <w:fldChar w:fldCharType="begin"/>
            </w:r>
            <w:r w:rsidR="008E41D1">
              <w:rPr>
                <w:noProof/>
                <w:webHidden/>
              </w:rPr>
              <w:instrText xml:space="preserve"> PAGEREF _Toc40953323 \h </w:instrText>
            </w:r>
            <w:r w:rsidR="008E41D1">
              <w:rPr>
                <w:noProof/>
                <w:webHidden/>
              </w:rPr>
            </w:r>
            <w:r w:rsidR="008E41D1">
              <w:rPr>
                <w:noProof/>
                <w:webHidden/>
              </w:rPr>
              <w:fldChar w:fldCharType="separate"/>
            </w:r>
            <w:r w:rsidR="008E41D1">
              <w:rPr>
                <w:noProof/>
                <w:webHidden/>
              </w:rPr>
              <w:t>29</w:t>
            </w:r>
            <w:r w:rsidR="008E41D1">
              <w:rPr>
                <w:noProof/>
                <w:webHidden/>
              </w:rPr>
              <w:fldChar w:fldCharType="end"/>
            </w:r>
          </w:hyperlink>
        </w:p>
        <w:p w14:paraId="2E9C2996" w14:textId="1CDEDA68"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4" w:history="1">
            <w:r w:rsidR="008E41D1" w:rsidRPr="006D5B7F">
              <w:rPr>
                <w:rStyle w:val="Hyperlink"/>
                <w:rFonts w:cs="Helvetica"/>
                <w:b/>
                <w:noProof/>
              </w:rPr>
              <w:t>Supplementary Appendix Table 7:</w:t>
            </w:r>
            <w:r w:rsidR="008E41D1" w:rsidRPr="006D5B7F">
              <w:rPr>
                <w:rStyle w:val="Hyperlink"/>
                <w:rFonts w:cs="Helvetica"/>
                <w:noProof/>
              </w:rPr>
              <w:t xml:space="preserve"> Decomposition analysis for children &lt;6 months from 2000-2016</w:t>
            </w:r>
            <w:r w:rsidR="008E41D1">
              <w:rPr>
                <w:noProof/>
                <w:webHidden/>
              </w:rPr>
              <w:tab/>
            </w:r>
            <w:r w:rsidR="008E41D1">
              <w:rPr>
                <w:noProof/>
                <w:webHidden/>
              </w:rPr>
              <w:fldChar w:fldCharType="begin"/>
            </w:r>
            <w:r w:rsidR="008E41D1">
              <w:rPr>
                <w:noProof/>
                <w:webHidden/>
              </w:rPr>
              <w:instrText xml:space="preserve"> PAGEREF _Toc40953324 \h </w:instrText>
            </w:r>
            <w:r w:rsidR="008E41D1">
              <w:rPr>
                <w:noProof/>
                <w:webHidden/>
              </w:rPr>
            </w:r>
            <w:r w:rsidR="008E41D1">
              <w:rPr>
                <w:noProof/>
                <w:webHidden/>
              </w:rPr>
              <w:fldChar w:fldCharType="separate"/>
            </w:r>
            <w:r w:rsidR="008E41D1">
              <w:rPr>
                <w:noProof/>
                <w:webHidden/>
              </w:rPr>
              <w:t>30</w:t>
            </w:r>
            <w:r w:rsidR="008E41D1">
              <w:rPr>
                <w:noProof/>
                <w:webHidden/>
              </w:rPr>
              <w:fldChar w:fldCharType="end"/>
            </w:r>
          </w:hyperlink>
        </w:p>
        <w:p w14:paraId="37F4288C" w14:textId="5A883896"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5" w:history="1">
            <w:r w:rsidR="008E41D1" w:rsidRPr="006D5B7F">
              <w:rPr>
                <w:rStyle w:val="Hyperlink"/>
                <w:rFonts w:cs="Helvetica"/>
                <w:b/>
                <w:noProof/>
              </w:rPr>
              <w:t xml:space="preserve">Supplementary </w:t>
            </w:r>
            <w:r w:rsidR="008E41D1" w:rsidRPr="006D5B7F">
              <w:rPr>
                <w:rStyle w:val="Hyperlink"/>
                <w:b/>
                <w:noProof/>
              </w:rPr>
              <w:t xml:space="preserve">Appendix Figure 11: </w:t>
            </w:r>
            <w:r w:rsidR="008E41D1" w:rsidRPr="006D5B7F">
              <w:rPr>
                <w:rStyle w:val="Hyperlink"/>
                <w:noProof/>
              </w:rPr>
              <w:t>Decomposing predicted changes in HAZ among children &lt;6 months (i.e. relative ranking of product coefficients for determinant domains) from 2000-2016</w:t>
            </w:r>
            <w:r w:rsidR="008E41D1">
              <w:rPr>
                <w:noProof/>
                <w:webHidden/>
              </w:rPr>
              <w:tab/>
            </w:r>
            <w:r w:rsidR="008E41D1">
              <w:rPr>
                <w:noProof/>
                <w:webHidden/>
              </w:rPr>
              <w:fldChar w:fldCharType="begin"/>
            </w:r>
            <w:r w:rsidR="008E41D1">
              <w:rPr>
                <w:noProof/>
                <w:webHidden/>
              </w:rPr>
              <w:instrText xml:space="preserve"> PAGEREF _Toc40953325 \h </w:instrText>
            </w:r>
            <w:r w:rsidR="008E41D1">
              <w:rPr>
                <w:noProof/>
                <w:webHidden/>
              </w:rPr>
            </w:r>
            <w:r w:rsidR="008E41D1">
              <w:rPr>
                <w:noProof/>
                <w:webHidden/>
              </w:rPr>
              <w:fldChar w:fldCharType="separate"/>
            </w:r>
            <w:r w:rsidR="008E41D1">
              <w:rPr>
                <w:noProof/>
                <w:webHidden/>
              </w:rPr>
              <w:t>30</w:t>
            </w:r>
            <w:r w:rsidR="008E41D1">
              <w:rPr>
                <w:noProof/>
                <w:webHidden/>
              </w:rPr>
              <w:fldChar w:fldCharType="end"/>
            </w:r>
          </w:hyperlink>
        </w:p>
        <w:p w14:paraId="2CC46085" w14:textId="05D7A9FD"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6" w:history="1">
            <w:r w:rsidR="008E41D1" w:rsidRPr="006D5B7F">
              <w:rPr>
                <w:rStyle w:val="Hyperlink"/>
                <w:rFonts w:cs="Helvetica"/>
                <w:b/>
                <w:noProof/>
              </w:rPr>
              <w:t>Supplementary Appendix Table 8:</w:t>
            </w:r>
            <w:r w:rsidR="008E41D1" w:rsidRPr="006D5B7F">
              <w:rPr>
                <w:rStyle w:val="Hyperlink"/>
                <w:rFonts w:cs="Helvetica"/>
                <w:noProof/>
              </w:rPr>
              <w:t xml:space="preserve"> Hierarchical linear regression models for children &lt;6 months using individual DHS datasets, period 2000-2016</w:t>
            </w:r>
            <w:r w:rsidR="008E41D1">
              <w:rPr>
                <w:noProof/>
                <w:webHidden/>
              </w:rPr>
              <w:tab/>
            </w:r>
            <w:r w:rsidR="008E41D1">
              <w:rPr>
                <w:noProof/>
                <w:webHidden/>
              </w:rPr>
              <w:fldChar w:fldCharType="begin"/>
            </w:r>
            <w:r w:rsidR="008E41D1">
              <w:rPr>
                <w:noProof/>
                <w:webHidden/>
              </w:rPr>
              <w:instrText xml:space="preserve"> PAGEREF _Toc40953326 \h </w:instrText>
            </w:r>
            <w:r w:rsidR="008E41D1">
              <w:rPr>
                <w:noProof/>
                <w:webHidden/>
              </w:rPr>
            </w:r>
            <w:r w:rsidR="008E41D1">
              <w:rPr>
                <w:noProof/>
                <w:webHidden/>
              </w:rPr>
              <w:fldChar w:fldCharType="separate"/>
            </w:r>
            <w:r w:rsidR="008E41D1">
              <w:rPr>
                <w:noProof/>
                <w:webHidden/>
              </w:rPr>
              <w:t>31</w:t>
            </w:r>
            <w:r w:rsidR="008E41D1">
              <w:rPr>
                <w:noProof/>
                <w:webHidden/>
              </w:rPr>
              <w:fldChar w:fldCharType="end"/>
            </w:r>
          </w:hyperlink>
        </w:p>
        <w:p w14:paraId="04B7AA1C" w14:textId="6DF90196"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7" w:history="1">
            <w:r w:rsidR="008E41D1" w:rsidRPr="006D5B7F">
              <w:rPr>
                <w:rStyle w:val="Hyperlink"/>
                <w:rFonts w:cs="Helvetica"/>
                <w:b/>
                <w:noProof/>
              </w:rPr>
              <w:t>Supplementary Appendix Table 9:</w:t>
            </w:r>
            <w:r w:rsidR="008E41D1" w:rsidRPr="006D5B7F">
              <w:rPr>
                <w:rStyle w:val="Hyperlink"/>
                <w:rFonts w:cs="Helvetica"/>
                <w:noProof/>
              </w:rPr>
              <w:t xml:space="preserve"> Hierarchical linear regression models for children 6 – 23 months using individual DHS datasets, period 2000-2016</w:t>
            </w:r>
            <w:r w:rsidR="008E41D1">
              <w:rPr>
                <w:noProof/>
                <w:webHidden/>
              </w:rPr>
              <w:tab/>
            </w:r>
            <w:r w:rsidR="008E41D1">
              <w:rPr>
                <w:noProof/>
                <w:webHidden/>
              </w:rPr>
              <w:fldChar w:fldCharType="begin"/>
            </w:r>
            <w:r w:rsidR="008E41D1">
              <w:rPr>
                <w:noProof/>
                <w:webHidden/>
              </w:rPr>
              <w:instrText xml:space="preserve"> PAGEREF _Toc40953327 \h </w:instrText>
            </w:r>
            <w:r w:rsidR="008E41D1">
              <w:rPr>
                <w:noProof/>
                <w:webHidden/>
              </w:rPr>
            </w:r>
            <w:r w:rsidR="008E41D1">
              <w:rPr>
                <w:noProof/>
                <w:webHidden/>
              </w:rPr>
              <w:fldChar w:fldCharType="separate"/>
            </w:r>
            <w:r w:rsidR="008E41D1">
              <w:rPr>
                <w:noProof/>
                <w:webHidden/>
              </w:rPr>
              <w:t>34</w:t>
            </w:r>
            <w:r w:rsidR="008E41D1">
              <w:rPr>
                <w:noProof/>
                <w:webHidden/>
              </w:rPr>
              <w:fldChar w:fldCharType="end"/>
            </w:r>
          </w:hyperlink>
        </w:p>
        <w:p w14:paraId="150594D8" w14:textId="54283094"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8" w:history="1">
            <w:r w:rsidR="008E41D1" w:rsidRPr="006D5B7F">
              <w:rPr>
                <w:rStyle w:val="Hyperlink"/>
                <w:rFonts w:cs="Helvetica"/>
                <w:b/>
                <w:noProof/>
              </w:rPr>
              <w:t>Supplementary Appendix Table 10:</w:t>
            </w:r>
            <w:r w:rsidR="008E41D1" w:rsidRPr="006D5B7F">
              <w:rPr>
                <w:rStyle w:val="Hyperlink"/>
                <w:rFonts w:cs="Helvetica"/>
                <w:noProof/>
              </w:rPr>
              <w:t xml:space="preserve"> Hierarchical linear regression models for children 24 – 59 months using individual DHS datasets, period 2000-2016</w:t>
            </w:r>
            <w:r w:rsidR="008E41D1">
              <w:rPr>
                <w:noProof/>
                <w:webHidden/>
              </w:rPr>
              <w:tab/>
            </w:r>
            <w:r w:rsidR="008E41D1">
              <w:rPr>
                <w:noProof/>
                <w:webHidden/>
              </w:rPr>
              <w:fldChar w:fldCharType="begin"/>
            </w:r>
            <w:r w:rsidR="008E41D1">
              <w:rPr>
                <w:noProof/>
                <w:webHidden/>
              </w:rPr>
              <w:instrText xml:space="preserve"> PAGEREF _Toc40953328 \h </w:instrText>
            </w:r>
            <w:r w:rsidR="008E41D1">
              <w:rPr>
                <w:noProof/>
                <w:webHidden/>
              </w:rPr>
            </w:r>
            <w:r w:rsidR="008E41D1">
              <w:rPr>
                <w:noProof/>
                <w:webHidden/>
              </w:rPr>
              <w:fldChar w:fldCharType="separate"/>
            </w:r>
            <w:r w:rsidR="008E41D1">
              <w:rPr>
                <w:noProof/>
                <w:webHidden/>
              </w:rPr>
              <w:t>39</w:t>
            </w:r>
            <w:r w:rsidR="008E41D1">
              <w:rPr>
                <w:noProof/>
                <w:webHidden/>
              </w:rPr>
              <w:fldChar w:fldCharType="end"/>
            </w:r>
          </w:hyperlink>
        </w:p>
        <w:p w14:paraId="122BDD71" w14:textId="0E6DDBD5"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29" w:history="1">
            <w:r w:rsidR="008E41D1" w:rsidRPr="006D5B7F">
              <w:rPr>
                <w:rStyle w:val="Hyperlink"/>
                <w:rFonts w:cs="Helvetica"/>
                <w:b/>
                <w:noProof/>
              </w:rPr>
              <w:t>Supplementary Appendix Table 11:</w:t>
            </w:r>
            <w:r w:rsidR="008E41D1" w:rsidRPr="006D5B7F">
              <w:rPr>
                <w:rStyle w:val="Hyperlink"/>
                <w:rFonts w:cs="Helvetica"/>
                <w:noProof/>
              </w:rPr>
              <w:t xml:space="preserve"> Multilevel linear models for under-5 stunting prevalence (2 years’ time-lag), period 2000-2016</w:t>
            </w:r>
            <w:r w:rsidR="008E41D1">
              <w:rPr>
                <w:noProof/>
                <w:webHidden/>
              </w:rPr>
              <w:tab/>
            </w:r>
            <w:r w:rsidR="008E41D1">
              <w:rPr>
                <w:noProof/>
                <w:webHidden/>
              </w:rPr>
              <w:fldChar w:fldCharType="begin"/>
            </w:r>
            <w:r w:rsidR="008E41D1">
              <w:rPr>
                <w:noProof/>
                <w:webHidden/>
              </w:rPr>
              <w:instrText xml:space="preserve"> PAGEREF _Toc40953329 \h </w:instrText>
            </w:r>
            <w:r w:rsidR="008E41D1">
              <w:rPr>
                <w:noProof/>
                <w:webHidden/>
              </w:rPr>
            </w:r>
            <w:r w:rsidR="008E41D1">
              <w:rPr>
                <w:noProof/>
                <w:webHidden/>
              </w:rPr>
              <w:fldChar w:fldCharType="separate"/>
            </w:r>
            <w:r w:rsidR="008E41D1">
              <w:rPr>
                <w:noProof/>
                <w:webHidden/>
              </w:rPr>
              <w:t>43</w:t>
            </w:r>
            <w:r w:rsidR="008E41D1">
              <w:rPr>
                <w:noProof/>
                <w:webHidden/>
              </w:rPr>
              <w:fldChar w:fldCharType="end"/>
            </w:r>
          </w:hyperlink>
        </w:p>
        <w:p w14:paraId="37DAE9A7" w14:textId="58295F65"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30" w:history="1">
            <w:r w:rsidR="008E41D1" w:rsidRPr="006D5B7F">
              <w:rPr>
                <w:rStyle w:val="Hyperlink"/>
                <w:rFonts w:cs="Helvetica"/>
                <w:b/>
                <w:noProof/>
              </w:rPr>
              <w:t>Supplementary Appendix Table 12:</w:t>
            </w:r>
            <w:r w:rsidR="008E41D1" w:rsidRPr="006D5B7F">
              <w:rPr>
                <w:rStyle w:val="Hyperlink"/>
                <w:rFonts w:cs="Helvetica"/>
                <w:noProof/>
              </w:rPr>
              <w:t xml:space="preserve"> Multilevel linear models for under-5 stunting prevalence (2 years’ time-lag), period 2000-2007</w:t>
            </w:r>
            <w:r w:rsidR="008E41D1">
              <w:rPr>
                <w:noProof/>
                <w:webHidden/>
              </w:rPr>
              <w:tab/>
            </w:r>
            <w:r w:rsidR="008E41D1">
              <w:rPr>
                <w:noProof/>
                <w:webHidden/>
              </w:rPr>
              <w:fldChar w:fldCharType="begin"/>
            </w:r>
            <w:r w:rsidR="008E41D1">
              <w:rPr>
                <w:noProof/>
                <w:webHidden/>
              </w:rPr>
              <w:instrText xml:space="preserve"> PAGEREF _Toc40953330 \h </w:instrText>
            </w:r>
            <w:r w:rsidR="008E41D1">
              <w:rPr>
                <w:noProof/>
                <w:webHidden/>
              </w:rPr>
            </w:r>
            <w:r w:rsidR="008E41D1">
              <w:rPr>
                <w:noProof/>
                <w:webHidden/>
              </w:rPr>
              <w:fldChar w:fldCharType="separate"/>
            </w:r>
            <w:r w:rsidR="008E41D1">
              <w:rPr>
                <w:noProof/>
                <w:webHidden/>
              </w:rPr>
              <w:t>47</w:t>
            </w:r>
            <w:r w:rsidR="008E41D1">
              <w:rPr>
                <w:noProof/>
                <w:webHidden/>
              </w:rPr>
              <w:fldChar w:fldCharType="end"/>
            </w:r>
          </w:hyperlink>
        </w:p>
        <w:p w14:paraId="64428EF2" w14:textId="54F09326"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31" w:history="1">
            <w:r w:rsidR="008E41D1" w:rsidRPr="006D5B7F">
              <w:rPr>
                <w:rStyle w:val="Hyperlink"/>
                <w:b/>
                <w:noProof/>
              </w:rPr>
              <w:t>Supplementary Appendix Table 13:</w:t>
            </w:r>
            <w:r w:rsidR="008E41D1" w:rsidRPr="006D5B7F">
              <w:rPr>
                <w:rStyle w:val="Hyperlink"/>
                <w:noProof/>
              </w:rPr>
              <w:t xml:space="preserve"> Multilevel linear models for under-5 stunting prevalence (2 years’ time-lag), period 2008-2016</w:t>
            </w:r>
            <w:r w:rsidR="008E41D1">
              <w:rPr>
                <w:noProof/>
                <w:webHidden/>
              </w:rPr>
              <w:tab/>
            </w:r>
            <w:r w:rsidR="008E41D1">
              <w:rPr>
                <w:noProof/>
                <w:webHidden/>
              </w:rPr>
              <w:fldChar w:fldCharType="begin"/>
            </w:r>
            <w:r w:rsidR="008E41D1">
              <w:rPr>
                <w:noProof/>
                <w:webHidden/>
              </w:rPr>
              <w:instrText xml:space="preserve"> PAGEREF _Toc40953331 \h </w:instrText>
            </w:r>
            <w:r w:rsidR="008E41D1">
              <w:rPr>
                <w:noProof/>
                <w:webHidden/>
              </w:rPr>
            </w:r>
            <w:r w:rsidR="008E41D1">
              <w:rPr>
                <w:noProof/>
                <w:webHidden/>
              </w:rPr>
              <w:fldChar w:fldCharType="separate"/>
            </w:r>
            <w:r w:rsidR="008E41D1">
              <w:rPr>
                <w:noProof/>
                <w:webHidden/>
              </w:rPr>
              <w:t>51</w:t>
            </w:r>
            <w:r w:rsidR="008E41D1">
              <w:rPr>
                <w:noProof/>
                <w:webHidden/>
              </w:rPr>
              <w:fldChar w:fldCharType="end"/>
            </w:r>
          </w:hyperlink>
        </w:p>
        <w:p w14:paraId="6872CD9A" w14:textId="1D421FA9" w:rsidR="008E41D1" w:rsidRDefault="007E0452">
          <w:pPr>
            <w:pStyle w:val="TOC1"/>
            <w:tabs>
              <w:tab w:val="right" w:leader="dot" w:pos="8488"/>
            </w:tabs>
            <w:rPr>
              <w:rFonts w:asciiTheme="minorHAnsi" w:eastAsiaTheme="minorEastAsia" w:hAnsiTheme="minorHAnsi" w:cstheme="minorBidi"/>
              <w:noProof/>
              <w:szCs w:val="22"/>
              <w:lang w:eastAsia="en-US"/>
            </w:rPr>
          </w:pPr>
          <w:hyperlink w:anchor="_Toc40953332" w:history="1">
            <w:r w:rsidR="008E41D1" w:rsidRPr="006D5B7F">
              <w:rPr>
                <w:rStyle w:val="Hyperlink"/>
                <w:rFonts w:ascii="Helvetica" w:hAnsi="Helvetica" w:cs="Helvetica"/>
                <w:b/>
                <w:noProof/>
              </w:rPr>
              <w:t xml:space="preserve">Supplementary Appendix 6: </w:t>
            </w:r>
            <w:r w:rsidR="008E41D1" w:rsidRPr="006D5B7F">
              <w:rPr>
                <w:rStyle w:val="Hyperlink"/>
                <w:rFonts w:ascii="Helvetica" w:hAnsi="Helvetica" w:cs="Helvetica"/>
                <w:noProof/>
              </w:rPr>
              <w:t>Programs and Policies</w:t>
            </w:r>
            <w:r w:rsidR="008E41D1">
              <w:rPr>
                <w:noProof/>
                <w:webHidden/>
              </w:rPr>
              <w:tab/>
            </w:r>
            <w:r w:rsidR="008E41D1">
              <w:rPr>
                <w:noProof/>
                <w:webHidden/>
              </w:rPr>
              <w:fldChar w:fldCharType="begin"/>
            </w:r>
            <w:r w:rsidR="008E41D1">
              <w:rPr>
                <w:noProof/>
                <w:webHidden/>
              </w:rPr>
              <w:instrText xml:space="preserve"> PAGEREF _Toc40953332 \h </w:instrText>
            </w:r>
            <w:r w:rsidR="008E41D1">
              <w:rPr>
                <w:noProof/>
                <w:webHidden/>
              </w:rPr>
            </w:r>
            <w:r w:rsidR="008E41D1">
              <w:rPr>
                <w:noProof/>
                <w:webHidden/>
              </w:rPr>
              <w:fldChar w:fldCharType="separate"/>
            </w:r>
            <w:r w:rsidR="008E41D1">
              <w:rPr>
                <w:noProof/>
                <w:webHidden/>
              </w:rPr>
              <w:t>55</w:t>
            </w:r>
            <w:r w:rsidR="008E41D1">
              <w:rPr>
                <w:noProof/>
                <w:webHidden/>
              </w:rPr>
              <w:fldChar w:fldCharType="end"/>
            </w:r>
          </w:hyperlink>
        </w:p>
        <w:p w14:paraId="1746782C" w14:textId="785CAFFE" w:rsidR="008E41D1" w:rsidRDefault="007E0452">
          <w:pPr>
            <w:pStyle w:val="TOC2"/>
            <w:tabs>
              <w:tab w:val="right" w:leader="dot" w:pos="8488"/>
            </w:tabs>
            <w:rPr>
              <w:rFonts w:asciiTheme="minorHAnsi" w:eastAsiaTheme="minorEastAsia" w:hAnsiTheme="minorHAnsi" w:cstheme="minorBidi"/>
              <w:noProof/>
              <w:szCs w:val="22"/>
              <w:lang w:eastAsia="en-US"/>
            </w:rPr>
          </w:pPr>
          <w:hyperlink w:anchor="_Toc40953333" w:history="1">
            <w:r w:rsidR="008E41D1" w:rsidRPr="006D5B7F">
              <w:rPr>
                <w:rStyle w:val="Hyperlink"/>
                <w:rFonts w:cs="Helvetica"/>
                <w:b/>
                <w:noProof/>
              </w:rPr>
              <w:t xml:space="preserve">Supplementary Appendix Table 14: </w:t>
            </w:r>
            <w:r w:rsidR="008E41D1" w:rsidRPr="006D5B7F">
              <w:rPr>
                <w:rStyle w:val="Hyperlink"/>
                <w:rFonts w:cs="Helvetica"/>
                <w:noProof/>
              </w:rPr>
              <w:t>Description of Acts/Law/Regulations, Policies, and Programs from 1995-2016</w:t>
            </w:r>
            <w:r w:rsidR="008E41D1">
              <w:rPr>
                <w:noProof/>
                <w:webHidden/>
              </w:rPr>
              <w:tab/>
            </w:r>
            <w:r w:rsidR="008E41D1">
              <w:rPr>
                <w:noProof/>
                <w:webHidden/>
              </w:rPr>
              <w:fldChar w:fldCharType="begin"/>
            </w:r>
            <w:r w:rsidR="008E41D1">
              <w:rPr>
                <w:noProof/>
                <w:webHidden/>
              </w:rPr>
              <w:instrText xml:space="preserve"> PAGEREF _Toc40953333 \h </w:instrText>
            </w:r>
            <w:r w:rsidR="008E41D1">
              <w:rPr>
                <w:noProof/>
                <w:webHidden/>
              </w:rPr>
            </w:r>
            <w:r w:rsidR="008E41D1">
              <w:rPr>
                <w:noProof/>
                <w:webHidden/>
              </w:rPr>
              <w:fldChar w:fldCharType="separate"/>
            </w:r>
            <w:r w:rsidR="008E41D1">
              <w:rPr>
                <w:noProof/>
                <w:webHidden/>
              </w:rPr>
              <w:t>55</w:t>
            </w:r>
            <w:r w:rsidR="008E41D1">
              <w:rPr>
                <w:noProof/>
                <w:webHidden/>
              </w:rPr>
              <w:fldChar w:fldCharType="end"/>
            </w:r>
          </w:hyperlink>
        </w:p>
        <w:p w14:paraId="057CE0B1" w14:textId="35657BF4" w:rsidR="008E41D1" w:rsidRDefault="007E0452">
          <w:pPr>
            <w:pStyle w:val="TOC1"/>
            <w:tabs>
              <w:tab w:val="right" w:leader="dot" w:pos="8488"/>
            </w:tabs>
            <w:rPr>
              <w:rFonts w:asciiTheme="minorHAnsi" w:eastAsiaTheme="minorEastAsia" w:hAnsiTheme="minorHAnsi" w:cstheme="minorBidi"/>
              <w:noProof/>
              <w:szCs w:val="22"/>
              <w:lang w:eastAsia="en-US"/>
            </w:rPr>
          </w:pPr>
          <w:hyperlink w:anchor="_Toc40953334" w:history="1">
            <w:r w:rsidR="008E41D1" w:rsidRPr="006D5B7F">
              <w:rPr>
                <w:rStyle w:val="Hyperlink"/>
                <w:rFonts w:ascii="Helvetica" w:hAnsi="Helvetica" w:cs="Helvetica"/>
                <w:b/>
                <w:noProof/>
              </w:rPr>
              <w:t xml:space="preserve">Supplementary Appendix 7: </w:t>
            </w:r>
            <w:r w:rsidR="008E41D1" w:rsidRPr="006D5B7F">
              <w:rPr>
                <w:rStyle w:val="Hyperlink"/>
                <w:rFonts w:ascii="Helvetica" w:hAnsi="Helvetica" w:cs="Helvetica"/>
                <w:noProof/>
              </w:rPr>
              <w:t>Qualitative Results</w:t>
            </w:r>
            <w:r w:rsidR="008E41D1">
              <w:rPr>
                <w:noProof/>
                <w:webHidden/>
              </w:rPr>
              <w:tab/>
            </w:r>
            <w:r w:rsidR="008E41D1">
              <w:rPr>
                <w:noProof/>
                <w:webHidden/>
              </w:rPr>
              <w:fldChar w:fldCharType="begin"/>
            </w:r>
            <w:r w:rsidR="008E41D1">
              <w:rPr>
                <w:noProof/>
                <w:webHidden/>
              </w:rPr>
              <w:instrText xml:space="preserve"> PAGEREF _Toc40953334 \h </w:instrText>
            </w:r>
            <w:r w:rsidR="008E41D1">
              <w:rPr>
                <w:noProof/>
                <w:webHidden/>
              </w:rPr>
            </w:r>
            <w:r w:rsidR="008E41D1">
              <w:rPr>
                <w:noProof/>
                <w:webHidden/>
              </w:rPr>
              <w:fldChar w:fldCharType="separate"/>
            </w:r>
            <w:r w:rsidR="008E41D1">
              <w:rPr>
                <w:noProof/>
                <w:webHidden/>
              </w:rPr>
              <w:t>67</w:t>
            </w:r>
            <w:r w:rsidR="008E41D1">
              <w:rPr>
                <w:noProof/>
                <w:webHidden/>
              </w:rPr>
              <w:fldChar w:fldCharType="end"/>
            </w:r>
          </w:hyperlink>
        </w:p>
        <w:p w14:paraId="22C49C54" w14:textId="468894AA" w:rsidR="008E41D1" w:rsidRDefault="007E0452">
          <w:pPr>
            <w:pStyle w:val="TOC1"/>
            <w:tabs>
              <w:tab w:val="right" w:leader="dot" w:pos="8488"/>
            </w:tabs>
            <w:rPr>
              <w:rFonts w:asciiTheme="minorHAnsi" w:eastAsiaTheme="minorEastAsia" w:hAnsiTheme="minorHAnsi" w:cstheme="minorBidi"/>
              <w:noProof/>
              <w:szCs w:val="22"/>
              <w:lang w:eastAsia="en-US"/>
            </w:rPr>
          </w:pPr>
          <w:hyperlink w:anchor="_Toc40953335" w:history="1">
            <w:r w:rsidR="008E41D1" w:rsidRPr="006D5B7F">
              <w:rPr>
                <w:rStyle w:val="Hyperlink"/>
                <w:rFonts w:ascii="Helvetica" w:hAnsi="Helvetica" w:cs="Helvetica"/>
                <w:b/>
                <w:noProof/>
              </w:rPr>
              <w:t>Supplementary Appendix References</w:t>
            </w:r>
            <w:r w:rsidR="008E41D1">
              <w:rPr>
                <w:noProof/>
                <w:webHidden/>
              </w:rPr>
              <w:tab/>
            </w:r>
            <w:r w:rsidR="008E41D1">
              <w:rPr>
                <w:noProof/>
                <w:webHidden/>
              </w:rPr>
              <w:fldChar w:fldCharType="begin"/>
            </w:r>
            <w:r w:rsidR="008E41D1">
              <w:rPr>
                <w:noProof/>
                <w:webHidden/>
              </w:rPr>
              <w:instrText xml:space="preserve"> PAGEREF _Toc40953335 \h </w:instrText>
            </w:r>
            <w:r w:rsidR="008E41D1">
              <w:rPr>
                <w:noProof/>
                <w:webHidden/>
              </w:rPr>
            </w:r>
            <w:r w:rsidR="008E41D1">
              <w:rPr>
                <w:noProof/>
                <w:webHidden/>
              </w:rPr>
              <w:fldChar w:fldCharType="separate"/>
            </w:r>
            <w:r w:rsidR="008E41D1">
              <w:rPr>
                <w:noProof/>
                <w:webHidden/>
              </w:rPr>
              <w:t>77</w:t>
            </w:r>
            <w:r w:rsidR="008E41D1">
              <w:rPr>
                <w:noProof/>
                <w:webHidden/>
              </w:rPr>
              <w:fldChar w:fldCharType="end"/>
            </w:r>
          </w:hyperlink>
        </w:p>
        <w:p w14:paraId="2EF520EB" w14:textId="09FF0E6A" w:rsidR="0053162B" w:rsidRPr="003E1E6C" w:rsidRDefault="0053162B" w:rsidP="0090198D">
          <w:pPr>
            <w:spacing w:after="100"/>
            <w:rPr>
              <w:rFonts w:ascii="Helvetica" w:hAnsi="Helvetica" w:cs="Helvetica"/>
              <w:sz w:val="22"/>
              <w:szCs w:val="22"/>
            </w:rPr>
          </w:pPr>
          <w:r w:rsidRPr="0090198D">
            <w:rPr>
              <w:rFonts w:ascii="Helvetica" w:hAnsi="Helvetica" w:cs="Helvetica"/>
              <w:b/>
              <w:bCs/>
              <w:noProof/>
              <w:sz w:val="22"/>
              <w:szCs w:val="22"/>
            </w:rPr>
            <w:fldChar w:fldCharType="end"/>
          </w:r>
        </w:p>
      </w:sdtContent>
    </w:sdt>
    <w:p w14:paraId="2A62C546" w14:textId="6B9F48FD" w:rsidR="006C1767" w:rsidRPr="003D7162" w:rsidRDefault="009961CE" w:rsidP="00E61792">
      <w:pPr>
        <w:tabs>
          <w:tab w:val="left" w:pos="3780"/>
        </w:tabs>
        <w:spacing w:after="160"/>
        <w:rPr>
          <w:rFonts w:ascii="Helvetica" w:hAnsi="Helvetica" w:cs="Helvetica"/>
          <w:b/>
          <w:sz w:val="32"/>
          <w:szCs w:val="32"/>
        </w:rPr>
      </w:pPr>
      <w:r w:rsidRPr="003D7162">
        <w:rPr>
          <w:rFonts w:ascii="Helvetica" w:hAnsi="Helvetica" w:cs="Helvetica"/>
          <w:b/>
          <w:sz w:val="32"/>
          <w:szCs w:val="32"/>
        </w:rPr>
        <w:br w:type="page"/>
      </w:r>
    </w:p>
    <w:p w14:paraId="126B9EA5" w14:textId="08D4AF56" w:rsidR="009961CE" w:rsidRPr="003E1E6C" w:rsidRDefault="00D91F4C" w:rsidP="000C7ADC">
      <w:pPr>
        <w:pStyle w:val="Heading1"/>
        <w:rPr>
          <w:rFonts w:ascii="Helvetica" w:hAnsi="Helvetica" w:cs="Helvetica"/>
          <w:b/>
          <w:sz w:val="24"/>
          <w:szCs w:val="24"/>
        </w:rPr>
      </w:pPr>
      <w:bookmarkStart w:id="1" w:name="_Toc40953298"/>
      <w:r>
        <w:rPr>
          <w:rFonts w:ascii="Helvetica" w:hAnsi="Helvetica" w:cs="Helvetica"/>
          <w:b/>
          <w:sz w:val="24"/>
          <w:szCs w:val="24"/>
        </w:rPr>
        <w:lastRenderedPageBreak/>
        <w:t xml:space="preserve">Supplementary </w:t>
      </w:r>
      <w:r w:rsidR="009961CE" w:rsidRPr="003E1E6C">
        <w:rPr>
          <w:rFonts w:ascii="Helvetica" w:hAnsi="Helvetica" w:cs="Helvetica"/>
          <w:b/>
          <w:sz w:val="24"/>
          <w:szCs w:val="24"/>
        </w:rPr>
        <w:t xml:space="preserve">Appendix 1: </w:t>
      </w:r>
      <w:r w:rsidR="009961CE" w:rsidRPr="003E1E6C">
        <w:rPr>
          <w:rFonts w:ascii="Helvetica" w:hAnsi="Helvetica" w:cs="Helvetica"/>
          <w:sz w:val="24"/>
          <w:szCs w:val="24"/>
        </w:rPr>
        <w:t>Descriptive Analysis of Contextual Factors</w:t>
      </w:r>
      <w:bookmarkEnd w:id="1"/>
    </w:p>
    <w:p w14:paraId="68AD75CA" w14:textId="77777777" w:rsidR="0053162B" w:rsidRPr="003D7162" w:rsidRDefault="0053162B" w:rsidP="000C7ADC">
      <w:pPr>
        <w:rPr>
          <w:rFonts w:ascii="Helvetica" w:hAnsi="Helvetica" w:cs="Helvetica"/>
          <w:lang w:val="en-US" w:eastAsia="es-ES_tradnl"/>
        </w:rPr>
      </w:pPr>
    </w:p>
    <w:p w14:paraId="0F4FFE7A" w14:textId="0FBC2345" w:rsidR="006C1767" w:rsidRPr="003D7162" w:rsidRDefault="00D91F4C" w:rsidP="000C7ADC">
      <w:pPr>
        <w:pStyle w:val="Heading2"/>
        <w:rPr>
          <w:rFonts w:cs="Helvetica"/>
          <w:szCs w:val="24"/>
        </w:rPr>
      </w:pPr>
      <w:bookmarkStart w:id="2" w:name="_Toc40953299"/>
      <w:r>
        <w:rPr>
          <w:rFonts w:cs="Helvetica"/>
          <w:b/>
          <w:szCs w:val="24"/>
        </w:rPr>
        <w:t xml:space="preserve">Supplementary </w:t>
      </w:r>
      <w:r w:rsidR="006C1767" w:rsidRPr="003D7162">
        <w:rPr>
          <w:rFonts w:cs="Helvetica"/>
          <w:b/>
          <w:szCs w:val="24"/>
        </w:rPr>
        <w:t>Appendix Figure 1</w:t>
      </w:r>
      <w:r>
        <w:rPr>
          <w:rFonts w:cs="Helvetica"/>
          <w:b/>
          <w:szCs w:val="24"/>
        </w:rPr>
        <w:t>A</w:t>
      </w:r>
      <w:r w:rsidR="006C1767" w:rsidRPr="003D7162">
        <w:rPr>
          <w:rFonts w:cs="Helvetica"/>
          <w:b/>
          <w:szCs w:val="24"/>
        </w:rPr>
        <w:t>:</w:t>
      </w:r>
      <w:r w:rsidR="006C1767" w:rsidRPr="003D7162">
        <w:rPr>
          <w:rFonts w:cs="Helvetica"/>
          <w:szCs w:val="24"/>
        </w:rPr>
        <w:t xml:space="preserve"> Trends in GDP per capita, poverty and urbanization, Peru, 1990-2016</w:t>
      </w:r>
      <w:bookmarkEnd w:id="2"/>
    </w:p>
    <w:p w14:paraId="0AE245B2" w14:textId="77777777" w:rsidR="006C1767" w:rsidRPr="003D7162" w:rsidRDefault="006C1767" w:rsidP="000C7ADC">
      <w:pPr>
        <w:rPr>
          <w:rFonts w:ascii="Helvetica" w:hAnsi="Helvetica" w:cs="Helvetica"/>
        </w:rPr>
      </w:pPr>
      <w:r w:rsidRPr="003D7162">
        <w:rPr>
          <w:rFonts w:ascii="Helvetica" w:hAnsi="Helvetica" w:cs="Helvetica"/>
          <w:noProof/>
          <w:lang w:val="en-CA" w:eastAsia="en-CA"/>
        </w:rPr>
        <w:drawing>
          <wp:inline distT="0" distB="0" distL="0" distR="0" wp14:anchorId="658F545C" wp14:editId="46A42F21">
            <wp:extent cx="5890437" cy="2945218"/>
            <wp:effectExtent l="0" t="0" r="15240" b="762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5987A0F" w14:textId="025EFDA5" w:rsidR="006C1767" w:rsidRPr="003D7162" w:rsidRDefault="006C1767" w:rsidP="000C7ADC">
      <w:pPr>
        <w:rPr>
          <w:rFonts w:ascii="Helvetica" w:hAnsi="Helvetica" w:cs="Helvetica"/>
          <w:noProof/>
          <w:sz w:val="20"/>
        </w:rPr>
      </w:pPr>
      <w:r w:rsidRPr="003D7162">
        <w:rPr>
          <w:rFonts w:ascii="Helvetica" w:hAnsi="Helvetica" w:cs="Helvetica"/>
          <w:sz w:val="18"/>
          <w:szCs w:val="18"/>
        </w:rPr>
        <w:t xml:space="preserve">Source: </w:t>
      </w:r>
      <w:r w:rsidRPr="003D7162">
        <w:rPr>
          <w:rFonts w:ascii="Helvetica" w:hAnsi="Helvetica" w:cs="Helvetica"/>
          <w:sz w:val="18"/>
          <w:szCs w:val="18"/>
        </w:rPr>
        <w:fldChar w:fldCharType="begin" w:fldLock="1"/>
      </w:r>
      <w:r w:rsidR="000C7ADC" w:rsidRPr="003D7162">
        <w:rPr>
          <w:rFonts w:ascii="Helvetica" w:hAnsi="Helvetica" w:cs="Helvetica"/>
          <w:sz w:val="18"/>
          <w:szCs w:val="18"/>
        </w:rPr>
        <w:instrText>ADDIN CSL_CITATION {"citationItems":[{"id":"ITEM-1","itemData":{"URL":"https://data.worldbank.org/indicator","author":[{"dropping-particle":"","family":"World Bank","given":"","non-dropping-particle":"","parse-names":false,"suffix":""}],"id":"ITEM-1","issued":{"date-parts":[["2018"]]},"title":"World Bank Indicators","type":"webpage"},"uris":["http://www.mendeley.com/documents/?uuid=525e9552-ea71-45e6-b648-777f412347df"]}],"mendeley":{"formattedCitation":"[1]","plainTextFormattedCitation":"[1]","previouslyFormattedCitation":"[1]"},"properties":{"noteIndex":0},"schema":"https://github.com/citation-style-language/schema/raw/master/csl-citation.json"}</w:instrText>
      </w:r>
      <w:r w:rsidRPr="003D7162">
        <w:rPr>
          <w:rFonts w:ascii="Helvetica" w:hAnsi="Helvetica" w:cs="Helvetica"/>
          <w:sz w:val="18"/>
          <w:szCs w:val="18"/>
        </w:rPr>
        <w:fldChar w:fldCharType="separate"/>
      </w:r>
      <w:r w:rsidR="000C7ADC" w:rsidRPr="003D7162">
        <w:rPr>
          <w:rFonts w:ascii="Helvetica" w:hAnsi="Helvetica" w:cs="Helvetica"/>
          <w:noProof/>
          <w:sz w:val="18"/>
          <w:szCs w:val="18"/>
        </w:rPr>
        <w:t>[1]</w:t>
      </w:r>
      <w:r w:rsidRPr="003D7162">
        <w:rPr>
          <w:rFonts w:ascii="Helvetica" w:hAnsi="Helvetica" w:cs="Helvetica"/>
          <w:sz w:val="18"/>
          <w:szCs w:val="18"/>
        </w:rPr>
        <w:fldChar w:fldCharType="end"/>
      </w:r>
      <w:r w:rsidRPr="003D7162" w:rsidDel="002E24AA">
        <w:rPr>
          <w:rFonts w:ascii="Helvetica" w:hAnsi="Helvetica" w:cs="Helvetica"/>
          <w:noProof/>
          <w:sz w:val="20"/>
        </w:rPr>
        <w:t xml:space="preserve"> </w:t>
      </w:r>
    </w:p>
    <w:p w14:paraId="216F56E4" w14:textId="77777777" w:rsidR="006C1767" w:rsidRPr="003D7162" w:rsidRDefault="006C1767" w:rsidP="000C7ADC">
      <w:pPr>
        <w:rPr>
          <w:rFonts w:ascii="Helvetica" w:hAnsi="Helvetica" w:cs="Helvetica"/>
        </w:rPr>
      </w:pPr>
    </w:p>
    <w:p w14:paraId="52E905FE" w14:textId="22916ACD" w:rsidR="006C1767" w:rsidRPr="003D7162" w:rsidRDefault="00D91F4C" w:rsidP="000C7ADC">
      <w:pPr>
        <w:pStyle w:val="Heading2"/>
        <w:rPr>
          <w:rFonts w:cs="Helvetica"/>
          <w:szCs w:val="24"/>
        </w:rPr>
      </w:pPr>
      <w:bookmarkStart w:id="3" w:name="_Toc40953300"/>
      <w:r>
        <w:rPr>
          <w:rFonts w:cs="Helvetica"/>
          <w:b/>
          <w:szCs w:val="24"/>
        </w:rPr>
        <w:t xml:space="preserve">Supplementary </w:t>
      </w:r>
      <w:r w:rsidR="006C1767" w:rsidRPr="003D7162">
        <w:rPr>
          <w:rFonts w:cs="Helvetica"/>
          <w:b/>
          <w:szCs w:val="24"/>
        </w:rPr>
        <w:t>Appendix Figure 1</w:t>
      </w:r>
      <w:r>
        <w:rPr>
          <w:rFonts w:cs="Helvetica"/>
          <w:b/>
          <w:szCs w:val="24"/>
        </w:rPr>
        <w:t>B</w:t>
      </w:r>
      <w:r w:rsidR="006C1767" w:rsidRPr="003D7162">
        <w:rPr>
          <w:rFonts w:cs="Helvetica"/>
          <w:b/>
          <w:szCs w:val="24"/>
        </w:rPr>
        <w:t>:</w:t>
      </w:r>
      <w:r w:rsidR="006C1767" w:rsidRPr="003D7162">
        <w:rPr>
          <w:rFonts w:cs="Helvetica"/>
          <w:szCs w:val="24"/>
        </w:rPr>
        <w:t xml:space="preserve"> Trends in key contextual indicators, 1990-2017</w:t>
      </w:r>
      <w:bookmarkEnd w:id="3"/>
    </w:p>
    <w:p w14:paraId="5097B125" w14:textId="77777777" w:rsidR="006C1767" w:rsidRPr="003D7162" w:rsidRDefault="006C1767" w:rsidP="000C7ADC">
      <w:pPr>
        <w:rPr>
          <w:rFonts w:ascii="Helvetica" w:hAnsi="Helvetica" w:cs="Helvetica"/>
        </w:rPr>
      </w:pPr>
      <w:r w:rsidRPr="003D7162">
        <w:rPr>
          <w:rFonts w:ascii="Helvetica" w:hAnsi="Helvetica" w:cs="Helvetica"/>
          <w:noProof/>
          <w:lang w:val="en-CA" w:eastAsia="en-CA"/>
        </w:rPr>
        <w:drawing>
          <wp:inline distT="0" distB="0" distL="0" distR="0" wp14:anchorId="5193E033" wp14:editId="310CD84D">
            <wp:extent cx="5854700" cy="2832100"/>
            <wp:effectExtent l="0" t="0" r="12700" b="635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673CA68" w14:textId="20C47B8E" w:rsidR="006C1767" w:rsidRPr="003D7162" w:rsidRDefault="006C1767" w:rsidP="000C7ADC">
      <w:pPr>
        <w:rPr>
          <w:rFonts w:ascii="Helvetica" w:hAnsi="Helvetica" w:cs="Helvetica"/>
          <w:sz w:val="18"/>
          <w:szCs w:val="18"/>
        </w:rPr>
      </w:pPr>
      <w:r w:rsidRPr="003D7162">
        <w:rPr>
          <w:rFonts w:ascii="Helvetica" w:hAnsi="Helvetica" w:cs="Helvetica"/>
          <w:sz w:val="18"/>
          <w:szCs w:val="18"/>
        </w:rPr>
        <w:t xml:space="preserve">Source: </w:t>
      </w:r>
      <w:r w:rsidRPr="003D7162">
        <w:rPr>
          <w:rFonts w:ascii="Helvetica" w:hAnsi="Helvetica" w:cs="Helvetica"/>
          <w:sz w:val="18"/>
          <w:szCs w:val="18"/>
        </w:rPr>
        <w:fldChar w:fldCharType="begin" w:fldLock="1"/>
      </w:r>
      <w:r w:rsidR="000C7ADC" w:rsidRPr="003D7162">
        <w:rPr>
          <w:rFonts w:ascii="Helvetica" w:hAnsi="Helvetica" w:cs="Helvetica"/>
          <w:sz w:val="18"/>
          <w:szCs w:val="18"/>
        </w:rPr>
        <w:instrText>ADDIN CSL_CITATION {"citationItems":[{"id":"ITEM-1","itemData":{"URL":"https://data.worldbank.org/indicator","author":[{"dropping-particle":"","family":"World Bank","given":"","non-dropping-particle":"","parse-names":false,"suffix":""}],"id":"ITEM-1","issued":{"date-parts":[["2018"]]},"title":"World Bank Indicators","type":"webpage"},"uris":["http://www.mendeley.com/documents/?uuid=525e9552-ea71-45e6-b648-777f412347df"]},{"id":"ITEM-2","itemData":{"URL":"https://washdata.org/data/household#!/","author":[{"dropping-particle":"","family":"JMP","given":"","non-dropping-particle":"","parse-names":false,"suffix":""}],"id":"ITEM-2","issued":{"date-parts":[["2017"]]},"title":"Joint Monitoring Programme for Water, Supply, Sanitation and Hygiene: Peru","type":"webpage"},"uris":["http://www.mendeley.com/documents/?uuid=6b270f98-7d9d-4641-9ac4-8dde7835a8ce"]}],"mendeley":{"formattedCitation":"[1,2]","plainTextFormattedCitation":"[1,2]","previouslyFormattedCitation":"[1,2]"},"properties":{"noteIndex":0},"schema":"https://github.com/citation-style-language/schema/raw/master/csl-citation.json"}</w:instrText>
      </w:r>
      <w:r w:rsidRPr="003D7162">
        <w:rPr>
          <w:rFonts w:ascii="Helvetica" w:hAnsi="Helvetica" w:cs="Helvetica"/>
          <w:sz w:val="18"/>
          <w:szCs w:val="18"/>
        </w:rPr>
        <w:fldChar w:fldCharType="separate"/>
      </w:r>
      <w:r w:rsidR="000C7ADC" w:rsidRPr="003D7162">
        <w:rPr>
          <w:rFonts w:ascii="Helvetica" w:hAnsi="Helvetica" w:cs="Helvetica"/>
          <w:noProof/>
          <w:sz w:val="18"/>
          <w:szCs w:val="18"/>
        </w:rPr>
        <w:t>[1,2]</w:t>
      </w:r>
      <w:r w:rsidRPr="003D7162">
        <w:rPr>
          <w:rFonts w:ascii="Helvetica" w:hAnsi="Helvetica" w:cs="Helvetica"/>
          <w:sz w:val="18"/>
          <w:szCs w:val="18"/>
        </w:rPr>
        <w:fldChar w:fldCharType="end"/>
      </w:r>
      <w:r w:rsidRPr="003D7162" w:rsidDel="002E24AA">
        <w:rPr>
          <w:rFonts w:ascii="Helvetica" w:hAnsi="Helvetica" w:cs="Helvetica"/>
          <w:noProof/>
          <w:sz w:val="20"/>
        </w:rPr>
        <w:t xml:space="preserve"> </w:t>
      </w:r>
    </w:p>
    <w:p w14:paraId="0328DC30" w14:textId="77777777" w:rsidR="006C1767" w:rsidRPr="003D7162" w:rsidRDefault="006C1767" w:rsidP="000C7ADC">
      <w:pPr>
        <w:rPr>
          <w:rFonts w:ascii="Helvetica" w:hAnsi="Helvetica" w:cs="Helvetica"/>
          <w:lang w:val="en-US"/>
        </w:rPr>
      </w:pPr>
    </w:p>
    <w:p w14:paraId="173A3396" w14:textId="372966AE" w:rsidR="006C1767" w:rsidRPr="003D7162" w:rsidRDefault="006C1767" w:rsidP="000C7ADC">
      <w:pPr>
        <w:rPr>
          <w:rFonts w:ascii="Helvetica" w:hAnsi="Helvetica" w:cs="Helvetica"/>
          <w:b/>
          <w:sz w:val="32"/>
          <w:szCs w:val="32"/>
        </w:rPr>
      </w:pPr>
    </w:p>
    <w:p w14:paraId="4A55034B" w14:textId="2DC008E5" w:rsidR="0053162B" w:rsidRDefault="0053162B" w:rsidP="000C7ADC">
      <w:pPr>
        <w:rPr>
          <w:rFonts w:ascii="Helvetica" w:hAnsi="Helvetica" w:cs="Helvetica"/>
          <w:b/>
          <w:sz w:val="32"/>
          <w:szCs w:val="32"/>
        </w:rPr>
      </w:pPr>
    </w:p>
    <w:p w14:paraId="3B220971" w14:textId="77777777" w:rsidR="00B01B77" w:rsidRDefault="00B01B77" w:rsidP="000C7ADC">
      <w:pPr>
        <w:rPr>
          <w:rFonts w:ascii="Helvetica" w:hAnsi="Helvetica" w:cs="Helvetica"/>
          <w:b/>
          <w:sz w:val="32"/>
          <w:szCs w:val="32"/>
        </w:rPr>
      </w:pPr>
    </w:p>
    <w:p w14:paraId="2AE6EA80" w14:textId="77777777" w:rsidR="004950E7" w:rsidRPr="003D7162" w:rsidRDefault="004950E7" w:rsidP="000C7ADC">
      <w:pPr>
        <w:rPr>
          <w:rFonts w:ascii="Helvetica" w:hAnsi="Helvetica" w:cs="Helvetica"/>
          <w:b/>
          <w:sz w:val="32"/>
          <w:szCs w:val="32"/>
        </w:rPr>
      </w:pPr>
    </w:p>
    <w:p w14:paraId="78E95733" w14:textId="69DD0DC2" w:rsidR="001070CC" w:rsidRPr="003E1E6C" w:rsidRDefault="00D91F4C" w:rsidP="000C7ADC">
      <w:pPr>
        <w:pStyle w:val="Heading1"/>
        <w:rPr>
          <w:rFonts w:ascii="Helvetica" w:hAnsi="Helvetica" w:cs="Helvetica"/>
          <w:b/>
          <w:sz w:val="24"/>
        </w:rPr>
      </w:pPr>
      <w:bookmarkStart w:id="4" w:name="_Toc40953301"/>
      <w:r>
        <w:rPr>
          <w:rFonts w:ascii="Helvetica" w:hAnsi="Helvetica" w:cs="Helvetica"/>
          <w:b/>
          <w:sz w:val="24"/>
          <w:szCs w:val="24"/>
        </w:rPr>
        <w:lastRenderedPageBreak/>
        <w:t xml:space="preserve">Supplementary </w:t>
      </w:r>
      <w:r w:rsidR="0053162B" w:rsidRPr="003E1E6C">
        <w:rPr>
          <w:rFonts w:ascii="Helvetica" w:hAnsi="Helvetica" w:cs="Helvetica"/>
          <w:b/>
          <w:sz w:val="24"/>
        </w:rPr>
        <w:t>Appendix 2</w:t>
      </w:r>
      <w:r w:rsidR="001070CC" w:rsidRPr="003E1E6C">
        <w:rPr>
          <w:rFonts w:ascii="Helvetica" w:hAnsi="Helvetica" w:cs="Helvetica"/>
          <w:b/>
          <w:sz w:val="24"/>
        </w:rPr>
        <w:t xml:space="preserve">: </w:t>
      </w:r>
      <w:r w:rsidR="001070CC" w:rsidRPr="003E1E6C">
        <w:rPr>
          <w:rFonts w:ascii="Helvetica" w:hAnsi="Helvetica" w:cs="Helvetica"/>
          <w:sz w:val="24"/>
        </w:rPr>
        <w:t>Systematic Literature review</w:t>
      </w:r>
      <w:bookmarkEnd w:id="4"/>
    </w:p>
    <w:p w14:paraId="0D31A90D" w14:textId="452F11B8" w:rsidR="0053162B" w:rsidRPr="003D7162" w:rsidRDefault="0053162B" w:rsidP="000C7ADC">
      <w:pPr>
        <w:rPr>
          <w:rFonts w:ascii="Helvetica" w:hAnsi="Helvetica" w:cs="Helvetica"/>
          <w:lang w:val="en-US" w:eastAsia="es-ES_tradnl"/>
        </w:rPr>
      </w:pPr>
    </w:p>
    <w:p w14:paraId="39C789F3" w14:textId="4AC8B157" w:rsidR="0053162B" w:rsidRPr="003D7162" w:rsidRDefault="0053162B" w:rsidP="000C7ADC">
      <w:pPr>
        <w:rPr>
          <w:rFonts w:ascii="Helvetica" w:hAnsi="Helvetica" w:cs="Helvetica"/>
          <w:b/>
          <w:lang w:val="en-US" w:eastAsia="es-ES_tradnl"/>
        </w:rPr>
      </w:pPr>
      <w:r w:rsidRPr="003D7162">
        <w:rPr>
          <w:rFonts w:ascii="Helvetica" w:hAnsi="Helvetica" w:cs="Helvetica"/>
          <w:b/>
          <w:lang w:val="en-US" w:eastAsia="es-ES_tradnl"/>
        </w:rPr>
        <w:t>Methods</w:t>
      </w:r>
    </w:p>
    <w:p w14:paraId="10483385" w14:textId="3CED31C9" w:rsidR="0053162B" w:rsidRPr="003D7162" w:rsidRDefault="0053162B" w:rsidP="000C7ADC">
      <w:pPr>
        <w:rPr>
          <w:rFonts w:ascii="Helvetica" w:hAnsi="Helvetica" w:cs="Helvetica"/>
          <w:b/>
          <w:lang w:val="en-US" w:eastAsia="es-ES_tradnl"/>
        </w:rPr>
      </w:pPr>
    </w:p>
    <w:p w14:paraId="5A9E1624" w14:textId="77777777" w:rsidR="0053162B" w:rsidRPr="00C14D61" w:rsidRDefault="0053162B" w:rsidP="000C7ADC">
      <w:pPr>
        <w:spacing w:after="120"/>
        <w:rPr>
          <w:rFonts w:ascii="Helvetica" w:hAnsi="Helvetica" w:cs="Helvetica"/>
          <w:sz w:val="22"/>
          <w:szCs w:val="22"/>
        </w:rPr>
      </w:pPr>
      <w:r w:rsidRPr="00C14D61">
        <w:rPr>
          <w:rFonts w:ascii="Helvetica" w:hAnsi="Helvetica" w:cs="Helvetica"/>
          <w:sz w:val="22"/>
          <w:szCs w:val="22"/>
        </w:rPr>
        <w:t>A systematic search of published peer-reviewed and grey literature related in Peru was undertaken in order to synthesize information on contextual factors, national and subnational interventions, policies, strategies, programs, and initiatives that may have theoretically contributed to reductions in child stunting in Peru over time. Three broad categories of search terms were used: the disease outcome (“stunting”), the population (“child”), and the country of interest (“Peru”). Keywords representing these terms were combined with Boolean operators, adapted with appropriate syntax, and executed in multiple databases. An example of a search syntax is provided below:</w:t>
      </w:r>
    </w:p>
    <w:p w14:paraId="7DC437F8" w14:textId="77777777" w:rsidR="0053162B" w:rsidRPr="00C14D61" w:rsidRDefault="0053162B" w:rsidP="00FB073A">
      <w:pPr>
        <w:pStyle w:val="ListParagraph"/>
        <w:numPr>
          <w:ilvl w:val="0"/>
          <w:numId w:val="1"/>
        </w:numPr>
        <w:spacing w:after="0" w:line="240" w:lineRule="auto"/>
        <w:rPr>
          <w:rFonts w:ascii="Helvetica" w:hAnsi="Helvetica" w:cs="Helvetica"/>
        </w:rPr>
      </w:pPr>
      <w:r w:rsidRPr="00C14D61">
        <w:rPr>
          <w:rFonts w:ascii="Helvetica" w:hAnsi="Helvetica" w:cs="Helvetica"/>
          <w:i/>
        </w:rPr>
        <w:t>Stunting</w:t>
      </w:r>
      <w:r w:rsidRPr="00C14D61">
        <w:rPr>
          <w:rFonts w:ascii="Helvetica" w:hAnsi="Helvetica" w:cs="Helvetica"/>
        </w:rPr>
        <w:t>: "stunting" or "linear growth" or "linear growth stunting" or "HAZ" or "height" or "height-for-age" or "LAZ" or "length" or "length-for-age”</w:t>
      </w:r>
    </w:p>
    <w:p w14:paraId="6BA41D93" w14:textId="77777777" w:rsidR="0053162B" w:rsidRPr="00C14D61" w:rsidRDefault="0053162B" w:rsidP="00FB073A">
      <w:pPr>
        <w:pStyle w:val="ListParagraph"/>
        <w:numPr>
          <w:ilvl w:val="0"/>
          <w:numId w:val="1"/>
        </w:numPr>
        <w:spacing w:after="0" w:line="240" w:lineRule="auto"/>
        <w:rPr>
          <w:rFonts w:ascii="Helvetica" w:hAnsi="Helvetica" w:cs="Helvetica"/>
        </w:rPr>
      </w:pPr>
      <w:r w:rsidRPr="00C14D61">
        <w:rPr>
          <w:rFonts w:ascii="Helvetica" w:hAnsi="Helvetica" w:cs="Helvetica"/>
          <w:i/>
        </w:rPr>
        <w:t>Child</w:t>
      </w:r>
      <w:r w:rsidRPr="00C14D61">
        <w:rPr>
          <w:rFonts w:ascii="Helvetica" w:hAnsi="Helvetica" w:cs="Helvetica"/>
        </w:rPr>
        <w:t>: “child” or “infant”</w:t>
      </w:r>
    </w:p>
    <w:p w14:paraId="120F939B" w14:textId="77777777" w:rsidR="0053162B" w:rsidRPr="00C14D61" w:rsidRDefault="0053162B" w:rsidP="00FB073A">
      <w:pPr>
        <w:pStyle w:val="ListParagraph"/>
        <w:numPr>
          <w:ilvl w:val="0"/>
          <w:numId w:val="1"/>
        </w:numPr>
        <w:spacing w:after="0" w:line="240" w:lineRule="auto"/>
        <w:rPr>
          <w:rFonts w:ascii="Helvetica" w:hAnsi="Helvetica" w:cs="Helvetica"/>
        </w:rPr>
      </w:pPr>
      <w:r w:rsidRPr="00C14D61">
        <w:rPr>
          <w:rFonts w:ascii="Helvetica" w:hAnsi="Helvetica" w:cs="Helvetica"/>
          <w:i/>
        </w:rPr>
        <w:t xml:space="preserve">Peru: </w:t>
      </w:r>
      <w:r w:rsidRPr="00C14D61">
        <w:rPr>
          <w:rFonts w:ascii="Helvetica" w:hAnsi="Helvetica" w:cs="Helvetica"/>
        </w:rPr>
        <w:t>“Peru”</w:t>
      </w:r>
    </w:p>
    <w:p w14:paraId="7A9E56E1" w14:textId="77777777" w:rsidR="0053162B" w:rsidRPr="00C14D61" w:rsidRDefault="0053162B" w:rsidP="00FB073A">
      <w:pPr>
        <w:pStyle w:val="ListParagraph"/>
        <w:numPr>
          <w:ilvl w:val="0"/>
          <w:numId w:val="1"/>
        </w:numPr>
        <w:spacing w:after="120" w:line="240" w:lineRule="auto"/>
        <w:rPr>
          <w:rFonts w:ascii="Helvetica" w:hAnsi="Helvetica" w:cs="Helvetica"/>
        </w:rPr>
      </w:pPr>
      <w:r w:rsidRPr="00C14D61">
        <w:rPr>
          <w:rFonts w:ascii="Helvetica" w:hAnsi="Helvetica" w:cs="Helvetica"/>
        </w:rPr>
        <w:t>1 AND 2 AND 3</w:t>
      </w:r>
    </w:p>
    <w:p w14:paraId="2777F112" w14:textId="2A17745B" w:rsidR="0053162B" w:rsidRPr="00C14D61" w:rsidRDefault="0053162B" w:rsidP="000C7ADC">
      <w:pPr>
        <w:spacing w:after="120"/>
        <w:rPr>
          <w:rFonts w:ascii="Helvetica" w:hAnsi="Helvetica" w:cs="Helvetica"/>
          <w:sz w:val="22"/>
          <w:szCs w:val="22"/>
        </w:rPr>
      </w:pPr>
      <w:r w:rsidRPr="00C14D61">
        <w:rPr>
          <w:rFonts w:ascii="Helvetica" w:hAnsi="Helvetica" w:cs="Helvetica"/>
          <w:sz w:val="22"/>
          <w:szCs w:val="22"/>
        </w:rPr>
        <w:t xml:space="preserve">The search for indexed literature was conducted in 15 online databases: MEDLINE, Embase, AMED, CAB Abstracts, CINAHL, Cochrane CENTRAL, Campbell Collaboration, EPPI Centre Trials Register (TRoPHI), 3ie, JOLIS, African Journals Online, WHOLIS, LILACS, Scopus, and Web of Science. Additional searches for grey literature were conducted using Google, a hand search of reference lists of relevant reviews, and direct searching organizational websites, including: the national, regional and headquarter websites for UNICEF, WHO, UNDP, World Bank Group Open Knowledge Repository, Global Alliance for Improved Nutrition, Nutrition International, Nestle Nutrition Institute, International Food Policy Research Institute, and the Government of Peru Ministry of Health (MINSA). The exported set of records were de-duplicated and screened for relevance. Records were included if they met all of the following inclusion </w:t>
      </w:r>
      <w:r w:rsidR="00C139E2">
        <w:rPr>
          <w:rFonts w:ascii="Helvetica" w:hAnsi="Helvetica" w:cs="Helvetica"/>
          <w:sz w:val="22"/>
          <w:szCs w:val="22"/>
        </w:rPr>
        <w:t>criterio and were not restricted by language</w:t>
      </w:r>
      <w:r w:rsidRPr="00C14D61">
        <w:rPr>
          <w:rFonts w:ascii="Helvetica" w:hAnsi="Helvetica" w:cs="Helvetica"/>
          <w:sz w:val="22"/>
          <w:szCs w:val="22"/>
        </w:rPr>
        <w:t>:</w:t>
      </w:r>
    </w:p>
    <w:p w14:paraId="3F6818C7" w14:textId="77777777" w:rsidR="0053162B" w:rsidRPr="00C14D61" w:rsidRDefault="0053162B" w:rsidP="00FB073A">
      <w:pPr>
        <w:pStyle w:val="ListParagraph"/>
        <w:numPr>
          <w:ilvl w:val="0"/>
          <w:numId w:val="2"/>
        </w:numPr>
        <w:spacing w:after="0" w:line="240" w:lineRule="auto"/>
        <w:ind w:left="720" w:hanging="360"/>
        <w:rPr>
          <w:rFonts w:ascii="Helvetica" w:hAnsi="Helvetica" w:cs="Helvetica"/>
        </w:rPr>
      </w:pPr>
      <w:r w:rsidRPr="00C14D61">
        <w:rPr>
          <w:rFonts w:ascii="Helvetica" w:hAnsi="Helvetica" w:cs="Helvetica"/>
        </w:rPr>
        <w:t>included an under-5 population in Peru</w:t>
      </w:r>
    </w:p>
    <w:p w14:paraId="178B70F3" w14:textId="77777777" w:rsidR="0053162B" w:rsidRPr="00C14D61" w:rsidRDefault="0053162B" w:rsidP="00FB073A">
      <w:pPr>
        <w:pStyle w:val="ListParagraph"/>
        <w:numPr>
          <w:ilvl w:val="0"/>
          <w:numId w:val="2"/>
        </w:numPr>
        <w:spacing w:after="0" w:line="240" w:lineRule="auto"/>
        <w:ind w:left="720" w:hanging="360"/>
        <w:rPr>
          <w:rFonts w:ascii="Helvetica" w:hAnsi="Helvetica" w:cs="Helvetica"/>
        </w:rPr>
      </w:pPr>
      <w:r w:rsidRPr="00C14D61">
        <w:rPr>
          <w:rFonts w:ascii="Helvetica" w:hAnsi="Helvetica" w:cs="Helvetica"/>
        </w:rPr>
        <w:t>published between 1990-2017</w:t>
      </w:r>
    </w:p>
    <w:p w14:paraId="5B78C7E8" w14:textId="77777777" w:rsidR="0053162B" w:rsidRPr="00C14D61" w:rsidRDefault="0053162B" w:rsidP="00FB073A">
      <w:pPr>
        <w:pStyle w:val="ListParagraph"/>
        <w:numPr>
          <w:ilvl w:val="0"/>
          <w:numId w:val="2"/>
        </w:numPr>
        <w:spacing w:after="0" w:line="240" w:lineRule="auto"/>
        <w:ind w:left="720" w:hanging="360"/>
        <w:rPr>
          <w:rFonts w:ascii="Helvetica" w:hAnsi="Helvetica" w:cs="Helvetica"/>
        </w:rPr>
      </w:pPr>
      <w:r w:rsidRPr="00C14D61">
        <w:rPr>
          <w:rFonts w:ascii="Helvetica" w:hAnsi="Helvetica" w:cs="Helvetica"/>
        </w:rPr>
        <w:t>examined one or more of the determinants of chronic undernutrition (e.g. determinants, risk factors, policies, programs, interventions, or initiatives)</w:t>
      </w:r>
    </w:p>
    <w:p w14:paraId="439A00DF" w14:textId="77777777" w:rsidR="0053162B" w:rsidRPr="00C14D61" w:rsidRDefault="0053162B" w:rsidP="00FB073A">
      <w:pPr>
        <w:pStyle w:val="ListParagraph"/>
        <w:numPr>
          <w:ilvl w:val="0"/>
          <w:numId w:val="2"/>
        </w:numPr>
        <w:spacing w:after="120" w:line="240" w:lineRule="auto"/>
        <w:ind w:left="720" w:hanging="360"/>
        <w:rPr>
          <w:rFonts w:ascii="Helvetica" w:hAnsi="Helvetica" w:cs="Helvetica"/>
        </w:rPr>
      </w:pPr>
      <w:r w:rsidRPr="00C14D61">
        <w:rPr>
          <w:rFonts w:ascii="Helvetica" w:hAnsi="Helvetica" w:cs="Helvetica"/>
        </w:rPr>
        <w:t>examined effects on child growth or a reduction in stunting</w:t>
      </w:r>
    </w:p>
    <w:p w14:paraId="062052F1" w14:textId="77777777" w:rsidR="0053162B" w:rsidRPr="00C14D61" w:rsidRDefault="0053162B" w:rsidP="000C7ADC">
      <w:pPr>
        <w:rPr>
          <w:rFonts w:ascii="Helvetica" w:hAnsi="Helvetica" w:cs="Helvetica"/>
          <w:sz w:val="22"/>
          <w:szCs w:val="22"/>
        </w:rPr>
      </w:pPr>
    </w:p>
    <w:p w14:paraId="211A988E" w14:textId="00BBDEC0" w:rsidR="0053162B" w:rsidRPr="00C14D61" w:rsidRDefault="0053162B" w:rsidP="000C7ADC">
      <w:pPr>
        <w:rPr>
          <w:rFonts w:ascii="Helvetica" w:hAnsi="Helvetica" w:cs="Helvetica"/>
          <w:sz w:val="22"/>
          <w:szCs w:val="22"/>
        </w:rPr>
      </w:pPr>
      <w:r w:rsidRPr="00C14D61">
        <w:rPr>
          <w:rFonts w:ascii="Helvetica" w:hAnsi="Helvetica" w:cs="Helvetica"/>
          <w:sz w:val="22"/>
          <w:szCs w:val="22"/>
        </w:rPr>
        <w:t xml:space="preserve">Initial database searches returned 1120 records, which was reduced to 547 after de-deduplication. Applying the screening criteria to titles and abstracts left 134 records, which were categorized for the purposes of thematic exploration and mapping. Those studies with quantitative analyses are divided into national and subnational levels. At the national level, of primary interest were analyses of determinants of trends or change over time in stunting prevalence. Other studies at the national level examined cross-sectional associations with stunting prevalence at a single point in time. The remaining quantitative studies were conducted at assorted subnational levels, some examining point prevalence, and some following cohorts of children longitudinally. We also categorized qualitative analyses, as well as studies detailing the effects of specific interventions (e.g. randomized controlled trials, or evaluations of programs (e.g. before-after studies). See Figure </w:t>
      </w:r>
      <w:r w:rsidR="004950E7">
        <w:rPr>
          <w:rFonts w:ascii="Helvetica" w:hAnsi="Helvetica" w:cs="Helvetica"/>
          <w:sz w:val="22"/>
          <w:szCs w:val="22"/>
        </w:rPr>
        <w:t>2</w:t>
      </w:r>
      <w:r w:rsidRPr="00C14D61">
        <w:rPr>
          <w:rFonts w:ascii="Helvetica" w:hAnsi="Helvetica" w:cs="Helvetica"/>
          <w:b/>
          <w:sz w:val="22"/>
          <w:szCs w:val="22"/>
        </w:rPr>
        <w:t xml:space="preserve"> </w:t>
      </w:r>
      <w:r w:rsidRPr="00C14D61">
        <w:rPr>
          <w:rFonts w:ascii="Helvetica" w:hAnsi="Helvetica" w:cs="Helvetica"/>
          <w:sz w:val="22"/>
          <w:szCs w:val="22"/>
        </w:rPr>
        <w:t xml:space="preserve">for a flow diagram outlining the components and progression of the review. </w:t>
      </w:r>
    </w:p>
    <w:p w14:paraId="145B517C" w14:textId="77777777" w:rsidR="0053162B" w:rsidRPr="00C14D61" w:rsidRDefault="0053162B" w:rsidP="000C7ADC">
      <w:pPr>
        <w:rPr>
          <w:rFonts w:ascii="Helvetica" w:hAnsi="Helvetica" w:cs="Helvetica"/>
          <w:sz w:val="22"/>
          <w:szCs w:val="22"/>
        </w:rPr>
      </w:pPr>
    </w:p>
    <w:p w14:paraId="0E51C9FB" w14:textId="77777777" w:rsidR="0053162B" w:rsidRPr="00C14D61" w:rsidRDefault="0053162B" w:rsidP="000C7ADC">
      <w:pPr>
        <w:rPr>
          <w:rFonts w:ascii="Helvetica" w:hAnsi="Helvetica" w:cs="Helvetica"/>
          <w:sz w:val="22"/>
          <w:szCs w:val="22"/>
        </w:rPr>
      </w:pPr>
      <w:r w:rsidRPr="00C14D61">
        <w:rPr>
          <w:rFonts w:ascii="Helvetica" w:hAnsi="Helvetica" w:cs="Helvetica"/>
          <w:sz w:val="22"/>
          <w:szCs w:val="22"/>
        </w:rPr>
        <w:t xml:space="preserve">Relevant literature was iteratively synthesized and summarized to inform our research questions and to contrast our findings with existing evidence. </w:t>
      </w:r>
    </w:p>
    <w:p w14:paraId="72BE640B" w14:textId="77777777" w:rsidR="0053162B" w:rsidRPr="00C14D61" w:rsidRDefault="0053162B" w:rsidP="000C7ADC">
      <w:pPr>
        <w:rPr>
          <w:rFonts w:ascii="Helvetica" w:hAnsi="Helvetica" w:cs="Helvetica"/>
          <w:sz w:val="22"/>
          <w:szCs w:val="22"/>
        </w:rPr>
      </w:pPr>
    </w:p>
    <w:p w14:paraId="279C9849" w14:textId="42E94226" w:rsidR="00D5600B" w:rsidRPr="003D7162" w:rsidRDefault="00D5600B" w:rsidP="000C7ADC">
      <w:pPr>
        <w:rPr>
          <w:rFonts w:ascii="Helvetica" w:hAnsi="Helvetica" w:cs="Helvetica"/>
          <w:lang w:val="en-US"/>
        </w:rPr>
      </w:pPr>
    </w:p>
    <w:p w14:paraId="3D8AE656" w14:textId="6065BE7D" w:rsidR="00D5600B" w:rsidRPr="003D7162" w:rsidRDefault="00D91F4C" w:rsidP="000C7ADC">
      <w:pPr>
        <w:pStyle w:val="Heading2"/>
        <w:rPr>
          <w:rFonts w:cs="Helvetica"/>
          <w:szCs w:val="24"/>
        </w:rPr>
      </w:pPr>
      <w:bookmarkStart w:id="5" w:name="_Toc40953302"/>
      <w:r>
        <w:rPr>
          <w:rFonts w:cs="Helvetica"/>
          <w:b/>
          <w:szCs w:val="24"/>
        </w:rPr>
        <w:t xml:space="preserve">Supplementary </w:t>
      </w:r>
      <w:r w:rsidR="0053162B" w:rsidRPr="003D7162">
        <w:rPr>
          <w:rFonts w:cs="Helvetica"/>
          <w:b/>
          <w:szCs w:val="24"/>
        </w:rPr>
        <w:t>Appendix Figure 2</w:t>
      </w:r>
      <w:r w:rsidR="00D5600B" w:rsidRPr="003D7162">
        <w:rPr>
          <w:rFonts w:cs="Helvetica"/>
          <w:szCs w:val="24"/>
        </w:rPr>
        <w:t>: Literature review flow diagram</w:t>
      </w:r>
      <w:bookmarkEnd w:id="5"/>
    </w:p>
    <w:p w14:paraId="27DB4383" w14:textId="16294693" w:rsidR="00D5600B" w:rsidRPr="00C14D61" w:rsidRDefault="00D5600B" w:rsidP="000C7ADC">
      <w:pPr>
        <w:rPr>
          <w:rFonts w:ascii="Helvetica" w:hAnsi="Helvetica" w:cs="Helvetica"/>
          <w:lang w:val="en-US"/>
        </w:rPr>
      </w:pPr>
      <w:r w:rsidRPr="003D7162">
        <w:rPr>
          <w:rFonts w:ascii="Helvetica" w:hAnsi="Helvetica" w:cs="Helvetica"/>
          <w:i/>
          <w:noProof/>
          <w:szCs w:val="22"/>
          <w:lang w:val="en-CA" w:eastAsia="en-CA"/>
        </w:rPr>
        <w:drawing>
          <wp:inline distT="0" distB="0" distL="0" distR="0" wp14:anchorId="376F8A38" wp14:editId="4D16613B">
            <wp:extent cx="6358270" cy="491271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371049" cy="4922588"/>
                    </a:xfrm>
                    <a:prstGeom prst="rect">
                      <a:avLst/>
                    </a:prstGeom>
                  </pic:spPr>
                </pic:pic>
              </a:graphicData>
            </a:graphic>
          </wp:inline>
        </w:drawing>
      </w:r>
    </w:p>
    <w:p w14:paraId="21B9B3EF" w14:textId="77777777" w:rsidR="00D5600B" w:rsidRPr="003D7162" w:rsidRDefault="00D5600B" w:rsidP="000C7ADC">
      <w:pPr>
        <w:rPr>
          <w:rFonts w:ascii="Helvetica" w:hAnsi="Helvetica" w:cs="Helvetica"/>
          <w:b/>
        </w:rPr>
      </w:pPr>
    </w:p>
    <w:p w14:paraId="62251AE8" w14:textId="13F8A175" w:rsidR="001070CC" w:rsidRPr="003D7162" w:rsidRDefault="0053162B" w:rsidP="000C7ADC">
      <w:pPr>
        <w:rPr>
          <w:rFonts w:ascii="Helvetica" w:hAnsi="Helvetica" w:cs="Helvetica"/>
          <w:b/>
        </w:rPr>
      </w:pPr>
      <w:r w:rsidRPr="003D7162">
        <w:rPr>
          <w:rFonts w:ascii="Helvetica" w:hAnsi="Helvetica" w:cs="Helvetica"/>
          <w:b/>
        </w:rPr>
        <w:t xml:space="preserve">Full </w:t>
      </w:r>
      <w:r w:rsidR="001070CC" w:rsidRPr="003D7162">
        <w:rPr>
          <w:rFonts w:ascii="Helvetica" w:hAnsi="Helvetica" w:cs="Helvetica"/>
          <w:b/>
        </w:rPr>
        <w:t xml:space="preserve">Literature Review </w:t>
      </w:r>
    </w:p>
    <w:p w14:paraId="7B32705F" w14:textId="77777777" w:rsidR="001070CC" w:rsidRPr="00C14D61" w:rsidRDefault="001070CC" w:rsidP="000C7ADC">
      <w:pPr>
        <w:rPr>
          <w:rFonts w:ascii="Helvetica" w:hAnsi="Helvetica" w:cs="Helvetica"/>
          <w:b/>
          <w:sz w:val="22"/>
          <w:szCs w:val="22"/>
        </w:rPr>
      </w:pPr>
    </w:p>
    <w:p w14:paraId="4486325D" w14:textId="59BE697B" w:rsidR="001070CC" w:rsidRPr="00C14D61" w:rsidRDefault="001070CC" w:rsidP="000C7ADC">
      <w:pPr>
        <w:rPr>
          <w:rFonts w:ascii="Helvetica" w:hAnsi="Helvetica" w:cs="Helvetica"/>
          <w:sz w:val="22"/>
          <w:szCs w:val="22"/>
        </w:rPr>
      </w:pPr>
      <w:r w:rsidRPr="00C14D61">
        <w:rPr>
          <w:rFonts w:ascii="Helvetica" w:hAnsi="Helvetica" w:cs="Helvetica"/>
          <w:sz w:val="22"/>
          <w:szCs w:val="22"/>
        </w:rPr>
        <w:t xml:space="preserve">Factors that have contributed to a reduction in stunting in Peru are presented in relation to an adapted version of UNICEF’s conceptual framework for malnutrition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{"citationItems":[{"id":"ITEM-1","itemData":{"DOI":"10.1016/S0140","abstract":"Maternal and child undernutrition is highly prevalent in low-income and middle-income countries, resulting in substantial increases in mortality and overall disease burden. In this paper, we present new analyses to estimate the eff ects of the risks related to measures of undernutrition, as well as to suboptimum breastfeeding practices on mortality and disease. We estimated that stunting, severe wasting, and intrauterine growth restriction together were responsible for 2·2 million deaths and 21% of disability-adjusted life-years (DALYs) for children younger than 5 years. Defi ciencies of vitamin A and zinc were estimated to be responsible for 0·6 million and 0·4 million deaths, respectively, and a combined 9% of global childhood DALYs. Iron and iodine defi ciencies resulted in few child deaths, and combined were responsible for about 0·2% of global childhood DALYs. Iron defi ciency as a risk factor for maternal mortality added 115 000 deaths and 0·4% of global total DALYs. Suboptimum breastfeeding was estimated to be responsible for 1·4 million child deaths and 44 million DALYs (10% of DALYs in children younger than 5 years). In an analysis that accounted for co-exposure of these nutrition-related factors, they were together responsible for about 35% of child deaths and 11% of the total global disease burden. The high mortality and disease burden resulting from these nutrition-related factors make a compelling case for the urgent implementation of interventions to reduce their occurrence or ameliorate their consequences.","author":[{"dropping-particle":"","family":"Black","given":"Robert E","non-dropping-particle":"","parse-names":false,"suffix":""},{"dropping-particle":"","family":"Allen","given":"Lindsay H","non-dropping-particle":"","parse-names":false,"suffix":""},{"dropping-particle":"","family":"Bhutta","given":"Z A","non-dropping-particle":"","parse-names":false,"suffix":""},{"dropping-particle":"","family":"Caulfield","given":"Laura E","non-dropping-particle":"","parse-names":false,"suffix":""},{"dropping-particle":"","family":"Onis","given":"Mercedes","non-dropping-particle":"De","parse-names":false,"suffix":""},{"dropping-particle":"","family":"Ezzati","given":"Majid","non-dropping-particle":"","parse-names":false,"suffix":""},{"dropping-particle":"","family":"Mathers","given":"Colin","non-dropping-particle":"","parse-names":false,"suffix":""},{"dropping-particle":"","family":"Rivera","given":"Juan","non-dropping-particle":"","parse-names":false,"suffix":""}],"container-title":"The Lancet","id":"ITEM-1","issued":{"date-parts":[["2008"]]},"page":"243-260","title":"Maternal and Child Undernutrition: Maternal and child undernutrition: global and regional exposures and health consequences","type":"article-journal","volume":"371"},"uris":["http://www.mendeley.com/documents/?uuid=763c8d43-02a8-4e64-975b-522cd3aebd88"]}],"mendeley":{"formattedCitation":"[3]","plainTextFormattedCitation":"[3]","previouslyFormattedCitation":"[3]"},"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[3]</w:t>
      </w:r>
      <w:r w:rsidRPr="00C14D61">
        <w:rPr>
          <w:rFonts w:ascii="Helvetica" w:hAnsi="Helvetica" w:cs="Helvetica"/>
          <w:sz w:val="22"/>
          <w:szCs w:val="22"/>
        </w:rPr>
        <w:fldChar w:fldCharType="end"/>
      </w:r>
      <w:r w:rsidRPr="00C14D61">
        <w:rPr>
          <w:rFonts w:ascii="Helvetica" w:hAnsi="Helvetica" w:cs="Helvetica"/>
          <w:sz w:val="22"/>
          <w:szCs w:val="22"/>
        </w:rPr>
        <w:t xml:space="preserve">. Originally, policies and programs were aimed at targeting the immediate causes of malnutrition to reduce the country’s high stunting prevalence. These immediate causes, and associated “band-aid” solutions are easier to address than the underlying, and basic causes of stunting at a national level. However, they were unsuccessful partially because they are difficult to implement while targeting the most vulnerable populations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{"citationItems":[{"id":"ITEM-1","itemData":{"DOI":"10.1093/wber/lhl002","ISBN":"0258-6770, 0258-6770","ISSN":"02586770","abstract":"This study of the Vaso de Leche (\"Glass of Milk\") feeding program in Peru looks for evidence that this in-kind transfer program aimed at young children furthers nutritional objectives. The study links public expenditure data with household survey data to substantiate the targeting and to model the determinants of nutritional outcomes. It confirms that the social transfer program targets poor households and households with low nutritional status. Nevertheless, the study fails to find econometric evidence that the nutritional objectives are being achieved. In","author":[{"dropping-particle":"","family":"Stifel","given":"David","non-dropping-particle":"","parse-names":false,"suffix":""},{"dropping-particle":"","family":"Alderman","given":"Harold","non-dropping-particle":"","parse-names":false,"suffix":""}],"container-title":"World Bank Economic Review","id":"ITEM-1","issue":"3","issued":{"date-parts":[["2006"]]},"page":"421-448","title":"The \"Glass of Milk\" subsidy program and malnutrition in Peru","type":"article-journal","volume":"20"},"uris":["http://www.mendeley.com/documents/?uuid=3fa34c67-187e-4532-9bc5-dbd3819e8fbd"]},{"id":"ITEM-2","itemData":{"PMID":"46023881","abstract":"Background. Because of the rapid growth of the urban population in Peru, food and nutrition insecurity will occur increasingly in this population. For appropriate policy setting and programming, the food and nutrition situation of the urban poor requires better understanding. Objective. To gain information about the nature, magnitude, severity, and causes of the nutritional problems of the population in low-income areas of the city of Chiclayo, Peru. Methods. A cross-sectional nutrition survey was conducted in 1,604 households, covering children under 5 years of age and their parents. Results. The prevalence rates of stunting, wasting, overweight. and anemia in children were 15.4%, 1.3%, 4.6%, and 65.7%, respectively; one third of adults were overweight, and one tenth were obese; 2.1% of the mothers were underweight; and 34.3% of mothers and 12.2% of fathers had anemia. Governmental feeding programs did not address these problems adequately. Conclusions. Interventions must have adequate targeting; address appropriate responses at the household, community, and national levels; and reduce stunting, obesity, and iron-deficiency anemia. © 2006, The United Nations University.","author":[{"dropping-particle":"","family":"Gross","given":"R","non-dropping-particle":"","parse-names":false,"suffix":""},{"dropping-particle":"","family":"Lechtig","given":"A","non-dropping-particle":"","parse-names":false,"suffix":""},{"dropping-particle":"","family":"Lopez de Romana","given":"D","non-dropping-particle":"","parse-names":false,"suffix":""}],"container-title":"Food and Nutrition Bulletin","id":"ITEM-2","issue":"4 SUPPL.","issued":{"date-parts":[["2006"]]},"page":"S115-S121","title":"Baseline evaluation of nutritional status and government feeding programs in Chiclayo, Peru","type":"article-journal","volume":"27"},"uris":["http://www.mendeley.com/documents/?uuid=523b2ca1-4991-4ea2-8b75-9307c6ef83ed"]}],"mendeley":{"formattedCitation":"[4,5]","plainTextFormattedCitation":"[4,5]","previouslyFormattedCitation":"[4,5]"},"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[4,5]</w:t>
      </w:r>
      <w:r w:rsidRPr="00C14D61">
        <w:rPr>
          <w:rFonts w:ascii="Helvetica" w:hAnsi="Helvetica" w:cs="Helvetica"/>
          <w:sz w:val="22"/>
          <w:szCs w:val="22"/>
        </w:rPr>
        <w:fldChar w:fldCharType="end"/>
      </w:r>
      <w:r w:rsidRPr="00C14D61">
        <w:rPr>
          <w:rFonts w:ascii="Helvetica" w:hAnsi="Helvetica" w:cs="Helvetica"/>
          <w:sz w:val="22"/>
          <w:szCs w:val="22"/>
        </w:rPr>
        <w:t xml:space="preserve">. After years of ineffective programs, and stagnant stunting rates a roundtable for poverty reduction was created to address the more distal causes of stunting. </w:t>
      </w:r>
    </w:p>
    <w:p w14:paraId="6B46EBD4" w14:textId="77777777" w:rsidR="001070CC" w:rsidRPr="00C14D61" w:rsidRDefault="001070CC" w:rsidP="000C7ADC">
      <w:pPr>
        <w:rPr>
          <w:rFonts w:ascii="Helvetica" w:hAnsi="Helvetica" w:cs="Helvetica"/>
          <w:sz w:val="22"/>
          <w:szCs w:val="22"/>
        </w:rPr>
      </w:pPr>
    </w:p>
    <w:p w14:paraId="1AD22040" w14:textId="77777777" w:rsidR="001070CC" w:rsidRPr="00C14D61" w:rsidRDefault="001070CC" w:rsidP="000C7ADC">
      <w:pPr>
        <w:rPr>
          <w:rFonts w:ascii="Helvetica" w:hAnsi="Helvetica" w:cs="Helvetica"/>
          <w:sz w:val="22"/>
          <w:szCs w:val="22"/>
        </w:rPr>
      </w:pPr>
      <w:r w:rsidRPr="00C14D61">
        <w:rPr>
          <w:rFonts w:ascii="Helvetica" w:hAnsi="Helvetica" w:cs="Helvetica"/>
          <w:sz w:val="22"/>
          <w:szCs w:val="22"/>
        </w:rPr>
        <w:t xml:space="preserve">The aim of this literature review is to summarize published literature from programs, policies, and intervention studies that targeted basic, underlying, and immediate causes of chronic malnutrition in Peru. </w:t>
      </w:r>
    </w:p>
    <w:p w14:paraId="0A2BF106" w14:textId="77777777" w:rsidR="001070CC" w:rsidRPr="00C14D61" w:rsidRDefault="001070CC" w:rsidP="000C7ADC">
      <w:pPr>
        <w:rPr>
          <w:rFonts w:ascii="Helvetica" w:hAnsi="Helvetica" w:cs="Helvetica"/>
          <w:sz w:val="22"/>
          <w:szCs w:val="22"/>
        </w:rPr>
      </w:pPr>
    </w:p>
    <w:p w14:paraId="52CA2861" w14:textId="008E00E5" w:rsidR="001070CC" w:rsidRDefault="001070CC" w:rsidP="000C7ADC">
      <w:pPr>
        <w:rPr>
          <w:rFonts w:ascii="Helvetica" w:hAnsi="Helvetica" w:cs="Helvetica"/>
          <w:sz w:val="22"/>
          <w:szCs w:val="22"/>
        </w:rPr>
      </w:pPr>
    </w:p>
    <w:p w14:paraId="62C4FB13" w14:textId="39E0F659" w:rsidR="008310A0" w:rsidRDefault="008310A0" w:rsidP="000C7ADC">
      <w:pPr>
        <w:rPr>
          <w:rFonts w:ascii="Helvetica" w:hAnsi="Helvetica" w:cs="Helvetica"/>
          <w:sz w:val="22"/>
          <w:szCs w:val="22"/>
        </w:rPr>
      </w:pPr>
    </w:p>
    <w:p w14:paraId="06578F99" w14:textId="682C9D32" w:rsidR="008310A0" w:rsidRDefault="008310A0" w:rsidP="000C7ADC">
      <w:pPr>
        <w:rPr>
          <w:rFonts w:ascii="Helvetica" w:hAnsi="Helvetica" w:cs="Helvetica"/>
          <w:sz w:val="22"/>
          <w:szCs w:val="22"/>
        </w:rPr>
      </w:pPr>
    </w:p>
    <w:p w14:paraId="12978559" w14:textId="77777777" w:rsidR="008310A0" w:rsidRPr="00C14D61" w:rsidRDefault="008310A0" w:rsidP="000C7ADC">
      <w:pPr>
        <w:rPr>
          <w:rFonts w:ascii="Helvetica" w:hAnsi="Helvetica" w:cs="Helvetica"/>
          <w:sz w:val="22"/>
          <w:szCs w:val="22"/>
        </w:rPr>
      </w:pPr>
    </w:p>
    <w:p w14:paraId="307BE9BB" w14:textId="77777777" w:rsidR="001070CC" w:rsidRPr="00C14D61" w:rsidRDefault="001070CC" w:rsidP="000C7ADC">
      <w:pPr>
        <w:rPr>
          <w:rFonts w:ascii="Helvetica" w:hAnsi="Helvetica" w:cs="Helvetica"/>
          <w:b/>
          <w:sz w:val="22"/>
          <w:szCs w:val="22"/>
        </w:rPr>
      </w:pPr>
      <w:r w:rsidRPr="00C14D61">
        <w:rPr>
          <w:rFonts w:ascii="Helvetica" w:hAnsi="Helvetica" w:cs="Helvetica"/>
          <w:b/>
          <w:sz w:val="22"/>
          <w:szCs w:val="22"/>
        </w:rPr>
        <w:t>Basic causes</w:t>
      </w:r>
    </w:p>
    <w:p w14:paraId="1CC27245" w14:textId="77777777" w:rsidR="001070CC" w:rsidRPr="00C14D61" w:rsidRDefault="001070CC" w:rsidP="000C7ADC">
      <w:pPr>
        <w:rPr>
          <w:rFonts w:ascii="Helvetica" w:hAnsi="Helvetica" w:cs="Helvetica"/>
          <w:sz w:val="22"/>
          <w:szCs w:val="22"/>
        </w:rPr>
      </w:pPr>
    </w:p>
    <w:p w14:paraId="6AA6718B" w14:textId="1A532360" w:rsidR="001070CC" w:rsidRPr="00C14D61" w:rsidRDefault="001070CC" w:rsidP="000C7ADC">
      <w:pPr>
        <w:rPr>
          <w:rFonts w:ascii="Helvetica" w:hAnsi="Helvetica" w:cs="Helvetica"/>
          <w:sz w:val="22"/>
          <w:szCs w:val="22"/>
        </w:rPr>
      </w:pPr>
      <w:r w:rsidRPr="00C14D61">
        <w:rPr>
          <w:rFonts w:ascii="Helvetica" w:hAnsi="Helvetica" w:cs="Helvetica"/>
          <w:color w:val="000000" w:themeColor="text1"/>
          <w:sz w:val="22"/>
          <w:szCs w:val="22"/>
        </w:rPr>
        <w:t xml:space="preserve">Peru experienced rapid economic growth between 2002 and 2010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Peru","type":"article"},"uris":["http://www.mendeley.com/documents/?uuid=6a05459a-8ef5-4a78-89d8-58d7d4271ab9"]},{"id":"ITEM-2","itemData":{"ISBN":"9780821384060","author":[{"dropping-particle":"","family":"World Bank","given":"","non-dropping-particle":"","parse-names":false,"suffix":""}],"id":"ITEM-2","issued":{"date-parts":[["2011"]]},"publisher":"The International Bank for Reconstruction and Development","publisher-place":"Washington, D.C.","title":"Peru: Country Program Evaluation for the world Bank Group, 2003-09","type":"book"},"uris":["http://www.mendeley.com/documents/?uuid=e3daf608-24d6-4b49-9612-30cfddf8ec76"]}],"mendeley":{"formattedCitation":"[6,7]","plainTextFormattedCitation":"[6,7]","previouslyFormattedCitation":"[6,7]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Galasso and Wagstaff suggest that economic growth accounted for up to 50% of the reduction in stunting nationally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Galasso","given":"Emanuela","non-dropping-particle":"","parse-names":false,"suffix":""},{"dropping-particle":"","family":"Wagstaff","given":"Adam","non-dropping-particle":"","parse-names":false,"suffix":""},{"dropping-particle":"","family":"Naudeau","given":"Sophie","non-dropping-particle":"","parse-names":false,"suffix":""},{"dropping-particle":"","family":"Shekar","given":"Meera","non-dropping-particle":"","parse-names":false,"suffix":""}],"id":"ITEM-1","issued":{"date-parts":[["2017"]]},"title":"The Economic Costs of Stunting and How to Reduce Them","type":"report"},"uris":["http://www.mendeley.com/documents/?uuid=46bc86b3-8d70-40b1-a165-01ab2d4d22fe"]}],"mendeley":{"formattedCitation":"[8]","plainTextFormattedCitation":"[8]","previouslyFormattedCitation":"[8]"},"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According to the National Institute of Statistics the correlation between poverty and chronic malnutrition is 0.4, this correlation is even lower in rural areas. Similarly, household wealth was positively associated with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{"citationItems":[{"id":"ITEM-1","itemData":{"PMID":"28156832","abstract":"Background Stunting, a form of anthropometric failure, disproportionately affects children in developing countries with a higher burden on children living in poverty. How early life deprivation affects physical growth over various life stages is less well-known. Objective We investigate the short- and long-run associations between household wealth in early life with physical growth in childhood in four low- and middle-income countries to understand the persistent implications of early life conditions of poverty and resource constraints on physical growth. Design Longitudinal study of eight cohorts of children in four countries - Ethiopia, India, Peru, and Vietnam (n=10,016) - ages 6 months to 15 years, using data from the Young Lives project, 2002-2009. Physical growth outcomes are standardized height-for-age z-scores (HAZ) and stunting. The key exposure is household wealth measured at baseline using a wealth index, an asset-based indicator. Covariates include child's age and sex, caregiver's educational status, household size, and place of residence. Results Baseline wealth index is significantly associated with higher physical growth rates as suggested by higher HAZ and lower odds of stunting. We found these associations in all four countries, for younger and older cohorts and for children who experienced changes in living standards. For the older cohort, despite the timing of the first survey at age 7-8 years, which is beyond the critical period of 1,000 days, there are lasting influences of early poverty, even for those who experienced changes in wealth. Conclusions Household wealth in early life matters for physical growth with conditions of poverty and deprivation influencing growth faltering even beyond the 1,000 days window. The influences of early childhood poverty, so prevalent among children in low- and middle-income countries, must be addressed by policies and programs targeting early life but also focusing on older children experiencing growth faltering.","author":[{"dropping-particle":"","family":"Krishna","given":"A","non-dropping-particle":"","parse-names":false,"suffix":""},{"dropping-particle":"","family":"Oh","given":"J","non-dropping-particle":"","parse-names":false,"suffix":""},{"dropping-particle":"","family":"Lee","given":"J K","non-dropping-particle":"","parse-names":false,"suffix":""},{"dropping-particle":"","family":"Lee","given":"H Y","non-dropping-particle":"","parse-names":false,"suffix":""},{"dropping-particle":"","family":"Perkins","given":"J M","non-dropping-particle":"","parse-names":false,"suffix":""},{"dropping-particle":"","family":"Heo","given":"J","non-dropping-particle":"","parse-names":false,"suffix":""},{"dropping-particle":"","family":"Ro","given":"Y S","non-dropping-particle":"","parse-names":false,"suffix":""},{"dropping-particle":"V","family":"Subramanian","given":"S","non-dropping-particle":"","parse-names":false,"suffix":""}],"container-title":"Glob Health Action","id":"ITEM-1","issue":"1","issued":{"date-parts":[["2015"]]},"page":"26523","title":"Short-term and long-term associations between household wealth and physical growth: a cross-comparative analysis of children from four low- and middle-income countries","type":"article-journal","volume":"8"},"uris":["http://www.mendeley.com/documents/?uuid=7ee8c202-b013-4d8c-a684-7fce6121ad7d"]}],"mendeley":{"formattedCitation":"[9]","plainTextFormattedCitation":"[9]","previouslyFormattedCitation":"[9]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r w:rsidRPr="00C14D61">
        <w:rPr>
          <w:rFonts w:ascii="Helvetica" w:hAnsi="Helvetica" w:cs="Helvetica"/>
          <w:sz w:val="22"/>
          <w:szCs w:val="22"/>
        </w:rPr>
        <w:t xml:space="preserve">Therefore, rapid economic growth played a role in the reduction of stunting in Peru, but was not the sole contributor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Crisis","type":"book"},"uris":["http://www.mendeley.com/documents/?uuid=e0e15657-2af6-4182-a2bb-134f19b12740"]},{"id":"ITEM-2","itemData":{"DOI":"10.1017/S1368980014000275","abstract":"Objective To examine trends in stunting and overweight in Peruvian children, using 2006 WHO Multicentre Growth Reference Study criteria. Design Trend analyses using nationally representative cross-sectional surveys from Demographic and Health Surveys (1991-2011). We performed logistic regression analyses of stunting and overweight trends in sociodemographic groups (sex, age, urban-rural residence, region, maternal education and household wealth), adjusted for sampling design effects (strata, clusters and sampling weights). Setting Peru. Subjects Children aged 0-59 months surveyed in 1991-92 (n 7999), 1996 (n 14 877), 2000 (n 11 754), 2007-08 (n 8232) and 2011 (n 8186). Results Child stunting declined (F(1, 5149) = 174·8, P ≤ 0·00) and child overweight was stable in the period 1991-2011 (F(1, 5147) = 0·4, P ≤ 0·54). Over the study period, levels of stunting were highest in rural compared with urban areas, the Andean and Amazon regions compared with the Coast, among children of low-educated mothers and among children living in households in the poorest wealth quintile. The trend in overweight rose among males in coastal areas (F(1, 2250) = 4·779, P ≤ 0·029) and among males in the richest wealth quintile (F(1, 1730) = 5·458, P ≤ 0·020). Conclusions The 2011 levels of stunting and overweight were eight times and three and a half times higher, respectively, than the expected levels from the 2006 WHO growth standards. The trend over the study period in stunting declined in most sociodemographic subgroups. The trend in overweight was stable in most sociodemographic subgroups. © The Authors 2014.","author":[{"dropping-particle":"","family":"Urke","given":"H B","non-dropping-particle":"","parse-names":false,"suffix":""},{"dropping-particle":"","family":"Mittelmark","given":"M B","non-dropping-particle":"","parse-names":false,"suffix":""},{"dropping-particle":"","family":"Valdivia","given":"M","non-dropping-particle":"","parse-names":false,"suffix":""}],"container-title":"Public Health Nutrition","id":"ITEM-2","issue":"11","issued":{"date-parts":[["2013"]]},"note":"Cited By :6\nExport Date: 31 May 2017\n\nAviva abstracted","page":"2407-2418","title":"Trends in stunting and overweight in Peruvian pre-schoolers from 1991 to 2011: Findings from the Demographic and Health Surveys","type":"article-journal","volume":"17"},"uris":["http://www.mendeley.com/documents/?uuid=0fb4b330-b8fa-42c7-b8f7-a09eab65d675"]}],"mendeley":{"formattedCitation":"[10,11]","plainTextFormattedCitation":"[10,11]","previouslyFormattedCitation":"[10,11]"},"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[10,11]</w:t>
      </w:r>
      <w:r w:rsidRPr="00C14D61">
        <w:rPr>
          <w:rFonts w:ascii="Helvetica" w:hAnsi="Helvetica" w:cs="Helvetica"/>
          <w:sz w:val="22"/>
          <w:szCs w:val="22"/>
        </w:rPr>
        <w:fldChar w:fldCharType="end"/>
      </w:r>
      <w:r w:rsidRPr="00C14D61">
        <w:rPr>
          <w:rFonts w:ascii="Helvetica" w:hAnsi="Helvetica" w:cs="Helvetica"/>
          <w:sz w:val="22"/>
          <w:szCs w:val="22"/>
        </w:rPr>
        <w:t>.</w:t>
      </w:r>
    </w:p>
    <w:p w14:paraId="0E5ECF58" w14:textId="77777777" w:rsidR="001070CC" w:rsidRPr="00C14D61" w:rsidRDefault="001070CC" w:rsidP="000C7ADC">
      <w:pPr>
        <w:rPr>
          <w:rFonts w:ascii="Helvetica" w:hAnsi="Helvetica" w:cs="Helvetica"/>
          <w:sz w:val="22"/>
          <w:szCs w:val="22"/>
        </w:rPr>
      </w:pPr>
    </w:p>
    <w:p w14:paraId="66452162" w14:textId="3FC2C96C" w:rsidR="001070CC" w:rsidRPr="00C14D61" w:rsidRDefault="001070CC" w:rsidP="000C7ADC">
      <w:pPr>
        <w:rPr>
          <w:rFonts w:ascii="Helvetica" w:hAnsi="Helvetica" w:cs="Helvetica"/>
          <w:sz w:val="22"/>
          <w:szCs w:val="22"/>
        </w:rPr>
      </w:pPr>
      <w:r w:rsidRPr="00C14D61">
        <w:rPr>
          <w:rFonts w:ascii="Helvetica" w:hAnsi="Helvetica" w:cs="Helvetica"/>
          <w:sz w:val="22"/>
          <w:szCs w:val="22"/>
        </w:rPr>
        <w:t xml:space="preserve">Acosta argues that the success in stunting reduction is not a direct result of economic growth because off the disparities in time periods between growth and stunting reduction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Rather, Acosta attributes the reduction in stunting to political efforts, specifically social welfare programs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mendeley":{"formattedCitation":"[12]","plainTextFormattedCitation":"[12]","previouslyFormattedCitation":"[12]"},"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[12]</w:t>
      </w:r>
      <w:r w:rsidRPr="00C14D61">
        <w:rPr>
          <w:rFonts w:ascii="Helvetica" w:hAnsi="Helvetica" w:cs="Helvetica"/>
          <w:sz w:val="22"/>
          <w:szCs w:val="22"/>
        </w:rPr>
        <w:fldChar w:fldCharType="end"/>
      </w:r>
      <w:r w:rsidRPr="00C14D61">
        <w:rPr>
          <w:rFonts w:ascii="Helvetica" w:hAnsi="Helvetica" w:cs="Helvetica"/>
          <w:sz w:val="22"/>
          <w:szCs w:val="22"/>
        </w:rPr>
        <w:t xml:space="preserve">. </w:t>
      </w:r>
    </w:p>
    <w:p w14:paraId="051E9235" w14:textId="77777777" w:rsidR="001070CC" w:rsidRPr="00C14D61" w:rsidRDefault="001070CC" w:rsidP="000C7ADC">
      <w:pPr>
        <w:rPr>
          <w:rFonts w:ascii="Helvetica" w:hAnsi="Helvetica" w:cs="Helvetica"/>
          <w:sz w:val="22"/>
          <w:szCs w:val="22"/>
        </w:rPr>
      </w:pPr>
    </w:p>
    <w:p w14:paraId="00DBBA6C" w14:textId="581EC8EA" w:rsidR="001070CC" w:rsidRPr="00C14D61" w:rsidRDefault="001070CC" w:rsidP="000C7ADC">
      <w:pPr>
        <w:rPr>
          <w:rFonts w:ascii="Helvetica" w:hAnsi="Helvetica" w:cs="Helvetica"/>
          <w:sz w:val="22"/>
          <w:szCs w:val="22"/>
        </w:rPr>
      </w:pPr>
      <w:r w:rsidRPr="00C14D61">
        <w:rPr>
          <w:rFonts w:ascii="Helvetica" w:hAnsi="Helvetica" w:cs="Helvetica"/>
          <w:sz w:val="22"/>
          <w:szCs w:val="22"/>
        </w:rPr>
        <w:t xml:space="preserve">One of these social welfare programs were JUNTOS, aimed at poverty reduction. The impact of JUNTOS on stunting reduction was evaluated in 6 studies. A total of 3 reported no association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{"citationItems":[{"id":"ITEM-1","itemData":{"abstract":"Algunos impactos del programa JUNTOS en el bienestar de los niños: Evidencia basada en el estudio Niños del Milenio E 5 l estudio Niños del Milenio investiga los determinan-tes y consecuencias de la pobreza infantil durante un periodo de quince años en cuatro países en de-sarrollo -Etiopía, India, Perú y Vietnam-, mediante el seguimiento a dos grupos de niños y niñas: uno conformado por 2000 niños que tenían entre 6 y 18 meses de edad en el año 2002, cuando fueron inscritos y visitados por primera vez, y otro de alrededor de 700 niños que tenían entre 7 y 8 años en ese mismo año. La segunda y tercera vez que se les visitó fue en 2006 y 2009, respectivamente. Este boletín resume un análisis que aprovechó la información de la primera ronda de encuestas -2002-del estudio Niños del Milenio, previa al inicio de JUNTOS -2005-, para evaluar el impacto que dicho programa tiene sobre un grupo de niños de la muestra que se beneficia de esta Transferencia Monetaria Condicionada (TMC). Para ello, dichos niños fueron comparados con otro grupo de niños -también de la muestra de Niños del Milenio-pero no participantes de JUNTOS. El contraste se hizo empleando la base de datos del estudio que, por su riqueza informativa, permite contar con diversos indicadores de bienestar infantil: salud, nutrición, logros escolares, uso del tiempo, entre otros.","author":[{"dropping-particle":"","family":"Escobal","given":"J","non-dropping-particle":"","parse-names":false,"suffix":""},{"dropping-particle":"","family":"Benites","given":"S","non-dropping-particle":"","parse-names":false,"suffix":""}],"container-title":"Boletín 7 de Políticas Públicas del Estudio Niños del Milenio","id":"ITEM-1","issued":{"date-parts":[["2012"]]},"title":"Algunos impactos del programa JUNTOS en el bienestar de los niños: Evidencia basada en el estudio Niños del Milenio","type":"article-journal"},"uris":["http://www.mendeley.com/documents/?uuid=c5aa6c3c-bf7e-4c84-b3a7-86ee89c0ecb1"]},{"id":"ITEM-2","itemData":{"DOI":"10.1186/s12887-017-0790-3","ISSN":"1471-2431","abstract":"Background: Stunting prevalence in children less than 5 years has remained stagnated in Peru from 1992 to 2007, with a rapid reduction thereafter. We aimed to assess the role of different predictors on stunting reduction over time and across departments, from 2000 to 2012. Methods: We used various secondary data sources to describe time trends of stunting and of possible predictors that included distal to proximal determinants. We determined a ranking of departments by annual change of stunting and of different predictors. To account for variation over time and across departments, we used an ecological hierarchical approach based on a multilevel mixed-effects regression model, considering stunting as the outcome. Our unit of analysis was one department-year. Results: Stunting followed a decreasing trend in all departments, with differing slopes. The reduction pace was higher from 2007–2008 onwards. The departments with the highest annual stunting reduction were Cusco (−2.31%), Amazonas (−1.57%), Puno (−1.54%), Huanuco (−1.52%), and Ancash (−1.44). Those with the lowest reduction were Ica (−0.67%), Ucayali (−0.64%), Tumbes (−0.45%), Lima (−0.37%), and Tacna (−0.31%). Amazon and Andean departments, with the highest baseline poverty rates and concentrating the highest rural populations, showed the highest stunting reduction. In the multilevel analysis, when accounting for confounding, social determinants seemed to be the most important factors influencing annual stunting reduction, with significant variation between departments. Conclusions: Stunting reduction may be explained by the adoption of anti-poverty policies and sustained implementation of equitable crosscutting interventions, with focus on poorest areas. Inclusion of quality indicators for reproductive, maternal, neonatal and child health interventions may enable further analyses to show the influence of these factors. After a long stagnation period, Peru reduced dramatically its national and departmental stunting prevalence, thanks to a combination of social determinants and crosscutting factors. This experience offers useful lessons to other countries trying to improve their children’snutrition.","author":[{"dropping-particle":"","family":"Huicho","given":"Luis","non-dropping-particle":"","parse-names":false,"suffix":""},{"dropping-particle":"","family":"Huayanay-Espinoza","given":"Carlos A.","non-dropping-particle":"","parse-names":false,"suffix":""},{"dropping-particle":"","family":"Herrera-Perez","given":"Eder","non-dropping-particle":"","parse-names":false,"suffix":""},{"dropping-particle":"","family":"Segura","given":"Eddy R.","non-dropping-particle":"","parse-names":false,"suffix":""},{"dropping-particle":"","family":"Niño de Guzman","given":"Jessica","non-dropping-particle":"","parse-names":false,"suffix":""},{"dropping-particle":"","family":"Rivera-Ch","given":"María","non-dropping-particle":"","parse-names":false,"suffix":""},{"dropping-particle":"","family":"Barros","given":"Aluisio J.D.","non-dropping-particle":"","parse-names":false,"suffix":""}],"container-title":"BMC Pediatrics","id":"ITEM-2","issue":"1","issued":{"date-parts":[["2017","12","19"]]},"note":"Very important; analysis by department; shows that social interventions are more important than the nutrition specific interventions\n\nAviva abstracted","page":"29","title":"Factors behind the success story of under-five stunting in Peru: a district ecological multilevel analysis","type":"article-journal","volume":"17"},"uris":["http://www.mendeley.com/documents/?uuid=59a33479-30e0-4d79-b3fe-4efa481a4cd4"]},{"id":"ITEM-3","itemData":{"author":[{"dropping-particle":"","family":"Marini, Alessandra, Arias","given":"O","non-dropping-particle":"","parse-names":false,"suffix":""}],"container-title":"The World Bank","id":"ITEM-3","issued":{"date-parts":[["2016"]]},"title":"The three factors to halving childhood stunting in Peru over just a decade | Investing in Health","type":"webpage"},"uris":["http://www.mendeley.com/documents/?uuid=9ca45adf-2cb4-46ab-b8de-c8612276e8b6"]}],"mendeley":{"formattedCitation":"[13–15]","plainTextFormattedCitation":"[13–15]","previouslyFormattedCitation":"[13–15]"},"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[13–15]</w:t>
      </w:r>
      <w:r w:rsidRPr="00C14D61">
        <w:rPr>
          <w:rFonts w:ascii="Helvetica" w:hAnsi="Helvetica" w:cs="Helvetica"/>
          <w:sz w:val="22"/>
          <w:szCs w:val="22"/>
        </w:rPr>
        <w:fldChar w:fldCharType="end"/>
      </w:r>
      <w:r w:rsidRPr="00C14D61">
        <w:rPr>
          <w:rFonts w:ascii="Helvetica" w:hAnsi="Helvetica" w:cs="Helvetica"/>
          <w:sz w:val="22"/>
          <w:szCs w:val="22"/>
        </w:rPr>
        <w:t xml:space="preserve">, 2 had a positive association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ISBN":"978-1-909403-69-7","author":[{"dropping-particle":"","family":"Sanchez","given":"Alan","non-dropping-particle":"","parse-names":false,"suffix":""},{"dropping-particle":"","family":"Melendez","given":"Guido","non-dropping-particle":"","parse-names":false,"suffix":""},{"dropping-particle":"","family":"Behrman","given":"Jere","non-dropping-particle":"","parse-names":false,"suffix":""}],"id":"ITEM-1","issued":{"date-parts":[["2016"]]},"publisher-place":"Oxford, UK","title":"The Impact of the Juntos Conditional Cash Transfer Programme in Peru on Nutritional and Cognitive Outcomes: Does the Age of Exposure Matter?","type":"report"},"uris":["http://www.mendeley.com/documents/?uuid=f891b8c6-f22d-445d-abe7-66cdaff7cc95"]},{"id":"ITEM-2","itemData":{"PMID":"20123041324","abstract":"The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Studies","id":"ITEM-2","issued":{"date-parts":[["2011"]]},"note":"Aviva","publisher":"Institute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[6,16]","plainTextFormattedCitation":"[6,16]","previouslyFormattedCitation":"[6,16]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[6,16]</w:t>
      </w:r>
      <w:r w:rsidRPr="00C14D61">
        <w:rPr>
          <w:rFonts w:ascii="Helvetica" w:hAnsi="Helvetica" w:cs="Helvetica"/>
          <w:sz w:val="22"/>
          <w:szCs w:val="22"/>
        </w:rPr>
        <w:fldChar w:fldCharType="end"/>
      </w:r>
      <w:r w:rsidRPr="00C14D61">
        <w:rPr>
          <w:rFonts w:ascii="Helvetica" w:hAnsi="Helvetica" w:cs="Helvetica"/>
          <w:sz w:val="22"/>
          <w:szCs w:val="22"/>
        </w:rPr>
        <w:t xml:space="preserve">, and 1 showed reduced early rates of stunting, but had no overall impact at older ages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 xml:space="preserve">ADDIN CSL_CITATION {"citationItems":[{"id":"ITEM-1","itemData":{"abstract":"Diciembre 2011 Resumen Una extensa literatura sugiere que inversiones en etapas tempranas del ciclo de vida tienen implicancias de largo plazo sobre el capital humano acumulado, lo que a su vez tiene efectos sobre el rendimiento de los individuos en el mercado laboral. En este trabajo se explora el impacto del programa de transferencias condicionadas Juntos sobre el estado nutricional de niños menores de 5 años. Con dicho fin, se aplican dos metodologías: (a) emparejamiento de hogares en base a características observables y doble-diferencia con emparejamiento; y, (b) estimaciones con efectos fijos distritales y maternos. Los resultados hallados sugieren que el programa habría reducido la incidencia de desnutrición crónica extrema. Asimismo, condicionado a estar afiliado al programa, se detecta efectos positivos según el tiempo de exposición al programa para aquellos niños nacidos en hogares con madres relativamente bien educadas. Clasificación JEL: H43, I12, I38, O15 Palabras clave: Evaluación de Impacto, Salud Infantil, Perú </w:instrText>
      </w:r>
      <w:r w:rsidR="000C7ADC" w:rsidRPr="00C14D61">
        <w:rPr>
          <w:rFonts w:ascii="Helvetica" w:hAnsi="Helvetica" w:cs="Helvetica"/>
          <w:sz w:val="22"/>
          <w:szCs w:val="22"/>
        </w:rPr>
        <w:instrText> Agradecemos a Marco Pariguana por su excelente labor como asistente de investigación. Asimismo, agradecemos a Nikita Céspedes, Marcos Agurto, César Calvo y a los participantes del Encuentro de Economistas 2011 (Banco Central de Reserva del Perú) por sus valiosos comentarios a versiones previas de este documento. Las opiniones aquí expresadas no reflejan necesariamente la posición del Banco Central de Reserva del Perú. Todo error subsistente es de responsabilidad exclusiva de los autores.","author":[{"dropping-particle":"","family":"Sánchez","given":"Alan","non-dropping-particle":"","parse-names":false,"suffix":""},{"dropping-particle":"","family":"Jaramillo","given":"Miguel","non-dropping-particle":"","parse-names":false,"suffix":""}],"container-title":"Working paper series","id":"ITEM-1","issued":{"date-parts":[["2012"]]},"title":"Impacto del programa Juntos sobre nutrición temprana","type":"article-journal"},"uris":["http://www.mendeley.com/documents/?uuid=2e481142-f759-4c74-a24a-b7bcb977f856"]}],"mendeley":{"formattedCitation":"[17]","plainTextFormattedCitation":"[17]","previouslyFormattedCitation":"[17]"},"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[17]</w:t>
      </w:r>
      <w:r w:rsidRPr="00C14D61">
        <w:rPr>
          <w:rFonts w:ascii="Helvetica" w:hAnsi="Helvetica" w:cs="Helvetica"/>
          <w:sz w:val="22"/>
          <w:szCs w:val="22"/>
        </w:rPr>
        <w:fldChar w:fldCharType="end"/>
      </w:r>
      <w:r w:rsidRPr="00C14D61">
        <w:rPr>
          <w:rFonts w:ascii="Helvetica" w:hAnsi="Helvetica" w:cs="Helvetica"/>
          <w:sz w:val="22"/>
          <w:szCs w:val="22"/>
        </w:rPr>
        <w:t xml:space="preserve">. Many researchers suggest that more time is needed to see the positive impact of JUNTOS on stunting. Another social welfare program was CRECER, a poverty reduction strategy, that targeted the poorest communities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[10]</w:t>
      </w:r>
      <w:r w:rsidRPr="00C14D61">
        <w:rPr>
          <w:rFonts w:ascii="Helvetica" w:hAnsi="Helvetica" w:cs="Helvetica"/>
          <w:sz w:val="22"/>
          <w:szCs w:val="22"/>
        </w:rPr>
        <w:fldChar w:fldCharType="end"/>
      </w:r>
      <w:r w:rsidRPr="00C14D61">
        <w:rPr>
          <w:rFonts w:ascii="Helvetica" w:hAnsi="Helvetica" w:cs="Helvetica"/>
          <w:sz w:val="22"/>
          <w:szCs w:val="22"/>
        </w:rPr>
        <w:t xml:space="preserve">. The greatest reductions in stunting were seen in districts that were prioritized by the CRECER program districts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{"citationItems":[{"id":"ITEM-1","itemData":{"PMID":"28509895","abstract":"OBJECTIVE: Peru has implemented various strategies seeking to improve nutritional indicators in children under five years old. However, high prevalence of malnutrition in some regions still remains. The aim of this study was to assess changes in regional prevalence and to determine the presence of district conglomerates with a high prevalence of chronic childhood malnutrition (CCM) in 2010 and 2016. METHODS: A comparative descriptive analysis by regions and a district-level spatial analysis were conducted employing indicators reported by the Nutritional Status Information System. RESULTS: 23.9% (561.090/2.343.806) children under five years evaluated in Peru during 2010 and 18.0% (394.049/2.193.268) evaluated during 2016 were chronic malnutrition (reduction of 5.9 percentage points). We identified a decline of 7.6 percent points in rural areas and the persistence of prevalence above 30% in only one region (Huancavelica). The spatial analysis identified clusters of districts with high prevalence in 20% (379/1834) of Peruvian districts in 2010, and 17.2% (316/1834) of those in 2016, which are mainly spread across the sierra and jungle regions. . CONCLUSIONS: Peru has made significant progress in reducing stunting in children. Nevertheless, it still represents a health problem due to high prevalence in the sierra region, as well as expansion to jungle districts in 2016. Copyright Licencia Creative Commons Atribucion-NoComercial-SinDerivadas 3.0 Unported Licencia Creative Commons","author":[{"dropping-particle":"","family":"Hernandez-Vasquez","given":"A","non-dropping-particle":"","parse-names":false,"suffix":""},{"dropping-particle":"","family":"Tapia-Lopez","given":"E","non-dropping-particle":"","parse-names":false,"suffix":""}],"container-title":"Revista Espanola de Salud Publica","id":"ITEM-1","issued":{"date-parts":[["2017"]]},"page":"19","title":"[Chronic Malnutrition among Children under Five in Peru: A Spatial Analysis of Nutritional Data, 2010-2016]","type":"article-journal"},"uris":["http://www.mendeley.com/documents/?uuid=38df480f-b649-4f73-9fc5-1f4cae9b3df2"]},{"id":"ITEM-2","itemData":{"DOI":"10.1186/s12889-016-3405-2","abstract":"Background: Peru has impressively reduced its neonatal mortality rate (NMR). We aimed, for the period 2000–2013, to: (a) describe national and district NMR variations over time; (b) assess NMR trends by wealth quintile and place of residence; (c) describe evolution of mortality causes; (d) assess completeness of registered mortality; (e) assess coverage and equity of NMR-related interventions; and (f) explore underlying driving factors. Methods: We compared national NMR time trends from different sources. To describe NMR trends by wealth quintiles, place of residence and districts, we pooled data on births and deaths by calendar year for neonates born to women interviewed in multiple surveys. We disaggregated coverage of NMR-related interventions by wealth quintiles and place of residence. To identify success factors, we ran regression analyses and combined desk reviews with qualitative interviews and group discussions. Results: NMR fell by 51 % from 2000 to 2013, second only to Brazil in Latin America. Reduction was higher in rural and poorest segments (52 and 58 %). District NMR change varied by source. Regarding cause-specific NMRs, prematurity decreased from 7.0 to 3.2 per 1,000 live births, intra-partum related events from 2.9 to 1.2, congenital abnormalities from 2.4 to 1.8, sepsis from 1.9 to 0.8, pneumonia from 0.9 to 0.4, and other conditions from 1.2 to 0.7. Under-registration of neonatal deaths decreased recently, more in districts with higher development index and lower rural population. Coverage of family planning, antenatal care and skilled birth attendance increased more in rural areas and in the poorest quintile. Regressions did not show consistent associations between mortality and predictors. During the study period social determinants improved substantially, and dramatic out-of-health-sector and health-sector changes occurred. Rural areas and the poorest quintile experienced greater NMR reduction. This progress was driven, within a context of economic growth and poverty reduction, by a combination of strong societal advocacy and political will, which translated into pro-poor implementation of evidence-based interventions with a rights-based approach. Conclusions: Although progress in Peru for reducing NMR has been remarkable, future challenges include closing remaining gaps for urban and rural populations and improving newborn health with qualified staff and intermediate-and intensive-level health facilities.","author":[{"dropping-particle":"","family":"Huicho","given":"Luis","non-dropping-particle":"","parse-names":false,"suffix":""},{"dropping-particle":"","family":"Huayanay-Espinoza","given":"Carlos A","non-dropping-particle":"","parse-names":false,"suffix":""},{"dropping-particle":"","family":"Herrera-Perez","given":"Eder","non-dropping-particle":"","parse-names":false,"suffix":""},{"dropping-particle":"","family":"Niño De Guzman","given":"Jessica","non-dropping-particle":"","parse-names":false,"suffix":""},{"dropping-particle":"","family":"Rivera-Ch","given":"Maria","non-dropping-particle":"","parse-names":false,"suffix":""},{"dropping-particle":"","family":"Restrepo-Méndez","given":"Maria Clara","non-dropping-particle":"","parse-names":false,"suffix":""},{"dropping-particle":"","family":"Barros","given":"Aluisio J D","non-dropping-particle":"","parse-names":false,"suffix":""}],"container-title":"BMC Public Health","id":"ITEM-2","issue":"2","issued":{"date-parts":[["2016"]]},"title":"Examining national and district-level trends in neonatal health in Peru through an equity lens: a success story driven by political will and societal advocacy","type":"article-journal","volume":"16"},"uris":["http://www.mendeley.com/documents/?uuid=6fd4d32c-9390-41fd-9af3-16d54956c73a"]},{"id":"ITEM-3","itemData":{"author":[{"dropping-particle":"","family":"Marini","given":"Alessandra","non-dropping-particle":"","parse-names":false,"suffix":""},{"dropping-particle":"","family":"Rokx","given":"Claudia","non-dropping-particle":"","parse-names":false,"suffix":""},{"dropping-particle":"","family":"Gallagher","given":"P","non-dropping-particle":"","parse-names":false,"suffix":""}],"id":"ITEM-3","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[10,18,19]","plainTextFormattedCitation":"[10,18,19]","previouslyFormattedCitation":"[10,18,19]"},"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[10,18,19]</w:t>
      </w:r>
      <w:r w:rsidRPr="00C14D61">
        <w:rPr>
          <w:rFonts w:ascii="Helvetica" w:hAnsi="Helvetica" w:cs="Helvetica"/>
          <w:sz w:val="22"/>
          <w:szCs w:val="22"/>
        </w:rPr>
        <w:fldChar w:fldCharType="end"/>
      </w:r>
      <w:r w:rsidRPr="00C14D61">
        <w:rPr>
          <w:rFonts w:ascii="Helvetica" w:hAnsi="Helvetica" w:cs="Helvetica"/>
          <w:sz w:val="22"/>
          <w:szCs w:val="22"/>
        </w:rPr>
        <w:t xml:space="preserve">.  Despite this, other researchers think that social welfare programs were ineffective and did not contribute to the reduction of stunting in Peru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{"citationItems":[{"id":"ITEM-1","itemData":{"author":[{"dropping-particle":"","family":"Yamada Fukusaki","given":"Gustavo","non-dropping-particle":"","parse-names":false,"suffix":""},{"dropping-particle":"","family":"Castro","given":"Juan Francisco","non-dropping-particle":"","parse-names":false,"suffix":""},{"dropping-particle":"","family":"Yamada Fukusaki","given":"Gustavo","non-dropping-particle":"","parse-names":false,"suffix":""},{"dropping-particle":"","family":"Castro","given":"Juan Francisco","non-dropping-particle":"","parse-names":false,"suffix":""}],"container-title":"Universidad del Pacífico","id":"ITEM-1","issued":{"date-parts":[["2012"]]},"publisher":"Universidad del Pacífico. Centro de Investigación","title":"Poverty, inequality, and social policies in Peru : as poor as it gets","type":"article-journal"},"uris":["http://www.mendeley.com/documents/?uuid=b3f3dd6b-7b6c-4f1f-98cb-783488e6ebb1","http://www.mendeley.com/documents/?uuid=67be58e0-0dc0-4cb7-827f-fdaa3173b224","http://www.mendeley.com/documents/?uuid=ec5c7405-cff5-4c67-b731-f47262ac4496"]}],"mendeley":{"formattedCitation":"[20]","plainTextFormattedCitation":"[20]","previouslyFormattedCitation":"[20]"},"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[20]</w:t>
      </w:r>
      <w:r w:rsidRPr="00C14D61">
        <w:rPr>
          <w:rFonts w:ascii="Helvetica" w:hAnsi="Helvetica" w:cs="Helvetica"/>
          <w:sz w:val="22"/>
          <w:szCs w:val="22"/>
        </w:rPr>
        <w:fldChar w:fldCharType="end"/>
      </w:r>
      <w:r w:rsidRPr="00C14D61">
        <w:rPr>
          <w:rFonts w:ascii="Helvetica" w:hAnsi="Helvetica" w:cs="Helvetica"/>
          <w:sz w:val="22"/>
          <w:szCs w:val="22"/>
        </w:rPr>
        <w:t xml:space="preserve">. </w:t>
      </w:r>
    </w:p>
    <w:p w14:paraId="088B796F" w14:textId="77777777" w:rsidR="001070CC" w:rsidRPr="00C14D61" w:rsidRDefault="001070CC" w:rsidP="000C7ADC">
      <w:pPr>
        <w:rPr>
          <w:rFonts w:ascii="Helvetica" w:hAnsi="Helvetica" w:cs="Helvetica"/>
          <w:color w:val="000000" w:themeColor="text1"/>
          <w:sz w:val="22"/>
          <w:szCs w:val="22"/>
        </w:rPr>
      </w:pPr>
    </w:p>
    <w:p w14:paraId="69BE53A4" w14:textId="7E1F7A5F"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Differences in stunting prevalence exist between urban and rural areas in Peru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9789275129289","author":[{"dropping-particle":"","family":"Lutter","given":"CK","non-dropping-particle":"","parse-names":false,"suffix":""},{"dropping-particle":"","family":"Chaparro","given":"CM","non-dropping-particle":"","parse-names":false,"suffix":""}],"id":"ITEM-1","issued":{"date-parts":[["2008"]]},"number-of-pages":"234","title":"Malnutrition in infants and young children in Latin America and the Caribbean : Achieving the and Millennium Development Goals","type":"book"},"uris":["http://www.mendeley.com/documents/?uuid=c9f6ccdf-8271-403f-b31e-653acfebc8fb"]},{"id":"ITEM-2","itemData":{"abstract":"Objective. To analyze the effects of socioeconomic, regional, and ethnic conditions on chronic malnutrition in four Andean countries of South America: Bolivia, Colombia, Ecuador, and Peru. Methods. The study was based on Demographic and Health Surveys (DHS) for Colombia (1995), Peru (1996), and Bolivia (1997), and on a Living Standard Measurement Survey for Ecuador (1998). We developed an index of household socioeconomic status using categorical principal components analysis. We broke down the prevalence of stunting by socioeconomic status (SES), ethnicity, place of residence (large cities, small cities, towns, and countryside), and region (highland region versus other areas of the country). We applied smoothed regression curves and linear functions to analyze SES effects on stunting, with specific models for Bolivia, Ecuador, and Peru. Results. Bolivia, Ecuador, and Peru have similar characteristics, with high stunting prevalences overall; higher stunting prevalences in their highland areas, particularly among indigenous populations; and strong socioeconomic disparities. Colombia, in contrast, has a lower stunting prevalence and smaller regional disparities. The socioeconomic gradient of stunting is strong in all four countries, with prevalence rates in the poorest deciles at least three times as high as those in the top decile. Discussion. The sharp contrast between the conditions found in Bolivia, Ecuador, and Peru and those in Colombia may be the result of specific ethnic factors affecting indigenous groups; a particular diet profile in the highland areas, with low protein and micronutrient intake; and differences in the long-term economic and social development paths that the countries have taken. Along with the strong socioeconomic gradient in all the countries, the weight of ethnic and regional factors suggests the need to reduce inequality as well as to comprehensively improve education and housing, better target health and nutrition programs, and implement participatory programs integrated into indigenous cultures.","author":[{"dropping-particle":"","family":"Larrea","given":"C","non-dropping-particle":"","parse-names":false,"suffix":""},{"dropping-particle":"","family":"Freire","given":"W","non-dropping-particle":"","parse-names":false,"suffix":""}],"container-title":"Revista Panamericana de Salud Publica/Pan American Journal of Public Health","id":"ITEM-2","issue":"5-6","issued":{"date-parts":[["2002"]]},"page":"356-364","title":"Social inequality and child malnutrition in four Andean countries","type":"article-journal","volume":"11"},"uris":["http://www.mendeley.com/documents/?uuid=0882a3ff-a3fa-4ca3-be7d-38dce3bb3d6b"]},{"id":"ITEM-3","itemData":{"PMID":"373967705","abstract":"Indigenous children and adolescents of the Peruvian Amazon live in precarious conditions that could increase the risk of malnutrition. A particular problem in the Corrientes river communities is the high exposure to lead among children and adolescents. This study aimed to determine the nutritional status of children and adolescents in indigenous communities in the Corrientes river basin and examine risk factors for anemia, stunting, underweight, and wasting. This was a cross-sectional assessment in children and adolescents aged 0-17 years from six communities (n=330). Data collection included measurement of hemoglobin levels, anthropometrics, blood lead levels (BLLs); a parental questionnaire including demographic and dwelling information; parents' occupation; and the child's duration of breastfeeding and food consumption. Analysis included univariate, bivariate, and logistic regression. Overall, anemia prevalence was 51.0%, stunting (proxy for chronic malnutrition) 50.0%, and underweight 20.0%. Bivariate analysis showed that anemia and underweight prevalence was higher in the 0-4 years group (p&lt;0.05). No association was found between anemia, stunting, or underweight with gender, community exposure to oil activity, or consumption of river water. Stunting prevalence was higher in the group whose BLLs were &gt;5 mug/dL (p&lt;0.05). In the logistic regression analysis, no variable was associated with anemia or underweight. The group 5-11 years and &gt;12 years had 1.9 and 3.1 times higher risk of stunting than the group under five years, respectively. Children and adolescents with BLLs &gt;5 mug/dL had twice the risk of stunting compared to those with lower BLLs. Half of the study population was found with anemia and stunting. Anemia was more prevalent in the 0- to 5-year age group and stunting in the 12- to 17-year group. The association between stunting and BLLs might be attributed to a direct effect of lead on human growth. Also, poor nutrition and other socioeconomic-related factors may contribute to the simultaneous existence of stunting and elevated BLLs.","author":[{"dropping-particle":"","family":"Anticona","given":"C","non-dropping-particle":"","parse-names":false,"suffix":""},{"dropping-particle":"","family":"San Sebastian","given":"M","non-dropping-particle":"","parse-names":false,"suffix":""}],"container-title":"Global health action","id":"ITEM-3","issued":{"date-parts":[["2014"]]},"page":"22888","title":"Anemia and malnutrition in indigenous children and adolescents of the Peruvian Amazon in a context of lead exposure: a cross-sectional study","type":"article-journal","volume":"7"},"uris":["http://www.mendeley.com/documents/?uuid=e7b6f9fb-8230-451e-83e0-c03cefa0ea44"]},{"id":"ITEM-4","itemData":{"PMID":"20163318260","abstract":"The large literature on health differentials between rural and urban areas relies almost exclusively on cross-sectional data. Bringing together the demographic literature on area-level health inequalities with the bio-physiological literature on children's catch-up growth over time, this paper uses panel data to investigate the stability and origins of rural-urban health differentials. Using data from the Young Lives longitudinal study of child poverty, I present evidence of large level differences but similar trends in rural versus urban children's height for age in four developing countries. Further, observable characteristics of children's environment such as their household wealth, mother's education, and epidemiological environment explain these differentials in most contexts. In Peru, where they do not, children's birthweight and mothers' health and other characteristics suggest that initial endowments - even before birth - may play an important role in explaining \"residual\" rural-urban child height inequalities. These latter results imply that prioritizing maternal nutrition and health is essential - particularly where rural-urban height inequalities are large. Interventions to reduce area-level health inequalities should begin even before birth.","author":[{"dropping-particle":"","family":"Nolan","given":"L B","non-dropping-particle":"","parse-names":false,"suffix":""}],"container-title":"Population Research and Policy Review","id":"ITEM-4","issue":"5","issued":{"date-parts":[["2016"]]},"page":"599-629","title":"Rural-urban child height for age trajectories and their heterogeneous determinants in four developing countries","type":"article-journal","volume":"35"},"uris":["http://www.mendeley.com/documents/?uuid=118ecc32-93f5-4a00-8e36-659590a4bf7d"]},{"id":"ITEM-5","itemData":{"abstract":"Objetivo. Analizar la situación de la diversidad alimentaria (DA) en niños de 6-23 meses en Perú, ysu relación con el crecimiento infantil y factores sociodemográficos asociados. Material ymétodos. La presente tesis constituye un análisis secundario del Monitoreo Nacional deIndicadores Nutricionales (MONIN) 2008-2010. Se construyeron puntajes de DiversidadAlimentaria (DA) según lo propuesto por la Organización Mundial de la Salud. Se describió lasituación de la DA según características de la madre, el niño y los hogares. Asimismo, se empleó unmodelo de regresión logística para estimar la asociación entre el retraso de crecimiento y la DA,ajustado por potenciales variables de confusión. (...) Conclusiones. La alimentación del niño de 6-23 meses en Perú esmonótona, con un bajo consumo generalizado de alimentos de origen animal. Mejorar la ingesta demicronutrientes y las prácticas de alimentación complementaria, especialmente a través de ladiversificación de la dieta son aspectos cruciales para prevenir el retraso de crecimiento. Debendesarrollarse estudios para definir cuestiones metodológicas, y examinar la relación entre DA yaspectos como seguridad alimentaria, adecuación nutricional y exceso de peso, que permitan su usoen diferentes condiciones y contextos. Objective. To analyze the dietary diversity (DD) situation in Peruvian children aged 6-23months, and its relationship to child growth and associated socio-demographic factors.Material and methods. This thesis is a secondary analysis of the National Surveillance ofNutritional Indicators (MONIN) 2008-2010. Dietary diversity (DD) score was constructedaccording to suggested by the World Health Organization. The status of DD was described bycharacteristics of the mother, child and households. Also, it was used a logistic regressionmodel to estimate the association between stunting and DD, model was adjusted by potentialconfounding variables. (...) Conclusions. Diet of Peruvian children 6-23 months is monotonous, generally poorin animal source foods. Improve micronutrient intake and complementary feeding practices,especially through diet diversification are crucial to prevent stunting. Studies to definemethodological aspects and examine the relationship between DD and issues such as foodsecurity, nutritional adequacy and excess weight, appropriate to be used in different contexts,should be developed.","author":[{"dropping-particle":"","family":"Aramburú La Torre","given":"Adolfo Martín","non-dropping-particle":"","parse-names":false,"suffix":""}],"id":"ITEM-5","issued":{"date-parts":[["2014"]]},"language":"pt","note":"Aviva - Spanish\nThesis","page":"viii,62-viii,62","title":"Diversidad alimentaria y su asociación con el retraso del crecimiento en niños de 6-23 meses. Perú, 2008-2010","type":"article-journal"},"uris":["http://www.mendeley.com/documents/?uuid=17bd5382-74a0-4e56-ae18-1adda8b0d516"]}],"mendeley":{"formattedCitation":"[21–25]","plainTextFormattedCitation":"[21–25]","previouslyFormattedCitation":"[21–25]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[21–25]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Data suggests that the decline in stunting in rural areas was not as steep and started later than it did in urban areas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{"citationItems":[{"id":"ITEM-1","itemData":{"DOI":"10.1371/journal.pone.0092550","abstract":"Background: Rapid urbanization, increase in food availability, and changes in diet and lifestyle patterns have been changing nutritional profiles in developing nations. We aimed to describe nutritional changes in children under 5 years and women of reproductive age in Peru, during a 15-year period of rapid economic development and social policy enhancement.","author":[{"dropping-particle":"","family":"Loret De Mola","given":"Christian","non-dropping-particle":"","parse-names":false,"suffix":""},{"dropping-particle":"","family":"Quispe","given":"Renato","non-dropping-particle":"","parse-names":false,"suffix":""},{"dropping-particle":"","family":"Valle","given":"Giancarlo A","non-dropping-particle":"","parse-names":false,"suffix":""},{"dropping-particle":"","family":"Poterico","given":"Julio A","non-dropping-particle":"","parse-names":false,"suffix":""}],"container-title":"PLoS ONE","id":"ITEM-1","issue":"3","issued":{"date-parts":[["2014"]]},"page":"e92550","title":"Nutritional Transition in Children under Five Years and Women of Reproductive Age: A 15-Years Trend Analysis in Peru","type":"article-journal","volume":"9"},"uris":["http://www.mendeley.com/documents/?uuid=1a1d2dc3-5f85-4a8d-a677-16513009967e"]},{"id":"ITEM-2","itemData":{"DOI":"978-92-806-4686-3","ISBN":"9789280646863","abstract":"\"UNICEF's 2009 report Tracking Progress on Child and Maternal Nutrition drew attention to the impact of high levels of undernutrition on child survival, growth and development and their social and economic toll on nations. It described the state of nutrition programmes worldwide and argued for improving and expanding delivery of key nutrition interventions during the critical 1,000-day window covering a woman's pregnancy and the first two years of her child's life, when rapid physical and mental development occurs. This report builds on those earlier findings by highlighting new developments and demonstrating that efforts to scale up nutrition programmes are working, benefiting children in many countries.\"--Page 1.","author":[{"dropping-particle":"","family":"UNICEF","given":"","non-dropping-particle":"","parse-names":false,"suffix":""}],"container-title":"Division of Communication, UNICEF","id":"ITEM-2","issued":{"date-parts":[["2013"]]},"number-of-pages":"1-132","title":"Improving child nutrition: The achievable imperative for global progress.","type":"book"},"uris":["http://www.mendeley.com/documents/?uuid=4f06732b-c35d-4fcb-8a5e-0fe9e8dd6bb7"]}],"mendeley":{"formattedCitation":"[26,27]","plainTextFormattedCitation":"[26,27]","previouslyFormattedCitation":"[26,27]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[26,27]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Comparably, smaller children live at higher altitudes in these rural areas (2500 – 3500 m)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{"citationItems":[{"id":"ITEM-1","itemData":{"PMID":"358781227","abstract":"The growth of children living in Nunoa, a Peruvian high-altitude community, was studied over a 35-year period using data collected in 1964 and 1999. There had been evidence of a secular trend in growth in the mid-1980s, but this was before a period of sociopolitical upheaval lasting until the late 1990s partly linked to the activities of the Shining Path group and the Peruvian government's response. Anthropometric data for 576 children examined in 1964-1966 were compared with data from 361 children examined in 1999. Data were converted to Z Scores using NCHS/WHO reference standards. Compared with the 1964 cohort, boys in 1999 had marginally greater height Z Scores, but among females, the trend was reversed. Stunting prevalence had decreased from 1964 levels, but still approached 60% in both sexes, among the highest rates recorded for a modern world population. The prevalence of low weight for height was less than expected, possibly because of the compensatory effect of enlarged chest diameter. This anatomical feature may represent the effect of chronic hypoxic stress, causing growth of the chest cavity at the expense of growth in height. In view of modest improvements during the late 1980s in this population, we believe that the relatively poor growth status of children a decade later may result from food disruption associated with later political instability. Compared with children in a nearby community, which benefits from the socioeconomic infrastructure associated with a large copper mine, Nunoa children continue to fare relatively poorly. © 2009 Wiley-Liss, Inc.","author":[{"dropping-particle":"","family":"Pawson","given":"I G","non-dropping-particle":"","parse-names":false,"suffix":""},{"dropping-particle":"","family":"Huicho","given":"L","non-dropping-particle":"","parse-names":false,"suffix":""}],"container-title":"American Journal of Human Biology","id":"ITEM-1","issue":"3","issued":{"date-parts":[["2010"]]},"page":"367-374","title":"Persistence of growth stunting in a Peruvian high altitude community, 1964-1999","type":"article-journal","volume":"22"},"uris":["http://www.mendeley.com/documents/?uuid=efe64786-77bf-4813-acb8-bf4ad4bbb595"]},{"id":"ITEM-2","itemData":{"PMID":"23044871","abstract":"Physical growth of Amerindian children living in two Aymara and three Quechua peasant communities in the Andean highlands of southern Peru (altitude 3,810-3,840 m) was studied, taking into account differences in the microclimate, agronomic situation, and sociodemographic variables. Anthropometric measurements were taken in 395 children aged under 14 years of age in a sample of 151 families in these communities, who were surveyed for sociodemographic variables as well. Data on the land system were available for 77 families. In comparison with reference populations from the United States (NCHS) and The Netherlands, stature, weight, head circumference, and midupper arm circumference (but not weight for stature) in the sample children were reduced. Growth retardation increased after the age of 1 year. Stature and weight in the present sample were very similar compared with previously published data on growth of rural Aymara children living near Lake Titicaca in Bolivia. Head circumference, midupper arm circumference, and weight for stature were significantly larger in Aymara children compared with Quechua children. Land was significantly more fragmented in Aymara compared with Quechua families, but amount of land owned was not different. Perinatal and infant mortality was elevated in Aymara vs. Quechua communities. Most families in Aymara communities used protected drinking water. One Quechua community had a severe microclimate, grim economic outlook, and weak social cohesion. Children in this community showed significant reductions in weight and midupper arm circumference compared with their peers in the other communities. We conclude that (presumably nutritionally mediated) intervillage and Aymara-Quechua differences in childhood physical growth existed in this rural high-altitude population in Peru and were associated with microclimate and the village economy, sociodemographic factors, and differences in the land system.","author":[{"dropping-particle":"","family":"Meer","given":"K","non-dropping-particle":"De","parse-names":false,"suffix":""},{"dropping-particle":"","family":"Bergman","given":"R","non-dropping-particle":"","parse-names":false,"suffix":""},{"dropping-particle":"","family":"Kusner","given":"J S","non-dropping-particle":"","parse-names":false,"suffix":""},{"dropping-particle":"","family":"Voorhoeve","given":"H W A","non-dropping-particle":"","parse-names":false,"suffix":""}],"container-title":"American Journal of Physical Anthropology","id":"ITEM-2","issue":"1","issued":{"date-parts":[["1993"]]},"page":"59-75","title":"Differences in physical growth of Aymara and Quechua children living at high altitude in Peru","type":"article-journal","volume":"90"},"uris":["http://www.mendeley.com/documents/?uuid=44546af3-a879-4d0c-891e-1d2b4c149127"]},{"id":"ITEM-3","itemData":{"abstract":"Objective. Analyze malnutrition and anemia trends in Peruvian children under 5 years of age and their association with determinants in the 2000-2011 period. Methods. Nutritional indicators for children under 5 years of age from the 2011 Demographic and Family Health Survey (ENDES), and their evolution based on data from the 2000, 2005, and 2008 ENDES, were analyzed. Chronic malnutrition (CM) (height/age ≤ 2 SD), acute malnutrition (AM), (height/weight ≤ 2 SD), and anemia trends were estimated. Associations were found with factors such as sex, age, area of residence (urban or rural), region of residence, mother's education, wealth quintile, availability of public water system, sewer availability, altitude, presence of other children in household, birth order, presence of diarrhea in previous 15 days, and presence of cough in previous 15 days. Results. AM, CM, and anemia in Peruvian children under 5 years of age decreased from 2000-2011. This reduction was not uniform for the three conditions, with decreases of 1.1% to 0.4% recorded for AM, 31.6% to 19.6% for CM, and 50.4% to 30.7% for anemia. Although the factors analyzed were related to the prevalence of these three illnesses, calculation of the adjusted odds ratios showed significant differences for CM (mother's education, Sierra region, altitude greater than 2 500 m above sea level, presence of two or more children in household, and being the third or successive child) and anemia (child sex [higher in males], children under 2 years of age, Resto de costa region and Selva region, altitude greater than 2 500 m above sea level, availability of public water system, sewer availability, presence of two or more children in household, and presence of diarrhea within 15 days prior to the survey). For AM, differences were observed according to some factors but they were not significant in the adjusted model. Conclusions. In the 2000-2011 period, Peru achieved reduction of its CM, AM, and anemia rates. AM rates decreased to almost one-third, with overall figures remaining fairly low, and affecting to a greater extent highly localized areas and groups of the country. However, the current rates of chronic malnutrition and anemia continue to be very high, which represents a true challenge for public policy, as occurs in other countries of the region. In order to overcome this challenge it will be necessary to change the approach, no longer conceiving of child malnutrition exclusively as a nutritional problem and in…","author":[{"dropping-particle":"","family":"Sobrino","given":"M","non-dropping-particle":"","parse-names":false,"suffix":""},{"dropping-particle":"","family":"Gutiérrez","given":"C","non-dropping-particle":"","parse-names":false,"suffix":""},{"dropping-particle":"","family":"Cunha","given":"A J","non-dropping-particle":"","parse-names":false,"suffix":""},{"dropping-particle":"","family":"Dávila","given":"M","non-dropping-particle":"","parse-names":false,"suffix":""},{"dropping-particle":"","family":"Alarcón","given":"J","non-dropping-particle":"","parse-names":false,"suffix":""}],"container-title":"Revista Panamericana de Salud Publica/Pan American Journal of Public Health","id":"ITEM-3","issue":"2","issued":{"date-parts":[["2014"]]},"page":"104-112","title":"Child malnutrition in children under 5 years of age in Peru: Trends and determinants","title-short":"Desnutrición infantil en menores de cinco años en ","type":"article-journal","volume":"35"},"uris":["http://www.mendeley.com/documents/?uuid=52ba3784-88e4-4c06-8d25-c341deb2abb8"]}],"mendeley":{"formattedCitation":"[28–30]","plainTextFormattedCitation":"[28–30]","previouslyFormattedCitation":"[28–30]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[28–30]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Studies have found that after controlling for family and child characteristics, there was a significant non-linear relationship between altitude and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{"citationItems":[{"id":"ITEM-1","itemData":{"ISSN":"18139450","PMID":"14232432","abstract":"\"Growth at high altitude has been the object of many investigations after experimental studies on animals showed that hypoxia at high altitude slows growth. Many studies have also looked at the Andean populations and found different results. Even though a few studies find that individuals living at high altitudes are smaller than the ones living at low altitudes, a significant group of studies does not reveal such a clear relationship. This study focuses on Peru, a country characterized by a diverse territory, great altitude variations, and a population with a wide socioeconomic gradient. The analysis differs from previous studies in three ways. First, in an attempt to reconcile the main findings of the biological literature with the economic models of child health, it explores the relationship between altitude and child health within a multivariate framework. Second, it benefits from a large spectrum of altitude data and does not concentrate on one or two isolated villages. Third, it takes into account the cluster nature of the data and controls for correlation of variables in the same cluster through multilevel statistical modeling. After controlling for characteristics of the children, families, and communities, the data show a significant nonlinear relationship between altitude and child nutritional status. Peruvian children living at medium/high altitudes appear to be worse off than children living at extremely high altitudes, where the negative effect of hypoxia on growth could be compensated by other favorable health and environmental conditions. \"--World Bank web site.","author":[{"dropping-particle":"","family":"Gragnolati","given":"Michele","non-dropping-particle":"","parse-names":false,"suffix":""},{"dropping-particle":"","family":"Marini","given":"Alessandra","non-dropping-particle":"","parse-names":false,"suffix":""}],"container-title":"Policy research working paper 3823","id":"ITEM-1","issued":{"date-parts":[["2006"]]},"page":"1-21","title":"Nonlinear effects of altitude on child growth in Peru a multilevel analysis","type":"article-journal"},"uris":["http://www.mendeley.com/documents/?uuid=832a42d0-16d6-4084-b1f4-c7daaa705d5e"]}],"mendeley":{"formattedCitation":"[31]","plainTextFormattedCitation":"[31]","previouslyFormattedCitation":"[31]"},"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[31]</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459BA863" w14:textId="77777777" w:rsidR="001070CC" w:rsidRPr="00C14D61" w:rsidRDefault="001070CC" w:rsidP="000C7ADC">
      <w:pPr>
        <w:rPr>
          <w:rFonts w:ascii="Helvetica" w:hAnsi="Helvetica" w:cs="Helvetica"/>
          <w:sz w:val="22"/>
          <w:szCs w:val="22"/>
        </w:rPr>
      </w:pPr>
    </w:p>
    <w:p w14:paraId="7F97AC09" w14:textId="4C2F5025"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sz w:val="22"/>
          <w:szCs w:val="22"/>
        </w:rPr>
        <w:t xml:space="preserve">Data suggests that the reduction in stunting is because of strong political commitment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{"citationItems":[{"id":"ITEM-1","itemData":{"DOI":"10.2499/9780896295889_14","abstract":"PERUVIANS HAVE MUCH to celebrate in regards to the rapid progress the country has made in reducing malnutrition. In 2013, only 3.5 percent of children under five years of age in Peru were underweight. Even smaller proportions— 0.5 percent and 0.1 percent—were moderately or severely wasted. But the statistic that many nutritionists point to when lauding the country as a nutrition success is Peru’s rate of childhood stunting (Figure 14.1). In 2014, 14.6 percent of children under five years of age were stunted. While this rate is not as low as the country’s other nutrition indicators, it reflects a remarkable improvement. Less than a decade earlier, the prevalence was twice as high (29.5 percent).4 How was this rapid progress achieved—not only at a national level, but across all of Peru’s diverse regions, even poor rural ones including the Andean Highlands, and even amongst the poorest 20 percent of the population?","author":[{"dropping-particle":"","family":"Yosef","given":"S","non-dropping-particle":"","parse-names":false,"suffix":""},{"dropping-particle":"","family":"Goulden","given":"J","non-dropping-particle":"","parse-names":false,"suffix":""}],"chapter-number":"14","container-title":"Nourishing millions: Stories of Change in Nutrition","edition":"1","editor":[{"dropping-particle":"","family":"Gillespie","given":"S","non-dropping-particle":"","parse-names":false,"suffix":""},{"dropping-particle":"","family":"Hodge","given":"J","non-dropping-particle":"","parse-names":false,"suffix":""},{"dropping-particle":"","family":"Yosef","given":"S","non-dropping-particle":"","parse-names":false,"suffix":""},{"dropping-particle":"","family":"Pandya-Lorch","given":"R","non-dropping-particle":"","parse-names":false,"suffix":""}],"id":"ITEM-1","issued":{"date-parts":[["2016"]]},"note":"Aviva anstracted","page":"125-132","publisher":"International Food Policy Research Institute (IFPRI)","publisher-place":"Washington, D.C.","title":"Commitments and accountability: Peru’s unique nutrition journey","type":"chapter"},"uris":["http://www.mendeley.com/documents/?uuid=90992255-5f2e-4054-9c9a-3df5f84a4e0a"]},{"id":"ITEM-2","itemData":{"abstract":"A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James","non-dropping-particle":"","parse-names":false,"suffix":""},{"dropping-particle":"","family":"Balarajan","given":"Yarlini","non-dropping-particle":"","parse-names":false,"suffix":""}],"id":"ITEM-2","issued":{"date-parts":[["2013"]]},"note":"Aviva abstracted","publisher-place":"New York","title":"Adressing Malnutrition Multisectorally: What have we learned from recent international experience?","type":"report"},"uris":["http://www.mendeley.com/documents/?uuid=83d4e79f-85a9-4c17-a167-da4ccff04b58"]},{"id":"ITEM-3","itemData":{"author":[{"dropping-particle":"","family":"Marini","given":"Alessandra","non-dropping-particle":"","parse-names":false,"suffix":""},{"dropping-particle":"","family":"Rokx","given":"Claudia","non-dropping-particle":"","parse-names":false,"suffix":""},{"dropping-particle":"","family":"Gallagher","given":"P","non-dropping-particle":"","parse-names":false,"suffix":""}],"id":"ITEM-3","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Crisis","type":"book"},"uris":["http://www.mendeley.com/documents/?uuid=e0e15657-2af6-4182-a2bb-134f19b12740"]},{"id":"ITEM-4","itemData":{"PMID":"20123041324","abstract":"The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Studies","id":"ITEM-4","issued":{"date-parts":[["2011"]]},"note":"Aviva","publisher":"Institute of Development Studies, University of Sussex","publisher-place":"Brighton, United Kingdom","title":"Analysing success in the fight against malnutrition in Peru","type":"article"},"uris":["http://www.mendeley.com/documents/?uuid=6a05459a-8ef5-4a78-89d8-58d7d4271ab9"]},{"id":"ITEM-5","itemData":{"author":[{"dropping-particle":"","family":"Marini, Alessandra, Arias","given":"O","non-dropping-particle":"","parse-names":false,"suffix":""}],"container-title":"The World Bank","id":"ITEM-5","issued":{"date-parts":[["2016"]]},"title":"The three factors to halving childhood stunting in Peru over just a decade | Investing in Health","type":"webpage"},"uris":["http://www.mendeley.com/documents/?uuid=9ca45adf-2cb4-46ab-b8de-c8612276e8b6"]}],"mendeley":{"formattedCitation":"[6,10,15,32,33]","plainTextFormattedCitation":"[6,10,15,32,33]","previouslyFormattedCitation":"[6,10,15,32,33]"},"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[6,10,15,32,33]</w:t>
      </w:r>
      <w:r w:rsidRPr="00C14D61">
        <w:rPr>
          <w:rFonts w:ascii="Helvetica" w:hAnsi="Helvetica" w:cs="Helvetica"/>
          <w:sz w:val="22"/>
          <w:szCs w:val="22"/>
        </w:rPr>
        <w:fldChar w:fldCharType="end"/>
      </w:r>
      <w:r w:rsidRPr="00C14D61">
        <w:rPr>
          <w:rFonts w:ascii="Helvetica" w:hAnsi="Helvetica" w:cs="Helvetica"/>
          <w:sz w:val="22"/>
          <w:szCs w:val="22"/>
        </w:rPr>
        <w:t xml:space="preserve">. For example, the formation of the CMI, and the Poverty Reduction </w:t>
      </w:r>
      <w:r w:rsidRPr="00C14D61">
        <w:rPr>
          <w:rFonts w:ascii="Helvetica" w:hAnsi="Helvetica" w:cs="Helvetica"/>
          <w:color w:val="000000" w:themeColor="text1"/>
          <w:sz w:val="22"/>
          <w:szCs w:val="22"/>
        </w:rPr>
        <w:t xml:space="preserve">Roundtable put child malnutrition on the national political agenda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[10]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In addition, the health insurance program, SIS, increased the accessibility of health care for poor Peruvians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Crisis","type":"book"},"uris":["http://www.mendeley.com/documents/?uuid=e0e15657-2af6-4182-a2bb-134f19b12740"]},{"id":"ITEM-2","itemData":{"ISBN":"9780821384060","author":[{"dropping-particle":"","family":"World Bank","given":"","non-dropping-particle":"","parse-names":false,"suffix":""}],"id":"ITEM-2","issued":{"date-parts":[["2011"]]},"publisher":"The International Bank for Reconstruction and Development","publisher-place":"Washington, D.C.","title":"Peru: Country Program Evaluation for the world Bank Group, 2003-09","type":"book"},"uris":["http://www.mendeley.com/documents/?uuid=e3daf608-24d6-4b49-9612-30cfddf8ec76"]}],"mendeley":{"formattedCitation":"[7,10]","plainTextFormattedCitation":"[7,10]","previouslyFormattedCitation":"[7,10]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[7,10]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JUNTOS also increased the utilization of health services in impoverished Peruvians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{"citationItems":[{"id":"ITEM-1","itemData":{"ISBN":"02544415","abstract":"This study presents results from a quantitative impact evaluation of the Conditional Cash Transfer (CCT) program, Juntos, in Peru. Using instrumental variable techniques, it estimates the overall impact of Juntos five years after its initial rollout and explores the differential impacts among beneficiaries according to the length of time they spent in the program. In so doing, the analysis explores whether it takes time for the program to make significant and sizable impacts and whether some impacts change in magnitude the longer the beneficiaries spend in the program. The results seem to confirm both hypotheses: almost all indicators of interest are significantly higher among beneficiaries with longer treatment spells. However, in many cases these improvements are too small to be picked up in the analysis of overall effects, when beneficiaries are compared to non-beneficiaries. These findings suggest that while the program has a non negligible impact on welfare, there is room for improvement. [PUBLICATION ABSTRACT]","author":[{"dropping-particle":"","family":"Perova","given":"Elizaveta","non-dropping-particle":"","parse-names":false,"suffix":""},{"dropping-particle":"","family":"Vakis","given":"Renos","non-dropping-particle":"","parse-names":false,"suffix":""}],"container-title":"Economía","id":"ITEM-1","issue":"69","issued":{"date-parts":[["2012"]]},"note":"Aviva abstracted","page":"53-82","publisher-place":"Lima","title":"5 Years in Juntos: New Evidence on the Program's Short and Long-Term Impacts","type":"article-journal","volume":"35"},"uris":["http://www.mendeley.com/documents/?uuid=570d5857-1d54-4946-b57f-f4d7ab4d014b"]}],"mendeley":{"formattedCitation":"[34]","plainTextFormattedCitation":"[34]","previouslyFormattedCitation":"[34]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Public spending in rural areas increased the probability of poor  families accessing health care HAZ in children living in these areas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{"citationItems":[{"id":"ITEM-1","itemData":{"abstract":"The Policy Research Working Paper Series disseminates the findings of work in progress to encourage the exchange of ideas about development issues. An objective of the series is to get the findings out quickly, even if the presentations are less than fully polished.","author":[{"dropping-particle":"","family":"Gajate-Garrido","given":"Gissele","non-dropping-particle":"","parse-names":false,"suffix":""}],"container-title":"Policy Research Working Paper 6666","id":"ITEM-1","issue":"October","issued":{"date-parts":[["2013"]]},"note":"Aviva absytracted","title":"Excluding the Rural Population The Impact of Public Expenditure on Child Malnutrition in Peru","type":"article-journal"},"uris":["http://www.mendeley.com/documents/?uuid=126afc27-c93f-4c17-81b5-fcf7089a0a31"]},{"id":"ITEM-2","itemData":{"DOI":"10.1186/s12889-016-3405-2","abstract":"Background: Peru has impressively reduced its neonatal mortality rate (NMR). We aimed, for the period 2000–2013, to: (a) describe national and district NMR variations over time; (b) assess NMR trends by wealth quintile and place of residence; (c) describe evolution of mortality causes; (d) assess completeness of registered mortality; (e) assess coverage and equity of NMR-related interventions; and (f) explore underlying driving factors. Methods: We compared national NMR time trends from different sources. To describe NMR trends by wealth quintiles, place of residence and districts, we pooled data on births and deaths by calendar year for neonates born to women interviewed in multiple surveys. We disaggregated coverage of NMR-related interventions by wealth quintiles and place of residence. To identify success factors, we ran regression analyses and combined desk reviews with qualitative interviews and group discussions. Results: NMR fell by 51 % from 2000 to 2013, second only to Brazil in Latin America. Reduction was higher in rural and poorest segments (52 and 58 %). District NMR change varied by source. Regarding cause-specific NMRs, prematurity decreased from 7.0 to 3.2 per 1,000 live births, intra-partum related events from 2.9 to 1.2, congenital abnormalities from 2.4 to 1.8, sepsis from 1.9 to 0.8, pneumonia from 0.9 to 0.4, and other conditions from 1.2 to 0.7. Under-registration of neonatal deaths decreased recently, more in districts with higher development index and lower rural population. Coverage of family planning, antenatal care and skilled birth attendance increased more in rural areas and in the poorest quintile. Regressions did not show consistent associations between mortality and predictors. During the study period social determinants improved substantially, and dramatic out-of-health-sector and health-sector changes occurred. Rural areas and the poorest quintile experienced greater NMR reduction. This progress was driven, within a context of economic growth and poverty reduction, by a combination of strong societal advocacy and political will, which translated into pro-poor implementation of evidence-based interventions with a rights-based approach. Conclusions: Although progress in Peru for reducing NMR has been remarkable, future challenges include closing remaining gaps for urban and rural populations and improving newborn health with qualified staff and intermediate-and intensive-level health facilities.","author":[{"dropping-particle":"","family":"Huicho","given":"Luis","non-dropping-particle":"","parse-names":false,"suffix":""},{"dropping-particle":"","family":"Huayanay-Espinoza","given":"Carlos A","non-dropping-particle":"","parse-names":false,"suffix":""},{"dropping-particle":"","family":"Herrera-Perez","given":"Eder","non-dropping-particle":"","parse-names":false,"suffix":""},{"dropping-particle":"","family":"Niño De Guzman","given":"Jessica","non-dropping-particle":"","parse-names":false,"suffix":""},{"dropping-particle":"","family":"Rivera-Ch","given":"Maria","non-dropping-particle":"","parse-names":false,"suffix":""},{"dropping-particle":"","family":"Restrepo-Méndez","given":"Maria Clara","non-dropping-particle":"","parse-names":false,"suffix":""},{"dropping-particle":"","family":"Barros","given":"Aluisio J D","non-dropping-particle":"","parse-names":false,"suffix":""}],"container-title":"BMC Public Health","id":"ITEM-2","issue":"2","issued":{"date-parts":[["2016"]]},"title":"Examining national and district-level trends in neonatal health in Peru through an equity lens: a success story driven by political will and societal advocacy","type":"article-journal","volume":"16"},"uris":["http://www.mendeley.com/documents/?uuid=6fd4d32c-9390-41fd-9af3-16d54956c73a"]}],"mendeley":{"formattedCitation":"[19,35]","plainTextFormattedCitation":"[19,35]","previouslyFormattedCitation":"[19,35]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[19,35]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78AFDFCF" w14:textId="77777777" w:rsidR="001070CC" w:rsidRPr="00C14D61" w:rsidRDefault="001070CC" w:rsidP="000C7ADC">
      <w:pPr>
        <w:rPr>
          <w:rFonts w:ascii="Helvetica" w:hAnsi="Helvetica" w:cs="Helvetica"/>
          <w:color w:val="2E74B5" w:themeColor="accent1" w:themeShade="BF"/>
          <w:sz w:val="22"/>
          <w:szCs w:val="22"/>
        </w:rPr>
      </w:pPr>
    </w:p>
    <w:p w14:paraId="0E2A02DC" w14:textId="75ADEFE7"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IMCI and Vaccine coverage was significantly correlated with a change in HAZ from 1996 – 2000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{"citationItems":[{"id":"ITEM-1","itemData":{"PMID":"20063014060","abstract":"The Multi-Country Evaluation of Integrated Management of Childhood Illness (IMCI) Effectiveness, Cost and Impact (MCE) was launched to assess the global effectiveness of this strategy. Impact evaluations were started in five countries. The objectives of the Peru MCE were: (1) to document trends in IMCI implementation in the 24 departments of Peru from 1996 to 2000; (2) to document trends in indicators of health services coverage and impact (mortality and nutritional status) for the same period; (3) to correlate changes in these two sets of indicators, and (4) to attempt to rule out contextual factors that may affect the observed trends and correlations. An ecological analysis was performed in which the units of study were the 24 departments. By 2000, 10.2% of clinical health workers were trained in IMCI, but some districts showed considerably higher rates. There were no significant associations between clinical IMCI training coverage and indicators of outpatient utilization, vaccine coverage, mortality or malnutrition. The lack of association persisted after adjustment for several contextual factors including socioeconomic and environmental indicators and the presence of other child health projects. Community health workers were also trained in IMCI, and training coverage was not associated with any of the process or impact indicators, except for a significant positive correlation with mean height for age. According to the MCE impact model, IMCI implementation must be sufficiently strong to lead to an impact on health and nutrition. Health systems support for IMCI implementation in Peru was far from adequate. This finding, along with low training coverage level and a relatively low child mortality rate, may explain why the expected impact was not documented. Nevertheless, even districts with high levels of training coverage failed to show an impact. Further national effectiveness studies of IMCI and other child interventions are warranted as these interventions are scaled up.","author":[{"dropping-particle":"","family":"Huicho","given":"L","non-dropping-particle":"","parse-names":false,"suffix":""},{"dropping-particle":"","family":"Davila","given":"M","non-dropping-particle":"","parse-names":false,"suffix":""},{"dropping-particle":"","family":"Gonzales","given":"F","non-dropping-particle":"","parse-names":false,"suffix":""},{"dropping-particle":"","family":"Drasbek","given":"C","non-dropping-particle":"","parse-names":false,"suffix":""},{"dropping-particle":"","family":"Bryce","given":"J","non-dropping-particle":"","parse-names":false,"suffix":""},{"dropping-particle":"","family":"Victora","given":"C G","non-dropping-particle":"","parse-names":false,"suffix":""}],"container-title":"Health Policy and Planning","id":"ITEM-1","issue":"Supplement S1","issued":{"date-parts":[["2005"]]},"page":"i32-i41","title":"Implementation of the Integrated Management of Childhood Illness strategy in Peru and its association with health indicators: an ecological analysis.","type":"article-journal","volume":"20"},"uris":["http://www.mendeley.com/documents/?uuid=f51e568f-4fcc-4321-807a-063483b6cd5c"]}],"mendeley":{"formattedCitation":"[36]","plainTextFormattedCitation":"[36]","previouslyFormattedCitation":"[36]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[36]</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Despite this, there were issues with health center care access. Peru had poor prenatal care attendances compared to other Latin American countries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{"citationItems":[{"id":"ITEM-1","itemData":{"PMID":"20143174100","abstract":"OBJECTIVE: To examine the effect of prenatal care (PNC) on the level and distribution of child stunting in three Andean countries-Bolivia, Colombia, and Peru-where expanding access to such care has been an explicit policy intervention to tackle child malnutrition in utero and during early childhood. METHODS: An econometric analysis of cross-sectional Demographic and Health Survey (DHS) data was conducted. The analysis included ordinary least-squares (OLS) regressions, estimates of concentration curves, and decompositions of a concentration index. RESULTS: The analysis shows that the use of PNC in Bolivia, Colombia, and Peru is only weakly associated with a reduction in the level of child malnutrition. CONCLUSIONS: Further expansion of PNC programs is unlikely to play a large role in reducing inequalities in malnutrition.","author":[{"dropping-particle":"","family":"Forero-Ramirez","given":"N","non-dropping-particle":"","parse-names":false,"suffix":""},{"dropping-particle":"","family":"Gamboa","given":"L F","non-dropping-particle":"","parse-names":false,"suffix":""},{"dropping-particle":"","family":"Bedi","given":"A","non-dropping-particle":"","parse-names":false,"suffix":""},{"dropping-particle":"","family":"Sparrow","given":"R","non-dropping-particle":"","parse-names":false,"suffix":""}],"container-title":"Revista Panamericana de Salud Publica/Pan American Journal of Public Health","id":"ITEM-1","issue":"3","issued":{"date-parts":[["2014"]]},"page":"163-171","title":"Child malnutrition and prenatal care: evidence from three Latin American countries","type":"article-journal","volume":"35"},"uris":["http://www.mendeley.com/documents/?uuid=6a1544c4-e049-4b8d-b951-11c998602a41"]}],"mendeley":{"formattedCitation":"[37]","plainTextFormattedCitation":"[37]","previouslyFormattedCitation":"[37]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In addition, many health center staff identified barriers to providing good quality health care, such as insufficient resources, poor infrastructure and poor consistency of message delivery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{"citationItems":[{"id":"ITEM-1","itemData":{"DOI":"10.1093/her/cyl078","ISBN":"0268-1153","abstract":"Process evaluation was used to examine the implementation of a randomized, controlled trial of an education intervention that improved infant growth in Trujillo, Peru. Health personnel delivered the multi-component intervention as part of usual care in the government health centers. Quantitative and qualitative methods were used to examine process indicators, which included the extent of delivery (dose), fidelity to intervention protocol, barriers to implementation and context. Results demonstrated that most intervention components were delivered at a level of 50–90% of expectations. Fidelity to intervention protocol, where measured, was lower (28–70% of expectations). However, when compared with existing nutrition education, as represented by the control centers, significant improvements were demonstrated. This included both improved delivery of existing educational activities as well as delivery of new intervention components to strengthen overall nutrition education. Barriers to, and facilitators of, implementation were explored with health personnel and helped to explain results. This study demonstrates the importance of examining actual versus planned implementation in order to improve our understanding of how interventions succeed. The information gained from this study will inform future evaluation designs, and lead to the development and implementation of more effective intervention programs for child health.","author":[{"dropping-particle":"","family":"Robert","given":"Rebecca C","non-dropping-particle":"","parse-names":false,"suffix":""},{"dropping-particle":"","family":"Gittelsohn","given":"Joel","non-dropping-particle":"","parse-names":false,"suffix":""},{"dropping-particle":"","family":"Creed-Kanashiro","given":"Hilary M","non-dropping-particle":"","parse-names":false,"suffix":""},{"dropping-particle":"","family":"Penny","given":"Mary E","non-dropping-particle":"","parse-names":false,"suffix":""},{"dropping-particle":"","family":"Caulfield","given":"Laura E","non-dropping-particle":"","parse-names":false,"suffix":""},{"dropping-particle":"","family":"Narro","given":"M Rocio","non-dropping-particle":"","parse-names":false,"suffix":""},{"dropping-particle":"","family":"Steckler","given":"Allan","non-dropping-particle":"","parse-names":false,"suffix":""},{"dropping-particle":"","family":"Black","given":"Robert E","non-dropping-particle":"","parse-names":false,"suffix":""}],"container-title":"Health Education Research","id":"ITEM-1","issue":"3","issued":{"date-parts":[["2006"]]},"page":"318-331","title":"Implementation examined in a health center-delivered, educational intervention that improved infant growth in Trujillo, Peru: successes and challenges","type":"article-journal","volume":"22"},"uris":["http://www.mendeley.com/documents/?uuid=ee58f90c-e636-4b81-af2d-cb3bbac46504"]},{"id":"ITEM-2","itemData":{"PMID":"24074321","abstract":"Although there are some examples of successful complementary feeding programmes to promote healthy growth and prevent stunting at the community level, to date there are few, if any, examples of successful programmes at scale. A lack of systematic process and impact evaluations on pilot projects to generate lessons learned has precluded scaling up of effective programmes. Programmes to effect positive change in nutrition rarely follow systematic planning, implementation, and evaluation (PIE) processes to enhance effectiveness over the long term. As a result a set of programme-oriented key principles to promote healthy growth remains elusive. The purpose of this paper is to fill this gap by proposing a set of principles to improve programmes and interventions to promote healthy growth and development. Identifying such principles for programme success has three requirements: rethinking traditional paradigms used to promote improved infant and young child feeding; ensuring better linkages to delivery platforms; and, improving programming. Following the PIE model for programmes and learning from experiences from four relatively large-scale programmes described in this paper, 10 key principles are identified in the areas of programme planning, programme implementation, programme evaluation, and dissemination, replication, and scaling up. Nonetheless, numerous operational research questions remain, some of which are highlighted in this paper. Copyright © 2013 John Wiley &amp; Sons Ltd.","author":[{"dropping-particle":"","family":"Lutter","given":"C K","non-dropping-particle":"","parse-names":false,"suffix":""},{"dropping-particle":"","family":"Iannotti","given":"L","non-dropping-particle":"","parse-names":false,"suffix":""},{"dropping-particle":"","family":"Creed-Kanashiro","given":"H","non-dropping-particle":"","parse-names":false,"suffix":""},{"dropping-particle":"","family":"Guyon","given":"A","non-dropping-particle":"","parse-names":false,"suffix":""},{"dropping-particle":"","family":"Daelmans","given":"B","non-dropping-particle":"","parse-names":false,"suffix":""},{"dropping-particle":"","family":"Robert","given":"R","non-dropping-particle":"","parse-names":false,"suffix":""},{"dropping-particle":"","family":"Haider","given":"R","non-dropping-particle":"","parse-names":false,"suffix":""}],"container-title":"Maternal &amp; Child Nutrition","id":"ITEM-2","issued":{"date-parts":[["2013"]]},"page":"101-115","title":"Key principles to improve programmes and interventions in complementary feeding","type":"article-journal","volume":"9 Suppl 2"},"uris":["http://www.mendeley.com/documents/?uuid=d3d16667-fe96-4573-8b42-b8a554dbe929"]}],"mendeley":{"formattedCitation":"[38,39]","plainTextFormattedCitation":"[38,39]","previouslyFormattedCitation":"[38,39]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[38,39]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7CBC72BB" w14:textId="77777777" w:rsidR="001070CC" w:rsidRPr="00C14D61" w:rsidRDefault="001070CC" w:rsidP="000C7ADC">
      <w:pPr>
        <w:rPr>
          <w:rFonts w:ascii="Helvetica" w:hAnsi="Helvetica" w:cs="Helvetica"/>
          <w:color w:val="2E74B5" w:themeColor="accent1" w:themeShade="BF"/>
          <w:sz w:val="22"/>
          <w:szCs w:val="22"/>
        </w:rPr>
      </w:pPr>
    </w:p>
    <w:p w14:paraId="648A74B4" w14:textId="77777777"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Therefore, the reduction in stunting in Peru is a combination of economic growth, strong political commitment, and social welfare programs targeting poverty reduction in remote areas. </w:t>
      </w:r>
    </w:p>
    <w:p w14:paraId="1B34AAB0" w14:textId="0FA2E590" w:rsidR="001070CC" w:rsidRDefault="001070CC" w:rsidP="000C7ADC">
      <w:pPr>
        <w:rPr>
          <w:rFonts w:ascii="Helvetica" w:hAnsi="Helvetica" w:cs="Helvetica"/>
          <w:sz w:val="22"/>
          <w:szCs w:val="22"/>
        </w:rPr>
      </w:pPr>
    </w:p>
    <w:p w14:paraId="774D750A" w14:textId="718FF585" w:rsidR="00265001" w:rsidRDefault="00265001" w:rsidP="000C7ADC">
      <w:pPr>
        <w:rPr>
          <w:rFonts w:ascii="Helvetica" w:hAnsi="Helvetica" w:cs="Helvetica"/>
          <w:sz w:val="22"/>
          <w:szCs w:val="22"/>
        </w:rPr>
      </w:pPr>
    </w:p>
    <w:p w14:paraId="3ACAD6F1" w14:textId="12A4BD7C" w:rsidR="00265001" w:rsidRDefault="00265001" w:rsidP="000C7ADC">
      <w:pPr>
        <w:rPr>
          <w:rFonts w:ascii="Helvetica" w:hAnsi="Helvetica" w:cs="Helvetica"/>
          <w:sz w:val="22"/>
          <w:szCs w:val="22"/>
        </w:rPr>
      </w:pPr>
    </w:p>
    <w:p w14:paraId="55060108" w14:textId="77777777" w:rsidR="00265001" w:rsidRPr="00C14D61" w:rsidRDefault="00265001" w:rsidP="000C7ADC">
      <w:pPr>
        <w:rPr>
          <w:rFonts w:ascii="Helvetica" w:hAnsi="Helvetica" w:cs="Helvetica"/>
          <w:sz w:val="22"/>
          <w:szCs w:val="22"/>
        </w:rPr>
      </w:pPr>
    </w:p>
    <w:p w14:paraId="4E84E0A7" w14:textId="77777777" w:rsidR="001070CC" w:rsidRPr="00C14D61" w:rsidRDefault="001070CC" w:rsidP="000C7ADC">
      <w:pPr>
        <w:rPr>
          <w:rFonts w:ascii="Helvetica" w:hAnsi="Helvetica" w:cs="Helvetica"/>
          <w:b/>
          <w:sz w:val="22"/>
          <w:szCs w:val="22"/>
        </w:rPr>
      </w:pPr>
      <w:r w:rsidRPr="00C14D61">
        <w:rPr>
          <w:rFonts w:ascii="Helvetica" w:hAnsi="Helvetica" w:cs="Helvetica"/>
          <w:b/>
          <w:sz w:val="22"/>
          <w:szCs w:val="22"/>
        </w:rPr>
        <w:t>Underlying causes</w:t>
      </w:r>
    </w:p>
    <w:p w14:paraId="5AAB41C8" w14:textId="77777777" w:rsidR="001070CC" w:rsidRPr="00C14D61" w:rsidRDefault="001070CC" w:rsidP="000C7ADC">
      <w:pPr>
        <w:rPr>
          <w:rFonts w:ascii="Helvetica" w:hAnsi="Helvetica" w:cs="Helvetica"/>
          <w:sz w:val="22"/>
          <w:szCs w:val="22"/>
        </w:rPr>
      </w:pPr>
    </w:p>
    <w:p w14:paraId="77076AB2" w14:textId="396ECBE8" w:rsidR="001070CC" w:rsidRPr="00C14D61" w:rsidRDefault="001070CC" w:rsidP="000C7ADC">
      <w:pPr>
        <w:rPr>
          <w:rFonts w:ascii="Helvetica" w:hAnsi="Helvetica" w:cs="Helvetica"/>
          <w:sz w:val="22"/>
          <w:szCs w:val="22"/>
        </w:rPr>
      </w:pPr>
      <w:r w:rsidRPr="00C14D61">
        <w:rPr>
          <w:rFonts w:ascii="Helvetica" w:hAnsi="Helvetica" w:cs="Helvetica"/>
          <w:sz w:val="22"/>
          <w:szCs w:val="22"/>
        </w:rPr>
        <w:t xml:space="preserve">Data from Peru depicts the negative impact of drinking untreated water, poor hygiene and sanitation on HAZ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{"citationItems":[{"id":"ITEM-1","itemData":{"PMID":"20093251211","abstract":"This article reports on the external evaluation of the Good Start in Life Initiative Program implemented in Peru to combat chronic malnutrition in children &lt;3 years of age from rural poor populations in the Andean highlands and the Amazon forest. Based on the surveys carried out in April-November 2000 (baseline survey) and in October-November 2004 (follow-up survey), the program significantly reduced the prevalence of stunting, iron deficiency anaemia, and vitamin A deficiency in the studied paediatric population. Also, the costs and benefits of the investment were known and feasible.","author":[{"dropping-particle":"","family":"Lechtig","given":"A","non-dropping-particle":"","parse-names":false,"suffix":""},{"dropping-particle":"","family":"Cornale","given":"G","non-dropping-particle":"","parse-names":false,"suffix":""},{"dropping-particle":"","family":"Ugaz","given":"M E","non-dropping-particle":"","parse-names":false,"suffix":""},{"dropping-particle":"","family":"Arias","given":"L","non-dropping-particle":"","parse-names":false,"suffix":""}],"container-title":"Sight and Life Magazine","id":"ITEM-1","issue":"2009","issued":{"date-parts":[["2009"]]},"note":"Using Smart Source Parsing\n( 7 ref\n\nAviva","page":"16-19","title":"Nutritional impact of the good start in life program (Buen Inicio) in Peru: decreased prevalence of stunting, anemia and vitamin A deficiency in children less than three years of age, from the poorest indigenous populations in the Andean highlands and the","type":"article-journal","volume":"2"},"uris":["http://www.mendeley.com/documents/?uuid=12f9ad9e-5c91-4946-9979-96144acf5405"]},{"id":"ITEM-2","itemData":{"PMID":"20163381022","abstract":"Introduction: Inapari is a town located in Peru, on the border of Brazil, between the Amazonian states of Acre and Amazonas. The local Peruvian children under five years of age present moderate anemia while the percentage of chronic child malnutrition is a major public health problem in the country as a whole. Goals: The purpose of this study was to identify the prevalence of major childhood morbidities caused by anemia, malnutrition, intestinal parasites, toxocariasis, and hepatitis A, and identify connections with the socioeconomic and environmental conditions found in Inapari. Methods: Interviews with questionnaires; anthropometric measurements, collection of feces and venous blood samples. Results: A 20% prevalence of anemia and 8.5% prevalence of chronic malnutrition (height for age deficiency) was found. A pathogenic intestinal parasite was noted in 24.5% of the samples, where Giardia intestinalis (14.7%) was the most frequent. The seroprevalence of toxocariasis was 33.8% and hepatitis A was 21.2%. Conclusion: There is a connection between the results found and the poor living and sanitary conditions of the population. The low income noted is also linked to the malnutrition and anemia detected.","author":[{"dropping-particle":"","family":"Santos","given":"A P","non-dropping-particle":"","parse-names":false,"suffix":""},{"dropping-particle":"","family":"Oliart-Guzman","given":"H","non-dropping-particle":"","parse-names":false,"suffix":""},{"dropping-particle":"","family":"Branco","given":"L F C C","non-dropping-particle":"","parse-names":false,"suffix":""},{"dropping-particle":"","family":"Brana","given":"A M","non-dropping-particle":"","parse-names":false,"suffix":""},{"dropping-particle":"","family":"Delfino","given":"B M","non-dropping-particle":"","parse-names":false,"suffix":""},{"dropping-particle":"","family":"Campos","given":"R G","non-dropping-particle":"","parse-names":false,"suffix":""},{"dropping-particle":"","family":"Pereira","given":"T M","non-dropping-particle":"","parse-names":false,"suffix":""},{"dropping-particle":"","family":"Mantovani","given":"S A S","non-dropping-particle":"","parse-names":false,"suffix":""},{"dropping-particle":"","family":"Martins","given":"A C","non-dropping-particle":"","parse-names":false,"suffix":""},{"dropping-particle":"","family":"Filgueira-Junior","given":"J A","non-dropping-particle":"","parse-names":false,"suffix":""},{"dropping-particle":"","family":"Oliveira","given":"C S de M","non-dropping-particle":"","parse-names":false,"suffix":""},{"dropping-particle":"de","family":"Araujo","given":"T S","non-dropping-particle":"","parse-names":false,"suffix":""},{"dropping-particle":"","family":"Ramalho","given":"A A","non-dropping-particle":"","parse-names":false,"suffix":""},{"dropping-particle":"","family":"Fontoura","given":"P S","non-dropping-particle":"","parse-names":false,"suffix":""},{"dropping-particle":"","family":"Rubinsky-Elefant","given":"G","non-dropping-particle":"","parse-names":false,"suffix":""},{"dropping-particle":"","family":"Estrada","given":"C H M de L","non-dropping-particle":"","parse-names":false,"suffix":""},{"dropping-particle":"","family":"Arrospide","given":"N","non-dropping-particle":"","parse-names":false,"suffix":""},{"dropping-particle":"da","family":"Silva-Nunes","given":"M","non-dropping-particle":"","parse-names":false,"suffix":""}],"container-title":"Revista de Patologia Tropical","id":"ITEM-2","issue":"3","issued":{"date-parts":[["2016"]]},"page":"305-321","title":"Prevalence of nutritional deficiencies and morbidity by infectious diseases in children 0-5 years of age in Inapari in the Peruvian Amazon","type":"article-journal","volume":"45"},"uris":["http://www.mendeley.com/documents/?uuid=d73b610c-97ed-40d2-8bc5-283527a7ce74"]}],"mendeley":{"formattedCitation":"[40,41]","plainTextFormattedCitation":"[40,41]","previouslyFormattedCitation":"[40,41]"},"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[40,41]</w:t>
      </w:r>
      <w:r w:rsidRPr="00C14D61">
        <w:rPr>
          <w:rFonts w:ascii="Helvetica" w:hAnsi="Helvetica" w:cs="Helvetica"/>
          <w:sz w:val="22"/>
          <w:szCs w:val="22"/>
        </w:rPr>
        <w:fldChar w:fldCharType="end"/>
      </w:r>
      <w:r w:rsidRPr="00C14D61">
        <w:rPr>
          <w:rFonts w:ascii="Helvetica" w:hAnsi="Helvetica" w:cs="Helvetica"/>
          <w:sz w:val="22"/>
          <w:szCs w:val="22"/>
        </w:rPr>
        <w:t xml:space="preserve">. Similarly, children with access to improved water had a lower risk of stunting at 1 and 5 years of age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{"citationItems":[{"id":"ITEM-1","itemData":{"PMID":"71691824","abstract":"Child undernutrition is widespread in developing countries and is perceived to have large costs over the lifecycle. We used data on 8,062 children from Ethiopia, India, Peru and Vietnam at ages 1, 5, and 8 yrs from the Young Lives cohort to estimate multivariate logit regressions for associations between household and community-level access to improved water and sanitation, and stunting and underweight at these three ages. Improved drinking water was associated with stunting only in Peru, where access at age 5 yrs decreased risks of stunting at age 5 yrs (OR: 0.68; p&lt;0.05). In Ethiopia access to improved sanitation facilities (facilities) at age 1 yr was associated with decreased odds of stunting at 1 yr, 5 yrs and 8 yrs (OR: 0.59, 0.63, 0.64; p&lt;0.05). In India and Peru, access to improved facilities at 1 yr was significantly associated with stunting at age 5 yrs only (OR: 0.61, 0.75, p&lt;0.05). Improved facilities access when children were 5 yrs old was associated with stunting only at age 5 in Peru (OR: 0.71; p&lt;0.05) and age 8 in Vietnam (OR: 0.64; p&lt;0.05). Improved facilities at age 8 was not associated with stunting at age 8 in any country. Improved drinking water at 1 yr was significantly associated with underweight at age 8 in India (OR: 0.52; p&lt;0.05); for all other time points and countries, improved drinking water was not significantly associated with underweight. Facilities quality at age 1 yr was associated with lower odds of being underweight in Peru at 1 yr (OR: 0.59, p&lt;0.05) and in India at age 5 yrs (OR: 0.60, p&lt;0.05). There were no other significant associations between facilities and underweight. The combination of significant associations with quality of sanitation facilities and reduced undernutrition and the numerous insignificant associations suggest the importance of further investigating mediating factors that affect whether interventions to improve sanitation reduce concurrent and long-term child malnutrition.","author":[{"dropping-particle":"","family":"Humphries","given":"D","non-dropping-particle":"","parse-names":false,"suffix":""},{"dropping-particle":"","family":"Dearden","given":"K A","non-dropping-particle":"","parse-names":false,"suffix":""},{"dropping-particle":"","family":"Schott","given":"W","non-dropping-particle":"","parse-names":false,"suffix":""},{"dropping-particle":"","family":"Crookston","given":"B","non-dropping-particle":"","parse-names":false,"suffix":""},{"dropping-particle":"","family":"Penny","given":"M E","non-dropping-particle":"","parse-names":false,"suffix":""},{"dropping-particle":"","family":"Behrman","given":"J","non-dropping-particle":"","parse-names":false,"suffix":""}],"container-title":"American Journal of Tropical Medicine and Hygiene","id":"ITEM-1","issued":{"date-parts":[["2014"]]},"page":"180","title":"Children with access to improved sanitation but not improved water are at lower risk of stunting compared to children without access: a cohort study in Ethiopia, India, Peru, and Vietnam","type":"article-journal","volume":"1)"},"uris":["http://www.mendeley.com/documents/?uuid=a69fbe7b-3262-4fea-a0b7-8ad388bba5ee"]}],"mendeley":{"formattedCitation":"[42]","plainTextFormattedCitation":"[42]","previouslyFormattedCitation":"[42]"},"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[42]</w:t>
      </w:r>
      <w:r w:rsidRPr="00C14D61">
        <w:rPr>
          <w:rFonts w:ascii="Helvetica" w:hAnsi="Helvetica" w:cs="Helvetica"/>
          <w:sz w:val="22"/>
          <w:szCs w:val="22"/>
        </w:rPr>
        <w:fldChar w:fldCharType="end"/>
      </w:r>
      <w:r w:rsidRPr="00C14D61">
        <w:rPr>
          <w:rFonts w:ascii="Helvetica" w:hAnsi="Helvetica" w:cs="Helvetica"/>
          <w:sz w:val="22"/>
          <w:szCs w:val="22"/>
        </w:rPr>
        <w:t xml:space="preserve">. Contrary, a study that evaluated a home based intervention package to improve safe water access found the intervention group had fewer incidents of diarrhea than the control group, but there was no difference in HAZ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{"citationItems":[{"id":"ITEM-1","itemData":{"abstract":"Diarrhoea and acute lower respiratory infections are leading causes of childhood mortality. Simple low-cost interventions have proven efficient in reducing diarrhoea and severe pneumonia; however, an integrated package provides opportunities for synergism. We conducted a community-randomised controlled trial in 51 rural communities in Peru to evaluate an environmental home-based intervention package (IHIP) in reducing acute lower respiratory infections, diarrhoeal disease and preventing malnutrition in children under 36 months of age. All homes used open fires and 80% had access to piped, untreated water supplies. E.coli was found in drinking water in 66% of the households. The proportion of stunted children was 55%. In the intervention arm an improved stove (OPTIMA) was installed and members were trained in the correct use and proper maintenances; a solar disinfection of drinking water (SODIS) method was established; and a water faucet with a kitchen sink was installed and handwashing practices were promoted. Diarrhoea, respiratory (weekly) and anthropometric (every two months) surveillance was done at home during a 12 months period. To reduce potential impact of non-blinding bias, the control arm received a psychomotor stimulation programme, We randomized 51 communities and enrolled 534 children. Baseline characteristics were balanced between study arms: The rate of diarrhoeal episodes in children in the intervention was 2.8 episodes per child per year as compared to 3.1 episodes in the control arm. The relative rate was 0.78 (95%CI: 0.58-1.05). Similarly, care takers in the intervention group reported fewer days of diarrhoea (mean 4.9 vs. 6.4 days per year; OR: 0.71, 95% CI: 0.47-1.06). No effect on acute lower respiratory infections or child's growth rates was observed. In conclusion we found no evidence for synergistic effects associated with the intervention package. Introducing several interventions and messages simultaneously may have overwhelmed the households and compromised use, operation and maintenance of all components.","author":[{"dropping-particle":"","family":"Hartinger","given":"Sm","non-dropping-particle":"","parse-names":false,"suffix":""},{"dropping-particle":"","family":"Lanata","given":"Cf","non-dropping-particle":"","parse-names":false,"suffix":""},{"dropping-particle":"","family":"Hattendorf","given":"J","non-dropping-particle":"","parse-names":false,"suffix":""},{"dropping-particle":"","family":"Gil","given":"A","non-dropping-particle":"","parse-names":false,"suffix":""},{"dropping-particle":"","family":"Verastegui","given":"H","non-dropping-particle":"","parse-names":false,"suffix":""},{"dropping-particle":"","family":"Mausezahl","given":"D","non-dropping-particle":"","parse-names":false,"suffix":""}],"container-title":"American Journal of Tropical Medicine and Hygiene","id":"ITEM-1","issue":"5 suppl. 1","issued":{"date-parts":[["2012"]]},"page":"285","title":"A community randomized controlled trial of an integrated home-based intervention improving household-air pollution, drinking water quality and hygiene in rural peru","type":"article","volume":"87"},"uris":["http://www.mendeley.com/documents/?uuid=02dcfbc0-a0a7-45d8-bed8-86933a05fc0d"]}],"mendeley":{"formattedCitation":"[43]","plainTextFormattedCitation":"[43]","previouslyFormattedCitation":"[43]"},"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[43]</w:t>
      </w:r>
      <w:r w:rsidRPr="00C14D61">
        <w:rPr>
          <w:rFonts w:ascii="Helvetica" w:hAnsi="Helvetica" w:cs="Helvetica"/>
          <w:sz w:val="22"/>
          <w:szCs w:val="22"/>
        </w:rPr>
        <w:fldChar w:fldCharType="end"/>
      </w:r>
      <w:r w:rsidRPr="00C14D61">
        <w:rPr>
          <w:rFonts w:ascii="Helvetica" w:hAnsi="Helvetica" w:cs="Helvetica"/>
          <w:sz w:val="22"/>
          <w:szCs w:val="22"/>
        </w:rPr>
        <w:t xml:space="preserve">. Perhaps the follow up length in this study was too short to see changes in HAZ. Nationally representative data in Peru show improvements in 2005 - 2011 for access to safe water, sanitation and hygiene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Therefore, improved access to water may have played a minor role in the reduction in stunting over this time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w:t>
      </w:r>
    </w:p>
    <w:p w14:paraId="72953515" w14:textId="77777777" w:rsidR="001070CC" w:rsidRPr="00C14D61" w:rsidRDefault="001070CC" w:rsidP="000C7ADC">
      <w:pPr>
        <w:rPr>
          <w:rFonts w:ascii="Helvetica" w:hAnsi="Helvetica" w:cs="Helvetica"/>
          <w:sz w:val="22"/>
          <w:szCs w:val="22"/>
        </w:rPr>
      </w:pPr>
    </w:p>
    <w:p w14:paraId="612261BC" w14:textId="43C68E58"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sz w:val="22"/>
          <w:szCs w:val="22"/>
        </w:rPr>
        <w:t xml:space="preserve">The rate of female secondary education enrollment improved in 2005-2011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The impact of maternal education on HAZ was evaluated in 16 studies. Higher maternal education, or any education was significantly associated with HAZ 14 studies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{"citationItems":[{"id":"ITEM-1","itemData":{"DOI":"10.1093/heapol/czi002","abstract":"This paper presents the first published report of a national-level effort to implement the Integrated Management of Childhood Illness (IMCI) strategy at scale. IMCI was introduced in Peru in late 1996, the early implementation phase started in 1997, with the expansion phase starting in 1998. Here we report on a retrospective evaluation designed to describe and analyze the process of taking IMCI to scale in Peru, conducted as one of five studies within the Multi-Country Evaluation of IMCI Effectiveness, Cost and Impact (MCE) coordinated by the World Health Organization. Trained surveyors visited each of Peru's 34 districts, interviewed district health staff and reviewed district records. Findings show that IMCI was not institutionalized in Peru: it was implemented parallel to existing programmes to address acute respiratory infections and diarrhoea, sharing budget lines and management staff. The number of health workers trained in IMCI case management increased until 1999 and then decreased in 2000 and 2001, with overall coverage levels among doctors and nurses calculated to be 10.3%. Efforts to implement the community component of IMCI began with the training of community health workers in 2000, but expected synergies between health facility and community interventions were not realized because districts where clinical training was most intense were not those where community IMCI training was strongest. We summarize the constraints to scaling up IMCI, and examine both the methodological and policy implications of the findings. Few monitoring data were available to document IMCI implementation in Peru, limiting the potential of retrospective evaluations to contribute to programme improvement. Even basic indicators recommended for national monitoring could not be calculated at either district or national levels. The findings document weaknesses in the policy and programme supports for IMCI that would cripple any intervention delivered through the health service delivery system. The Ministry of Health in Peru is now working to address these weaknesses; other countries working to achieve high and equitable coverage with essential child survival interventions can learn from their experience.","author":[{"dropping-particle":"","family":"Huicho","given":"Luis","non-dropping-particle":"","parse-names":false,"suffix":""},{"dropping-particle":"","family":"Vila","given":"Miguel D","non-dropping-particle":"","parse-names":false,"suffix":""},{"dropping-particle":"","family":"Campos","given":"Miguel","non-dropping-particle":"","parse-names":false,"suffix":""},{"dropping-particle":"","family":"Drasbek","given":"Christopher","non-dropping-particle":"","parse-names":false,"suffix":""},{"dropping-particle":"","family":"Bryce","given":"Jennifer","non-dropping-particle":"","parse-names":false,"suffix":""},{"dropping-particle":"","family":"Victora","given":"Cesar G","non-dropping-particle":"","parse-names":false,"suffix":""}],"container-title":"Health Policy and Planning","id":"ITEM-1","issue":"1","issued":{"date-parts":[["2005"]]},"page":"14-24","title":"Scaling up Integrated Management of Childhood Illness to the national level: achievements and challenges in Peru","type":"article-journal","volume":"20"},"uris":["http://www.mendeley.com/documents/?uuid=78628713-0490-4c65-a894-0a62cdb1925c"]},{"id":"ITEM-2","itemData":{"DOI":"10.1016/j.ehb.2004.10.008","ISBN":"1570-677X","ISSN":"1570677X","PMID":"15576249","abstract":"This paper offers empirical evidence on the impact of the expansion in health infrastructure of the 1990s upon child nutrition in Peru, as measured by the height for age z-score. Using a pooled sample of three rounds of the Peruvian DHS, I have controlled for biases in the allocation of public investments by using a district fixed effects model. The econometric analysis shows a positive effect of the expansion of the last decade in urban areas, but not in rural areas. Furthermore, the effect for urban children is highly non-linear and has a pro-poor bias, in the sense that the estimated effect is larger for children of less educated mothers. These findings support the idea that reducing distance and waiting time barriers is necessary to improve child health and nutrition in developing countries, but that we need more explicitly inclusive policies to improve the health of the rural poor, especially indigenous groups, that are caught in this type of poverty trap. © 2004 Elsevier B.V. All rights reserved.","author":[{"dropping-particle":"","family":"Valdivia","given":"Martín","non-dropping-particle":"","parse-names":false,"suffix":""}],"container-title":"Economics and Human Biology","id":"ITEM-2","issue":"3 SPEC. ISS.","issued":{"date-parts":[["2004"]]},"page":"489-510","title":"Poverty, health infrastructure and the nutrition of Peruvian children","type":"article-journal","volume":"2"},"uris":["http://www.mendeley.com/documents/?uuid=46445655-0387-4cc0-8bb5-d7c77a0214b5"]},{"id":"ITEM-3","itemData":{"PMID":"351041841","abstract":"In developing countries, height and weight are good indicators of children's health and nutritional status. Maternal education has been accepted as one of the most important influences on child health. Using the 2000 Demographic and Health Survey of Peru, however, I find that the effect of maternal education varies as a function of region. In the most prosperous urban region, maternal education is less important for child health than in poor rural areas, and a high-er level of education has a greater effect in rural areas. Multilevel analysis shows that a significant part of the observed correlation between maternal education and child health is moderated by regional differences and community characteristics. The finding suggests that Peruvian public policy should emphasize resource redistribution as well as women's education, and that investment in maternal education should be considered within regional contexts to enhance child health in rural areas.","author":[{"dropping-particle":"","family":"Shin","given":"H","non-dropping-particle":"","parse-names":false,"suffix":""}],"container-title":"Journal of Health and Social Behavior","id":"ITEM-3","issue":"4","issued":{"date-parts":[["2007"]]},"page":"418-433","title":"Child health in Peru: Importance of regional variation and community effects on children's height and weight","type":"article-journal","volume":"48"},"uris":["http://www.mendeley.com/documents/?uuid=727021b6-78d4-4129-8632-dc9d2136440b"]},{"id":"ITEM-4","itemData":{"PMID":"20123011649","abstract":"This study investigated the association of parents' socioeconomic status (SES) with child stunting in the Peruvian Andes and in Peru nationally. It was hypothesized that the relationship of SES to child stunting would be weaker in the Andean compared with the national sample. This is consistent with earlier research indicating that the relationship of SES to health may be weak in poor regions. The data were from the Demographic and Health Survey 2004 to 2006. Two samples of children 3 to 60 months old were compared: a national sample (n=1426) and an Andean sample (n=543). Malnutrition was measured using the indicator \"stunting,\" which is small stature for age. Socioeconomic status was measured using parental education, occupation, and household wealth index (WI). In both samples, SES was significantly related to stunting. The odds of stunting in the poorest WI quintile were significantly higher than in the richest quintile. The same pattern was observed in children of mothers having incomplete primary education compared with children of mothers having complete secondary or higher education. The odds of stunting were significantly lower in children of mothers working at home compared with mothers in professional occupations. The associations of WI and maternal education with stunting were significantly stronger in the Andean compared with the national sample; the study did not find support for the hypothesis. Even in very poor regions such as the Andes, SES may be associated with child health, suggesting the importance of public health measures to overcome the health disadvantages experienced by children living in low SES households.","author":[{"dropping-particle":"","family":"Urke","given":"H B","non-dropping-particle":"","parse-names":false,"suffix":""},{"dropping-particle":"","family":"Bull","given":"T","non-dropping-particle":"","parse-names":false,"suffix":""},{"dropping-particle":"","family":"Mittelmark","given":"M B","non-dropping-particle":"","parse-names":false,"suffix":""}],"container-title":"Nutrition Research","id":"ITEM-4","issue":"10","issued":{"date-parts":[["2011"]]},"page":"741-747","title":"Socioeconomic status and chronic child malnutrition: wealth and maternal education matter more in the Peruvian Andes than nationally","type":"article-journal","volume":"31"},"uris":["http://www.mendeley.com/documents/?uuid=3abbd5d7-8bb9-4435-9f26-80b189b006e6"]},{"id":"ITEM-5","itemData":{"PMID":"12697194","abstract":"Both public and private resources contribute to the nutritional status of children. In addition, the investments made by one household may contribute to the health of other households in the neighborhood through improvements in the sanitation environment and through increases in shared knowledge. This paper measures the externalities of investments in nutrition by indicating the impact of the education of women in Peruvian neighborhoods on the nutrition of children in other households, after controlling for the education and income of those households. We find that in rural areas this shared knowledge has a significant impact on nutrition, with the coefficient of an increase in the average education of women in the neighborhood being appreciable larger than the coefficient of education in isolation. In addition, we indicate the impact of the water and sanitation environment in the neighborhood, again controlling for the household's own access to sanitation and water. In both urban and rural areas, we observe externalities from investments in such household level infrastructure with the evidence particularly strong for sanitation made by neighboring households.","author":[{"dropping-particle":"","family":"Alderman","given":"H","non-dropping-particle":"","parse-names":false,"suffix":""},{"dropping-particle":"","family":"Hentschel","given":"J","non-dropping-particle":"","parse-names":false,"suffix":""},{"dropping-particle":"","family":"Sabates","given":"R","non-dropping-particle":"","parse-names":false,"suffix":""}],"container-title":"Social Science &amp; Medicine","id":"ITEM-5","issue":"10","issued":{"date-parts":[["2003"]]},"page":"2019-2031","title":"With the help of one's neighbors: externalities in the production of nutrition in Peru","type":"article-journal","volume":"56"},"uris":["http://www.mendeley.com/documents/?uuid=c620c1ca-ff21-4443-bb07-81aa1501be14"]},{"id":"ITEM-6","itemData":{"DOI":"10.1016/j.trstmh.2010.12.003","ISBN":"0035-9203","abstract":"The World Health Organization recommends deworming of children aged 12–24 months in highly endemic areas. Our research objectives were to: 1) examine prevalence patterns of helminth infection in early childhood 2) assess the association between helminth infection and socio-demographic characteristics and 3) examine the effect of the intensity of helminth infection on stunting and anemia. A survey of children (7–9 and 12–14 months) living in Bel&amp;#x00E9 n (Peru) was undertaken between July 2007 and February 2008. A questionnaire was administered to obtain socio-demographic characteristics, blood and stool samples were collected, and length-for-age Z scores were calculated. The Kato-Katz method was used to determine the prevalence and intensity of Ascaris , Trichuris , and hookworm infections. Of 370 participating children, 349 had parasitological results. Infections first appeared in children at 8 months of age. The prevalence of any helminth infection increased linearly to approximately 37.0% (95%CI: 24.3–51.3%) by 14 months of age. Multivariate analysis showed that age, female sex, and residing in the floodplain were significant determinants of helminth infection. Among infected children, moderate-to-heavy infection of any helminth was associated with stunting (&amp;#x03B2 adjusted &amp;#x00A0 =&amp;#x00A0 −0.84 95%CI: −1.48, −0.20). These results support the implementation of deworming programs aimed at young children in highly endemic areas.","author":[{"dropping-particle":"","family":"Gyorkos","given":"Theresa W","non-dropping-particle":"","parse-names":false,"suffix":""},{"dropping-particle":"","family":"Maheu-Giroux","given":"Mathieu","non-dropping-particle":"","parse-names":false,"suffix":""},{"dropping-particle":"","family":"Casap","given":"","non-dropping-particle":"","parse-names":false,"suffix":""},{"dropping-particle":"","family":"x00Ed","given":"","non-dropping-particle":"","parse-names":false,"suffix":""},{"dropping-particle":"","family":"a","given":"Mart","non-dropping-particle":"","parse-names":false,"suffix":""},{"dropping-particle":"","family":"x00Ed","given":"","non-dropping-particle":"","parse-names":false,"suffix":""},{"dropping-particle":"","family":"Joseph","given":"Serene A","non-dropping-particle":"","parse-names":false,"suffix":""},{"dropping-particle":"","family":"Creed-Kanashiro","given":"Hilary","non-dropping-particle":"","parse-names":false,"suffix":""}],"container-title":"Transactions of the Royal Society of Tropical Medicine and Hygiene","id":"ITEM-6","issue":"4","issued":{"date-parts":[["2011"]]},"note":"Aviva abstractec","page":"204-208","title":"Stunting and helminth infection in early preschool-age children in a resource-poor community in the Amazon lowlands of Peru","type":"article-journal","volume":"105"},"uris":["http://www.mendeley.com/documents/?uuid=a2d32ab3-953b-4596-bbaf-dfcec4aa3b9c"]},{"id":"ITEM-7","itemData":{"DOI":"10.1017/S0007114507795272","abstract":"Child malnutrition, including wasting, underweight and stunting, is associated with infections, poor nutrient intake, and environmental and sociodemographic factors. Preschool-age children are especially vulnerable due to their high growth requirements. To target interventions for preschoolage children in a community of extreme poverty in Peru, we conducted a household survey between October 2005 and January 2006 to determine the prevalence of malnutrition and its risk factors. Of 252 children &amp;lt;5 years old, the prevalence of wasting, underweight and stunting was 26.6, 28.6 and 32.1 %, respectively, based on the new WHO Child Growth Standards. Risk factors for wasting were: (1) moderate-high intensity Trichuris infection (OR 2.50; 95% CI 1.06, 5.93); (2) hookworm infection (OR 6.67; 95% CI 1.08, 41.05); (3) age (OR6-month 1.27; 95% CI 1.11, 1.46); (4) maternal education (secondary incomplete) (OR 5.77; 95% CI 2.38, 13.99); and (5) decreasing maternal BMI (OR1kg/m 2 1.12; 95% CI 1.02, 1.23). Risk factors for underweight were: (1) moderate-high intensity Trichuris infection (OR 4.74; 95% CI 1.99, 11.32); (2) age (OR6-month 1.22; 95% CI 1.07, 1.38); (3) maternal education (secondary incomplete) (OR 2.92; 95% CI 1.40, 6.12); and (4) decreasing maternal BMI (OR1kg/m 2 1.11; 95% CI 1.02, 1.21). Risk factors for stunting were: (1) age (OR6-month 1.14; 95% CI 1.02, 1.27) and (2) decreasing maternal height (OR1cm 1.12; 95% CI 1.06, 1.20). Overall, risk factors for malnutrition included both child and maternal determinants. Based on these data, locally appropriate and cost-effective dietary, de-worming and educational programmes should be targeted to mothers and preschool-age children. © The Authors 2007.","author":[{"dropping-particle":"","family":"Casapía","given":"M","non-dropping-particle":"","parse-names":false,"suffix":""},{"dropping-particle":"","family":"Joseph","given":"S A","non-dropping-particle":"","parse-names":false,"suffix":""},{"dropping-particle":"","family":"Núñez","given":"C","non-dropping-particle":"","parse-names":false,"suffix":""},{"dropping-particle":"","family":"Elham","given":"R","non-dropping-particle":"","parse-names":false,"suffix":""},{"dropping-particle":"","family":"Gyorkos","given":"T W","non-dropping-particle":"","parse-names":false,"suffix":""}],"container-title":"British Journal of Nutrition","id":"ITEM-7","issue":"6","issued":{"date-parts":[["2007"]]},"page":"1259-1266","title":"Parasite and maternal risk factors for malnutrition in preschool-age children in Belen, Peru using the new WHO child growth standards","type":"article-journal","volume":"98"},"uris":["http://www.mendeley.com/documents/?uuid=90540337-5d3e-4b21-b699-dd801f832bd6"]},{"id":"ITEM-8","itemData":{"PMID":"28260638","abstract":"Child chronic undernutrition, as measured by stunting, is prevalent in low- and middle-income countries and is among the major threats to child development. While stunting and its implications for cognitive development have been considered irreversible beyond early childhood there is a lack of consensus in the literature on this, as there is some evidence of recovery from stunting and that this recovery may be associated with improvements in cognition. Less is known however, about the drivers of growth recovery and the aspects of recovery linked to cognitive development. In this paper we investigate the factors associated with growth recovery and faltering through age 12 years and the implications of the incidence, timing, and persistence of post-infancy recovery from stunting for cognitive development using longitudinal data from Ethiopia, India, Peru, and Vietnam. We find that the factors most systematically associated with accelerated growth both before and after early childhood and across countries include mother's height, household living standards and shocks, community wages, food prices, and garbage collection. Our results suggest that post-infancy recovery from stunting is more likely to be systematically associated with higher achievement scores across countries when it is persistent and that associations between growth trajectories and cognitive achievement in middle childhood do not persist through early adolescence across countries. Overall, our findings indicate that growth after early childhood is responsive to changes in the household and community environments and that growth promotion after early childhood may yield improvements in child cognitive development. Copyright © 2017 The Authors. Published by Elsevier Ltd.. All rights reserved.","author":[{"dropping-particle":"","family":"Georgiadis","given":"A","non-dropping-particle":"","parse-names":false,"suffix":""},{"dropping-particle":"","family":"Benny","given":"L","non-dropping-particle":"","parse-names":false,"suffix":""},{"dropping-particle":"","family":"Duc","given":"L T","non-dropping-particle":"","parse-names":false,"suffix":""},{"dropping-particle":"","family":"Galab","given":"S","non-dropping-particle":"","parse-names":false,"suffix":""},{"dropping-particle":"","family":"Reddy","given":"P","non-dropping-particle":"","parse-names":false,"suffix":""},{"dropping-particle":"","family":"Woldehanna","given":"T","non-dropping-particle":"","parse-names":false,"suffix":""}],"container-title":"Social Science &amp; Medicine","id":"ITEM-8","issued":{"date-parts":[["2017"]]},"note":"Georgiadis, Andreas\nBenny, Liza\nDuc, Le Thuc\nGalab, Sheikh\nReddy, Prudhvikar\nWoldehanna, Tassew\n\nAviva abstracted","page":"81-90","title":"Growth recovery and faltering through early adolescence in low- and middle-income countries: Determinants and implications for cognitive development","type":"article-journal","volume":"179"},"uris":["http://www.mendeley.com/documents/?uuid=a63d3cdc-bb6b-4db1-9a2d-c82736f382a1"]},{"id":"ITEM-9","itemData":{"abstract":"Objective. To evaluate the prevalence of soil-transmitted helminth infections, anemia, and malnutrition among children in the Paucartambo province of Cusco region, Peru, in light of demographic, socio-economic, and epidemiologic contextual factors. Methods. Children from three to twelve years old from six communities in Huancarani district in the highlands of Peru were evaluated for helminth infections, anemia, and nutritional status. Data collected included demographic variables, socioeconomic status, exposures, complete blood counts, and direct and sedimentation stool tests. Results. Of 240 children analyzed, 113 (47%) were infected with one or more parasites. Giardia (27.5%) and Fasciola (9.6%) were the most commonly identified organisms. Eosinophilia was encountered in 21% of the children. Anemia (48.8%) was associated with age (3-4 vs 5-12 years old; odds ratio (OR): 5.86; 95% confidence interval (CI): 2.81-12.21). Underweight (10%) was associated with male sex (OR: 5.97; CI: 1.12-31.72), higher eosinophil count (OR: 4.67; CI: 1.31-16.68) and education of the mother (OR: 0.6; CI: 0.4-0.9). Stunting (31.3%) was associated with education of the mother (OR: 0.83; CI: 0.72-0.95); wasting (2.7%) was associated with higher eosinophil count (OR: 2.75; CI: 1.04-7.25). Conclusions. Anemia and malnutrition remain significant problems in the Peruvian highlands. These findings suggest that demographic factors, socio-economic status, and possibly parasitic infections intertwine to cause these health problems. © 2015 Organización Panamericana de la Salud.","author":[{"dropping-particle":"","family":"Cabada","given":"M M","non-dropping-particle":"","parse-names":false,"suffix":""},{"dropping-particle":"","family":"Goodrich","given":"M R","non-dropping-particle":"","parse-names":false,"suffix":""},{"dropping-particle":"","family":"Graham","given":"B","non-dropping-particle":"","parse-names":false,"suffix":""},{"dropping-particle":"","family":"Villanueva-Meyer","given":"P G","non-dropping-particle":"","parse-names":false,"suffix":""},{"dropping-particle":"","family":"Deichsel","given":"E L","non-dropping-particle":"","parse-names":false,"suffix":""},{"dropping-particle":"","family":"Lopez","given":"M","non-dropping-particle":"","parse-names":false,"suffix":""},{"dropping-particle":"","family":"Arque","given":"E","non-dropping-particle":"","parse-names":false,"suffix":""},{"dropping-particle":"","family":"White  Jr.","given":"A C","non-dropping-particle":"","parse-names":false,"suffix":""}],"container-title":"Revista Panamericana de Salud Publica/Pan American Journal of Public Health","id":"ITEM-9","issue":"2","issued":{"date-parts":[["2015"]]},"page":"69-75","title":"Prevalence of intestinal helminths, anemia, and malnutrition in Paucartambo, Peru","type":"article-journal","volume":"37"},"uris":["http://www.mendeley.com/documents/?uuid=b9df419d-45d1-470e-a01f-eb31a2247519"]},{"id":"ITEM-10","itemData":{"DOI":"10.1017/S1368980014000275","abstract":"Objective To examine trends in stunting and overweight in Peruvian children, using 2006 WHO Multicentre Growth Reference Study criteria. Design Trend analyses using nationally representative cross-sectional surveys from Demographic and Health Surveys (1991-2011). We performed logistic regression analyses of stunting and overweight trends in sociodemographic groups (sex, age, urban-rural residence, region, maternal education and household wealth), adjusted for sampling design effects (strata, clusters and sampling weights). Setting Peru. Subjects Children aged 0-59 months surveyed in 1991-92 (n 7999), 1996 (n 14 877), 2000 (n 11 754), 2007-08 (n 8232) and 2011 (n 8186). Results Child stunting declined (F(1, 5149) = 174·8, P ≤ 0·00) and child overweight was stable in the period 1991-2011 (F(1, 5147) = 0·4, P ≤ 0·54). Over the study period, levels of stunting were highest in rural compared with urban areas, the Andean and Amazon regions compared with the Coast, among children of low-educated mothers and among children living in households in the poorest wealth quintile. The trend in overweight rose among males in coastal areas (F(1, 2250) = 4·779, P ≤ 0·029) and among males in the richest wealth quintile (F(1, 1730) = 5·458, P ≤ 0·020). Conclusions The 2011 levels of stunting and overweight were eight times and three and a half times higher, respectively, than the expected levels from the 2006 WHO growth standards. The trend over the study period in stunting declined in most sociodemographic subgroups. The trend in overweight was stable in most sociodemographic subgroups. © The Authors 2014.","author":[{"dropping-particle":"","family":"Urke","given":"H B","non-dropping-particle":"","parse-names":false,"suffix":""},{"dropping-particle":"","family":"Mittelmark","given":"M B","non-dropping-particle":"","parse-names":false,"suffix":""},{"dropping-particle":"","family":"Valdivia","given":"M","non-dropping-particle":"","parse-names":false,"suffix":""}],"container-title":"Public Health Nutrition","id":"ITEM-10","issue":"11","issued":{"date-parts":[["2013"]]},"note":"Cited By :6\nExport Date: 31 May 2017\n\nAviva abstracted","page":"2407-2418","title":"Trends in stunting and overweight in Peruvian pre-schoolers from 1991 to 2011: Findings from the Demographic and Health Surveys","type":"article-journal","volume":"17"},"uris":["http://www.mendeley.com/documents/?uuid=0fb4b330-b8fa-42c7-b8f7-a09eab65d675"]},{"id":"ITEM-11","itemData":{"abstract":"Objective. Analyze malnutrition and anemia trends in Peruvian children under 5 years of age and their association with determinants in the 2000-2011 period. Methods. Nutritional indicators for children under 5 years of age from the 2011 Demographic and Family Health Survey (ENDES), and their evolution based on data from the 2000, 2005, and 2008 ENDES, were analyzed. Chronic malnutrition (CM) (height/age ≤ 2 SD), acute malnutrition (AM), (height/weight ≤ 2 SD), and anemia trends were estimated. Associations were found with factors such as sex, age, area of residence (urban or rural), region of residence, mother's education, wealth quintile, availability of public water system, sewer availability, altitude, presence of other children in household, birth order, presence of diarrhea in previous 15 days, and presence of cough in previous 15 days. Results. AM, CM, and anemia in Peruvian children under 5 years of age decreased from 2000-2011. This reduction was not uniform for the three conditions, with decreases of 1.1% to 0.4% recorded for AM, 31.6% to 19.6% for CM, and 50.4% to 30.7% for anemia. Although the factors analyzed were related to the prevalence of these three illnesses, calculation of the adjusted odds ratios showed significant differences for CM (mother's education, Sierra region, altitude greater than 2 500 m above sea level, presence of two or more children in household, and being the third or successive child) and anemia (child sex [higher in males], children under 2 years of age, Resto de costa region and Selva region, altitude greater than 2 500 m above sea level, availability of public water system, sewer availability, presence of two or more children in household, and presence of diarrhea within 15 days prior to the survey). For AM, differences were observed according to some factors but they were not significant in the adjusted model. Conclusions. In the 2000-2011 period, Peru achieved reduction of its CM, AM, and anemia rates. AM rates decreased to almost one-third, with overall figures remaining fairly low, and affecting to a greater extent highly localized areas and groups of the country. However, the current rates of chronic malnutrition and anemia continue to be very high, which represents a true challenge for public policy, as occurs in other countries of the region. In order to overcome this challenge it will be necessary to change the approach, no longer conceiving of child malnutrition exclusively as a nutritional problem and in…","author":[{"dropping-particle":"","family":"Sobrino","given":"M","non-dropping-particle":"","parse-names":false,"suffix":""},{"dropping-particle":"","family":"Gutiérrez","given":"C","non-dropping-particle":"","parse-names":false,"suffix":""},{"dropping-particle":"","family":"Cunha","given":"A J","non-dropping-particle":"","parse-names":false,"suffix":""},{"dropping-particle":"","family":"Dávila","given":"M","non-dropping-particle":"","parse-names":false,"suffix":""},{"dropping-particle":"","family":"Alarcón","given":"J","non-dropping-particle":"","parse-names":false,"suffix":""}],"container-title":"Revista Panamericana de Salud Publica/Pan American Journal of Public Health","id":"ITEM-11","issue":"2","issued":{"date-parts":[["2014"]]},"page":"104-112","title":"Child malnutrition in children under 5 years of age in Peru: Trends and determinants","title-short":"Desnutrición infantil en menores de cinco años en ","type":"article-journal","volume":"35"},"uris":["http://www.mendeley.com/documents/?uuid=52ba3784-88e4-4c06-8d25-c341deb2abb8"]},{"id":"ITEM-12","itemData":{"PMID":"20063014060","abstract":"The Multi-Country Evaluation of Integrated Management of Childhood Illness (IMCI) Effectiveness, Cost and Impact (MCE) was launched to assess the global effectiveness of this strategy. Impact evaluations were started in five countries. The objectives of the Peru MCE were: (1) to document trends in IMCI implementation in the 24 departments of Peru from 1996 to 2000; (2) to document trends in indicators of health services coverage and impact (mortality and nutritional status) for the same period; (3) to correlate changes in these two sets of indicators, and (4) to attempt to rule out contextual factors that may affect the observed trends and correlations. An ecological analysis was performed in which the units of study were the 24 departments. By 2000, 10.2% of clinical health workers were trained in IMCI, but some districts showed considerably higher rates. There were no significant associations between clinical IMCI training coverage and indicators of outpatient utilization, vaccine coverage, mortality or malnutrition. The lack of association persisted after adjustment for several contextual factors including socioeconomic and environmental indicators and the presence of other child health projects. Community health workers were also trained in IMCI, and training coverage was not associated with any of the process or impact indicators, except for a significant positive correlation with mean height for age. According to the MCE impact model, IMCI implementation must be sufficiently strong to lead to an impact on health and nutrition. Health systems support for IMCI implementation in Peru was far from adequate. This finding, along with low training coverage level and a relatively low child mortality rate, may explain why the expected impact was not documented. Nevertheless, even districts with high levels of training coverage failed to show an impact. Further national effectiveness studies of IMCI and other child interventions are warranted as these interventions are scaled up.","author":[{"dropping-particle":"","family":"Huicho","given":"L","non-dropping-particle":"","parse-names":false,"suffix":""},{"dropping-particle":"","family":"Davila","given":"M","non-dropping-particle":"","parse-names":false,"suffix":""},{"dropping-particle":"","family":"Gonzales","given":"F","non-dropping-particle":"","parse-names":false,"suffix":""},{"dropping-particle":"","family":"Drasbek","given":"C","non-dropping-particle":"","parse-names":false,"suffix":""},{"dropping-particle":"","family":"Bryce","given":"J","non-dropping-particle":"","parse-names":false,"suffix":""},{"dropping-particle":"","family":"Victora","given":"C G","non-dropping-particle":"","parse-names":false,"suffix":""}],"container-title":"Health Policy and Planning","id":"ITEM-12","issue":"Supplement S1","issued":{"date-parts":[["2005"]]},"page":"i32-i41","title":"Implementation of the Integrated Management of Childhood Illness strategy in Peru and its association with health indicators: an ecological analysis.","type":"article-journal","volume":"20"},"uris":["http://www.mendeley.com/documents/?uuid=f51e568f-4fcc-4321-807a-063483b6cd5c"]},{"id":"ITEM-13","itemData":{"PMID":"20093251211","abstract":"This article reports on the external evaluation of the Good Start in Life Initiative Program implemented in Peru to combat chronic malnutrition in children &lt;3 years of age from rural poor populations in the Andean highlands and the Amazon forest. Based on the surveys carried out in April-November 2000 (baseline survey) and in October-November 2004 (follow-up survey), the program significantly reduced the prevalence of stunting, iron deficiency anaemia, and vitamin A deficiency in the studied paediatric population. Also, the costs and benefits of the investment were known and feasible.","author":[{"dropping-particle":"","family":"Lechtig","given":"A","non-dropping-particle":"","parse-names":false,"suffix":""},{"dropping-particle":"","family":"Cornale","given":"G","non-dropping-particle":"","parse-names":false,"suffix":""},{"dropping-particle":"","family":"Ugaz","given":"M E","non-dropping-particle":"","parse-names":false,"suffix":""},{"dropping-particle":"","family":"Arias","given":"L","non-dropping-particle":"","parse-names":false,"suffix":""}],"container-title":"Sight and Life Magazine","id":"ITEM-13","issue":"2009","issued":{"date-parts":[["2009"]]},"note":"Using Smart Source Parsing\n( 7 ref\n\nAviva","page":"16-19","title":"Nutritional impact of the good start in life program (Buen Inicio) in Peru: decreased prevalence of stunting, anemia and vitamin A deficiency in children less than three years of age, from the poorest indigenous populations in the Andean highlands and the","type":"article-journal","volume":"2"},"uris":["http://www.mendeley.com/documents/?uuid=12f9ad9e-5c91-4946-9979-96144acf5405"]},{"id":"ITEM-14","itemData":{"abstract":"Objetivo. Analizar la situación de la diversidad alimentaria (DA) en niños de 6-23 meses en Perú, ysu relación con el crecimiento infantil y factores sociodemográficos asociados. Material ymétodos. La presente tesis constituye un análisis secundario del Monitoreo Nacional deIndicadores Nutricionales (MONIN) 2008-2010. Se construyeron puntajes de DiversidadAlimentaria (DA) según lo propuesto por la Organización Mundial de la Salud. Se describió lasituación de la DA según características de la madre, el niño y los hogares. Asimismo, se empleó unmodelo de regresión logística para estimar la asociación entre el retraso de crecimiento y la DA,ajustado por potenciales variables de confusión. (...) Conclusiones. La alimentación del niño de 6-23 meses en Perú esmonótona, con un bajo consumo generalizado de alimentos de origen animal. Mejorar la ingesta demicronutrientes y las prácticas de alimentación complementaria, especialmente a través de ladiversificación de la dieta son aspectos cruciales para prevenir el retraso de crecimiento. Debendesarrollarse estudios para definir cuestiones metodológicas, y examinar la relación entre DA yaspectos como seguridad alimentaria, adecuación nutricional y exceso de peso, que permitan su usoen diferentes condiciones y contextos. Objective. To analyze the dietary diversity (DD) situation in Peruvian children aged 6-23months, and its relationship to child growth and associated socio-demographic factors.Material and methods. This thesis is a secondary analysis of the National Surveillance ofNutritional Indicators (MONIN) 2008-2010. Dietary diversity (DD) score was constructedaccording to suggested by the World Health Organization. The status of DD was described bycharacteristics of the mother, child and households. Also, it was used a logistic regressionmodel to estimate the association between stunting and DD, model was adjusted by potentialconfounding variables. (...) Conclusions. Diet of Peruvian children 6-23 months is monotonous, generally poorin animal source foods. Improve micronutrient intake and complementary feeding practices,especially through diet diversification are crucial to prevent stunting. Studies to definemethodological aspects and examine the relationship between DD and issues such as foodsecurity, nutritional adequacy and excess weight, appropriate to be used in different contexts,should be developed.","author":[{"dropping-particle":"","family":"Aramburú La Torre","given":"Adolfo Martín","non-dropping-particle":"","parse-names":false,"suffix":""}],"id":"ITEM-14","issued":{"date-parts":[["2014"]]},"language":"pt","note":"Aviva - Spanish\nThesis","page":"viii,62-viii,62","title":"Diversidad alimentaria y su asociación con el retraso del crecimiento en niños de 6-23 meses. Perú, 2008-2010","type":"article-journal"},"uris":["http://www.mendeley.com/documents/?uuid=17bd5382-74a0-4e56-ae18-1adda8b0d516"]}],"mendeley":{"formattedCitation":"[11,25,30,36,40,44–52]","plainTextFormattedCitation":"[11,25,30,36,40,44–52]","previouslyFormattedCitation":"[11,25,30,36,40,44–52]"},"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[11,25,30,36,40,44–52]</w:t>
      </w:r>
      <w:r w:rsidRPr="00C14D61">
        <w:rPr>
          <w:rFonts w:ascii="Helvetica" w:hAnsi="Helvetica" w:cs="Helvetica"/>
          <w:sz w:val="22"/>
          <w:szCs w:val="22"/>
        </w:rPr>
        <w:fldChar w:fldCharType="end"/>
      </w:r>
      <w:r w:rsidRPr="00C14D61">
        <w:rPr>
          <w:rFonts w:ascii="Helvetica" w:hAnsi="Helvetica" w:cs="Helvetica"/>
          <w:sz w:val="22"/>
          <w:szCs w:val="22"/>
        </w:rPr>
        <w:t>,</w:t>
      </w:r>
      <w:r w:rsidRPr="00C14D61">
        <w:rPr>
          <w:rFonts w:ascii="Helvetica" w:hAnsi="Helvetica" w:cs="Helvetica"/>
          <w:color w:val="000000" w:themeColor="text1"/>
          <w:sz w:val="22"/>
          <w:szCs w:val="22"/>
        </w:rPr>
        <w:t xml:space="preserve"> while 2 studies showed no association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{"citationItems":[{"id":"ITEM-1","itemData":{"PMID":"372282710","abstract":"Background. Human noroviruses are among the most common enteropathogens globally, and are a leading cause of infant diarrhea in developing countries. However, data measuring the impact of norovirus at the community level are sparse.Methods. We followed a birth cohort of children to estimate norovirus infection and diarrhea incidence in a Peruvian community. Stool samples from diarrheal episodes and randomly selected nondiarrheal samples were tested by polymerase chain reaction for norovirus genogroup and genotype. Excretion duration and rotavirus coinfection were evaluated in a subset of episodes.Results. Two hundred twenty and 189 children were followed to 1 and 2 years of age, respectively. By 1 year, 80% (95% confidence interval [CI], 75%-85%) experienced at least 1 norovirus infection and by 2 years, 71% (95% CI, 65%-77%) had at least 1 episode of norovirus-associated diarrhea. Genogroup II (GII) infections were 3 times more frequent than genogroup 1 (GI) infections. Eighteen genotypes were found; GII genotype 4 accounted for 41%. Median excretion duration was 34.5 days for GII vs 8.5 days for GI infection (P =. 0006). Repeat infections by the same genogroup were common, but repeat infections by the same genotype were rare. Mean length-for-age z score at 12 months was lower among children with prior norovirus infection compared to uninfected children (coefficient: -0.33 [95% CI, -.65 to -.01]; P =. 04); the effect persisted at 24 months.Conclusions. Norovirus infection occurs early in life and children experience serial infections with multiple genotypes, suggesting genotype-specific immunity. An effective vaccine would have a substantial impact on morbidity, but may need to target multiple genotypes. © 2013 The Author 2013. Published by Oxford University Press on behalf of the Infectious Diseases Society of America.","author":[{"dropping-particle":"","family":"Saito","given":"M","non-dropping-particle":"","parse-names":false,"suffix":""},{"dropping-particle":"","family":"Goel-Apaza","given":"S","non-dropping-particle":"","parse-names":false,"suffix":""},{"dropping-particle":"","family":"Espetia","given":"S","non-dropping-particle":"","parse-names":false,"suffix":""},{"dropping-particle":"","family":"Velasquez","given":"D","non-dropping-particle":"","parse-names":false,"suffix":""},{"dropping-particle":"","family":"Cabrera","given":"L","non-dropping-particle":"","parse-names":false,"suffix":""},{"dropping-particle":"","family":"Loli","given":"S","non-dropping-particle":"","parse-names":false,"suffix":""},{"dropping-particle":"","family":"Crabtree","given":"J E","non-dropping-particle":"","parse-names":false,"suffix":""},{"dropping-particle":"","family":"Black","given":"R E","non-dropping-particle":"","parse-names":false,"suffix":""},{"dropping-particle":"","family":"Kosek","given":"M","non-dropping-particle":"","parse-names":false,"suffix":""},{"dropping-particle":"","family":"Checkley","given":"W","non-dropping-particle":"","parse-names":false,"suffix":""},{"dropping-particle":"","family":"Zimic","given":"M","non-dropping-particle":"","parse-names":false,"suffix":""},{"dropping-particle":"","family":"Bern","given":"C","non-dropping-particle":"","parse-names":false,"suffix":""},{"dropping-particle":"","family":"Cama","given":"V","non-dropping-particle":"","parse-names":false,"suffix":""},{"dropping-particle":"","family":"Gilman","given":"R H","non-dropping-particle":"","parse-names":false,"suffix":""}],"container-title":"Clinical Infectious Diseases","id":"ITEM-1","issue":"4","issued":{"date-parts":[["2014"]]},"page":"483-491","title":"Multiple norovirus infections in a birth cohort in a peruvian periurban community","type":"article-journal","volume":"58"},"uris":["http://www.mendeley.com/documents/?uuid=3b983025-5657-4365-b16a-22132f0bfa8d","http://www.mendeley.com/documents/?uuid=0ad64fee-a3be-48ba-9024-e77c6184c33a","http://www.mendeley.com/documents/?uuid=93477f11-8656-46d9-863b-46a44212c20b"]},{"id":"ITEM-2","itemData":{"PMID":"355692835","abstract":"Background. Previous growth studies of Peruvian children have featured high stunting rates and limited information about body composition. Objective. We aimed to characterize anthropometric measures of Peruvian infants 0 to 12 months of age in relation to the international growth references and biological, environmental, and socioeconomic factors. Methods. Infants (n = 232) were followed longitudinally from birth through 12 months of age from a prenatal zinc supplementation trial conducted in Lima, Peru, between 1995 and 1997. Anthropometric measures of growth and body composition were obtained at enrollment from mothers and monthly through 1 year of age from infants. Weekly morbidity and dietary intake surveillance was carried out during the second half of infancy. Results. The prevalence rates of stunting, underweight, and wasting did not exceed 4% based on the World Health Organization growth references. Infants of mothers from high-altitude regions had larger chest circumference (p =.006) and greater length (p =.06) by 12 months. Significant predictors of growth and body composition throughout infancy were age, sex, anthropometric measurements at birth, breastfeeding, maternal anthropometric measurements, primiparity, prevalence of diarrhea among children, and the altitude of the region of maternal origin. No associations were found for maternal education, asset ownership, or sanitation and hygiene factors. Conclusions. Peruvian infants in this urban setting had lower rates of stunting than expected. Proximal and familial conditions influenced growth throughout infancy. © 2009.","author":[{"dropping-particle":"","family":"Iannotti","given":"L L","non-dropping-particle":"","parse-names":false,"suffix":""},{"dropping-particle":"","family":"Zavaleta","given":"N","non-dropping-particle":"","parse-names":false,"suffix":""},{"dropping-particle":"","family":"Leon","given":"Z","non-dropping-particle":"","parse-names":false,"suffix":""},{"dropping-particle":"","family":"Caulfield","given":"E L","non-dropping-particle":"","parse-names":false,"suffix":""}],"container-title":"Food and Nutrition Bulletin","id":"ITEM-2","issue":"3","issued":{"date-parts":[["2009"]]},"page":"245-253","title":"Growth and body composition of Peruvian infants in a peri urban setting","type":"article-journal","volume":"30"},"uris":["http://www.mendeley.com/documents/?uuid=537381da-5624-4128-9360-400b6c0f7c70"]}],"mendeley":{"formattedCitation":"[53,54]","plainTextFormattedCitation":"[53,54]","previouslyFormattedCitation":"[53,54]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[53,54]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Caregiver schooling was also associated with HAZ in Peru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{"citationItems":[{"id":"ITEM-1","itemData":{"PMID":"52628457","abstract":"Recent research has demonstrated some growth recovery among children stunted in infancy. Less is known about key age ranges for such growth recovery, and what factors are correlates with this growth. This study characterized child growth up to age 1 year, and from ages 1 to 5 and 5 to 8 years controlling for initial height-for-age z-score (HAZ), and identified key distal household and community factors associated with these growth measures using longitudinal data on 7266 children in the Young Lives (YL) study in Ethiopia, India, Peru and Vietnam. HAZ at about age 1 year and age in months predicted much of the variation in HAZ at age 5 years, but 40-71% was not predicted. Similarly, HAZ at age 5 years and age in months did not predict 26-47% of variation in HAZ at 8 years. Multiple regression analysis suggests that parental schooling, consumption, and mothers' height are key correlates of HAZ at about age 1 and also are associated with unpredicted change in HAZ from ages 1 to 5 and 5 to 8 years, given initial HAZ. These results underline the importance of a child's starting point in infancy in determining his or her growth, point to key distal household and community factors that may determine early growth in early life and subsequent growth recovery and growth failure, and indicate that these factors vary some by country, urban/rural designation, and child sex. © 2013 Elsevier Ltd.","author":[{"dropping-particle":"","family":"Schott","given":"W B","non-dropping-particle":"","parse-names":false,"suffix":""},{"dropping-particle":"","family":"Crookston","given":"B T","non-dropping-particle":"","parse-names":false,"suffix":""},{"dropping-particle":"","family":"Lundeen","given":"E A","non-dropping-particle":"","parse-names":false,"suffix":""},{"dropping-particle":"","family":"Stein","given":"A D","non-dropping-particle":"","parse-names":false,"suffix":""},{"dropping-particle":"","family":"Behrman","given":"J R","non-dropping-particle":"","parse-names":false,"suffix":""}],"container-title":"Social Science and Medicine","id":"ITEM-1","issued":{"date-parts":[["2013"]]},"page":"278-287","title":"Periods of child growth up to age 8 years in Ethiopia, India, Peru and Vietnam: Key distal household and community factors","type":"article-journal","volume":"97"},"uris":["http://www.mendeley.com/documents/?uuid=558c5b0e-03ae-4db9-9281-4d40349e6523"]}],"mendeley":{"formattedCitation":"[55]","plainTextFormattedCitation":"[55]","previouslyFormattedCitation":"[55]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Similarly, maternal illiteracy was a risk factor for stunting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{"citationItems":[{"id":"ITEM-1","itemData":{"abstract":"Antecedentes: La desnutrición crónica infantil es un indicador del desarrollo de un país, motivo por el cual se ha reconocido a la nutrición como un pilar básico para el desarrollo social y económico, es decir, la desnutrición crónica no se traduce solo en un problema de salud, sino también en una limitante para el desarrollo del país. Es de uso frecuente que el retraso de crecimiento se emplee como indicador de la pobreza y el subdesarrollo. Métodos: En base a la Encuesta Demográfica y de Salud Familiar û ENDES 2012 se realizó la identificación de los determinantes de la desnutrición crónica a través de un análisis de regresión a nivel de Perú, sin embargo para realizar el mismo análisis a nivel regional se tuvo que agrupar a las regiones en seis macrorregiones. Para realizar este modelo explicativo se utilizó el software estadístico Stata versión 12, teniendo como variable dependiente la desnutrición crónica en menores de 5 años de edad. Finalmente, se seleccionó el modelo de regresión logística múltiple con los mejores parámetros post estimadores de evaluación (prueba de bondad de ajuste 100% y link test: hat 0,012 y hatsq 0,1), tanto para el nivel nacional como a nivel macroregional. Resultado: Se han identificado tres determinantes de riesgo y tres determinantes de protección a nivel nacional, los primeros serían los que más contribuirían en mantener o incrementar la prevalencia de desnutrición crónica en un niño menor de 5 años. Los determinantes que implicaron el incremento del riesgo de presentar desnutrición crónica en un menor de 5 años son la pobreza extrema (OR=4,0), antecedente de bajo peso al nacer (OR=2,6) y ningún nivel educativo de la madre (OR=1,9). Los determinantes que involucran protección son el antecedente de parto en un establecimiento de salud (OR=0,4), ingerir hierro durante la gestación (OR=0,6) y haber tenido control prenatal completo en el 1er trimestre (OR=0,7). Background: Chronic child malnutrition is an indicator of a country&amp;#039;s development. It has been recognized that nutrition is a cornerstone for social and economic development, ie, chronic malnutrition is not translated only as a health problem, but also a limitation for development. It is common that stunting is used as an indicator of poverty and underdevelopment. Methods: Based on the Demographic and Health Survey - DHS 2012the identification of the determinants of chronic malnutrition through a regression analysis was conducted at the national level. To perfo…","author":[{"dropping-particle":"","family":"Mariños-Anticona","given":"Carlos","non-dropping-particle":"","parse-names":false,"suffix":""},{"dropping-particle":"","family":"Chaña-Toledo","given":"Roy","non-dropping-particle":"","parse-names":false,"suffix":""},{"dropping-particle":"","family":"Medina-Osis","given":"José","non-dropping-particle":"","parse-names":false,"suffix":""},{"dropping-particle":"","family":"Vidal-Anzardo","given":"Margot","non-dropping-particle":"","parse-names":false,"suffix":""},{"dropping-particle":"","family":"Valdez-Huarcaya","given":"William","non-dropping-particle":"","parse-names":false,"suffix":""}],"container-title":"Rev. peru. epidemiol. (Online)","id":"ITEM-1","issue":"supl.1","issued":{"date-parts":[["2014"]]},"language":"es","page":"1-7","title":"Determinantes sociales de la desnutrición crónica infantil en el Perú","type":"article-journal","volume":"18"},"uris":["http://www.mendeley.com/documents/?uuid=b60e921f-7d27-4874-8a5b-080c8d5985ed"]}],"mendeley":{"formattedCitation":"[56]","plainTextFormattedCitation":"[56]","previouslyFormattedCitation":"[56]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[56]</w:t>
      </w:r>
      <w:r w:rsidRPr="00C14D61">
        <w:rPr>
          <w:rFonts w:ascii="Helvetica" w:hAnsi="Helvetica" w:cs="Helvetica"/>
          <w:color w:val="000000" w:themeColor="text1"/>
          <w:sz w:val="22"/>
          <w:szCs w:val="22"/>
        </w:rPr>
        <w:fldChar w:fldCharType="end"/>
      </w:r>
      <w:r w:rsidRPr="00C14D61">
        <w:rPr>
          <w:rFonts w:ascii="Helvetica" w:hAnsi="Helvetica" w:cs="Helvetica"/>
          <w:color w:val="2E74B5" w:themeColor="accent1" w:themeShade="BF"/>
          <w:sz w:val="22"/>
          <w:szCs w:val="22"/>
        </w:rPr>
        <w:t xml:space="preserve">. </w:t>
      </w:r>
      <w:r w:rsidRPr="00C14D61">
        <w:rPr>
          <w:rFonts w:ascii="Helvetica" w:hAnsi="Helvetica" w:cs="Helvetica"/>
          <w:sz w:val="22"/>
          <w:szCs w:val="22"/>
        </w:rPr>
        <w:t xml:space="preserve">The literacy rate in Peru improved between 1993 and 2007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{"citationItems":[{"id":"ITEM-1","itemData":{"author":[{"dropping-particle":"","family":"PAHO","given":"","non-dropping-particle":"","parse-names":false,"suffix":""}],"container-title":"Health in Americas","id":"ITEM-1","issued":{"date-parts":[["2012"]]},"title":"Peru","type":"article-journal"},"uris":["http://www.mendeley.com/documents/?uuid=00d77d26-26b4-4b05-a8c7-892f9a6b55dd"]}],"mendeley":{"formattedCitation":"[57]","plainTextFormattedCitation":"[57]","previouslyFormattedCitation":"[57]"},"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[57]</w:t>
      </w:r>
      <w:r w:rsidRPr="00C14D61">
        <w:rPr>
          <w:rFonts w:ascii="Helvetica" w:hAnsi="Helvetica" w:cs="Helvetica"/>
          <w:sz w:val="22"/>
          <w:szCs w:val="22"/>
        </w:rPr>
        <w:fldChar w:fldCharType="end"/>
      </w:r>
      <w:r w:rsidRPr="00C14D61">
        <w:rPr>
          <w:rFonts w:ascii="Helvetica" w:hAnsi="Helvetica" w:cs="Helvetica"/>
          <w:sz w:val="22"/>
          <w:szCs w:val="22"/>
        </w:rPr>
        <w:t xml:space="preserve">. </w:t>
      </w:r>
      <w:r w:rsidRPr="00C14D61">
        <w:rPr>
          <w:rFonts w:ascii="Helvetica" w:hAnsi="Helvetica" w:cs="Helvetica"/>
          <w:color w:val="000000" w:themeColor="text1"/>
          <w:sz w:val="22"/>
          <w:szCs w:val="22"/>
        </w:rPr>
        <w:t xml:space="preserve">Therefore, female secondary education may have a minor role in the reduction in stunting over time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w:t>
      </w:r>
      <w:r w:rsidRPr="00C14D61">
        <w:rPr>
          <w:rFonts w:ascii="Helvetica" w:hAnsi="Helvetica" w:cs="Helvetica"/>
          <w:color w:val="000000" w:themeColor="text1"/>
          <w:sz w:val="22"/>
          <w:szCs w:val="22"/>
        </w:rPr>
        <w:t xml:space="preserve">This association may be explained by the significant interaction between child feeding practices and maternal education p=0.06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{"citationItems":[{"id":"ITEM-1","itemData":{"PMID":"20023134069","abstract":"Data from the Demographic and Health Surveys (DHS) for 5 Latin American countries (7 data sets) were used to explore the feasibility of creating a composite feeding index and to examine the association between feeding practices and child height-for-age Z-scores (HAZ). The variables used for the index were as follows: current breast-feeding, use of complementary foods and liquids in the past 24 h, frequency of use over the past week and feeding frequency. The index was made age specific for 6- to 9-, 9- to 12- and 12- to 36-mo-old age groups, and age-specific feeding terciles were created. Bivariate analyses showed that feeding practices were strongly and significantly associated with child HAZ in all 7 data sets, especially after 12 mo of age. Differences in HAZ between child feeding terciles remained significant after controlling for potentially confounding influences, for all countries except Bolivia. Multiple regression analyses also revealed that better feeding practices were more important for children of lower, compared with higher socioeconomic status (in Colombia 1995 and Nicaragua 1998); among children of Ladino (Spanish speaking) compared with indigenous origin (in Guatemala 1995); and among children whose mothers had primary schooling compared with mothers with no schooling, or mothers with higher than primary school level (Peru 1996). The data available in DHS data sets can thus be used effectively to create a composite child feeding index and to identify vulnerable groups that could be targeted by nutrition education and behavior change interventions.","author":[{"dropping-particle":"","family":"Ruel","given":"M T","non-dropping-particle":"","parse-names":false,"suffix":""},{"dropping-particle":"","family":"Menon","given":"P","non-dropping-particle":"","parse-names":false,"suffix":""}],"container-title":"Journal of Nutrition","id":"ITEM-1","issue":"6","issued":{"date-parts":[["2002"]]},"page":"1180-1187","title":"Child feeding practices are associated with child nutritional status in Latin America: innovative uses of the Demographic and Health Surveys","type":"article-journal","volume":"132"},"uris":["http://www.mendeley.com/documents/?uuid=fecc56f2-a8fe-4562-b39e-37c9dde401be"]}],"mendeley":{"formattedCitation":"[58]","plainTextFormattedCitation":"[58]","previouslyFormattedCitation":"[58]"},"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[58]</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7F0C53EB" w14:textId="77777777" w:rsidR="001070CC" w:rsidRPr="00C14D61" w:rsidRDefault="001070CC" w:rsidP="000C7ADC">
      <w:pPr>
        <w:rPr>
          <w:rFonts w:ascii="Helvetica" w:hAnsi="Helvetica" w:cs="Helvetica"/>
          <w:color w:val="000000" w:themeColor="text1"/>
          <w:sz w:val="22"/>
          <w:szCs w:val="22"/>
        </w:rPr>
      </w:pPr>
    </w:p>
    <w:p w14:paraId="16FC4A6C" w14:textId="29750A9A"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Two studies evaluated the impact of maternal community organization membership on HAZ. One study found that membership impacts a child’s HAZ in the same way formal education does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{"citationItems":[{"id":"ITEM-1","itemData":{"PMID":"20133047488","abstract":"In previous literature, social capital has been hypothesized as a substitute for other forms of capital, such as physical and human capital. This paper contributes to this literature, studying the association between mothers' access to social capital via participation in community organizations and their children's nutritional status at 1 and 5 years. Using the Peruvian sample of the Young Lives project, this study suggests that, where human capital is scarce, social capital might have important implications for child development. Maternal social capital is positively associated with height at 1 year old for those children whose mothers have no formal education. No significant association is found at 5 years of age.","author":[{"dropping-particle":"","family":"Favara","given":"M","non-dropping-particle":"","parse-names":false,"suffix":""}],"container-title":"Policy Research Working Paper - World Bank; 2012. (6264):38 pp. 78 ref.","id":"ITEM-1","issued":{"date-parts":[["2012"]]},"publisher":"World Bank","publisher-place":"Washington","title":"\"United we stand divided we fall\": maternal social participation and children's nutritional status in Peru","type":"article"},"uris":["http://www.mendeley.com/documents/?uuid=8a9d23ce-c791-4402-8226-1655f6ba4a34","http://www.mendeley.com/documents/?uuid=e096c4ae-088e-4bd6-92af-0ca46e2fb90d","http://www.mendeley.com/documents/?uuid=1f543cdb-f020-4df5-ba90-c5fdbf2a6713"]}],"mendeley":{"formattedCitation":"[59]","plainTextFormattedCitation":"[59]","previouslyFormattedCitation":"[59]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while another study found no impact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{"citationItems":[{"id":"ITEM-1","itemData":{"PMID":"46136063","abstract":"Social capital has been shown to be positively associated with a range of health outcomes, yet no studies have explored the association between maternal social capital and child nutritional status. Using data from the Young Lives study comprising 7242 1-year-old children from Peru, Ethiopia, Vietnam and the state of Andhra Pradesh in India, we find significant differences in the levels of, in particular, structural social capital (group membership and citizenship) between countries. While few associations were found between structural measures of social capital, support from individuals and cognitive social capital (e.g. trust, social harmony) displayed fairly consistent positive associations with child nutritional status across countries. © 2006 Elsevier Ltd. All rights reserved.","author":[{"dropping-particle":"","family":"Silva","given":"M J","non-dropping-particle":"De","parse-names":false,"suffix":""},{"dropping-particle":"","family":"Harpham","given":"T","non-dropping-particle":"","parse-names":false,"suffix":""}],"container-title":"Health and Place","id":"ITEM-1","issue":"2","issued":{"date-parts":[["2007"]]},"page":"341-355","title":"Maternal social capital and child nutritional status in four developing countries","type":"article-journal","volume":"13"},"uris":["http://www.mendeley.com/documents/?uuid=32310e0d-6473-4edb-ab33-a2555565ad89","http://www.mendeley.com/documents/?uuid=b576193f-3eed-42da-8e7c-8bd086db8eb2","http://www.mendeley.com/documents/?uuid=4a1fac3a-96a2-4b0f-affe-54fc143b00ef"]}],"mendeley":{"formattedCitation":"[60]","plainTextFormattedCitation":"[60]","previouslyFormattedCitation":"[60]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Stunting was not associated with maternal common mental disorders at 1 or 5 years of age after adjusting for possible confounding variables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{"citationItems":[{"id":"ITEM-1","itemData":{"DOI":"10.1136/jech.2005.039180","ISSN":", 1470-2738","PMID":"16286495","author":[{"dropping-particle":"","family":"Bennett","given":"Ian","non-dropping-particle":"","parse-names":false,"suffix":""},{"dropping-particle":"","family":"Schott","given":"Whitney","non-dropping-particle":"","parse-names":false,"suffix":""},{"dropping-particle":"","family":"Krutikova","given":"Sofya","non-dropping-particle":"","parse-names":false,"suffix":""},{"dropping-particle":"","family":"Behrman","given":"Jere R.","non-dropping-particle":"","parse-names":false,"suffix":""}],"id":"ITEM-1","issued":{"date-parts":[["2014"]]},"title":"Maternal Mental Health and Child Growth and Developmental Outcomes in Four Developing Countries","type":"report"},"uris":["http://www.mendeley.com/documents/?uuid=9a10f53a-5c8d-4331-b111-66a6fbc05fb6"]},{"id":"ITEM-2","itemData":{"PMID":"41728274","abstract":"Objective: To test the hypothesis that maternal common mental disorders (CMD) are associated with poorer child nutritional status in four developing countries (Ethiopia, India, Vietnam, and Peru). Design: Community based cross sectional survey in 20 sites in each of the four countries. Maternal CMD measured by the self reporting questionnaire 20 items (SRQ20). Potential confounding factors include: household poverty, household composition, maternal characteristics such as age and education, child characteristics such as birth weight, age, and sex. Possible mediating factors included the child's physical health and breast feeding status. Setting: Urban and rural, poor and middle income areas in each country. Participants: 2000 mothers and their children aged 6-18 months in each country. Main outcome measures: Child stunting and underweight measured using standard anthropometric techniques. Results: Levels of maternal CMD and child malnutrition are high in each study setting. After adjusting for confounding factors, the odds ratios (OR) for the association of maternal CMD with child stunting are: India 1.4 (95%CI 1.2 to 1.6), Peru 1.1 (0.9 to 1.4), Vietnam 1.3 (0.9 to 1.7), and Ethiopia 0.9 (0.7 to 1.2). For child underweight, the confounder adjusted ORs are: India 1.1 (0.9 to 1.4), Peru 0.9 (0.6 to 1.2), Vietnam 1.4 (1.1 to 1.8), and Ethiopia 1.1 (0.9 to 1.4). No clear evidence for effect modification by the child's age or sex was found. Possible mediating factors for the effect of maternal CMD on child malnutrition did not provide strong suggestions for potential mechanisms. Conclusions: There was a relation between high maternal CMD and poor child nutritional status in India and Vietnam. However, the findings from Peru and Ethiopia do not provide clear evidence for a similar association being present in non-Asian countries. Regardless of the direction of the relation, child nutrition programmes in Asia should consider incorporating promotion of maternal mental health.","author":[{"dropping-particle":"","family":"Harpham","given":"T","non-dropping-particle":"","parse-names":false,"suffix":""},{"dropping-particle":"","family":"Huttly","given":"S","non-dropping-particle":"","parse-names":false,"suffix":""},{"dropping-particle":"","family":"Silva","given":"M J","non-dropping-particle":"De","parse-names":false,"suffix":""},{"dropping-particle":"","family":"Abramsky","given":"T","non-dropping-particle":"","parse-names":false,"suffix":""}],"container-title":"Journal of Epidemiology and Community Health","id":"ITEM-2","issue":"12","issued":{"date-parts":[["2005"]]},"page":"1060-1064","title":"Maternal mental health and child nutritional status in four developing countries","type":"article-journal","volume":"59"},"uris":["http://www.mendeley.com/documents/?uuid=256a911b-50c0-47d3-87cb-b40fa7c299fb","http://www.mendeley.com/documents/?uuid=077a1721-c321-4750-ab72-18eca147d066","http://www.mendeley.com/documents/?uuid=d7d04ace-44ce-42df-a233-3824678a2820"]}],"mendeley":{"formattedCitation":"[61,62]","plainTextFormattedCitation":"[61,62]","previouslyFormattedCitation":"[61,62]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[61,62]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67BFC203" w14:textId="77777777" w:rsidR="001070CC" w:rsidRPr="00C14D61" w:rsidRDefault="001070CC" w:rsidP="000C7ADC">
      <w:pPr>
        <w:rPr>
          <w:rFonts w:ascii="Helvetica" w:hAnsi="Helvetica" w:cs="Helvetica"/>
          <w:color w:val="2E74B5" w:themeColor="accent1" w:themeShade="BF"/>
          <w:sz w:val="22"/>
          <w:szCs w:val="22"/>
        </w:rPr>
      </w:pPr>
    </w:p>
    <w:p w14:paraId="4282D072" w14:textId="6CF56178" w:rsidR="001070CC" w:rsidRPr="00C14D61" w:rsidRDefault="001070CC" w:rsidP="000C7ADC">
      <w:pPr>
        <w:rPr>
          <w:rFonts w:ascii="Helvetica" w:hAnsi="Helvetica" w:cs="Helvetica"/>
          <w:color w:val="2E74B5" w:themeColor="accent1" w:themeShade="BF"/>
          <w:sz w:val="22"/>
          <w:szCs w:val="22"/>
        </w:rPr>
      </w:pPr>
      <w:r w:rsidRPr="00C14D61">
        <w:rPr>
          <w:rFonts w:ascii="Helvetica" w:hAnsi="Helvetica" w:cs="Helvetica"/>
          <w:color w:val="000000" w:themeColor="text1"/>
          <w:sz w:val="22"/>
          <w:szCs w:val="22"/>
        </w:rPr>
        <w:t xml:space="preserve">Alternative education programs have a positive impact on chronic malnutrition in Peru. For example, a nutrition specific intervention that targeted improving education on caregiving practices among mothers, improved their feeding practices and the frequency of health care visits and subsequently,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{"citationItems":[{"id":"ITEM-1","itemData":{"DOI":"10.1016/S0140-6736(05)66426-4","ISBN":"0140-6736","abstract":"BackgroundMalnutrition is the underlying cause of half of child mortality. Many programmes attempt to remedy this issue but there is a lack of evidence on effective ways to decrease child malnutrition. MethodsWe did a cluster-randomised trial of an educational intervention in a poor periurban area (ie, shanty town) of Peru. Guided by formative research, the intervention aimed to enhance the quality and coverage of existing nutrition education and to introduce an accreditation system in six government health facilities compared with six control facilities. The primary outcome measure was growth that was measured by weight, length, and Z scores for weight-for-age and length-for-age at age 18 months. Main secondary outcomes were the percentage of children receiving recommended feeding practices and the 24-h dietary intake of energy, iron, and zinc from complementary food at ages 6, 9, 12, and 18 months. Analysis was by intention to treat. FindingsWe enrolled a birth cohort of 187 infants from the catchment areas of intervention centres and 190 from control areas. Caregivers in intervention areas were more likely to report receiving nutrition advice from the health service than were caregivers in control health facilities (16 [52%] of 31 vs 9 [24%] of 37, p=0·02). At 6 months more babies in intervention areas were fed nutrient-dense thick foods at lunch (a recommended complementary feeding practice) than were controls (48 [31%] of 157 vs 29 [20%] of 147 difference between groups 19 [11%], p=0·03). Fewer children in intervention areas failed to meet dietary requirements for energy (8 months: 30 [18%] of 170 vs 45 [27%] of 167, p=0·04 12 months: 64 [38%] of 168 vs 82 [49%] of 167, p=0·043), iron (8 months: 155 [91%] of 170 vs 161 [96%] of 167, 9 months: 152 [93%] of 163 vs 165 [99%] of 166, p=0·047), and zinc (9 months: 125 [77%] of 163 vs 145 [87%] of 166, p=0·012) than did controls. Children in control areas were more likely to have stunted growth (ie, length for age less than 2 SD below the reference population median) at 18 months than children in intervention groups (26 [16%] of 165 vs 8 [5%] of 171 adjusted odds ratio 3·04 [95% CI 1·21–7·64]). Adjusted mean changes in weight gain, length gain, and Z scores were all significantly better in the intervention area than in the control area. InterpretationImprovement of nutrition education delivered through health services can decrease the prevalence of stunted growth in childhood in areas where access to foo…","author":[{"dropping-particle":"","family":"Penny","given":"Mary E","non-dropping-particle":"","parse-names":false,"suffix":""},{"dropping-particle":"","family":"Creed-Kanashiro","given":"Hilary M","non-dropping-particle":"","parse-names":false,"suffix":""},{"dropping-particle":"","family":"Robert","given":"Rebecca C","non-dropping-particle":"","parse-names":false,"suffix":""},{"dropping-particle":"","family":"Narro","given":"M Rocio","non-dropping-particle":"","parse-names":false,"suffix":""},{"dropping-particle":"","family":"Caulfield","given":"Laura E","non-dropping-particle":"","parse-names":false,"suffix":""},{"dropping-particle":"","family":"Black","given":"Robert E","non-dropping-particle":"","parse-names":false,"suffix":""}],"container-title":"The Lancet","id":"ITEM-1","issue":"9474","issued":{"date-parts":[["2005"]]},"page":"1863-1872","title":"Effectiveness of an educational intervention delivered through the health services to improve nutrition in young children: a cluster-randomised controlled trial","type":"article-journal","volume":"365"},"uris":["http://www.mendeley.com/documents/?uuid=8ab78162-b09d-401c-b9a6-7324e4d89931"]},{"id":"ITEM-2","itemData":{"DOI":"10.1093/heapol/czl010","abstract":"This article reports impact and cost results from a health facility-based nutrition education programme targeting children less than 2 years of age in Trujillo, Peru. Key elements of the programme included participative complementary feeding demonstrations, growth monitoring sessions and an accredita-tion process. Data were collected from six intervention and six control health facilities to measure utilization and costs associated with the intervention. To calculate the unit costs of services, these costs are allocated using activity-based costing. To measure the effects of the intervention, 338 children were followed through household surveys at regular intervals from birth until the age of 18 months. The intervention had a clear positive impact both on the use of nutrition-related services and on children's growth outcomes. Children in the intervention areas made 17.6 visits to health facilities in the first 18 months of life, compared with 14.1 visits for children in the control areas (P50.001). This pattern holds true for all socioeconomic groups. The intervention prevented 11.1 cases of stunting per 100 children. In multivariate logistic regression analysis, children in the intervention were 0.33 times as likely to be stunted as the controls (P ¼ 0.002). The marginal cost of the intervention – including external costs, training, health education materials and extra travel and equipment – is US$6.12 per child reached and US$55.16 per case of stunting prevented. The estimated marginal cost of the intervention per death averted is US$1952.","author":[{"dropping-particle":"","family":"Waters","given":"Hugh R","non-dropping-particle":"","parse-names":false,"suffix":""},{"dropping-particle":"","family":"Penny","given":"Mary E","non-dropping-particle":"","parse-names":false,"suffix":""},{"dropping-particle":"","family":"Creed-Kanashiro","given":"Hilary M","non-dropping-particle":"","parse-names":false,"suffix":""},{"dropping-particle":"","family":"Robert","given":"Rebecca C","non-dropping-particle":"","parse-names":false,"suffix":""},{"dropping-particle":"","family":"Narro","given":"Roc O","non-dropping-particle":"","parse-names":false,"suffix":""},{"dropping-particle":"","family":"Willis","given":"Jeff","non-dropping-particle":"","parse-names":false,"suffix":""},{"dropping-particle":"","family":"Caulfield","given":"Laura E","non-dropping-particle":"","parse-names":false,"suffix":""},{"dropping-particle":"","family":"Black","given":"Robert E","non-dropping-particle":"","parse-names":false,"suffix":""}],"id":"ITEM-2","issued":{"date-parts":[["2006"]]},"title":"The cost-effectiveness of a child nutrition education programme in Peru","type":"article-journal"},"uris":["http://www.mendeley.com/documents/?uuid=6dead665-83b5-4570-b7a6-f0b7fdbbc0ef"]}],"mendeley":{"formattedCitation":"[63,64]","plainTextFormattedCitation":"[63,64]","previouslyFormattedCitation":"[63,64]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[63,64]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IMCI education among mothers had a positive impact on knowledge, but did not change child’s anthropometry at follow up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{"citationItems":[{"id":"ITEM-1","itemData":{"PMID":"20113048729","abstract":"Background: Poverty, lack of female empowerment, and lack of education are major risk factors for childhood illness worldwide. Microcredit programs, by offering small loans to poor individuals, attempt to address the first two of these risk factors, poverty and gender disparity. They provide clients, usually women, with a means to invest in their businesses and support their families. This study investigates the health effects of also addressing the remaining risk factor, lack of knowledge about important health issues, through randomization of members of a microcredit organization to receive a health education module based on the World Health Organization's Integrated Management of Childhood Illness (IMCI) community intervention. Method: Baseline data were collected in February 2007 from clients of a microcredit organization in Pucallpa, Peru (n=1,855) and their children (n=598). Loan groups, consisting of 15 to 20 clients, were then randomly assigned to receive a health education intervention involving eight monthly 30-minute sessions given by the organization's loan officers at monthly loan group meetings. In February 2008, follow-up data were collected, and included assessments of sociodemographic information, knowledge of child health issues, and child health status (including child height, weight, and blood hemoglobin levels). To explore the effects of treatment (i.e., participation in the health education sessions) on the key outcome variables, multivariate regressions were implemented using ordinary least squares. Results: Individuals in the IMCI treatment arm demonstrated more knowledge about a variety of issues related to child health, but there were no changes in anthropometric measures or reported child health status. Conclusions: Microcredit clients randomized to an IMCI educational intervention showed greater knowledge about child health, but no differences in child health outcomes compared to controls. These results imply that the intervention did not have sufficient intensity to change behavior, or that microcredit organizations may not be an appropriate setting for the administration of child health educational interventions of this type.","author":[{"dropping-particle":"","family":"Hamad","given":"R","non-dropping-particle":"","parse-names":false,"suffix":""},{"dropping-particle":"","family":"Fernald","given":"L C H","non-dropping-particle":"","parse-names":false,"suffix":""},{"dropping-particle":"","family":"Karlan","given":"D S","non-dropping-particle":"","parse-names":false,"suffix":""}],"container-title":"BMC Public Health","id":"ITEM-1","issue":"51","issued":{"date-parts":[["2011"]]},"title":"Health education for microcredit clients in Peru: a randomized controlled trial","type":"article-journal","volume":"11"},"uris":["http://www.mendeley.com/documents/?uuid=133d2c74-4aaa-4529-891c-b8a9f4010948"]}],"mendeley":{"formattedCitation":"[65]","plainTextFormattedCitation":"[65]","previouslyFormattedCitation":"[65]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2F8379B6" w14:textId="77777777" w:rsidR="001070CC" w:rsidRPr="00C14D61" w:rsidRDefault="001070CC" w:rsidP="000C7ADC">
      <w:pPr>
        <w:rPr>
          <w:rFonts w:ascii="Helvetica" w:hAnsi="Helvetica" w:cs="Helvetica"/>
          <w:sz w:val="22"/>
          <w:szCs w:val="22"/>
        </w:rPr>
      </w:pPr>
    </w:p>
    <w:p w14:paraId="61E0FBDA" w14:textId="77268C96" w:rsidR="001070CC" w:rsidRPr="00C14D61" w:rsidRDefault="001070CC" w:rsidP="000C7ADC">
      <w:pPr>
        <w:rPr>
          <w:rFonts w:ascii="Helvetica" w:hAnsi="Helvetica" w:cs="Helvetica"/>
          <w:color w:val="2E74B5" w:themeColor="accent1" w:themeShade="BF"/>
          <w:sz w:val="22"/>
          <w:szCs w:val="22"/>
        </w:rPr>
      </w:pPr>
      <w:r w:rsidRPr="00C14D61">
        <w:rPr>
          <w:rFonts w:ascii="Helvetica" w:hAnsi="Helvetica" w:cs="Helvetica"/>
          <w:sz w:val="22"/>
          <w:szCs w:val="22"/>
        </w:rPr>
        <w:t xml:space="preserve">The </w:t>
      </w:r>
      <w:r w:rsidRPr="00C14D61">
        <w:rPr>
          <w:rFonts w:ascii="Helvetica" w:hAnsi="Helvetica" w:cs="Helvetica"/>
          <w:color w:val="000000" w:themeColor="text1"/>
          <w:sz w:val="22"/>
          <w:szCs w:val="22"/>
        </w:rPr>
        <w:t xml:space="preserve">period of 2005 – 2011, had more calories available per capita compared to 1996 – 2005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w:t>
      </w:r>
      <w:r w:rsidRPr="00C14D61">
        <w:rPr>
          <w:rFonts w:ascii="Helvetica" w:hAnsi="Helvetica" w:cs="Helvetica"/>
          <w:color w:val="000000" w:themeColor="text1"/>
          <w:sz w:val="22"/>
          <w:szCs w:val="22"/>
        </w:rPr>
        <w:t xml:space="preserve">Food availability had been linked to changes in HAZ over time in a longitudinal study conducted in urban Peru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{"citationItems":[{"id":"ITEM-1","itemData":{"PMID":"8882202","abstract":"Seasonal variation in nutritional status among young children has been described in rural populations, but in few urban settings. We examined seasonality in 7 years of nutritional surveillance data from an urban shanty town near Lima, Peru, where children 0-35 months old were measured at intervals of 4-5 months. We compared nutritional status by month, using generalized estimating equations to account for the intercorrelations among measurements of the same person at different times. The periodicity of the seasonal variation was found to fit a model in which the month of the year was sine-transformed, and this sine-transformed model was used to examine possible interactions with age, sex and year of examination. A total of 38,626 measurements was available from 11,333 children. In late winter, mean weight-for-height was an estimated 0.38 Z score higher than in late summer. The seasonal effect occurred at all ages, in both sexes, and in each year of surveillance. The amplitude was greatest for children 6-23 months old. The summer trough in weight-for-height was lower in 1989 than in other years; children who experienced this summer low had lower mean height-for-age in subsequent years. The seasonal variation in nutritional status may be related to differences in dietary intake, or to the higher prevalence of bacterial diarrhoea in summer than in winter. The more marked drop in weight-for-height in 1989 and subsequent trough in height-for-age may be related to political and economic changes than adversely affected food access in Peru.","author":[{"dropping-particle":"","family":"Marin","given":"C M","non-dropping-particle":"","parse-names":false,"suffix":""},{"dropping-particle":"","family":"Segura","given":"J L","non-dropping-particle":"","parse-names":false,"suffix":""},{"dropping-particle":"","family":"Bern","given":"C","non-dropping-particle":"","parse-names":false,"suffix":""},{"dropping-particle":"","family":"Freedman","given":"D S","non-dropping-particle":"","parse-names":false,"suffix":""},{"dropping-particle":"","family":"Guillermo Lescano","given":"A","non-dropping-particle":"","parse-names":false,"suffix":""},{"dropping-particle":"","family":"Benavente","given":"L E","non-dropping-particle":"","parse-names":false,"suffix":""},{"dropping-particle":"","family":"Cordero","given":"L G","non-dropping-particle":"","parse-names":false,"suffix":""},{"dropping-particle":"","family":"Clavijo","given":"L","non-dropping-particle":"","parse-names":false,"suffix":""},{"dropping-particle":"","family":"Gilman","given":"J B","non-dropping-particle":"","parse-names":false,"suffix":""}],"container-title":"Transactions of the Royal Society of Tropical Medicine &amp; Hygiene","id":"ITEM-1","issue":"4","issued":{"date-parts":[["1996"]]},"page":"442-445","title":"Seasonal change in nutritional status among young children in an urban shanty town in Peru","type":"article-journal","volume":"90"},"uris":["http://www.mendeley.com/documents/?uuid=c79300d2-aed6-4ceb-af09-637a6461ef3b"]}],"mendeley":{"formattedCitation":"[66]","plainTextFormattedCitation":"[66]","previouslyFormattedCitation":"[66]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[66]</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However, availability alone will not impact HAZ. Family income influences nutritional status of the children; this mechanism is modified by improved dietary intake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{"citationItems":[{"id":"ITEM-1","itemData":{"PMID":"20163381022","abstract":"Introduction: Inapari is a town located in Peru, on the border of Brazil, between the Amazonian states of Acre and Amazonas. The local Peruvian children under five years of age present moderate anemia while the percentage of chronic child malnutrition is a major public health problem in the country as a whole. Goals: The purpose of this study was to identify the prevalence of major childhood morbidities caused by anemia, malnutrition, intestinal parasites, toxocariasis, and hepatitis A, and identify connections with the socioeconomic and environmental conditions found in Inapari. Methods: Interviews with questionnaires; anthropometric measurements, collection of feces and venous blood samples. Results: A 20% prevalence of anemia and 8.5% prevalence of chronic malnutrition (height for age deficiency) was found. A pathogenic intestinal parasite was noted in 24.5% of the samples, where Giardia intestinalis (14.7%) was the most frequent. The seroprevalence of toxocariasis was 33.8% and hepatitis A was 21.2%. Conclusion: There is a connection between the results found and the poor living and sanitary conditions of the population. The low income noted is also linked to the malnutrition and anemia detected.","author":[{"dropping-particle":"","family":"Santos","given":"A P","non-dropping-particle":"","parse-names":false,"suffix":""},{"dropping-particle":"","family":"Oliart-Guzman","given":"H","non-dropping-particle":"","parse-names":false,"suffix":""},{"dropping-particle":"","family":"Branco","given":"L F C C","non-dropping-particle":"","parse-names":false,"suffix":""},{"dropping-particle":"","family":"Brana","given":"A M","non-dropping-particle":"","parse-names":false,"suffix":""},{"dropping-particle":"","family":"Delfino","given":"B M","non-dropping-particle":"","parse-names":false,"suffix":""},{"dropping-particle":"","family":"Campos","given":"R G","non-dropping-particle":"","parse-names":false,"suffix":""},{"dropping-particle":"","family":"Pereira","given":"T M","non-dropping-particle":"","parse-names":false,"suffix":""},{"dropping-particle":"","family":"Mantovani","given":"S A S","non-dropping-particle":"","parse-names":false,"suffix":""},{"dropping-particle":"","family":"Martins","given":"A C","non-dropping-particle":"","parse-names":false,"suffix":""},{"dropping-particle":"","family":"Filgueira-Junior","given":"J A","non-dropping-particle":"","parse-names":false,"suffix":""},{"dropping-particle":"","family":"Oliveira","given":"C S de M","non-dropping-particle":"","parse-names":false,"suffix":""},{"dropping-particle":"de","family":"Araujo","given":"T S","non-dropping-particle":"","parse-names":false,"suffix":""},{"dropping-particle":"","family":"Ramalho","given":"A A","non-dropping-particle":"","parse-names":false,"suffix":""},{"dropping-particle":"","family":"Fontoura","given":"P S","non-dropping-particle":"","parse-names":false,"suffix":""},{"dropping-particle":"","family":"Rubinsky-Elefant","given":"G","non-dropping-particle":"","parse-names":false,"suffix":""},{"dropping-particle":"","family":"Estrada","given":"C H M de L","non-dropping-particle":"","parse-names":false,"suffix":""},{"dropping-particle":"","family":"Arrospide","given":"N","non-dropping-particle":"","parse-names":false,"suffix":""},{"dropping-particle":"da","family":"Silva-Nunes","given":"M","non-dropping-particle":"","parse-names":false,"suffix":""}],"container-title":"Revista de Patologia Tropical","id":"ITEM-1","issue":"3","issued":{"date-parts":[["2016"]]},"page":"305-321","title":"Prevalence of nutritional deficiencies and morbidity by infectious diseases in children 0-5 years of age in Inapari in the Peruvian Amazon","type":"article-journal","volume":"45"},"uris":["http://www.mendeley.com/documents/?uuid=d73b610c-97ed-40d2-8bc5-283527a7ce74"]}],"mendeley":{"formattedCitation":"[41]","plainTextFormattedCitation":"[41]","previouslyFormattedCitation":"[41]"},"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[41]</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Data from a microcredit study depicts a  15% decrease in food insecurity scores with every loan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{"citationItems":[{"id":"ITEM-1","itemData":{"PMID":"20143386956","abstract":"Background: Childhood malnutrition is a major consequence of poverty worldwide. Microcredit programmes - which offer small loans, financial literacy and social support to low-income individuals - are increasingly promoted as a way to improve the health of clients and their families. This study evaluates the hypothesis that longer participation in a microcredit programme is associated with improvements in the health of children of microcredit clients. Methods: Cross-sectional data were collected in February 2007 from 511 clients of a microcredit organisation in Peru and 596 of their children under 5 years of age. The primary predictor variable was length of participation in the microcredit programme. Outcome variables included height, weight, anaemia, household food security and parent-reported indicators of child health. Multivariate linear and logistic regressions assessed the association between the number of loan cycles and child health outcomes. Pathways through which microcredit may have influenced health outcomes were also explored via mediation analyses. Results: Longer participation in microcredit was associated with greater household food security and reduced likelihood of childhood anaemia. No significant associations were observed between microcredit participation and incidence of childhood illnesses or anthropometric indicators. Increased consumption of red meat may mediate the association between the number of loan cycles and food security, but not the association with anaemia. Conclusions: The effects of microcredit on the health of clients' children are understudied. Exploratory findings from this analysis suggest that microcredit may positively influence child health, and that diet may play a causal role.","author":[{"dropping-particle":"","family":"Moseson","given":"H","non-dropping-particle":"","parse-names":false,"suffix":""},{"dropping-particle":"","family":"Hamad","given":"R","non-dropping-particle":"","parse-names":false,"suffix":""},{"dropping-particle":"","family":"Fernald","given":"L","non-dropping-particle":"","parse-names":false,"suffix":""}],"container-title":"Journal of Epidemiology &amp; Community Health","id":"ITEM-1","issue":"12","issued":{"date-parts":[["2014"]]},"page":"1175-1181","title":"Microcredit participation and child health: results from a cross-sectional study in Peru","type":"article-journal","volume":"68"},"uris":["http://www.mendeley.com/documents/?uuid=70ef40d7-f4ce-41f0-8e5b-19b4911c800b"]}],"mendeley":{"formattedCitation":"[67]","plainTextFormattedCitation":"[67]","previouslyFormattedCitation":"[67]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Completion of more loan cycles was associated with an increase in mean read meat consumption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{"citationItems":[{"id":"ITEM-1","itemData":{"PMID":"20143386956","abstract":"Background: Childhood malnutrition is a major consequence of poverty worldwide. Microcredit programmes - which offer small loans, financial literacy and social support to low-income individuals - are increasingly promoted as a way to improve the health of clients and their families. This study evaluates the hypothesis that longer participation in a microcredit programme is associated with improvements in the health of children of microcredit clients. Methods: Cross-sectional data were collected in February 2007 from 511 clients of a microcredit organisation in Peru and 596 of their children under 5 years of age. The primary predictor variable was length of participation in the microcredit programme. Outcome variables included height, weight, anaemia, household food security and parent-reported indicators of child health. Multivariate linear and logistic regressions assessed the association between the number of loan cycles and child health outcomes. Pathways through which microcredit may have influenced health outcomes were also explored via mediation analyses. Results: Longer participation in microcredit was associated with greater household food security and reduced likelihood of childhood anaemia. No significant associations were observed between microcredit participation and incidence of childhood illnesses or anthropometric indicators. Increased consumption of red meat may mediate the association between the number of loan cycles and food security, but not the association with anaemia. Conclusions: The effects of microcredit on the health of clients' children are understudied. Exploratory findings from this analysis suggest that microcredit may positively influence child health, and that diet may play a causal role.","author":[{"dropping-particle":"","family":"Moseson","given":"H","non-dropping-particle":"","parse-names":false,"suffix":""},{"dropping-particle":"","family":"Hamad","given":"R","non-dropping-particle":"","parse-names":false,"suffix":""},{"dropping-particle":"","family":"Fernald","given":"L","non-dropping-particle":"","parse-names":false,"suffix":""}],"container-title":"Journal of Epidemiology &amp; Community Health","id":"ITEM-1","issue":"12","issued":{"date-parts":[["2014"]]},"page":"1175-1181","title":"Microcredit participation and child health: results from a cross-sectional study in Peru","type":"article-journal","volume":"68"},"uris":["http://www.mendeley.com/documents/?uuid=70ef40d7-f4ce-41f0-8e5b-19b4911c800b"]}],"mendeley":{"formattedCitation":"[67]","plainTextFormattedCitation":"[67]","previouslyFormattedCitation":"[67]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The Awajun indigenous people purchased less than 1% of their food, and this population has a high prevalence of stunting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{"citationItems":[{"id":"ITEM-1","itemData":{"PMID":"20073268307","abstract":"Awajun* Indigenous People live along the Rio Cenepa in the Peruvian Amazon. This article describes the Awajun traditional food system (TFS) and defines its nutritional importance. Nutritional status of women and young children were assessed using anthropometry. Dietary intakes were recorded using repeat 24-hour recalls. Anthropometry suggested a healthy population, although the Awajun had short stature. They purchased &lt;1% of their food. Group dietary assessments indicated adequate intakes of energy, protein, fat, iron, zinc, vitamin C, and vitamin A. The Awajun TFS provides good nutrition and should be promoted and protected.","author":[{"dropping-particle":"","family":"Roche","given":"M L","non-dropping-particle":"","parse-names":false,"suffix":""},{"dropping-particle":"","family":"Creed-Kanashiro","given":"H M","non-dropping-particle":"","parse-names":false,"suffix":""},{"dropping-particle":"","family":"Tuesta","given":"I","non-dropping-particle":"","parse-names":false,"suffix":""},{"dropping-particle":"V","family":"Kuhnlein","given":"H","non-dropping-particle":"","parse-names":false,"suffix":""}],"container-title":"Ecology of Food and Nutrition","id":"ITEM-1","issue":"5-6","issued":{"date-parts":[["2007"]]},"page":"377-399","title":"Traditional Food System Provides Dietary Quality for the Awajún in the Peruvian Amazon","type":"article-journal","volume":"46"},"uris":["http://www.mendeley.com/documents/?uuid=a9bddfe8-f6ce-4dee-a13e-198ad6361305","http://www.mendeley.com/documents/?uuid=a2d01c5c-cdd0-4e73-a558-76a38d95b2af","http://www.mendeley.com/documents/?uuid=47792a24-ee91-482f-af7f-4529533c457b"]},{"id":"ITEM-2","itemData":{"PMID":"20153251724","abstract":"Introduction: Child chronic malnutrition and anemia represent a major public health problem whose consequences are manifested throughout the life cycle. The Peruvian State is characterized by hosting one of the largest ethno-cultural wealth of the Americas, being the Peruvian Amazon region the one that has the greatest diversity of indigenous groups in the country. Objective: To determine the prevalence of chronic malnutrition and anemia in children under 5 years of indigenous households in Peru. Design: Secondary analysis of data from the Demographic and Health Survey (DHS) 2013, National Institute of Statistics and Informatics. Institution: Second Specialization in Public Nutrition, Faculty of Medicine, Universidad Nacional Mayor de San Marcos, Lima, Peru. Participants: Children under 5 years of households from the Amazon region where the primary language is indigenous. Main outcome measures: Chronic malnutrition (&lt;-2 Z-scores for height for age) and anemia (&lt;11 g/dL hemoglobin adjusted for altitude). Results: Chronic malnutrition affected 43% and anemia 43.5% of children under 5 years of indigenous households. There was no statistically significant association between chronic malnutrition and sex or age of the child, nor between anemia and gender of the child; however an association between the child's age and anemia was found (p&lt;0.001). Conclusions: Chronic malnutrition and anemia were high in children under 5 years of indigenous households in the Amazon region of Peru, evidencing the large disparities in poverty, basic services and health in indigenous children.","author":[{"dropping-particle":"","family":"Flores-Bendezu","given":"J","non-dropping-particle":"","parse-names":false,"suffix":""},{"dropping-particle":"","family":"Calderon","given":"J","non-dropping-particle":"","parse-names":false,"suffix":""},{"dropping-particle":"","family":"Rojas","given":"B","non-dropping-particle":"","parse-names":false,"suffix":""},{"dropping-particle":"","family":"Alarcon-Matutti","given":"E","non-dropping-particle":"","parse-names":false,"suffix":""},{"dropping-particle":"","family":"Gutierrez","given":"C","non-dropping-particle":"","parse-names":false,"suffix":""}],"container-title":"Anales de la Facultad de Medicina","id":"ITEM-2","issue":"2","issued":{"date-parts":[["2015"]]},"page":"135-140","title":"Chronic malnutrition and anemia in children under 5 years of indigenous households of Peru - analysis of Demographic and Health Survey 2013","type":"article-journal","volume":"76"},"uris":["http://www.mendeley.com/documents/?uuid=3a5e3381-43a8-4584-bbed-95c68271757b","http://www.mendeley.com/documents/?uuid=24c2a180-ca9f-4ea6-9a8f-a71dc3dcde86","http://www.mendeley.com/documents/?uuid=3faa4190-0555-43b5-b5f7-187672bdb3bc"]}],"mendeley":{"formattedCitation":"[68,69]","plainTextFormattedCitation":"[68,69]","previouslyFormattedCitation":"[68,69]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[68,69]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Similarly, there is evidence indicating the JUNTOS has a positive impact of consumption of both food and non-food items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{"citationItems":[{"id":"ITEM-1","itemData":{"ISBN":"02544415","abstract":"This study presents results from a quantitative impact evaluation of the Conditional Cash Transfer (CCT) program, Juntos, in Peru. Using instrumental variable techniques, it estimates the overall impact of Juntos five years after its initial rollout and explores the differential impacts among beneficiaries according to the length of time they spent in the program. In so doing, the analysis explores whether it takes time for the program to make significant and sizable impacts and whether some impacts change in magnitude the longer the beneficiaries spend in the program. The results seem to confirm both hypotheses: almost all indicators of interest are significantly higher among beneficiaries with longer treatment spells. However, in many cases these improvements are too small to be picked up in the analysis of overall effects, when beneficiaries are compared to non-beneficiaries. These findings suggest that while the program has a non negligible impact on welfare, there is room for improvement. [PUBLICATION ABSTRACT]","author":[{"dropping-particle":"","family":"Perova","given":"Elizaveta","non-dropping-particle":"","parse-names":false,"suffix":""},{"dropping-particle":"","family":"Vakis","given":"Renos","non-dropping-particle":"","parse-names":false,"suffix":""}],"container-title":"Economía","id":"ITEM-1","issue":"69","issued":{"date-parts":[["2012"]]},"note":"Aviva abstracted","page":"53-82","publisher-place":"Lima","title":"5 Years in Juntos: New Evidence on the Program's Short and Long-Term Impacts","type":"article-journal","volume":"35"},"uris":["http://www.mendeley.com/documents/?uuid=570d5857-1d54-4946-b57f-f4d7ab4d014b"]}],"mendeley":{"formattedCitation":"[34]","plainTextFormattedCitation":"[34]","previouslyFormattedCitation":"[34]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Higher household consumption and expenditure is linked to height gain in children between 1 and 5 years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Dornan","given":"Paul","non-dropping-particle":"","parse-names":false,"suffix":""},{"dropping-particle":"","family":"Woodhead","given":"Martin","non-dropping-particle":"","parse-names":false,"suffix":""}],"id":"ITEM-1","issue":"February","issued":{"date-parts":[["2015"]]},"title":"How Inequalities Develop through Childhood","type":"article-journal"},"uris":["http://www.mendeley.com/documents/?uuid=afe175a7-b05a-4d93-9678-9db390486179"]},{"id":"ITEM-2","itemData":{"PMID":"614458063","abstract":"Population-level analysis of dietary influences on nutritional status is challenging in part due to limitations in dietary intake data. Household expenditure surveys, covering recent household expenditures and including key food groups, are routinely conducted in low- and middle-income countries. These data may help identify patterns of food expenditure that relate to child growth. Objectives We investigated the relationship between household food expenditures and child growth using factor analysis. Methods We used data on 6993 children from Ethiopia, India, Peru and Vietnam at ages 5, 8 and 12y from the Young Lives cohort. We compared associations between household food expenditures and child growth (height-for-age z scores, HAZ; body mass index-for-age z scores, BMI-Z) using total household food expenditures and the \"household food group expenditure index\" (HFGEI) extracted from household expenditures with factor analysis on the seven food groups in the child dietary diversity scale, controlling for total food expenditures, child dietary diversity, data collection round, rural/urban residence and child sex. We used the HFGEI to capture households' allocations of their finances across food groups in the context of local food pricing, availability and pReferences Results The HFGEI was associated with significant increases in child HAZ in Ethiopia (0.07), India (0.14), and Vietnam (0.07) after adjusting for all control variables. Total food expenditures remained significantly associated with increases in BMI-Z for India (0.15), Peru (0.11) and Vietnam (0.06) after adjusting for study round, HFGEI, dietary diversity, rural residence, and whether the child was female. Dietary diversity was inversely associated with BMI-Z in India and Peru. Mean dietary diversity increased from age 5y to 8y and decreased from age 8y to 12y in all countries. Conclusion Household food expenditure data provide insights into household food purchasing patterns that significantly predict HAZ and BMI-Z. Including food expenditure patterns data in analyses may yield important information about child nutritional status and linear growth. Copyright © 2017","author":[{"dropping-particle":"","family":"Humphries","given":"D L","non-dropping-particle":"","parse-names":false,"suffix":""},{"dropping-particle":"","family":"Dearden","given":"K A","non-dropping-particle":"","parse-names":false,"suffix":""},{"dropping-particle":"","family":"Crookston","given":"B T","non-dropping-particle":"","parse-names":false,"suffix":""},{"dropping-particle":"","family":"Woldehanna","given":"T","non-dropping-particle":"","parse-names":false,"suffix":""},{"dropping-particle":"","family":"Penny","given":"M E","non-dropping-particle":"","parse-names":false,"suffix":""},{"dropping-particle":"","family":"Behrman","given":"J R","non-dropping-particle":"","parse-names":false,"suffix":""}],"container-title":"Economics and Human Biology","id":"ITEM-2","issued":{"date-parts":[["2017"]]},"page":"30-41","title":"Household food group expenditure patterns are associated with child anthropometry at ages 5, 8 and 12 years in Ethiopia, India, Peru and Vietnam","type":"article-journal","volume":"26"},"uris":["http://www.mendeley.com/documents/?uuid=307ed6eb-4489-4e21-af59-f115b12c0867"]},{"id":"ITEM-3","itemData":{"PMID":"46023881","abstract":"Background. Because of the rapid growth of the urban population in Peru, food and nutrition insecurity will occur increasingly in this population. For appropriate policy setting and programming, the food and nutrition situation of the urban poor requires better understanding. Objective. To gain information about the nature, magnitude, severity, and causes of the nutritional problems of the population in low-income areas of the city of Chiclayo, Peru. Methods. A cross-sectional nutrition survey was conducted in 1,604 households, covering children under 5 years of age and their parents. Results. The prevalence rates of stunting, wasting, overweight. and anemia in children were 15.4%, 1.3%, 4.6%, and 65.7%, respectively; one third of adults were overweight, and one tenth were obese; 2.1% of the mothers were underweight; and 34.3% of mothers and 12.2% of fathers had anemia. Governmental feeding programs did not address these problems adequately. Conclusions. Interventions must have adequate targeting; address appropriate responses at the household, community, and national levels; and reduce stunting, obesity, and iron-deficiency anemia. © 2006, The United Nations University.","author":[{"dropping-particle":"","family":"Gross","given":"R","non-dropping-particle":"","parse-names":false,"suffix":""},{"dropping-particle":"","family":"Lechtig","given":"A","non-dropping-particle":"","parse-names":false,"suffix":""},{"dropping-particle":"","family":"Lopez de Romana","given":"D","non-dropping-particle":"","parse-names":false,"suffix":""}],"container-title":"Food and Nutrition Bulletin","id":"ITEM-3","issue":"4 SUPPL.","issued":{"date-parts":[["2006"]]},"page":"S115-S121","title":"Baseline evaluation of nutritional status and government feeding programs in Chiclayo, Peru","type":"article-journal","volume":"27"},"uris":["http://www.mendeley.com/documents/?uuid=523b2ca1-4991-4ea2-8b75-9307c6ef83ed"]},{"id":"ITEM-4","itemData":{"PMID":"52628457","abstract":"Recent research has demonstrated some growth recovery among children stunted in infancy. Less is known about key age ranges for such growth recovery, and what factors are correlates with this growth. This study characterized child growth up to age 1 year, and from ages 1 to 5 and 5 to 8 years controlling for initial height-for-age z-score (HAZ), and identified key distal household and community factors associated with these growth measures using longitudinal data on 7266 children in the Young Lives (YL) study in Ethiopia, India, Peru and Vietnam. HAZ at about age 1 year and age in months predicted much of the variation in HAZ at age 5 years, but 40-71% was not predicted. Similarly, HAZ at age 5 years and age in months did not predict 26-47% of variation in HAZ at 8 years. Multiple regression analysis suggests that parental schooling, consumption, and mothers' height are key correlates of HAZ at about age 1 and also are associated with unpredicted change in HAZ from ages 1 to 5 and 5 to 8 years, given initial HAZ. These results underline the importance of a child's starting point in infancy in determining his or her growth, point to key distal household and community factors that may determine early growth in early life and subsequent growth recovery and growth failure, and indicate that these factors vary some by country, urban/rural designation, and child sex. © 2013 Elsevier Ltd.","author":[{"dropping-particle":"","family":"Schott","given":"W B","non-dropping-particle":"","parse-names":false,"suffix":""},{"dropping-particle":"","family":"Crookston","given":"B T","non-dropping-particle":"","parse-names":false,"suffix":""},{"dropping-particle":"","family":"Lundeen","given":"E A","non-dropping-particle":"","parse-names":false,"suffix":""},{"dropping-particle":"","family":"Stein","given":"A D","non-dropping-particle":"","parse-names":false,"suffix":""},{"dropping-particle":"","family":"Behrman","given":"J R","non-dropping-particle":"","parse-names":false,"suffix":""}],"container-title":"Social Science and Medicine","id":"ITEM-4","issued":{"date-parts":[["2013"]]},"page":"278-287","title":"Periods of child growth up to age 8 years in Ethiopia, India, Peru and Vietnam: Key distal household and community factors","type":"article-journal","volume":"97"},"uris":["http://www.mendeley.com/documents/?uuid=558c5b0e-03ae-4db9-9281-4d40349e6523"]}],"mendeley":{"formattedCitation":"[5,55,70,71]","plainTextFormattedCitation":"[5,55,70,71]","previouslyFormattedCitation":"[5,55,70,71]"},"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[5,55,70,71]</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Households that are chronically food insecure had children with significantly lower HAZ compared to households that were food secure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{"citationItems":[{"id":"ITEM-1","itemData":{"PMID":"20153290186","abstract":"Background: Poor childhood nutritional status has lifetime effects and food insecurity is associated with dietary practices that can impair nutritional status. Objectives: We assessed concurrent and subsequent associations between food insecurity and height-for-age z scores (HAZs) and body mass index-for-age z scores (BMI-Zs); evaluated associations with transitory and chronic food insecurity; and tested whether dietary diversity mediates associations between food insecurity and nutritional status. Methods: We used data from the Young Lives younger cohort composed of children in Ethiopia (n=1757), India (n=1825), Peru (n=1844), and Vietnam (n=1828) recruited in 2002 (round 1) at ~1 y old, with subsequent data collection at 5 y in 2006 (round 2) and 8 y in 2009 (round 3). Results: Children from food-insecure households had significantly lower HAZs in all countries at 5 y (Ethiopia, -0.33; India, -0.53; Peru, -0.31; and Vietnam, -0.68 HAZ; all P&lt;0.001), although results were attenuated after controlling for potential confounders (Ethiopia, -0.21; India, -0.32; Peru, -0.14; and Vietnam, -0.27 HAZ; P&lt;0.01). Age 5 y food insecurity predicted the age 8 y HAZ, but did not add predictive power beyond HAZ at age 5 y in Ethiopia, India, or Peru. Age 5 y food insecurity predicted the age 8 y BMI-Z even after controlling for the 5 y BMI-Z, although associations were not significant after the inclusion of additional confounding variables (Ethiopia, P=0.12; India, P=0.29; Peru, P=0.16; and Vietnam, P=0.51). Chronically food-insecure households had significantly lower HAZs than households that were consistently food-secure, although BMI-Zs did not differ by chronic food-insecurity status. Dietary diversity mediated 18.8-30.5% of the association between food security and anthropometry in Vietnam, but mediated to a lesser degree (8.4-19.3%) in other countries. Conclusions: In 4 countries, food insecurity at 5 y of age was associated with both HAZ and BMI-Z at age 8 y, although the association was attenuated after adjusting for other household factors and anthropometry at age 5 y, and remained significant only for the HAZ in Vietnam.","author":[{"dropping-particle":"","family":"Humphries","given":"D L","non-dropping-particle":"","parse-names":false,"suffix":""},{"dropping-particle":"","family":"Dearden","given":"K A","non-dropping-particle":"","parse-names":false,"suffix":""},{"dropping-particle":"","family":"Crookston","given":"B T","non-dropping-particle":"","parse-names":false,"suffix":""},{"dropping-particle":"","family":"Fernald","given":"L C","non-dropping-particle":"","parse-names":false,"suffix":""},{"dropping-particle":"","family":"Stein","given":"A D","non-dropping-particle":"","parse-names":false,"suffix":""},{"dropping-particle":"","family":"Woldehanna","given":"T","non-dropping-particle":"","parse-names":false,"suffix":""},{"dropping-particle":"","family":"Penny","given":"M E","non-dropping-particle":"","parse-names":false,"suffix":""},{"dropping-particle":"","family":"Behrman","given":"J R","non-dropping-particle":"","parse-names":false,"suffix":""}],"container-title":"Journal of Nutrition","id":"ITEM-1","issue":"8","issued":{"date-parts":[["2015"]]},"page":"1924-1933","title":"Cross-sectional and longitudinal associations between household food security and child anthropometry at ages 5 and 8 years in Ethiopia, India, Peru, and Vietnam","type":"article-journal","volume":"145"},"uris":["http://www.mendeley.com/documents/?uuid=26ba00fd-cc29-467c-bbec-0f79873c3eaa","http://www.mendeley.com/documents/?uuid=b95f032d-68b3-4af8-adc3-c826af4381b2","http://www.mendeley.com/documents/?uuid=e5349b90-960b-4d0f-ab4a-9661019d98c4"]}],"mendeley":{"formattedCitation":"[72]","plainTextFormattedCitation":"[72]","previouslyFormattedCitation":"[72]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[72]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0F2AD801" w14:textId="77777777" w:rsidR="001070CC" w:rsidRPr="00C14D61" w:rsidRDefault="001070CC" w:rsidP="000C7ADC">
      <w:pPr>
        <w:rPr>
          <w:rFonts w:ascii="Helvetica" w:hAnsi="Helvetica" w:cs="Helvetica"/>
          <w:color w:val="2E74B5" w:themeColor="accent1" w:themeShade="BF"/>
          <w:sz w:val="22"/>
          <w:szCs w:val="22"/>
        </w:rPr>
      </w:pPr>
    </w:p>
    <w:p w14:paraId="79AD50DD" w14:textId="77777777" w:rsidR="001070CC" w:rsidRPr="00C14D61" w:rsidRDefault="001070CC" w:rsidP="000C7ADC">
      <w:pPr>
        <w:rPr>
          <w:rFonts w:ascii="Helvetica" w:hAnsi="Helvetica" w:cs="Helvetica"/>
          <w:b/>
          <w:sz w:val="22"/>
          <w:szCs w:val="22"/>
        </w:rPr>
      </w:pPr>
      <w:r w:rsidRPr="00C14D61">
        <w:rPr>
          <w:rFonts w:ascii="Helvetica" w:hAnsi="Helvetica" w:cs="Helvetica"/>
          <w:b/>
          <w:sz w:val="22"/>
          <w:szCs w:val="22"/>
        </w:rPr>
        <w:t xml:space="preserve">Immediate causes </w:t>
      </w:r>
    </w:p>
    <w:p w14:paraId="09041876" w14:textId="77777777" w:rsidR="001070CC" w:rsidRPr="00C14D61" w:rsidRDefault="001070CC" w:rsidP="000C7ADC">
      <w:pPr>
        <w:rPr>
          <w:rFonts w:ascii="Helvetica" w:hAnsi="Helvetica" w:cs="Helvetica"/>
          <w:color w:val="000000" w:themeColor="text1"/>
          <w:sz w:val="22"/>
          <w:szCs w:val="22"/>
        </w:rPr>
      </w:pPr>
    </w:p>
    <w:p w14:paraId="7D2B292D" w14:textId="74A922D9"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An immediate causes of stunting in Peru is disease and infection. A total of 9 studies evaluated the impact of infection and diarrhea on HAZ. A total of 8 studies found an association between infection and/or diarrhea and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{"citationItems":[{"id":"ITEM-1","itemData":{"PMID":"36077448","abstract":"Linear growth retardation during childhood is a determinant of short stature and impaired capacities in adults of developing countries. To study the effect of diarrhea on height during childhood, the authors followed a birth cohort of 224 Peruvian children for 35 months with records of daily diarrhea and monthly anthropometry. This study was conducted from April 1995 to December 1998. At 24 months of age, study children were 2.5 cm shorter than the US National Center for Health Statistics/World Health Organization growth reference. A diarrheal prevalence of 2.3% in the first 24 months of life explained 2-27% of this growth deficit. There was a 2-month delay before the effects of diarrhea on height became manifest. Height deficits were proportional to diarrheal prevalence. For example, children ill with diarrhea 10% of the time during the first 24 months were 1.5 cm shorter than children who never had diarrhea. In addition, the adverse effects of diarrhea on height varied by age. Diarrhea during the first 6 months of life resulted in long-term height deficits that were likely to be permanent. In contrast, diarrhea after 6 months of age showed transient effects. Study results indicate that diarrhea control, especially during the first 6 months of life, is likely to improve linear growth in Peruvian children.","author":[{"dropping-particle":"","family":"Checkley","given":"W","non-dropping-particle":"","parse-names":false,"suffix":""},{"dropping-particle":"","family":"Epstein","given":"L D","non-dropping-particle":"","parse-names":false,"suffix":""},{"dropping-particle":"","family":"Gilman","given":"R H","non-dropping-particle":"","parse-names":false,"suffix":""},{"dropping-particle":"","family":"Cabrera","given":"L","non-dropping-particle":"","parse-names":false,"suffix":""},{"dropping-particle":"","family":"Black","given":"R E","non-dropping-particle":"","parse-names":false,"suffix":""}],"container-title":"American Journal of Epidemiology","id":"ITEM-1","issue":"2","issued":{"date-parts":[["2003"]]},"page":"166-175","title":"Effects of acute diarrhea on linear growth in Peruvian children","type":"article-journal","volume":"157"},"uris":["http://www.mendeley.com/documents/?uuid=85e79114-69d9-4872-a8b9-887af2f38541"]},{"id":"ITEM-2","itemData":{"DOI":"10.1186/s12914-016-0099-6","abstract":"Background: Informal settlements are common throughout the developing world. In Peru, land occupations, commonly “invasions” in Spanish, are a means by which the extremely poor attempt to obtain access to land. Here, we examine difference in child health between two communities in the Peruvian Amazon, one well-established and one newly formed by ‘invasion’, as captured incidentally by a prospective epidemiological cohort study. Methods: Between 2002 and 2006 a study designed to describe the epidemiology of pediatric enteric infections and child growth in a community-based setting enrolled 442 children in Santa Clara de Nanay, a community adjacent to the city of Iquitos, in Loreto, Peru. In early 2003, a land occupation, commonly called an “invasion” in Spanish, was organized by members of the Santa Clara community, and approximately 20 % of participating study families began occupying privately owned agricultural land adjacent to Santa Clara, thus forming the new community of La Union. Results: Parents in families that chose to invade reported less education than parents in families that chose not to. Children in the new community experienced a higher incidence of diarrheal disease and non-specific fevers, although fewer helminth infections, than children who remained in the established community. At the time of the invasion, there were no differences in anthropometric status between the two groups; however children in the new community experienced greater progressive growth faltering over the course of the longitudinal study. Conclusions: Growth faltering in early childhood represents an enduring loss of human potential. Therefore, our data suggests the human cost of land invasion may be disproportionately borne by the youngest individuals. Innovative policy strategies may be needed to protect this vulnerable group. © 2016 The Author(s).","author":[{"dropping-particle":"","family":"Lee","given":"G O","non-dropping-particle":"","parse-names":false,"suffix":""},{"dropping-particle":"","family":"Paredes Olortegui","given":"M","non-dropping-particle":"","parse-names":false,"suffix":""},{"dropping-particle":"","family":"Salmón-Mulanovich","given":"G","non-dropping-particle":"","parse-names":false,"suffix":""},{"dropping-particle":"","family":"Peñataro Yori","given":"P","non-dropping-particle":"","parse-names":false,"suffix":""},{"dropping-particle":"","family":"Kosek","given":"M","non-dropping-particle":"","parse-names":false,"suffix":""}],"container-title":"BMC International Health and Human Rights","id":"ITEM-2","issue":"1","issued":{"date-parts":[["2016"]]},"page":"1-9","title":"Early child health in an informal settlement in the Peruvian Amazon","type":"article-journal","volume":"16"},"uris":["http://www.mendeley.com/documents/?uuid=9464bead-7863-4ac1-b761-60e1e766ba83"]},{"id":"ITEM-3","itemData":{"PMID":"22258823","abstract":"BACKGROUND: The adverse impact of Plasmodium vivax on child health beyond acute febrile illness is poorly studied. The effect of vivax malaria on child growth was evaluated and compared with diarrhoeal disease and non-specific fever. METHODS: Using data from a 43-month longitudinal cohort of children 0-72 months of age (n=442) in the Peruvian Amazon, ponderal and linear growth velocities over 2-, 4- and 6-month periods were examined using longitudinal models and related to the incidence of disease during the same period. RESULTS: An episode of vivax malaria led to 138.6 g (95% confidence interval (CI) 81.9-195.4), 108.6 g (62.8-153.2) and 61 g (20.9-101.1) less weight gain over 2-, 4- and 6-month intervals, respectively. These deficits were larger than both diarrhoea (21.9, 17.2 and 13.8 g less weight gain, respectively) and fever (39.0, 30.3 and 25.6 g less weight gain, respectively). An incident episode of vivax also led to 0.070 cm (0.004-0.137) and 0.083 cm (0.015-0.151) less linear growth over 4 and 6 months, respectively, which were also larger than deficits from diarrhoea (0.029 and 0.028 cm, respectively) and fever (not associated with linear growth deficits). Despite the larger effect of P. vivax incident episodes on growth of a particular child, diarrhoeal disease had a larger cumulative impact on growth deficits as diarrhoeal incidence rates in this community are &gt;10-fold higher than vivax malaria. CONCLUSIONS: Disease control measures for vivax malaria and diarrhoeal disease have the potential to improve the growth of children in endemic areas.","author":[{"dropping-particle":"","family":"Lee","given":"G","non-dropping-particle":"","parse-names":false,"suffix":""},{"dropping-particle":"","family":"Yori","given":"P","non-dropping-particle":"","parse-names":false,"suffix":""},{"dropping-particle":"","family":"Olortegui","given":"M P","non-dropping-particle":"","parse-names":false,"suffix":""},{"dropping-particle":"","family":"Pan","given":"W","non-dropping-particle":"","parse-names":false,"suffix":""},{"dropping-particle":"","family":"Caulfield","given":"L","non-dropping-particle":"","parse-names":false,"suffix":""},{"dropping-particle":"","family":"Gilman","given":"R H","non-dropping-particle":"","parse-names":false,"suffix":""},{"dropping-particle":"","family":"Sanders","given":"J W","non-dropping-particle":"","parse-names":false,"suffix":""},{"dropping-particle":"","family":"Delgado","given":"H S","non-dropping-particle":"","parse-names":false,"suffix":""},{"dropping-particle":"","family":"Kosek","given":"M","non-dropping-particle":"","parse-names":false,"suffix":""}],"container-title":"International Journal of Epidemiology","id":"ITEM-3","issue":"2","issued":{"date-parts":[["2012"]]},"page":"531-539","title":"Comparative effects of vivax malaria, fever and diarrhoea on child growth","type":"article-journal","volume":"41"},"uris":["http://www.mendeley.com/documents/?uuid=76e4f77e-426f-41b0-9531-b2707ab9ad21"]},{"id":"ITEM-4","itemData":{"PMID":"20163340444","abstract":"Diarrheagenic Escherichia coli (DEC) are common pathogens of childhood gastrointestinal infections worldwide. To date, research tracking DEC has mainly been completed in urban areas. This study aims to determine the prevalence and pathotype distribution of DEC strains in children from rural Peruvian communities and to establish their association with malnutrition. In this prospective cohort, 93 children aged 6-13 months from rural communities of Urubamba (Andes) and Moyobamba (jungle) were followed for 6 months. Diarrheal and control stool samples were analyzed using multiplex real-time polymerase chain reaction to identify the presence of virulence genes of DEC strains. The overall isolation rate of DEC was 43.0% (352/820). Enteroaggregative E. coli (EAEC, 20.4%), enteropathogenic E. coli (EPEC, 14.2%), and diffusely aggregative E. coli (DAEC, 11.0%) were the most prevalent pathotypes. EAEC was more frequently found in Moyobamba samples (P&lt;0.01). EPEC was the only strain significantly more frequent in diarrheal than asymptomatic control samples (P&lt;0.01). DEC strains were more prevalent among younger children (aged 6-12 months, P&lt;0.05). A decline in height-for-age Z-score (HAZ) was observed in 75.7% of children overall. EAEC was more frequently isolated among children who had a greater HAZ decline (P&lt;0.05). In conclusion, DEC strains were frequently found in stool samples from children in rural communities of the highlands and jungle of Peru. In addition, children with a greater decline in their growth rate had higher EAEC isolation rates, highlighting the importance of this pathogen in child malnutrition.","author":[{"dropping-particle":"","family":"Acosta","given":"G J","non-dropping-particle":"","parse-names":false,"suffix":""},{"dropping-particle":"","family":"Vigo","given":"N I","non-dropping-particle":"","parse-names":false,"suffix":""},{"dropping-particle":"","family":"Durand","given":"D","non-dropping-particle":"","parse-names":false,"suffix":""},{"dropping-particle":"","family":"Riveros","given":"M","non-dropping-particle":"","parse-names":false,"suffix":""},{"dropping-particle":"","family":"Arango","given":"S","non-dropping-particle":"","parse-names":false,"suffix":""},{"dropping-particle":"","family":"Zambruni","given":"M","non-dropping-particle":"","parse-names":false,"suffix":""},{"dropping-particle":"","family":"Ochoa","given":"T J","non-dropping-particle":"","parse-names":false,"suffix":""}],"container-title":"American Journal of Tropical Medicine and Hygiene","id":"ITEM-4","issue":"3","issued":{"date-parts":[["2016"]]},"page":"574-579","title":"Diarrheagenic Escherichia coli: prevalence and pathotype distribution in children from Peruvian rural communities","type":"article-journal","volume":"95"},"uris":["http://www.mendeley.com/documents/?uuid=aff19c91-74fc-4b6f-a1be-e007dc9a9adb"]},{"id":"ITEM-5","itemData":{"PMID":"373602393","abstract":"Background: In endemic settings, Helicobacter pylori infection can occur shortly after birth and may be associated with a reduction in childhood growth. Materials and Methods: This study investigated what factors promote earlier age of first H. pylori infection and evaluated the role of H. pylori infection in infancy (6-11 months) versus early childhood (12-23 months) on height. We included 183 children near birth from a peri-urban shanty town outside of Lima, Peru. Field-workers collected data on socioeconomic status (SES), daily diarrheal and breast-feeding history, antibiotic use, anthropometrics, and H. pylori status via carbon 13-labeled urea breath test up to 24 months after birth. We used a proportional hazards model to assess risk factors for earlier age at first detected infection and linear mixed-effects models to evaluate the association of first detected H. pylori infection during infancy on attained height. Results: One hundred and forty (77%) were infected before 12 months of age. Lower SES was associated with earlier age at first detected H. pylori infection (low vs middle-to-high SES Hazard ratio (HR) 1.59, 95% CI 1.16, 2.19; p = .004), and greater exclusive breast-feeding was associated with reduced likelihood (HR 0.63, 95% CI 0.40, 0.98, p = .04). H. pylori infection in infancy was not independently associated with growth deficits (p = .58). However, children who had their first detected H. pylori infection in infancy (6-11 months) versus early childhood (12-23 months) and who had an average number of diarrhea episodes per year (3.4) were significantly shorter at 24 months (-0.37 cm, 95% CI, -0.60, -0.15 cm; p = .001). Discussion: Lower SES was associated with a higher risk of first detected H. pylori infection during infancy, which in turn augmented the adverse association of diarrheal disease on linear growth. © 2014 John Wiley &amp; Sons Ltd.","author":[{"dropping-particle":"","family":"Jaganath","given":"D","non-dropping-particle":"","parse-names":false,"suffix":""},{"dropping-particle":"","family":"Saito","given":"M","non-dropping-particle":"","parse-names":false,"suffix":""},{"dropping-particle":"","family":"Gilman","given":"R H","non-dropping-particle":"","parse-names":false,"suffix":""},{"dropping-particle":"","family":"Queiroz","given":"D M M","non-dropping-particle":"","parse-names":false,"suffix":""},{"dropping-particle":"","family":"Rocha","given":"G A","non-dropping-particle":"","parse-names":false,"suffix":""},{"dropping-particle":"","family":"Cama","given":"V","non-dropping-particle":"","parse-names":false,"suffix":""},{"dropping-particle":"","family":"Cabrera","given":"L","non-dropping-particle":"","parse-names":false,"suffix":""},{"dropping-particle":"","family":"Kelleher","given":"D","non-dropping-particle":"","parse-names":false,"suffix":""},{"dropping-particle":"","family":"Windle","given":"H J","non-dropping-particle":"","parse-names":false,"suffix":""},{"dropping-particle":"","family":"Crabtree","given":"J E","non-dropping-particle":"","parse-names":false,"suffix":""},{"dropping-particle":"","family":"Checkley","given":"W","non-dropping-particle":"","parse-names":false,"suffix":""}],"container-title":"Helicobacter","id":"ITEM-5","issue":"4","issued":{"date-parts":[["2014"]]},"page":"272-279","title":"First Detected Helicobacter pylori Infection in Infancy Modifies the Association Between Diarrheal Disease and Childhood Growth in Peru","type":"article-journal","volume":"19"},"uris":["http://www.mendeley.com/documents/?uuid=86a597d1-8bd6-46a7-879c-7f0de4861c96"]},{"id":"ITEM-6","itemData":{"PMID":"35191071","abstract":"Objective: Most Helicobacter pylori infections occur during childhood, but the health effects of childhood infection are poorly understood. We investigated whether growth decreases in the 2 months after acute H. pylori seroconversion. Methods: We performed a nested case-control study among children 6 months to 12 years of age in a community on the outskirts of Lima, Peru. Health interviews were completed daily. Anthropometric measurements were taken monthly. Sera were collected every 4 months and tested for H. pylori immunoglobulin G. Two-month height and weight gains of seroconverters were compared with gains of sex, age, and size-matched seronegative controls. Results: In the 2 months after H. pylori infection, 26 seroconverters gained a median of 24% less weight than 26 matched controls (interquartile range, 63% less to 21% more). In multivariate analysis, H. pylori infection attenuated weight gain only among children aged 2 years or older. This decrease was not explained by increased diarrhea. Conclusions: H. pylori seroconversion is associated with a slowing of weight gain in children aged 2 years or older. Reasons for this finding merit additional study. © 2002 Lippincott Williams &amp; Wilkins, Inc.","author":[{"dropping-particle":"","family":"Passaro","given":"D J","non-dropping-particle":"","parse-names":false,"suffix":""},{"dropping-particle":"","family":"Taylor","given":"D N","non-dropping-particle":"","parse-names":false,"suffix":""},{"dropping-particle":"","family":"Gilman","given":"R H","non-dropping-particle":"","parse-names":false,"suffix":""},{"dropping-particle":"","family":"Cabrera","given":"L","non-dropping-particle":"","parse-names":false,"suffix":""},{"dropping-particle":"","family":"Parsonnet","given":"J","non-dropping-particle":"","parse-names":false,"suffix":""}],"container-title":"Journal of Pediatric Gastroenterology and Nutrition","id":"ITEM-6","issue":"4","issued":{"date-parts":[["2002"]]},"page":"522-526","title":"Growth slowing after acute Helicobacter pylori infection is age-dependent","type":"article-journal","volume":"35"},"uris":["http://www.mendeley.com/documents/?uuid=b75fa471-5743-4036-9d93-2ae53ec0b67d"]},{"id":"ITEM-7","itemData":{"PMID":"26426270","abstract":"BACKGROUND: Appropriate health and nutrition interventions to prevent long-term adverse effects in children are necessary before two years of age. One such intervention may include population-based deworming, recommended as of 12 months of age by the World Health Organization in soil-transmitted helminth (STH)-endemic areas; however, the benefit of deworming has been understudied in early preschool-age children. METHODOLOGY/PRINCIPAL FINDINGS: A randomized, double-blind, placebo-controlled trial was conducted to determine the effect of deworming (500 mg single-dose crushed mebendazole tablet) on growth in one-year-old children in Iquitos, Peru. Children were enrolled during their routine 12-month growth and development clinic visit and followed up at their 18 and 24-month visits. Children were randomly allocated to: Group 1: deworming at 12 months and placebo at 18 months; Group 2: placebo at 12 months and deworming at 18 months; Group 3: deworming at both 12 and 18 months; or Group 4: placebo at both 12 and 18 months (i.e. control group). The primary outcome was weight gain at the 24-month visit. An intention-to-treat approach was used. A total of 1760 children were enrolled between September 2011 and June 2012. Follow-up of 1563 children (88.8%) was completed by July 2013. STH infection was of low prevalence and predominantly light intensity in the study population. All groups gained between 1.93 and 2.05 kg on average over 12 months; the average difference in weight gain (kg) compared to placebo was: 0.05 (95% CI: -0.05, 0.17) in Group 1; -0.07 (95%CI: -0.17, 0.04) in Group 2; and 0.04 (95%CI: -0.06, 0.14) in Group 3. There was no statistically significant difference in weight gain in any of the deworming intervention groups compared to the control group. CONCLUSIONS: Overall, with one year of follow-up, no effect of deworming on growth could be detected in this population of preschool-age children. Low baseline STH prevalence and intensity and/or access to deworming drugs outside of the trial may have diluted the potential effect of the intervention. Additional research is required to overcome these challenges and to contribute to strengthening the evidence base on deworming. TRIAL REGISTRATION: ClinicalTrials.gov (NCT01314937).","author":[{"dropping-particle":"","family":"Joseph","given":"S A","non-dropping-particle":"","parse-names":false,"suffix":""},{"dropping-particle":"","family":"Casapia","given":"M","non-dropping-particle":"","parse-names":false,"suffix":""},{"dropping-particle":"","family":"Montresor","given":"A","non-dropping-particle":"","parse-names":false,"suffix":""},{"dropping-particle":"","family":"Rahme","given":"E","non-dropping-particle":"","parse-names":false,"suffix":""},{"dropping-particle":"","family":"Ward","given":"B J","non-dropping-particle":"","parse-names":false,"suffix":""},{"dropping-particle":"","family":"Marquis","given":"G S","non-dropping-particle":"","parse-names":false,"suffix":""},{"dropping-particle":"","family":"Pezo","given":"L","non-dropping-particle":"","parse-names":false,"suffix":""},{"dropping-particle":"","family":"Blouin","given":"B","non-dropping-particle":"","parse-names":false,"suffix":""},{"dropping-particle":"","family":"Maheu-Giroux","given":"M","non-dropping-particle":"","parse-names":false,"suffix":""},{"dropping-particle":"","family":"Gyorkos","given":"T W","non-dropping-particle":"","parse-names":false,"suffix":""}],"container-title":"PLoS Neglected Tropical Diseases [electronic resource]","id":"ITEM-7","issue":"10","issued":{"date-parts":[["2015"]]},"page":"e0004020","title":"The Effect of Deworming on Growth in One-Year-Old Children Living in a Soil-Transmitted Helminth-Endemic Area of Peru: A Randomized Controlled Trial.[Erratum appears in PLoS Negl Trop Dis. 2015 Dec;9(12):e0004288; PMID: 26636967]","type":"article-journal","volume":"9"},"uris":["http://www.mendeley.com/documents/?uuid=3aa0e7f1-0bdf-4bb6-94a4-829a87890874"]}],"mendeley":{"formattedCitation":"[73–79]","plainTextFormattedCitation":"[73–79]","previouslyFormattedCitation":"[73–79]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[73–79]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while only 1 study had no association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{"citationItems":[{"id":"ITEM-1","itemData":{"ISBN":"0002-9262","abstract":"Giardia intestinalis is a common gastrointestinal protozoan worldwide, but its effects on childhood growth in developing countries are not clearly understood. The authors aimed to describe its effects on child growth. They followed 220 Peruvian children daily for diarrhea, weekly for stool samples, and monthly for anthropometry. The authors modeled the effect of nutritional status on the risk of Giardia infection and the risk of diarrhea attributable to Giardia using negative binomial regression. They modeled the effects of Giardia infection on growth using linear regression, with 85% of children becoming infected with Giardia and 87% of these becoming reinfected. In multivariable analysis, the risk of Giardia infection did not vary with weight for age (relative risk = 1.00, 95% confidence interval: 0.89, 1.12) or height for age (relative risk = 0.92, 95% confidence interval: 0.82, 1.04). Giardiasis did not affect growth at 1 or 2 months following the first infection at any age interval. The longitudinal prevalence of Giardia between 6 and 24 months of age was not associated with height gain in that interval (p = 0.981). Giardia was not associated with an increased risk of diarrhea at any age interval. Study results question the importance of Giardia as a childhood pathogen in developing countries where giardiasis is hyperendemic.","author":[{"dropping-particle":"","family":"Hollm-Delgado","given":"M","non-dropping-particle":"","parse-names":false,"suffix":""},{"dropping-particle":"","family":"Gilman","given":"R H","non-dropping-particle":"","parse-names":false,"suffix":""},{"dropping-particle":"","family":"Bern","given":"C","non-dropping-particle":"","parse-names":false,"suffix":""},{"dropping-particle":"","family":"Cabrera","given":"L","non-dropping-particle":"","parse-names":false,"suffix":""},{"dropping-particle":"","family":"Sterling","given":"C R","non-dropping-particle":"","parse-names":false,"suffix":""},{"dropping-particle":"","family":"Black","given":"R E","non-dropping-particle":"","parse-names":false,"suffix":""},{"dropping-particle":"","family":"Checkley","given":"W","non-dropping-particle":"","parse-names":false,"suffix":""}],"container-title":"American Journal of Epidemiology","id":"ITEM-1","issue":"6","issued":{"date-parts":[["2008"]]},"page":"647-655","publisher":"Oxford University Press / USA","title":"Lack of an adverse effect of Giardia intestinalis infection on the health of Peruvian children","type":"article-journal","volume":"168"},"uris":["http://www.mendeley.com/documents/?uuid=ace75238-9e7c-43c3-aee8-c9ae4cdf7f0e"]}],"mendeley":{"formattedCitation":"[80]","plainTextFormattedCitation":"[80]","previouslyFormattedCitation":"[80]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Further, diarrhea, enteroaggregative </w:t>
      </w:r>
      <w:r w:rsidRPr="00C14D61">
        <w:rPr>
          <w:rFonts w:ascii="Helvetica" w:hAnsi="Helvetica" w:cs="Helvetica"/>
          <w:i/>
          <w:color w:val="000000" w:themeColor="text1"/>
          <w:sz w:val="22"/>
          <w:szCs w:val="22"/>
        </w:rPr>
        <w:t>Escherichia coli</w:t>
      </w:r>
      <w:r w:rsidRPr="00C14D61">
        <w:rPr>
          <w:rFonts w:ascii="Helvetica" w:hAnsi="Helvetica" w:cs="Helvetica"/>
          <w:color w:val="000000" w:themeColor="text1"/>
          <w:sz w:val="22"/>
          <w:szCs w:val="22"/>
        </w:rPr>
        <w:t xml:space="preserve">, STH, and early infancy </w:t>
      </w:r>
      <w:r w:rsidRPr="00C14D61">
        <w:rPr>
          <w:rFonts w:ascii="Helvetica" w:hAnsi="Helvetica" w:cs="Helvetica"/>
          <w:i/>
          <w:color w:val="000000" w:themeColor="text1"/>
          <w:sz w:val="22"/>
          <w:szCs w:val="22"/>
        </w:rPr>
        <w:t>Helicobacter pylori</w:t>
      </w:r>
      <w:r w:rsidRPr="00C14D61">
        <w:rPr>
          <w:rFonts w:ascii="Helvetica" w:hAnsi="Helvetica" w:cs="Helvetica"/>
          <w:color w:val="000000" w:themeColor="text1"/>
          <w:sz w:val="22"/>
          <w:szCs w:val="22"/>
        </w:rPr>
        <w:t xml:space="preserve"> infection were associated with shorter stature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{"citationItems":[{"id":"ITEM-1","itemData":{"PMID":"36077448","abstract":"Linear growth retardation during childhood is a determinant of short stature and impaired capacities in adults of developing countries. To study the effect of diarrhea on height during childhood, the authors followed a birth cohort of 224 Peruvian children for 35 months with records of daily diarrhea and monthly anthropometry. This study was conducted from April 1995 to December 1998. At 24 months of age, study children were 2.5 cm shorter than the US National Center for Health Statistics/World Health Organization growth reference. A diarrheal prevalence of 2.3% in the first 24 months of life explained 2-27% of this growth deficit. There was a 2-month delay before the effects of diarrhea on height became manifest. Height deficits were proportional to diarrheal prevalence. For example, children ill with diarrhea 10% of the time during the first 24 months were 1.5 cm shorter than children who never had diarrhea. In addition, the adverse effects of diarrhea on height varied by age. Diarrhea during the first 6 months of life resulted in long-term height deficits that were likely to be permanent. In contrast, diarrhea after 6 months of age showed transient effects. Study results indicate that diarrhea control, especially during the first 6 months of life, is likely to improve linear growth in Peruvian children.","author":[{"dropping-particle":"","family":"Checkley","given":"W","non-dropping-particle":"","parse-names":false,"suffix":""},{"dropping-particle":"","family":"Epstein","given":"L D","non-dropping-particle":"","parse-names":false,"suffix":""},{"dropping-particle":"","family":"Gilman","given":"R H","non-dropping-particle":"","parse-names":false,"suffix":""},{"dropping-particle":"","family":"Cabrera","given":"L","non-dropping-particle":"","parse-names":false,"suffix":""},{"dropping-particle":"","family":"Black","given":"R E","non-dropping-particle":"","parse-names":false,"suffix":""}],"container-title":"American Journal of Epidemiology","id":"ITEM-1","issue":"2","issued":{"date-parts":[["2003"]]},"page":"166-175","title":"Effects of acute diarrhea on linear growth in Peruvian children","type":"article-journal","volume":"157"},"uris":["http://www.mendeley.com/documents/?uuid=85e79114-69d9-4872-a8b9-887af2f38541"]},{"id":"ITEM-2","itemData":{"DOI":"10.1186/s12914-016-0099-6","abstract":"Background: Informal settlements are common throughout the developing world. In Peru, land occupations, commonly “invasions” in Spanish, are a means by which the extremely poor attempt to obtain access to land. Here, we examine difference in child health between two communities in the Peruvian Amazon, one well-established and one newly formed by ‘invasion’, as captured incidentally by a prospective epidemiological cohort study. Methods: Between 2002 and 2006 a study designed to describe the epidemiology of pediatric enteric infections and child growth in a community-based setting enrolled 442 children in Santa Clara de Nanay, a community adjacent to the city of Iquitos, in Loreto, Peru. In early 2003, a land occupation, commonly called an “invasion” in Spanish, was organized by members of the Santa Clara community, and approximately 20 % of participating study families began occupying privately owned agricultural land adjacent to Santa Clara, thus forming the new community of La Union. Results: Parents in families that chose to invade reported less education than parents in families that chose not to. Children in the new community experienced a higher incidence of diarrheal disease and non-specific fevers, although fewer helminth infections, than children who remained in the established community. At the time of the invasion, there were no differences in anthropometric status between the two groups; however children in the new community experienced greater progressive growth faltering over the course of the longitudinal study. Conclusions: Growth faltering in early childhood represents an enduring loss of human potential. Therefore, our data suggests the human cost of land invasion may be disproportionately borne by the youngest individuals. Innovative policy strategies may be needed to protect this vulnerable group. © 2016 The Author(s).","author":[{"dropping-particle":"","family":"Lee","given":"G O","non-dropping-particle":"","parse-names":false,"suffix":""},{"dropping-particle":"","family":"Paredes Olortegui","given":"M","non-dropping-particle":"","parse-names":false,"suffix":""},{"dropping-particle":"","family":"Salmón-Mulanovich","given":"G","non-dropping-particle":"","parse-names":false,"suffix":""},{"dropping-particle":"","family":"Peñataro Yori","given":"P","non-dropping-particle":"","parse-names":false,"suffix":""},{"dropping-particle":"","family":"Kosek","given":"M","non-dropping-particle":"","parse-names":false,"suffix":""}],"container-title":"BMC International Health and Human Rights","id":"ITEM-2","issue":"1","issued":{"date-parts":[["2016"]]},"page":"1-9","title":"Early child health in an informal settlement in the Peruvian Amazon","type":"article-journal","volume":"16"},"uris":["http://www.mendeley.com/documents/?uuid=9464bead-7863-4ac1-b761-60e1e766ba83"]},{"id":"ITEM-3","itemData":{"PMID":"22258823","abstract":"BACKGROUND: The adverse impact of Plasmodium vivax on child health beyond acute febrile illness is poorly studied. The effect of vivax malaria on child growth was evaluated and compared with diarrhoeal disease and non-specific fever. METHODS: Using data from a 43-month longitudinal cohort of children 0-72 months of age (n=442) in the Peruvian Amazon, ponderal and linear growth velocities over 2-, 4- and 6-month periods were examined using longitudinal models and related to the incidence of disease during the same period. RESULTS: An episode of vivax malaria led to 138.6 g (95% confidence interval (CI) 81.9-195.4), 108.6 g (62.8-153.2) and 61 g (20.9-101.1) less weight gain over 2-, 4- and 6-month intervals, respectively. These deficits were larger than both diarrhoea (21.9, 17.2 and 13.8 g less weight gain, respectively) and fever (39.0, 30.3 and 25.6 g less weight gain, respectively). An incident episode of vivax also led to 0.070 cm (0.004-0.137) and 0.083 cm (0.015-0.151) less linear growth over 4 and 6 months, respectively, which were also larger than deficits from diarrhoea (0.029 and 0.028 cm, respectively) and fever (not associated with linear growth deficits). Despite the larger effect of P. vivax incident episodes on growth of a particular child, diarrhoeal disease had a larger cumulative impact on growth deficits as diarrhoeal incidence rates in this community are &gt;10-fold higher than vivax malaria. CONCLUSIONS: Disease control measures for vivax malaria and diarrhoeal disease have the potential to improve the growth of children in endemic areas.","author":[{"dropping-particle":"","family":"Lee","given":"G","non-dropping-particle":"","parse-names":false,"suffix":""},{"dropping-particle":"","family":"Yori","given":"P","non-dropping-particle":"","parse-names":false,"suffix":""},{"dropping-particle":"","family":"Olortegui","given":"M P","non-dropping-particle":"","parse-names":false,"suffix":""},{"dropping-particle":"","family":"Pan","given":"W","non-dropping-particle":"","parse-names":false,"suffix":""},{"dropping-particle":"","family":"Caulfield","given":"L","non-dropping-particle":"","parse-names":false,"suffix":""},{"dropping-particle":"","family":"Gilman","given":"R H","non-dropping-particle":"","parse-names":false,"suffix":""},{"dropping-particle":"","family":"Sanders","given":"J W","non-dropping-particle":"","parse-names":false,"suffix":""},{"dropping-particle":"","family":"Delgado","given":"H S","non-dropping-particle":"","parse-names":false,"suffix":""},{"dropping-particle":"","family":"Kosek","given":"M","non-dropping-particle":"","parse-names":false,"suffix":""}],"container-title":"International Journal of Epidemiology","id":"ITEM-3","issue":"2","issued":{"date-parts":[["2012"]]},"page":"531-539","title":"Comparative effects of vivax malaria, fever and diarrhoea on child growth","type":"article-journal","volume":"41"},"uris":["http://www.mendeley.com/documents/?uuid=76e4f77e-426f-41b0-9531-b2707ab9ad21"]},{"id":"ITEM-4","itemData":{"PMID":"20163340444","abstract":"Diarrheagenic Escherichia coli (DEC) are common pathogens of childhood gastrointestinal infections worldwide. To date, research tracking DEC has mainly been completed in urban areas. This study aims to determine the prevalence and pathotype distribution of DEC strains in children from rural Peruvian communities and to establish their association with malnutrition. In this prospective cohort, 93 children aged 6-13 months from rural communities of Urubamba (Andes) and Moyobamba (jungle) were followed for 6 months. Diarrheal and control stool samples were analyzed using multiplex real-time polymerase chain reaction to identify the presence of virulence genes of DEC strains. The overall isolation rate of DEC was 43.0% (352/820). Enteroaggregative E. coli (EAEC, 20.4%), enteropathogenic E. coli (EPEC, 14.2%), and diffusely aggregative E. coli (DAEC, 11.0%) were the most prevalent pathotypes. EAEC was more frequently found in Moyobamba samples (P&lt;0.01). EPEC was the only strain significantly more frequent in diarrheal than asymptomatic control samples (P&lt;0.01). DEC strains were more prevalent among younger children (aged 6-12 months, P&lt;0.05). A decline in height-for-age Z-score (HAZ) was observed in 75.7% of children overall. EAEC was more frequently isolated among children who had a greater HAZ decline (P&lt;0.05). In conclusion, DEC strains were frequently found in stool samples from children in rural communities of the highlands and jungle of Peru. In addition, children with a greater decline in their growth rate had higher EAEC isolation rates, highlighting the importance of this pathogen in child malnutrition.","author":[{"dropping-particle":"","family":"Acosta","given":"G J","non-dropping-particle":"","parse-names":false,"suffix":""},{"dropping-particle":"","family":"Vigo","given":"N I","non-dropping-particle":"","parse-names":false,"suffix":""},{"dropping-particle":"","family":"Durand","given":"D","non-dropping-particle":"","parse-names":false,"suffix":""},{"dropping-particle":"","family":"Riveros","given":"M","non-dropping-particle":"","parse-names":false,"suffix":""},{"dropping-particle":"","family":"Arango","given":"S","non-dropping-particle":"","parse-names":false,"suffix":""},{"dropping-particle":"","family":"Zambruni","given":"M","non-dropping-particle":"","parse-names":false,"suffix":""},{"dropping-particle":"","family":"Ochoa","given":"T J","non-dropping-particle":"","parse-names":false,"suffix":""}],"container-title":"American Journal of Tropical Medicine and Hygiene","id":"ITEM-4","issue":"3","issued":{"date-parts":[["2016"]]},"page":"574-579","title":"Diarrheagenic Escherichia coli: prevalence and pathotype distribution in children from Peruvian rural communities","type":"article-journal","volume":"95"},"uris":["http://www.mendeley.com/documents/?uuid=aff19c91-74fc-4b6f-a1be-e007dc9a9adb"]},{"id":"ITEM-5","itemData":{"PMID":"373602393","abstract":"Background: In endemic settings, Helicobacter pylori infection can occur shortly after birth and may be associated with a reduction in childhood growth. Materials and Methods: This study investigated what factors promote earlier age of first H. pylori infection and evaluated the role of H. pylori infection in infancy (6-11 months) versus early childhood (12-23 months) on height. We included 183 children near birth from a peri-urban shanty town outside of Lima, Peru. Field-workers collected data on socioeconomic status (SES), daily diarrheal and breast-feeding history, antibiotic use, anthropometrics, and H. pylori status via carbon 13-labeled urea breath test up to 24 months after birth. We used a proportional hazards model to assess risk factors for earlier age at first detected infection and linear mixed-effects models to evaluate the association of first detected H. pylori infection during infancy on attained height. Results: One hundred and forty (77%) were infected before 12 months of age. Lower SES was associated with earlier age at first detected H. pylori infection (low vs middle-to-high SES Hazard ratio (HR) 1.59, 95% CI 1.16, 2.19; p = .004), and greater exclusive breast-feeding was associated with reduced likelihood (HR 0.63, 95% CI 0.40, 0.98, p = .04). H. pylori infection in infancy was not independently associated with growth deficits (p = .58). However, children who had their first detected H. pylori infection in infancy (6-11 months) versus early childhood (12-23 months) and who had an average number of diarrhea episodes per year (3.4) were significantly shorter at 24 months (-0.37 cm, 95% CI, -0.60, -0.15 cm; p = .001). Discussion: Lower SES was associated with a higher risk of first detected H. pylori infection during infancy, which in turn augmented the adverse association of diarrheal disease on linear growth. © 2014 John Wiley &amp; Sons Ltd.","author":[{"dropping-particle":"","family":"Jaganath","given":"D","non-dropping-particle":"","parse-names":false,"suffix":""},{"dropping-particle":"","family":"Saito","given":"M","non-dropping-particle":"","parse-names":false,"suffix":""},{"dropping-particle":"","family":"Gilman","given":"R H","non-dropping-particle":"","parse-names":false,"suffix":""},{"dropping-particle":"","family":"Queiroz","given":"D M M","non-dropping-particle":"","parse-names":false,"suffix":""},{"dropping-particle":"","family":"Rocha","given":"G A","non-dropping-particle":"","parse-names":false,"suffix":""},{"dropping-particle":"","family":"Cama","given":"V","non-dropping-particle":"","parse-names":false,"suffix":""},{"dropping-particle":"","family":"Cabrera","given":"L","non-dropping-particle":"","parse-names":false,"suffix":""},{"dropping-particle":"","family":"Kelleher","given":"D","non-dropping-particle":"","parse-names":false,"suffix":""},{"dropping-particle":"","family":"Windle","given":"H J","non-dropping-particle":"","parse-names":false,"suffix":""},{"dropping-particle":"","family":"Crabtree","given":"J E","non-dropping-particle":"","parse-names":false,"suffix":""},{"dropping-particle":"","family":"Checkley","given":"W","non-dropping-particle":"","parse-names":false,"suffix":""}],"container-title":"Helicobacter","id":"ITEM-5","issue":"4","issued":{"date-parts":[["2014"]]},"page":"272-279","title":"First Detected Helicobacter pylori Infection in Infancy Modifies the Association Between Diarrheal Disease and Childhood Growth in Peru","type":"article-journal","volume":"19"},"uris":["http://www.mendeley.com/documents/?uuid=86a597d1-8bd6-46a7-879c-7f0de4861c96"]},{"id":"ITEM-6","itemData":{"PMID":"35191071","abstract":"Objective: Most Helicobacter pylori infections occur during childhood, but the health effects of childhood infection are poorly understood. We investigated whether growth decreases in the 2 months after acute H. pylori seroconversion. Methods: We performed a nested case-control study among children 6 months to 12 years of age in a community on the outskirts of Lima, Peru. Health interviews were completed daily. Anthropometric measurements were taken monthly. Sera were collected every 4 months and tested for H. pylori immunoglobulin G. Two-month height and weight gains of seroconverters were compared with gains of sex, age, and size-matched seronegative controls. Results: In the 2 months after H. pylori infection, 26 seroconverters gained a median of 24% less weight than 26 matched controls (interquartile range, 63% less to 21% more). In multivariate analysis, H. pylori infection attenuated weight gain only among children aged 2 years or older. This decrease was not explained by increased diarrhea. Conclusions: H. pylori seroconversion is associated with a slowing of weight gain in children aged 2 years or older. Reasons for this finding merit additional study. © 2002 Lippincott Williams &amp; Wilkins, Inc.","author":[{"dropping-particle":"","family":"Passaro","given":"D J","non-dropping-particle":"","parse-names":false,"suffix":""},{"dropping-particle":"","family":"Taylor","given":"D N","non-dropping-particle":"","parse-names":false,"suffix":""},{"dropping-particle":"","family":"Gilman","given":"R H","non-dropping-particle":"","parse-names":false,"suffix":""},{"dropping-particle":"","family":"Cabrera","given":"L","non-dropping-particle":"","parse-names":false,"suffix":""},{"dropping-particle":"","family":"Parsonnet","given":"J","non-dropping-particle":"","parse-names":false,"suffix":""}],"container-title":"Journal of Pediatric Gastroenterology and Nutrition","id":"ITEM-6","issue":"4","issued":{"date-parts":[["2002"]]},"page":"522-526","title":"Growth slowing after acute Helicobacter pylori infection is age-dependent","type":"article-journal","volume":"35"},"uris":["http://www.mendeley.com/documents/?uuid=b75fa471-5743-4036-9d93-2ae53ec0b67d"]},{"id":"ITEM-7","itemData":{"PMID":"26426270","abstract":"BACKGROUND: Appropriate health and nutrition interventions to prevent long-term adverse effects in children are necessary before two years of age. One such intervention may include population-based deworming, recommended as of 12 months of age by the World Health Organization in soil-transmitted helminth (STH)-endemic areas; however, the benefit of deworming has been understudied in early preschool-age children. METHODOLOGY/PRINCIPAL FINDINGS: A randomized, double-blind, placebo-controlled trial was conducted to determine the effect of deworming (500 mg single-dose crushed mebendazole tablet) on growth in one-year-old children in Iquitos, Peru. Children were enrolled during their routine 12-month growth and development clinic visit and followed up at their 18 and 24-month visits. Children were randomly allocated to: Group 1: deworming at 12 months and placebo at 18 months; Group 2: placebo at 12 months and deworming at 18 months; Group 3: deworming at both 12 and 18 months; or Group 4: placebo at both 12 and 18 months (i.e. control group). The primary outcome was weight gain at the 24-month visit. An intention-to-treat approach was used. A total of 1760 children were enrolled between September 2011 and June 2012. Follow-up of 1563 children (88.8%) was completed by July 2013. STH infection was of low prevalence and predominantly light intensity in the study population. All groups gained between 1.93 and 2.05 kg on average over 12 months; the average difference in weight gain (kg) compared to placebo was: 0.05 (95% CI: -0.05, 0.17) in Group 1; -0.07 (95%CI: -0.17, 0.04) in Group 2; and 0.04 (95%CI: -0.06, 0.14) in Group 3. There was no statistically significant difference in weight gain in any of the deworming intervention groups compared to the control group. CONCLUSIONS: Overall, with one year of follow-up, no effect of deworming on growth could be detected in this population of preschool-age children. Low baseline STH prevalence and intensity and/or access to deworming drugs outside of the trial may have diluted the potential effect of the intervention. Additional research is required to overcome these challenges and to contribute to strengthening the evidence base on deworming. TRIAL REGISTRATION: ClinicalTrials.gov (NCT01314937).","author":[{"dropping-particle":"","family":"Joseph","given":"S A","non-dropping-particle":"","parse-names":false,"suffix":""},{"dropping-particle":"","family":"Casapia","given":"M","non-dropping-particle":"","parse-names":false,"suffix":""},{"dropping-particle":"","family":"Montresor","given":"A","non-dropping-particle":"","parse-names":false,"suffix":""},{"dropping-particle":"","family":"Rahme","given":"E","non-dropping-particle":"","parse-names":false,"suffix":""},{"dropping-particle":"","family":"Ward","given":"B J","non-dropping-particle":"","parse-names":false,"suffix":""},{"dropping-particle":"","family":"Marquis","given":"G S","non-dropping-particle":"","parse-names":false,"suffix":""},{"dropping-particle":"","family":"Pezo","given":"L","non-dropping-particle":"","parse-names":false,"suffix":""},{"dropping-particle":"","family":"Blouin","given":"B","non-dropping-particle":"","parse-names":false,"suffix":""},{"dropping-particle":"","family":"Maheu-Giroux","given":"M","non-dropping-particle":"","parse-names":false,"suffix":""},{"dropping-particle":"","family":"Gyorkos","given":"T W","non-dropping-particle":"","parse-names":false,"suffix":""}],"container-title":"PLoS Neglected Tropical Diseases [electronic resource]","id":"ITEM-7","issue":"10","issued":{"date-parts":[["2015"]]},"page":"e0004020","title":"The Effect of Deworming on Growth in One-Year-Old Children Living in a Soil-Transmitted Helminth-Endemic Area of Peru: A Randomized Controlled Trial.[Erratum appears in PLoS Negl Trop Dis. 2015 Dec;9(12):e0004288; PMID: 26636967]","type":"article-journal","volume":"9"},"uris":["http://www.mendeley.com/documents/?uuid=3aa0e7f1-0bdf-4bb6-94a4-829a87890874"]}],"mendeley":{"formattedCitation":"[73–79]","plainTextFormattedCitation":"[73–79]","previouslyFormattedCitation":"[73–79]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[73–79]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while Giardia was not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{"citationItems":[{"id":"ITEM-1","itemData":{"ISBN":"0002-9262","abstract":"Giardia intestinalis is a common gastrointestinal protozoan worldwide, but its effects on childhood growth in developing countries are not clearly understood. The authors aimed to describe its effects on child growth. They followed 220 Peruvian children daily for diarrhea, weekly for stool samples, and monthly for anthropometry. The authors modeled the effect of nutritional status on the risk of Giardia infection and the risk of diarrhea attributable to Giardia using negative binomial regression. They modeled the effects of Giardia infection on growth using linear regression, with 85% of children becoming infected with Giardia and 87% of these becoming reinfected. In multivariable analysis, the risk of Giardia infection did not vary with weight for age (relative risk = 1.00, 95% confidence interval: 0.89, 1.12) or height for age (relative risk = 0.92, 95% confidence interval: 0.82, 1.04). Giardiasis did not affect growth at 1 or 2 months following the first infection at any age interval. The longitudinal prevalence of Giardia between 6 and 24 months of age was not associated with height gain in that interval (p = 0.981). Giardia was not associated with an increased risk of diarrhea at any age interval. Study results question the importance of Giardia as a childhood pathogen in developing countries where giardiasis is hyperendemic.","author":[{"dropping-particle":"","family":"Hollm-Delgado","given":"M","non-dropping-particle":"","parse-names":false,"suffix":""},{"dropping-particle":"","family":"Gilman","given":"R H","non-dropping-particle":"","parse-names":false,"suffix":""},{"dropping-particle":"","family":"Bern","given":"C","non-dropping-particle":"","parse-names":false,"suffix":""},{"dropping-particle":"","family":"Cabrera","given":"L","non-dropping-particle":"","parse-names":false,"suffix":""},{"dropping-particle":"","family":"Sterling","given":"C R","non-dropping-particle":"","parse-names":false,"suffix":""},{"dropping-particle":"","family":"Black","given":"R E","non-dropping-particle":"","parse-names":false,"suffix":""},{"dropping-particle":"","family":"Checkley","given":"W","non-dropping-particle":"","parse-names":false,"suffix":""}],"container-title":"American Journal of Epidemiology","id":"ITEM-1","issue":"6","issued":{"date-parts":[["2008"]]},"page":"647-655","publisher":"Oxford University Press / USA","title":"Lack of an adverse effect of Giardia intestinalis infection on the health of Peruvian children","type":"article-journal","volume":"168"},"uris":["http://www.mendeley.com/documents/?uuid=ace75238-9e7c-43c3-aee8-c9ae4cdf7f0e"]}],"mendeley":{"formattedCitation":"[80]","plainTextFormattedCitation":"[80]","previouslyFormattedCitation":"[80]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Trials were conducted in Peru to determine the impact of de-worming medications on HAZ in children &lt;5 years. Interventions targeted at reducing parasitic infection in women postpartum </w:t>
      </w:r>
      <w:r w:rsidRPr="00C14D61">
        <w:rPr>
          <w:rFonts w:ascii="Helvetica" w:hAnsi="Helvetica" w:cs="Helvetica"/>
          <w:sz w:val="22"/>
          <w:szCs w:val="22"/>
        </w:rPr>
        <w:t>and for infants under-2 years of age had no impact on HAZ at 6 months, or at 6 months post medication, respectively</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{"citationItems":[{"id":"ITEM-1","itemData":{"DOI":"10.1371/journal.pntd.0005098","abstract":"Background: Nutritional interventions targeting the critical growth and development period before two years of age can have the greatest impact on health trajectories over the life course. Compelling evidence has demonstrated that interventions investing in maternal health in the first 1000 days of life are beneficial for both mothers and their children. One such potential intervention is deworming integrated into maternal postpartum care in areas where soil-transmitted helminth (STH) infections are endemic. Methodology/Principal Findings: From February to August 2014, 1010 mother-infant pairs were recruited into a trial aimed at assessing the effectiveness of maternal postpartum deworming on infant and maternal health outcomes. Following delivery, mothers were randomly assigned to receive either single-dose 400 mg albendazole or placebo. Participants were followed-up at 1 and 6 months postpartum. There was no statistically significant difference in mean weight gain between infants in the experimental and control groups (mean difference: -0.02; 95% CI: -0.1, 0.08) at 6 months of age. Further, deworming had no effect on measured infant morbidity indicators. However, ad hoc analyses restricted to mothers who tested positive for STHs at baseline suggest that infants of mothers in the experimental group had greater mean length gain in cm (mean difference: 0.8; 95% CI: 0.1, 1.4) and length-for-age z-score (mean difference: 0.5; 95% CI: 0.2, 0.8) at 6 months of age. Conclusions/Significance: In a study population composed of both STH-infected and uninfected mothers, maternal postpartum deworming was insufficient to impact infant growth and morbidity indicators up to 6 months postpartum. Among STH-infected mothers, however, important improvements in infant length gain and length-for-age were observed. The benefits of maternal postpartum deworming should be further investigated in study populations having higher overall prevalences and intensities of STH infections and, in particular, where whipworm and hookworm infections are of public health concern. Trial registration: ClinicalTrials.gov (NCT01748929). © 2017 Public Library of Science. All Rights Reserved.","author":[{"dropping-particle":"","family":"Mofid","given":"L S","non-dropping-particle":"","parse-names":false,"suffix":""},{"dropping-particle":"","family":"Casapía","given":"M","non-dropping-particle":"","parse-names":false,"suffix":""},{"dropping-particle":"","family":"Aguilar","given":"E","non-dropping-particle":"","parse-names":false,"suffix":""},{"dropping-particle":"","family":"Silva","given":"H","non-dropping-particle":"","parse-names":false,"suffix":""},{"dropping-particle":"","family":"Montresor","given":"A","non-dropping-particle":"","parse-names":false,"suffix":""},{"dropping-particle":"","family":"Rahme","given":"E","non-dropping-particle":"","parse-names":false,"suffix":""},{"dropping-particle":"","family":"Fraser","given":"W D","non-dropping-particle":"","parse-names":false,"suffix":""},{"dropping-particle":"","family":"Marquis","given":"G S","non-dropping-particle":"","parse-names":false,"suffix":""},{"dropping-particle":"","family":"Vercruysse","given":"J","non-dropping-particle":"","parse-names":false,"suffix":""},{"dropping-particle":"","family":"Allen","given":"L H","non-dropping-particle":"","parse-names":false,"suffix":""},{"dropping-particle":"","family":"Blouin","given":"B","non-dropping-particle":"","parse-names":false,"suffix":""},{"dropping-particle":"","family":"Razuri","given":"H","non-dropping-particle":"","parse-names":false,"suffix":""},{"dropping-particle":"","family":"Pezo","given":"L","non-dropping-particle":"","parse-names":false,"suffix":""},{"dropping-particle":"","family":"Gyorkos","given":"T W","non-dropping-particle":"","parse-names":false,"suffix":""}],"container-title":"PLoS Neglected Tropical Diseases","id":"ITEM-1","issue":"1","issued":{"date-parts":[["2017"]]},"title":"A Double-Blind Randomized Controlled Trial of Maternal Postpartum Deworming to Improve Infant Weight Gain in the Peruvian Amazon","type":"article-journal","volume":"11"},"uris":["http://www.mendeley.com/documents/?uuid=f091d862-b931-4711-902e-50f901c08683","http://www.mendeley.com/documents/?uuid=c303fe53-79ed-421b-947e-767c2e5ff46a","http://www.mendeley.com/documents/?uuid=2e1df81d-9813-4624-9ae9-92e5f7362357"]},{"id":"ITEM-2","itemData":{"PMID":"26426270","abstract":"BACKGROUND: Appropriate health and nutrition interventions to prevent long-term adverse effects in children are necessary before two years of age. One such intervention may include population-based deworming, recommended as of 12 months of age by the World Health Organization in soil-transmitted helminth (STH)-endemic areas; however, the benefit of deworming has been understudied in early preschool-age children. METHODOLOGY/PRINCIPAL FINDINGS: A randomized, double-blind, placebo-controlled trial was conducted to determine the effect of deworming (500 mg single-dose crushed mebendazole tablet) on growth in one-year-old children in Iquitos, Peru. Children were enrolled during their routine 12-month growth and development clinic visit and followed up at their 18 and 24-month visits. Children were randomly allocated to: Group 1: deworming at 12 months and placebo at 18 months; Group 2: placebo at 12 months and deworming at 18 months; Group 3: deworming at both 12 and 18 months; or Group 4: placebo at both 12 and 18 months (i.e. control group). The primary outcome was weight gain at the 24-month visit. An intention-to-treat approach was used. A total of 1760 children were enrolled between September 2011 and June 2012. Follow-up of 1563 children (88.8%) was completed by July 2013. STH infection was of low prevalence and predominantly light intensity in the study population. All groups gained between 1.93 and 2.05 kg on average over 12 months; the average difference in weight gain (kg) compared to placebo was: 0.05 (95% CI: -0.05, 0.17) in Group 1; -0.07 (95%CI: -0.17, 0.04) in Group 2; and 0.04 (95%CI: -0.06, 0.14) in Group 3. There was no statistically significant difference in weight gain in any of the deworming intervention groups compared to the control group. CONCLUSIONS: Overall, with one year of follow-up, no effect of deworming on growth could be detected in this population of preschool-age children. Low baseline STH prevalence and intensity and/or access to deworming drugs outside of the trial may have diluted the potential effect of the intervention. Additional research is required to overcome these challenges and to contribute to strengthening the evidence base on deworming. TRIAL REGISTRATION: ClinicalTrials.gov (NCT01314937).","author":[{"dropping-particle":"","family":"Joseph","given":"S A","non-dropping-particle":"","parse-names":false,"suffix":""},{"dropping-particle":"","family":"Casapia","given":"M","non-dropping-particle":"","parse-names":false,"suffix":""},{"dropping-particle":"","family":"Montresor","given":"A","non-dropping-particle":"","parse-names":false,"suffix":""},{"dropping-particle":"","family":"Rahme","given":"E","non-dropping-particle":"","parse-names":false,"suffix":""},{"dropping-particle":"","family":"Ward","given":"B J","non-dropping-particle":"","parse-names":false,"suffix":""},{"dropping-particle":"","family":"Marquis","given":"G S","non-dropping-particle":"","parse-names":false,"suffix":""},{"dropping-particle":"","family":"Pezo","given":"L","non-dropping-particle":"","parse-names":false,"suffix":""},{"dropping-particle":"","family":"Blouin","given":"B","non-dropping-particle":"","parse-names":false,"suffix":""},{"dropping-particle":"","family":"Maheu-Giroux","given":"M","non-dropping-particle":"","parse-names":false,"suffix":""},{"dropping-particle":"","family":"Gyorkos","given":"T W","non-dropping-particle":"","parse-names":false,"suffix":""}],"container-title":"PLoS Neglected Tropical Diseases [electronic resource]","id":"ITEM-2","issue":"10","issued":{"date-parts":[["2015"]]},"page":"e0004020","title":"The Effect of Deworming on Growth in One-Year-Old Children Living in a Soil-Transmitted Helminth-Endemic Area of Peru: A Randomized Controlled Trial.[Erratum appears in PLoS Negl Trop Dis. 2015 Dec;9(12):e0004288; PMID: 26636967]","type":"article-journal","volume":"9"},"uris":["http://www.mendeley.com/documents/?uuid=3aa0e7f1-0bdf-4bb6-94a4-829a87890874"]}],"mendeley":{"formattedCitation":"[79,81]","plainTextFormattedCitation":"[79,81]","previouslyFormattedCitation":"[79,81]"},"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[79,81]</w:t>
      </w:r>
      <w:r w:rsidRPr="00C14D61">
        <w:rPr>
          <w:rFonts w:ascii="Helvetica" w:hAnsi="Helvetica" w:cs="Helvetica"/>
          <w:sz w:val="22"/>
          <w:szCs w:val="22"/>
        </w:rPr>
        <w:fldChar w:fldCharType="end"/>
      </w:r>
      <w:r w:rsidRPr="00C14D61">
        <w:rPr>
          <w:rFonts w:ascii="Helvetica" w:hAnsi="Helvetica" w:cs="Helvetica"/>
          <w:sz w:val="22"/>
          <w:szCs w:val="22"/>
        </w:rPr>
        <w:t>.</w:t>
      </w:r>
    </w:p>
    <w:p w14:paraId="7BD79A08" w14:textId="77777777" w:rsidR="001070CC" w:rsidRPr="00C14D61" w:rsidRDefault="001070CC" w:rsidP="000C7ADC">
      <w:pPr>
        <w:rPr>
          <w:rFonts w:ascii="Helvetica" w:hAnsi="Helvetica" w:cs="Helvetica"/>
          <w:sz w:val="22"/>
          <w:szCs w:val="22"/>
        </w:rPr>
      </w:pPr>
    </w:p>
    <w:p w14:paraId="193D1A52" w14:textId="11E29874"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Poor dietary intake is another immediate cause of malnutrition. Data from Peru suggests that poor diet is associated with stunting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{"citationItems":[{"id":"ITEM-1","itemData":{"abstract":"Objetivo. Analizar la situación de la diversidad alimentaria (DA) en niños de 6-23 meses en Perú, ysu relación con el crecimiento infantil y factores sociodemográficos asociados. Material ymétodos. La presente tesis constituye un análisis secundario del Monitoreo Nacional deIndicadores Nutricionales (MONIN) 2008-2010. Se construyeron puntajes de DiversidadAlimentaria (DA) según lo propuesto por la Organización Mundial de la Salud. Se describió lasituación de la DA según características de la madre, el niño y los hogares. Asimismo, se empleó unmodelo de regresión logística para estimar la asociación entre el retraso de crecimiento y la DA,ajustado por potenciales variables de confusión. (...) Conclusiones. La alimentación del niño de 6-23 meses en Perú esmonótona, con un bajo consumo generalizado de alimentos de origen animal. Mejorar la ingesta demicronutrientes y las prácticas de alimentación complementaria, especialmente a través de ladiversificación de la dieta son aspectos cruciales para prevenir el retraso de crecimiento. Debendesarrollarse estudios para definir cuestiones metodológicas, y examinar la relación entre DA yaspectos como seguridad alimentaria, adecuación nutricional y exceso de peso, que permitan su usoen diferentes condiciones y contextos. Objective. To analyze the dietary diversity (DD) situation in Peruvian children aged 6-23months, and its relationship to child growth and associated socio-demographic factors.Material and methods. This thesis is a secondary analysis of the National Surveillance ofNutritional Indicators (MONIN) 2008-2010. Dietary diversity (DD) score was constructedaccording to suggested by the World Health Organization. The status of DD was described bycharacteristics of the mother, child and households. Also, it was used a logistic regressionmodel to estimate the association between stunting and DD, model was adjusted by potentialconfounding variables. (...) Conclusions. Diet of Peruvian children 6-23 months is monotonous, generally poorin animal source foods. Improve micronutrient intake and complementary feeding practices,especially through diet diversification are crucial to prevent stunting. Studies to definemethodological aspects and examine the relationship between DD and issues such as foodsecurity, nutritional adequacy and excess weight, appropriate to be used in different contexts,should be developed.","author":[{"dropping-particle":"","family":"Aramburú La Torre","given":"Adolfo Martín","non-dropping-particle":"","parse-names":false,"suffix":""}],"id":"ITEM-1","issued":{"date-parts":[["2014"]]},"language":"pt","note":"Aviva - Spanish\nThesis","page":"viii,62-viii,62","title":"Diversidad alimentaria y su asociación con el retraso del crecimiento en niños de 6-23 meses. Perú, 2008-2010","type":"article-journal"},"uris":["http://www.mendeley.com/documents/?uuid=17bd5382-74a0-4e56-ae18-1adda8b0d516"]}],"mendeley":{"formattedCitation":"[25]","plainTextFormattedCitation":"[25]","previouslyFormattedCitation":"[25]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Changing behavior, specifically dietary intake is challenging, particularly when resources are poor such as is in the Awajun women of Peru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{"citationItems":[{"id":"ITEM-1","itemData":{"author":[{"dropping-particle":"","family":"Creed-Kanashiro","given":"H M","non-dropping-particle":"","parse-names":false,"suffix":""},{"dropping-particle":"","family":"Carrasco","given":"M","non-dropping-particle":"","parse-names":false,"suffix":""},{"dropping-particle":"","family":"Abad","given":"M","non-dropping-particle":"","parse-names":false,"suffix":""},{"dropping-particle":"","family":"Tuesta","given":"I","non-dropping-particle":"","parse-names":false,"suffix":""}],"id":"ITEM-1","issued":{"date-parts":[["2013"]]},"number-of-pages":"53-74","publisher-place":"Rome","title":"Promotion of traditional foods to improve the nutrition and health of the Awajun of the Cenepa River in Peru","type":"report"},"uris":["http://www.mendeley.com/documents/?uuid=a6d856fe-229f-4121-9e92-43a3678b83d5","http://www.mendeley.com/documents/?uuid=0ebe9155-59f4-4643-95e3-cfe10160b80a","http://www.mendeley.com/documents/?uuid=923958b7-911a-441a-ac9d-ef0ece01a6d5"]}],"mendeley":{"formattedCitation":"[82]","plainTextFormattedCitation":"[82]","previouslyFormattedCitation":"[82]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As such, interventions in Peru have been evaluated to improve diet quality, particularly micronutrient intake. Neither pre-natal zinc supplementation or zinc supplements in infants had an impact on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{"citationItems":[{"id":"ITEM-1","itemData":{"abstract":"OBJECTIVEWe aimed to assess the effect of maternal zinc supplementation during pregnancy on infant growth through age 1 y.DESIGNA double-blind, randomized controlled trial of prenatal zinc supplementation was conducted from 1995 to 1997 in Lima, Peru. Women (n = 1295) were enrolled at 15.6 +/- 4.6 wk gestation and assigned to receive daily supplements with zinc (15 mg Zn + 60 mg Fe + 250 microg folic acid) or without zinc (60 Fe + 250 microg folic acid) through pregnancy to 1 mo after delivery. At birth, 546 infants were followed for 12 mo to assess growth. Anthropometric measures of body size and composition were collected monthly, and morbidity and dietary intake surveillance was carried out weekly.RESULTSNo differences in maternal socioeconomic characteristics by treatment group or follow-up period were found. Infants born to mothers prenatally supplemented with zinc had significantly (P &lt; 0.05) larger average growth measures beginning in month 4 and continuing through month 12. In longitudinal regression modeling, prenatal zinc was associated with greater weight (by 0.58 +/- 0.12 kg; P &lt; 0.001), calf circumference (by 1.01 +/- 0.21 cm; P &lt; 0.001), chest circumference (by 0.60 +/- 0.20 cm; P = 0.002), and calf muscle area (by 35.78 +/- 14.75 mm(2); P = 0.01) after adjustment for a range of covariates. No effect was observed for linear growth.CONCLUSIONMaternal zinc supplementation in this population was associated with offspring growth, which is suggestive of lean tissue mass accretion.BACKGROUNDLittle is known about how maternal zinc intake influences growth in utero and in postnatal life in humans.","author":[{"dropping-particle":"","family":"Iannotti","given":"Ll","non-dropping-particle":"","parse-names":false,"suffix":""},{"dropping-particle":"","family":"Zavaleta","given":"N","non-dropping-particle":"","parse-names":false,"suffix":""},{"dropping-particle":"","family":"León","given":"Z","non-dropping-particle":"","parse-names":false,"suffix":""},{"dropping-particle":"","family":"Shankar","given":"Ah","non-dropping-particle":"","parse-names":false,"suffix":""},{"dropping-particle":"","family":"Caulfield","given":"Le","non-dropping-particle":"","parse-names":false,"suffix":""}],"container-title":"American Journal of Clinical Nutrition","id":"ITEM-1","issue":"1","issued":{"date-parts":[["2008"]]},"page":"154-160","title":"Maternal zinc supplementation and growth in Peruvian infants","type":"article","volume":"88"},"uris":["http://www.mendeley.com/documents/?uuid=a7761103-e557-4709-84dc-00d3e49a3ce2"]},{"id":"ITEM-2","itemData":{"abstract":"OBJECTIVEThe objective was to determine whether the administration of other micronutrients with zinc modifies the effect of zinc supplementation on children's morbidity and physical growth.DESIGNTwo hundred forty-six children aged 6-35 mo with persistent diarrhea were randomly assigned to 1 of 3 groups to receive a daily supplement of 10 mg Zn alone (Zn; n = 81), zinc plus vitamins and other minerals at 1-2 times recommended daily intakes (Zn+VM; n = 82), or placebo (n = 83) for approximately 6 mo after the diarrhea episode ended. Morbidity information was collected on weekdays. Weight, length, and other anthropometric indicators were measured monthly, and plasma zinc and other indicators of micronutrient status were measured at baseline and 6 mo.RESULTSSupplement consumption was high ( approximately 90%) in all groups, although slightly more vomiting was reported in the Zn+VM group (P &lt; 0.0001, analysis of variance). The change in plasma zinc from baseline to 6 mo was greater in the 2 zinc groups (6.1, 27.3, and 16.2 micro g/dL in the placebo, Zn, and Zn+VM groups, respectively; P &lt; 0.0001, analysis of variance). The Zn group had fewer episodes of diarrhea, dysentery, and respiratory illness and a lower prevalence of fever and cough than did the Zn+VM group and a lower prevalence of cough than did the placebo group (P = 0.05). No significant effects of supplementation on growth were observed.CONCLUSIONMorbidity was greater after supplementation with zinc plus multivitamins and minerals than it was after supplementation with zinc alone.BACKGROUNDZinc supplements reduce childhood morbidity in populations in whom zinc deficiency is common. In such populations, deficiencies in other micronutrients may also occur.","author":[{"dropping-particle":"","family":"Penny","given":"Me","non-dropping-particle":"","parse-names":false,"suffix":""},{"dropping-particle":"","family":"Marin","given":"Rm","non-dropping-particle":"","parse-names":false,"suffix":""},{"dropping-particle":"","family":"Duran","given":"A","non-dropping-particle":"","parse-names":false,"suffix":""},{"dropping-particle":"","family":"Peerson","given":"Jm","non-dropping-particle":"","parse-names":false,"suffix":""},{"dropping-particle":"","family":"Lanata","given":"Cf","non-dropping-particle":"","parse-names":false,"suffix":""},{"dropping-particle":"","family":"Lönnerdal","given":"B","non-dropping-particle":"","parse-names":false,"suffix":""},{"dropping-particle":"","family":"Black","given":"Re","non-dropping-particle":"","parse-names":false,"suffix":""},{"dropping-particle":"","family":"Brown","given":"Kh","non-dropping-particle":"","parse-names":false,"suffix":""}],"container-title":"American Journal of Clinical Nutrition","id":"ITEM-2","issue":"3","issued":{"date-parts":[["2004"]]},"page":"457-465","title":"Randomized controlled trial of the effect of daily supplementation with zinc or multiple micronutrients on the morbidity, growth, and micronutrient status of young Peruvian children","type":"article","volume":"79"},"uris":["http://www.mendeley.com/documents/?uuid=9eed5281-1926-48c2-8183-dacb43c65fe9"]},{"id":"ITEM-3","itemData":{"ISBN":"0002-9165","abstract":"BACKGROUND: Leptin, ghrelin, and insulin are hormonal regulators of energy balance and, therefore, may be related to growth during infancy. Zinc is essential for growth, and its growth effects may be mediated through these hormones. OBJECTIVE: We examined the effects of supplemental zinc on plasma leptin, ghrelin, and insulin concentrations among young children at risk of zinc deficiency and examined the relations between these hormones and physical growth. DESIGN: Children (n = 142) aged 6-8 mo were randomly assigned to receive 3 mg Zn/d as a supplement, in a fortified food, or as a placebo for 6 mo. Relations between hormones and anthropometric z scores, body composition, and growth rates were examined at baseline and 3 and 6 mo after the start of the intervention. RESULTS: No treatment group-related differences were found in plasma leptin, ghrelin, or glucose concentrations or in anthropometric z scores at 3 or 6 mo after the start of the zinc intervention. Neither plasma leptin nor ghrelin concentrations at baseline or 3 mo were predictive of subsequent changes in growth. However, changes in weight-for-age z scores over the two 3-mo time intervals were positively associated with subsequent leptin concentrations and inversely associated with subsequent plasma ghrelin concentrations. CONCLUSIONS: Supplemental zinc did not affect the children's growth, anthropometric indexes, or plasma hormone concentrations in this study population. Our results suggest that plasma leptin and ghrelin concentrations in later infancy are a consequence of previous weight changes rather than predictors of short-term growth. Copyright © 2007 American Society for Nutrition","author":[{"dropping-particle":"","family":"Arsenault","given":"J E","non-dropping-particle":"","parse-names":false,"suffix":""},{"dropping-particle":"","family":"Havel","given":"P J","non-dropping-particle":"","parse-names":false,"suffix":""},{"dropping-particle":"","family":"Romaña","given":"D L","non-dropping-particle":"de","parse-names":false,"suffix":""},{"dropping-particle":"","family":"Penny","given":"M E","non-dropping-particle":"","parse-names":false,"suffix":""},{"dropping-particle":"","family":"Loan","given":"M D","non-dropping-particle":"Van","parse-names":false,"suffix":""},{"dropping-particle":"","family":"Brown","given":"K H","non-dropping-particle":"","parse-names":false,"suffix":""}],"container-title":"American Journal of Clinical Nutrition","id":"ITEM-3","issue":"4","issued":{"date-parts":[["2007"]]},"page":"1111-1119","publisher":"American Society for Nutrition","publisher-place":"Bethesda, Maryland","title":"Longitudinal measures of circulating leptin and ghrelin concentrations are associated with the growth of young Peruvian children but are not affected by zinc supplementation","type":"article-journal","volume":"86"},"uris":["http://www.mendeley.com/documents/?uuid=fcdfc327-f945-4268-b0cb-34680c7e237a"]},{"id":"ITEM-4","itemData":{"ISBN":"0002-9165","abstract":"BACKGROUND: Zinc supplementation decreases morbidity from infections and increases growth of stunted children, but there is little information on functional responses to zinc delivered in fortified foods. OBJECTIVE: The aim was to examine the effects of zinc fortification on the growth, morbidity from infections, and plasma zinc concentrations of young children. DESIGN: We compared the physical growth, morbidity, and micronutrient status of 6-8-mo-old Peruvian children with initial length-for-age z score (LAZ) &lt; -0.50 who were randomly assigned to receive one of the following treatments daily for 6 mo: 1) 30 g dry weight of an iron-fortified cereal porridge and a separate dose of an aqueous multivitamin (MV) supplement between meals (control group), 2) the same porridge and MV with 3 mg Zn added to the supplement dose (ZnSuppl group), or 3) the porridge with added zinc (150 mg/kg dry weight) and MV without zinc (ZnFort group). RESULTS: The children consumed a mean of 22-26 g dry porridge/d and 96% of the possible MV doses. After adjustment for small baseline differences in socioeconomic status and morbidity, no significant differences in weight or length increments were observed between the groups, even among the subset with an initial LAZ &lt; -1.5, and no significant differences in the rates of common illnesses were observed. Mean plasma zinc concentrations decreased in the control group (-3.9 mug/dL), increased in the ZnSuppl group (4.3 mug/dL), and did not change significantly in the ZnFort group (-1.5 mug/dL; P &lt; 0.001 for group-wise comparison). CONCLUSIONS: Provision of additional zinc, either in an aqueous supplement or a fortified porridge, did not significantly affect the children's physical growth or morbidity from infections, possibly because they were not sufficiently growth-restricted or zinc-deficient initially or because the level of zinc intake or absorption was inadequate. Additional studies of the functional effect of zinc-fortified foods are needed in populations that are known to respond to zinc supplements. Copyright © 2007 American Society for Nutrition","author":[{"dropping-particle":"","family":"Brown","given":"K H","non-dropping-particle":"","parse-names":false,"suffix":""},{"dropping-particle":"","family":"Romaña","given":"D L","non-dropping-particle":"de","parse-names":false,"suffix":""},{"dropping-particle":"","family":"Arsenault","given":"J E","non-dropping-particle":"","parse-names":false,"suffix":""},{"dropping-particle":"","family":"Peerson","given":"J M","non-dropping-particle":"","parse-names":false,"suffix":""},{"dropping-particle":"","family":"Penny","given":"M E","non-dropping-particle":"","parse-names":false,"suffix":""}],"container-title":"American Journal of Clinical Nutrition","id":"ITEM-4","issue":"2","issued":{"date-parts":[["2007"]]},"page":"538-547","publisher":"American Society for Nutrition","publisher-place":"Bethesda, Maryland","title":"Comparison of the effects of zinc delivered in a fortified food or a liquid supplement on the growth, morbidity, and plasma zinc concentrations of young Peruvian children","type":"article-journal","volume":"85"},"uris":["http://www.mendeley.com/documents/?uuid=970179cf-b602-4100-90f0-a568e401854d"]}],"mendeley":{"formattedCitation":"[83–86]","plainTextFormattedCitation":"[83–86]","previouslyFormattedCitation":"[83–86]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[83–86]</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Similarly, multiple micronutrient supplements had no impact on HAZ in studies of different doses and durations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{"citationItems":[{"id":"ITEM-1","itemData":{"PMID":"15735109","abstract":"Anemia, micronutrient deficiencies, and growth faltering are still common in Peru. The study objective was to determine the efficacy of different micronutrient supplements in preventing growth failure, anemia, and micronutrient deficiencies in Peruvian infants. Three hundred and thirteen infants aged 6 to 12 mo participated in a double-blind, masked, controlled trial in which they were randomly assigned to receive either a daily dose of iron (DI), a daily dose of multiple micronutrients (DMM), a weekly dose of multiple micronutrients, or a placebo (P) for 6 mo. None of the supplements tested prevented growth faltering or the morbidities common during infancy. Anemia and plasma homocysteine concentrations fell significantly in all groups during the study, but the mean change of plasma homocysteine during the trial period was significantly smaller in the DI group than in other groups, and the increase in hemoglobin concentrations was smaller in the P group than the micronutrient treatment groups. Plasma ferritin concentrations decreased least in the groups taking daily micronutrient supplements containing iron (DI and DMM). There were no significant differences among groups in mean final values or changes in plasma zinc, retinol, tocopherol, or riboflavin. Although the DMM intervention was the most efficacious for preventing anemia, iron, and zinc deficiencies, 15%, 20%, and 50% of this group still remained anemic, zinc deficient, and iron deficient, respectively, at the end of the study. Further research thus should investigate whether higher doses of iron and zinc, together with infection control measures, are more efficacious.","author":[{"dropping-particle":"","family":"Lopez de Romana","given":"G","non-dropping-particle":"","parse-names":false,"suffix":""},{"dropping-particle":"","family":"Cusirramos","given":"S","non-dropping-particle":"","parse-names":false,"suffix":""},{"dropping-particle":"","family":"Lopez de Romana","given":"D","non-dropping-particle":"","parse-names":false,"suffix":""},{"dropping-particle":"","family":"Gross","given":"R","non-dropping-particle":"","parse-names":false,"suffix":""}],"container-title":"Journal of Nutrition","id":"ITEM-1","issue":"3","issued":{"date-parts":[["2005"]]},"page":"646S-652S","title":"Efficacy of multiple micronutrient supplementation for improving anemia, micronutrient status, growth, and morbidity of Peruvian infants","type":"article-journal","volume":"135"},"uris":["http://www.mendeley.com/documents/?uuid=34609caf-de71-47af-a39f-ed24df501da2"]},{"id":"ITEM-2","itemData":{"abstract":"Background. The Integrated Food Security Program (Programa Integrado de Seguridad Alimentaria [PISA]) implemented a campaign to promote weekly multimicronutrient supplementation among women and adolescent girls of childbearing age and children under 5 years of age. Objectives. To assess the impact of the campaign on the growth of children and on anemia among children and among women and adolescent girls of childbearing age. Methods. Weekly multimicronutrient supplementation was provided for 8 weeks. Weights, heights, and hemoglobin concentrations were assessed at the beginning and end of the campaign. Results and conclusions. Although supplementation did not significantly increase the hemoglobin concentrations of children (p = .80) or women and adolescent girls (p = .65) in the intervention group, the hemoglobin concentrations of the comparison groups were significantly lower after 8 weeks (p = .001 for children and p = .03 for women and adolescent girls). Furthermore, the percentage of anemic children in the comparison group increased significantly (p &lt;.001), and the final value was significantly higher than that for the intervention group (p = .004). There were no significant effects of weekly multimicronutrient supplementation on the growth of children, but the study was too short to reliably determine any effects on growth. © 2006, The United Nations University.","author":[{"dropping-particle":"","family":"López de Romaña","given":"D","non-dropping-particle":"","parse-names":false,"suffix":""},{"dropping-particle":"","family":"Verona","given":"S","non-dropping-particle":"","parse-names":false,"suffix":""},{"dropping-particle":"","family":"Aquino Vivanco","given":"O","non-dropping-particle":"","parse-names":false,"suffix":""},{"dropping-particle":"","family":"Gross","given":"R","non-dropping-particle":"","parse-names":false,"suffix":""}],"container-title":"Food and Nutrition Bulletin","id":"ITEM-2","issue":"4 SUPPL.","issued":{"date-parts":[["2006"]]},"page":"S143-S150","title":"Protective effect of multimicronutrient supplementation against anemia among children, women, and adolescent girls in lower-income areas of Chiclayo, Peru","type":"article-journal","volume":"27"},"uris":["http://www.mendeley.com/documents/?uuid=2edeca50-3ce7-49f3-a7c7-c9a533925da1"]},{"id":"ITEM-3","itemData":{"abstract":"Diets of infants across the world are commonly deficient in multiple micronutrients during the period of growth faltering and dietary transition from milk to solid foods. A randomized placebo controlled trial was carried out in Indonesia, Peru, South Africa, and Vietnam, using a common protocol to investigate whether improving status for multiple micronutrients prevented growth faltering and anemia during infancy. The results of the pooled data analysis of the 4 countries for growth, anemia, and micronutrient status are reported. A total of 1134 infants were randomized to 4 treatment groups, with 283 receiving a daily placebo (P), 283 receiving a weekly multiple micronutrient supplement (WMM), 280 received a daily multiple micronutrient (DMM) supplement, and 288 received daily iron (DI) supplements. The DMM group had a significantly greater weight gain, growing at an average rate of 207 g/mo compared with 192 g/mo for the WMM group, and 186 g/mo for the DI and P groups. There were no differences in height gain. DMM was also the most effective treatment for controlling anemia and iron deficiency, besides improving zinc, retinol, tocopherol, and riboflavin status. DI supplementation alone increased zinc deficiency. The prevalence of multiple micronutrient deficiencies at baseline was high, with anemia affecting the majority, and was not fully controlled even after 6 mo of supplementation. These positive results indicate the need for larger effectiveness trials to examine how to deliver supplements at the program scale and to estimate cost benefits. Consideration should also be given to increasing the dosages of micronutrients being delivered in the foodlets. © 2005 American Society for Nutritional Sciences.","author":[{"dropping-particle":"","family":"Smuts","given":"C M","non-dropping-particle":"","parse-names":false,"suffix":""},{"dropping-particle":"","family":"Lombard","given":"C J","non-dropping-particle":"","parse-names":false,"suffix":""},{"dropping-particle":"","family":"Spinnler Benadé","given":"A J","non-dropping-particle":"","parse-names":false,"suffix":""},{"dropping-particle":"","family":"Dhansay","given":"M A","non-dropping-particle":"","parse-names":false,"suffix":""},{"dropping-particle":"","family":"Berger","given":"J","non-dropping-particle":"","parse-names":false,"suffix":""},{"dropping-particle":"","family":"Le","given":"T H","non-dropping-particle":"","parse-names":false,"suffix":""},{"dropping-particle":"","family":"López De Romaña","given":"G","non-dropping-particle":"","parse-names":false,"suffix":""},{"dropping-particle":"","family":"Untoro","given":"J","non-dropping-particle":"","parse-names":false,"suffix":""},{"dropping-particle":"","family":"Karyadi","given":"E","non-dropping-particle":"","parse-names":false,"suffix":""},{"dropping-particle":"","family":"Erhardt","given":"J","non-dropping-particle":"","parse-names":false,"suffix":""},{"dropping-particle":"","family":"Gross","given":"R","non-dropping-particle":"","parse-names":false,"suffix":""}],"container-title":"Journal of Nutrition","id":"ITEM-3","issue":"3","issued":{"date-parts":[["2005"]]},"page":"631S-638S","title":"Efficacy of a foodlet-based multiple micronutrient supplement for preventing growth faltering, anemia, and micronutrient deficiency of infants: The four country IRIS trial pooled data analysis","type":"article-journal","volume":"135"},"uris":["http://www.mendeley.com/documents/?uuid=5040cf0c-1b88-4a50-b953-b137b8ef18b0"]},{"id":"ITEM-4","itemData":{"abstract":"Alli Alimentu, a processed complementary food, is currently consumed by 50,000 children per day in Peru. The food, developed by the Instituto de Investigacion Nutricional, is produced and distributed by the private sector in programmes funded by the government. In this paper, the development of the food is described, and issues related to financing, cost, production, and distribution are discussed. Monitoring and evaluation has focused on three activities: operational processes, communication and training, and impact. The impact evaluation showed that the consumption of energy, protein, iron, vitamin A, and calcium increased and the prevalence of anaemia and vitamin A deficiency decreased among targeted children. Surprisingly, the project did not affect child growth, suggesting that stunting is associated with multiple factors (genetic, environmental, and infectious) that the project did not modify.","author":[{"dropping-particle":"","family":"Romania","given":"G L","non-dropping-particle":"De","parse-names":false,"suffix":""}],"container-title":"Food and Nutrition Bulletin","id":"ITEM-4","issue":"1","issued":{"date-parts":[["2000"]]},"page":"43-48","title":"Experience with complementary feeding in the FONCODES Project","type":"article-journal","volume":"21"},"uris":["http://www.mendeley.com/documents/?uuid=3c80b3ad-ff6b-45ac-b316-87f62b5c293b"]}],"mendeley":{"formattedCitation":"[87–90]","plainTextFormattedCitation":"[87–90]","previouslyFormattedCitation":"[87–90]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[87–90]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Similarly, oligofructose-supplemented infant cereal with and without zinc had no impact on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{"citationItems":[{"id":"ITEM-1","itemData":{"PMID":"20043127133","abstract":"Background: Prebiotics are nondigestible food ingredients that stimulate the growth of Bifidobacterium and other bacteria in the gastrointestinal tract. Improved gastrointestinal and other health effects have been attributed to them. Objective: The objective of this study was to evaluate the effects of dietary supplementation with the prebiotic oligofructose with and without zinc on the prevalence of diarrhea in a community with a high burden of gastrointestinal and other infections. Design: Two consecutive randomized, blinded, controlled clinical trials were performed in a shantytown community near Lima, Peru. The first trial compared an infant cereal supplemented with oligofructose (0.55 g/15 g cereal) with nonsupplemented cereal. During the second trial, zinc (1 mg/15 g cereal) was added to both oligofructose-supplemented and control cereals. Results: We enrolled 282 infants in the first trial and 349 in the second. In the first trial, mean (+or-SD) days of diarrhea were 10.3+or-9.6 in the nonsupplemented cereal group and 9.8+or-11.0 in the prebiotic-supplemented cereal group (P=0.66). In the second trial, mean days of diarrhea were 10.3+or-8.9 in the group consuming cereal fortified only with zinc and 9.5+or-8.9 in the group consuming cereal containing both zinc and prebiotics (P=0.35). Postimmunization titers of antibody to Haemophilus influenzae type B were similar in all groups, as were gains in height, visits to clinic, hospitalizations, and use of antibiotics. Conclusions: Cereal supplemented with prebiotics was not associated with any change in diarrhea prevalence, use of health care resources, or response to H. influenzae type B immunization. Infants and young children who continue to breast-feed may not benefit from prebiotic supplementation.","author":[{"dropping-particle":"","family":"Duggan","given":"C","non-dropping-particle":"","parse-names":false,"suffix":""},{"dropping-particle":"","family":"Penny","given":"M E","non-dropping-particle":"","parse-names":false,"suffix":""},{"dropping-particle":"","family":"Hibberd","given":"P","non-dropping-particle":"","parse-names":false,"suffix":""},{"dropping-particle":"","family":"Gil","given":"A","non-dropping-particle":"","parse-names":false,"suffix":""},{"dropping-particle":"","family":"Huapaya","given":"A","non-dropping-particle":"","parse-names":false,"suffix":""},{"dropping-particle":"","family":"Cooper","given":"A","non-dropping-particle":"","parse-names":false,"suffix":""},{"dropping-particle":"","family":"Coletta","given":"F","non-dropping-particle":"","parse-names":false,"suffix":""},{"dropping-particle":"","family":"Emenhiser","given":"C","non-dropping-particle":"","parse-names":false,"suffix":""},{"dropping-particle":"","family":"Kleinman","given":"R E","non-dropping-particle":"","parse-names":false,"suffix":""}],"container-title":"American Journal of Clinical Nutrition","id":"ITEM-1","issue":"4","issued":{"date-parts":[["2003"]]},"page":"937-942","title":"Oligofructose-supplemented infant cereal: 2 randomized, blinded, community-based trials in Peruvian infants","type":"article-journal","volume":"77"},"uris":["http://www.mendeley.com/documents/?uuid=62eca4bf-31b3-4f08-bffa-269cd6e18899","http://www.mendeley.com/documents/?uuid=3850b403-a412-4dd5-a202-5f030175b3cc","http://www.mendeley.com/documents/?uuid=f71050dc-4952-409f-bd8b-88f77ee3a574"]}],"mendeley":{"formattedCitation":"[91]","plainTextFormattedCitation":"[91]","previouslyFormattedCitation":"[91]"},"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[91]</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5827878A" w14:textId="77777777" w:rsidR="001070CC" w:rsidRPr="00C14D61" w:rsidRDefault="001070CC" w:rsidP="000C7ADC">
      <w:pPr>
        <w:rPr>
          <w:rFonts w:ascii="Helvetica" w:hAnsi="Helvetica" w:cs="Helvetica"/>
          <w:sz w:val="22"/>
          <w:szCs w:val="22"/>
        </w:rPr>
      </w:pPr>
    </w:p>
    <w:p w14:paraId="7F87AB78" w14:textId="279C7E10"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There are positive associations between breastfeeding and growth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{"citationItems":[{"id":"ITEM-1","itemData":{"PMID":"20113089051","abstract":"Background. The rates of stunting, iron-deficiency anemia, and vitamin A deficiency in Peru are among the highest in South America. There is little scaled-up experience on how to solve these problems countrywide. Objective. To evaluate the Good Start in Life Program during the period from 2000 to 2004. Methods. Data on weight, height, hemoglobin, serum retinol, urinary iodine, and age were obtained from children under 3 years of age during two transverse surveys in 2000 and 2004. Results. In 2004, the program covered 75,000 children, 35,000 mothers, and 1 million inhabitants from 223 poor communities. The rate of stunting decreased from 54.1% to 36.9%, the rate of iron-deficiency anemia decreased from 76.0% to 52.3%, and the rate of vitamin A deficiency decreased from 30.4% to 5.3% (p&lt;.01). The annual cost per child was US$116.50. Conclusions. Adaptations of this participative program could contribute to decreased stunting, iron-deficiency anemia, and vitamin A deficiency at the national scale in Peru and many other countries.","author":[{"dropping-particle":"","family":"Lechtig","given":"A","non-dropping-particle":"","parse-names":false,"suffix":""},{"dropping-particle":"","family":"Cornale","given":"G","non-dropping-particle":"","parse-names":false,"suffix":""},{"dropping-particle":"","family":"Ugaz","given":"M E","non-dropping-particle":"","parse-names":false,"suffix":""},{"dropping-particle":"","family":"Arias","given":"L","non-dropping-particle":"","parse-names":false,"suffix":""}],"container-title":"Food and Nutrition Bulletin","id":"ITEM-1","issue":"1","issued":{"date-parts":[["2009"]]},"page":"37-48","title":"Decreasing stunting, anemia, and vitamin A deficiency in Peru: results of the Good Start in Life Program","type":"article-journal","volume":"30"},"uris":["http://www.mendeley.com/documents/?uuid=65c0361e-9838-4577-8af3-b2c098afd871"]},{"id":"ITEM-2","itemData":{"PMID":"355692835","abstract":"Background. Previous growth studies of Peruvian children have featured high stunting rates and limited information about body composition. Objective. We aimed to characterize anthropometric measures of Peruvian infants 0 to 12 months of age in relation to the international growth references and biological, environmental, and socioeconomic factors. Methods. Infants (n = 232) were followed longitudinally from birth through 12 months of age from a prenatal zinc supplementation trial conducted in Lima, Peru, between 1995 and 1997. Anthropometric measures of growth and body composition were obtained at enrollment from mothers and monthly through 1 year of age from infants. Weekly morbidity and dietary intake surveillance was carried out during the second half of infancy. Results. The prevalence rates of stunting, underweight, and wasting did not exceed 4% based on the World Health Organization growth references. Infants of mothers from high-altitude regions had larger chest circumference (p =.006) and greater length (p =.06) by 12 months. Significant predictors of growth and body composition throughout infancy were age, sex, anthropometric measurements at birth, breastfeeding, maternal anthropometric measurements, primiparity, prevalence of diarrhea among children, and the altitude of the region of maternal origin. No associations were found for maternal education, asset ownership, or sanitation and hygiene factors. Conclusions. Peruvian infants in this urban setting had lower rates of stunting than expected. Proximal and familial conditions influenced growth throughout infancy. © 2009.","author":[{"dropping-particle":"","family":"Iannotti","given":"L L","non-dropping-particle":"","parse-names":false,"suffix":""},{"dropping-particle":"","family":"Zavaleta","given":"N","non-dropping-particle":"","parse-names":false,"suffix":""},{"dropping-particle":"","family":"Leon","given":"Z","non-dropping-particle":"","parse-names":false,"suffix":""},{"dropping-particle":"","family":"Caulfield","given":"E L","non-dropping-particle":"","parse-names":false,"suffix":""}],"container-title":"Food and Nutrition Bulletin","id":"ITEM-2","issue":"3","issued":{"date-parts":[["2009"]]},"page":"245-253","title":"Growth and body composition of Peruvian infants in a peri urban setting","type":"article-journal","volume":"30"},"uris":["http://www.mendeley.com/documents/?uuid=537381da-5624-4128-9360-400b6c0f7c70"]}],"mendeley":{"formattedCitation":"[54,92]","plainTextFormattedCitation":"[54,92]","previouslyFormattedCitation":"[54,92]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[54,92]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The rate of exclusive breastfeeding increased from 53% in 2000 to 72% in 2013, IYCF practices improved during this time as well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study","type":"article-journal","volume":"4"},"uris":["http://www.mendeley.com/documents/?uuid=fe933ca9-fbf4-4308-9764-613c3e60d4a3"]},{"id":"ITEM-2","itemData":{"abstract":"Objetivos: Determinar el efecto de un programa de seguridad alimentaria (Redes Sostenibles para la SeguridadAlimentaria: REDESA) sobre la desnutrición crónica y sus factores causales en niños menores de tres años. Materiales y métodos: El resultado sobre la desnutrición se evaluó a través de la comparación de los porcentajes obtenidos en la evaluación inicial (2001) y en la evaluación final del Programa (2006). La desnutrición crónica fue definida como un índice de talla para la edad menor a -2DS, la referencia empleada fueron los patrones de la NCHS. El muestreo fue aleatoriomultietápico; el tamaño muestral de la línea de base fueron 2643 niños y sus familias, para la evaluación final fueron1597. Los factores causales se agruparon en: a) salud y alimentación, que comprendían las enfermedades diarreicas agudas (EDA), lactancia materna exclusiva (LME), alimentación durante y después de las enfermedades diarreicas; b) los económicos, que comprendía los ingresos familiares anuales y los gastos en alimentación. Resultados: La desnutrición crónica se redujo de 34,2 por ciento a 24,3 por ciento. Las EDA se redujeron de 35,0 por ciento a 16,4 por ciento, la LME se incrementó de 25,0 por ciento a 72,2 por ciento, la alimentación durante y después de las EDA se incrementó desde 3,3 por ciento a 45,0 por ciento y de 15,0 por ciento a 77,0 por ciento respectivamente, en todos los casos las diferencias fueron estadísticamente significativas (p menor que 0,01). Los ingresos familiares anuales se incrementaron en 61 por ciento, mientras que el dinero destinado a la compra de alimentos se incrementóen 34,5 por ciento, los incrementos fueron estadísticamente significativas (p menor que 0,01). Conclusión: La desnutrición crónica y sus factores causales tuvieron una mejora sustantiva entre la población beneficiaria del Programa REDESA. Objectives: To determine the effect of a food security program (Redes Sostenibles para la Seguridad Alimentaria: REDESA) on the chronic malnutrition (stunting) and its causal factors in smaller children of three years. Materials and methods: The result on the stunting was evaluated through the comparison of the percentage obtained in the initial evaluation (2001) and in the final evaluation of the Program (2006). The chronic malnutrition or stunting was defined asan index of stature for the age smaller to -2DS, the used reference were the patterns of the NCHS. The sampling wasobtained by a random multietapic procedure. The sample of the ba…","author":[{"dropping-particle":"","family":"Rojas D","given":"Carlos","non-dropping-particle":"","parse-names":false,"suffix":""},{"dropping-particle":"","family":"Flores M","given":"Rosa","non-dropping-particle":"","parse-names":false,"suffix":""},{"dropping-particle":"","family":"Céspedes K","given":"Rosario","non-dropping-particle":"","parse-names":false,"suffix":""}],"container-title":"Rev Peru Med Exp Salud Publica","id":"ITEM-2","issue":"2","issued":{"date-parts":[["2007"]]},"language":"es","page":"111-120","title":"Resultados de un programa de seguridad alimentaria en la reducción de la desnutrición crónica y sus factores causales en niños peruanos","type":"article-journal","volume":"24"},"uris":["http://www.mendeley.com/documents/?uuid=5f03c689-de4e-4bbf-a9b9-d1d7e4f868bb","http://www.mendeley.com/documents/?uuid=76962b96-8adf-45ef-95b6-4f847bb3d3f5","http://www.mendeley.com/documents/?uuid=ea8a0246-52b0-4366-bb2b-9912c4b6b9e2"]},{"id":"ITEM-3","itemData":{"DOI":"978-92-806-4686-3","ISBN":"9789280646863","abstract":"\"UNICEF's 2009 report Tracking Progress on Child and Maternal Nutrition drew attention to the impact of high levels of undernutrition on child survival, growth and development and their social and economic toll on nations. It described the state of nutrition programmes worldwide and argued for improving and expanding delivery of key nutrition interventions during the critical 1,000-day window covering a woman's pregnancy and the first two years of her child's life, when rapid physical and mental development occurs. This report builds on those earlier findings by highlighting new developments and demonstrating that efforts to scale up nutrition programmes are working, benefiting children in many countries.\"--Page 1.","author":[{"dropping-particle":"","family":"UNICEF","given":"","non-dropping-particle":"","parse-names":false,"suffix":""}],"container-title":"Division of Communication, UNICEF","id":"ITEM-3","issued":{"date-parts":[["2013"]]},"number-of-pages":"1-132","title":"Improving child nutrition: The achievable imperative for global progress.","type":"book"},"uris":["http://www.mendeley.com/documents/?uuid=4f06732b-c35d-4fcb-8a5e-0fe9e8dd6bb7"]}],"mendeley":{"formattedCitation":"[27,93,94]","plainTextFormattedCitation":"[27,93,94]","previouslyFormattedCitation":"[27,93,94]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[27,93,94]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Increased breastfeeding frequency was negatively associated with growth when children had poor intake of complementary foods and a high prevalence of diarrhea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{"citationItems":[{"id":"ITEM-1","itemData":{"PMID":"27190306","abstract":"Background. Child feeding recommendations include breastfeeding beyond 12 months, however, some researchers have reported increased rates of malnutrition in breastfed toddlers. A negative association between growth and breastfeeding may reflect reverse causality; that is, the outcome (growth) is a determinant of the predictor (breastfeeding), and not vice versa. We examined this question with data from 134 Peruvian toddlers. Methods. A linear regression analysis predicted length at the age of 15 months by length at 12 months, study interval, and 12-14.9-month breastfeeding, complementary food intake, and diarrhoeal incidence. This analysis defined the association between breastfeeding and linear growth. To elucidate the direction of the effect between breastfeeding and linear growth, logistic regression was used to predict the probability of weaning by the end of 14 months. Determinants included weight-for-age (W/A) at 12 months, complementary food intake at 9-11.9 months, and change in diarrhoeal incidence between 9 and 14.9 months. Results. There was a significant (P &lt; 0.01) interaction of breastfeeding, diarrhoeal incidence, and complementary food intake on length at 15 months. Increased breastfeeding was associated with a 1.0 cm decrease in length gain when dietary intake was low and diarrhoeal morbidity was high, implying that breastfeeding is harmful. The logistic analysis, however, demonstrated that the risk of weaning decreased only when W/A and dietary intake were low and diarrhoeal morbidity was high. Conclusions. The negative association between breastfeeding and linear growth reflected reverse causality. Increased breastfeeding did not lead to poor growth; children's poor growth and health led to increased breastfeeding. Children's health must be considered when evaluating the association of breastfeeding with anthropometric outcomes.","author":[{"dropping-particle":"","family":"Marquis","given":"G S","non-dropping-particle":"","parse-names":false,"suffix":""},{"dropping-particle":"","family":"Habicht","given":"J P","non-dropping-particle":"","parse-names":false,"suffix":""},{"dropping-particle":"","family":"Lanata","given":"C F","non-dropping-particle":"","parse-names":false,"suffix":""},{"dropping-particle":"","family":"Black","given":"R E","non-dropping-particle":"","parse-names":false,"suffix":""},{"dropping-particle":"","family":"Rasmussen","given":"K M","non-dropping-particle":"","parse-names":false,"suffix":""}],"container-title":"International Journal of Epidemiology","id":"ITEM-1","issue":"2","issued":{"date-parts":[["1997"]]},"page":"349-356","title":"Association of breastfeeding and stunting in Peruvian toddlers: An example of reverse causality","type":"article-journal","volume":"26"},"uris":["http://www.mendeley.com/documents/?uuid=42defb15-6c4d-485f-a7e8-37d99ddbd438","http://www.mendeley.com/documents/?uuid=987eeccb-e515-4dc2-befe-9989c2b073da","http://www.mendeley.com/documents/?uuid=d8cfbd7a-2274-4daf-beea-2dcaadc5aa7c"]},{"id":"ITEM-2","itemData":{"PMID":"32174589","author":[{"dropping-particle":"","family":"Marquis","given":"G S","non-dropping-particle":"","parse-names":false,"suffix":""},{"dropping-particle":"","family":"Habicht","given":"J P","non-dropping-particle":"","parse-names":false,"suffix":""}],"container-title":"Advances in Experimental Medicine and Biology","id":"ITEM-2","issued":{"date-parts":[["2000"]]},"page":"163-172","title":"Breastfeeding and stunting among toddlers in Peru","type":"article-journal","volume":"478"},"uris":["http://www.mendeley.com/documents/?uuid=33810e3f-3db8-46c2-a771-57b36a7dc4ca"]}],"mendeley":{"formattedCitation":"[95,96]","plainTextFormattedCitation":"[95,96]","previouslyFormattedCitation":"[95,96]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[95,96]</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Breastfeeding was positively associated with linear growth in infants with poor intake of complementary foods, specifically, animal foods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{"citationItems":[{"id":"ITEM-1","itemData":{"ISBN":"0002-9165","abstract":"Although breast-feeding is widely accepted as important for infant health, its benefits during the second year of life have been questioned. We analyzed data from 107 breast-fed and weaned Peruvian children living in a periurban community to determine whether breast milk contributed to improved linear growth between 12 and 15 mo of age. Breast-feeding frequency was self-reported; intakes of complementary foods and animal products were estimated from a food-frequency survey. Multivariate-linear-regression analysis was used to predict the length of the children at 15 mo of age. Determinants of length included length and weight-for-length at 12 mo of age (US National Center for Health Statistics standards), interval between 12- and 15-mo measurements, breast-feeding frequency, incidence of diarrhea, and intakes of complementary and animal-product foods. Complementary foods, animal-product foods, and breast milk all promoted toddlers' linear growth. In subjects with low intakes of animal-product foods, breast-feeding was positively associated (P &lt; 0.05) with linear growth. There was a 0.5-cm/3 mo difference in linear growth between weaned toddlers and children who consumed the average number of feedings of breast milk. Linear growth was also positively associated with intake of animal-product foods in children with low intakes of complementary foods. The negative association between diarrhea and linear growth did not occur in subjects with high complementary-food intakes. When the family's diet is low in quality, breast milk is an especially important source of energy, protein, and accompanying micronutrients in young children. Thus, continued breast-feeding after 1 y of age, in conjunction with feeding of complementary foods, should be encouraged in toddlers living in poor circumstances. Copyright (c) 1997 American Society for Clinical Nutrition","author":[{"dropping-particle":"","family":"Marquis","given":"G S","non-dropping-particle":"","parse-names":false,"suffix":""},{"dropping-particle":"","family":"Habicht","given":"J","non-dropping-particle":"","parse-names":false,"suffix":""},{"dropping-particle":"","family":"Lanata","given":"C F","non-dropping-particle":"","parse-names":false,"suffix":""},{"dropping-particle":"","family":"Black","given":"R E","non-dropping-particle":"","parse-names":false,"suffix":""},{"dropping-particle":"","family":"Rasmussen","given":"K M","non-dropping-particle":"","parse-names":false,"suffix":""}],"container-title":"American Journal of Clinical Nutrition","id":"ITEM-1","issue":"5","issued":{"date-parts":[["1997"]]},"page":"1102-1109","publisher":"American Society for Nutrition","publisher-place":"Bethesda, Maryland","title":"Breast milk or animal-product foods improve linear growth of Peruvian toddlers consuming marginal diets","type":"article-journal","volume":"66"},"uris":["http://www.mendeley.com/documents/?uuid=41f62dd6-86d2-416b-b55e-22c2dc79450e"]}],"mendeley":{"formattedCitation":"[97]","plainTextFormattedCitation":"[97]","previouslyFormattedCitation":"[97]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Similarly, linear growth was positively associated with intake of complementary foods, specifically, animal foods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{"citationItems":[{"id":"ITEM-1","itemData":{"ISBN":"0002-9165","abstract":"Although breast-feeding is widely accepted as important for infant health, its benefits during the second year of life have been questioned. We analyzed data from 107 breast-fed and weaned Peruvian children living in a periurban community to determine whether breast milk contributed to improved linear growth between 12 and 15 mo of age. Breast-feeding frequency was self-reported; intakes of complementary foods and animal products were estimated from a food-frequency survey. Multivariate-linear-regression analysis was used to predict the length of the children at 15 mo of age. Determinants of length included length and weight-for-length at 12 mo of age (US National Center for Health Statistics standards), interval between 12- and 15-mo measurements, breast-feeding frequency, incidence of diarrhea, and intakes of complementary and animal-product foods. Complementary foods, animal-product foods, and breast milk all promoted toddlers' linear growth. In subjects with low intakes of animal-product foods, breast-feeding was positively associated (P &lt; 0.05) with linear growth. There was a 0.5-cm/3 mo difference in linear growth between weaned toddlers and children who consumed the average number of feedings of breast milk. Linear growth was also positively associated with intake of animal-product foods in children with low intakes of complementary foods. The negative association between diarrhea and linear growth did not occur in subjects with high complementary-food intakes. When the family's diet is low in quality, breast milk is an especially important source of energy, protein, and accompanying micronutrients in young children. Thus, continued breast-feeding after 1 y of age, in conjunction with feeding of complementary foods, should be encouraged in toddlers living in poor circumstances. Copyright (c) 1997 American Society for Clinical Nutrition","author":[{"dropping-particle":"","family":"Marquis","given":"G S","non-dropping-particle":"","parse-names":false,"suffix":""},{"dropping-particle":"","family":"Habicht","given":"J","non-dropping-particle":"","parse-names":false,"suffix":""},{"dropping-particle":"","family":"Lanata","given":"C F","non-dropping-particle":"","parse-names":false,"suffix":""},{"dropping-particle":"","family":"Black","given":"R E","non-dropping-particle":"","parse-names":false,"suffix":""},{"dropping-particle":"","family":"Rasmussen","given":"K M","non-dropping-particle":"","parse-names":false,"suffix":""}],"container-title":"American Journal of Clinical Nutrition","id":"ITEM-1","issue":"5","issued":{"date-parts":[["1997"]]},"page":"1102-1109","publisher":"American Society for Nutrition","publisher-place":"Bethesda, Maryland","title":"Breast milk or animal-product foods improve linear growth of Peruvian toddlers consuming marginal diets","type":"article-journal","volume":"66"},"uris":["http://www.mendeley.com/documents/?uuid=41f62dd6-86d2-416b-b55e-22c2dc79450e"]}],"mendeley":{"formattedCitation":"[97]","plainTextFormattedCitation":"[97]","previouslyFormattedCitation":"[97]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12CA21D8" w14:textId="77777777" w:rsidR="001070CC" w:rsidRPr="00C14D61" w:rsidRDefault="001070CC" w:rsidP="000C7ADC">
      <w:pPr>
        <w:rPr>
          <w:rFonts w:ascii="Helvetica" w:hAnsi="Helvetica" w:cs="Helvetica"/>
          <w:color w:val="000000" w:themeColor="text1"/>
          <w:sz w:val="22"/>
          <w:szCs w:val="22"/>
        </w:rPr>
      </w:pPr>
    </w:p>
    <w:p w14:paraId="6F8109B2" w14:textId="51782572"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Other immediate causes of stunting include low birth weight, maternal height, maternal BMI, and older age. Low birth weight was negatively associated with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{"citationItems":[{"id":"ITEM-1","itemData":{"PMID":"608577501","abstract":"Much evidence suggests that the 1000 days spanning from conception to children's second birthdays are critical for physical development. Whether influence of the exposures occurring during this window lasts later in life is unclear. Our study investigates changes in associations between birth weight and height, one measure of physical development, over different life-stages and whether greater household wealth promotes better growth for low birth weight (LBW) children. Using longitudinal data from Young Lives, we analyzed associations between birth weight and physical growth and examined differences across ages and by household wealth for 3999 children from Ethiopia, India, Peru, and Vietnam. At 6-18 months, LBW children had 0.53-SD (Standard error [SE]: 0.08) lower HAZ. Over time, the gap between normal and LBW children narrowed significantly to 0.21-SD (SE: 0.05) and 0.24-SD (SE: 0.05) at 4-5 years and 7-8 years, respectively. Prenatal experiences are most salient in establishing the greatest height deficits within the first year. Although disparities in height are reduced in the first year, height differences at age 4-5 years remain at 7-8 years of age. Even among wealthier families, there was no recovery in height for LBW children during the first year and no catch-up growth for these children in later childhood. These findings suggest that prenatal conditions, reflected in birth weight, are more important in setting height trajectories in comparison to postnatal factors, which do not help children recover fully from early growth deficits. Copyright © 2016 Elsevier B.V. All rights reserved.","author":[{"dropping-particle":"","family":"Krishna","given":"A","non-dropping-particle":"","parse-names":false,"suffix":""},{"dropping-particle":"","family":"Fink","given":"G","non-dropping-particle":"","parse-names":false,"suffix":""},{"dropping-particle":"","family":"Berkman","given":"L F","non-dropping-particle":"","parse-names":false,"suffix":""},{"dropping-particle":"V","family":"Subramanian","given":"S","non-dropping-particle":"","parse-names":false,"suffix":""}],"container-title":"Economics and Human Biology","id":"ITEM-1","issued":{"date-parts":[["2016"]]},"page":"156-166","title":"Short- and long-run associations between birth weight and children's height","type":"article-journal","volume":"21"},"uris":["http://www.mendeley.com/documents/?uuid=3f3c66d6-a5cd-4902-9cf2-067e42ed4336"]},{"id":"ITEM-2","itemData":{"author":[{"dropping-particle":"","family":"Budge","given":"Sophie","non-dropping-particle":"","parse-names":false,"suffix":""}],"id":"ITEM-2","issue":"September","issued":{"date-parts":[["2015"]]},"title":"Maternal Perceptions of Child Weight and Height and the Double Burden of Malnutrition : MSc Project Report height and the double burden of malnutrition : Young Lives , Peru Supervisors : Paula Sheppard &amp; Lenka Benova","type":"article-journal"},"uris":["http://www.mendeley.com/documents/?uuid=c6012cff-6748-47c3-b46b-15cdfcb801c5"]},{"id":"ITEM-3","itemData":{"PMID":"20153021166","abstract":"Background: Children under two years of age are in the most critical window for growth and development. As mobility increases, this time period also coincides with first exposure to soil-transmitted helminth (STH) infections in tropical and sub-tropical environments. The association between malnutrition and STH infection, however, has been understudied in this vulnerable age group. Methodology/Principal Findings: A nested cross-sectional survey was conducted in 12 and 13-month old children participating in a deworming trial in Iquitos, an STH-endemic area of the Peruvian Amazon. An extensive socio-demo-epi questionnaire was administered to the child's parent. Length and weight were measured, and the Bayley Scales of Infant and Toddler Development were administered to measure cognition, language, and fine motor development. Stool specimens were collected to determine the presence of STH. The association between malnutrition (i.e. stunting and underweight) and STH infection, and other child, maternal, and household characteristics, was analyzed using multivariable Poisson regression. A total of 1760 children were recruited between September 2011 and June 2012. Baseline data showed a prevalence of stunting and underweight of 24.2% and 8.6%, respectively. In a subgroup of 880 randomly-allocated children whose specimens were analyzed by the Kato-Katz method, the prevalence of any STH infection was 14.5%. Risk factors for stunting in these 880 children included infection with at least one STH species (aRR=1.37; 95% CI 1.01, 1.86) and a lower development score (aRR=0.97; 95% CI: 0.95, 0.99). A lower development score was also a significant risk factor for underweight (aRR=0.92; 95% CI: 0.89, 0.95). Conclusions: The high prevalence of malnutrition, particularly stunting, and its association with STH infection and lower developmental attainment in early preschool-age children is of concern. Emphasis should be placed on determining the most cost-effective, integrated interventions to reduce disease and malnutrition burdens in this vulnerable age group.","author":[{"dropping-particle":"","family":"Joseph","given":"S A","non-dropping-particle":"","parse-names":false,"suffix":""},{"dropping-particle":"","family":"Casapia","given":"M","non-dropping-particle":"","parse-names":false,"suffix":""},{"dropping-particle":"","family":"Blouin","given":"B","non-dropping-particle":"","parse-names":false,"suffix":""},{"dropping-particle":"","family":"Maheu-Giroux","given":"M","non-dropping-particle":"","parse-names":false,"suffix":""},{"dropping-particle":"","family":"Rahme","given":"E","non-dropping-particle":"","parse-names":false,"suffix":""},{"dropping-particle":"","family":"Gyorkos","given":"T W","non-dropping-particle":"","parse-names":false,"suffix":""}],"container-title":"PLoS Neglected Tropical Diseases","id":"ITEM-3","issue":"12","issued":{"date-parts":[["2014"]]},"title":"Risk factors associated with malnutrition in one-year-old children living in the Peruvian Amazon","type":"article-journal","volume":"8"},"uris":["http://www.mendeley.com/documents/?uuid=c881de91-fca9-457a-b315-8a69adf8d574"]},{"id":"ITEM-4","itemData":{"abstract":"Antecedentes: La desnutrición crónica infantil es un indicador del desarrollo de un país, motivo por el cual se ha reconocido a la nutrición como un pilar básico para el desarrollo social y económico, es decir, la desnutrición crónica no se traduce solo en un problema de salud, sino también en una limitante para el desarrollo del país. Es de uso frecuente que el retraso de crecimiento se emplee como indicador de la pobreza y el subdesarrollo. Métodos: En base a la Encuesta Demográfica y de Salud Familiar û ENDES 2012 se realizó la identificación de los determinantes de la desnutrición crónica a través de un análisis de regresión a nivel de Perú, sin embargo para realizar el mismo análisis a nivel regional se tuvo que agrupar a las regiones en seis macrorregiones. Para realizar este modelo explicativo se utilizó el software estadístico Stata versión 12, teniendo como variable dependiente la desnutrición crónica en menores de 5 años de edad. Finalmente, se seleccionó el modelo de regresión logística múltiple con los mejores parámetros post estimadores de evaluación (prueba de bondad de ajuste 100% y link test: hat 0,012 y hatsq 0,1), tanto para el nivel nacional como a nivel macroregional. Resultado: Se han identificado tres determinantes de riesgo y tres determinantes de protección a nivel nacional, los primeros serían los que más contribuirían en mantener o incrementar la prevalencia de desnutrición crónica en un niño menor de 5 años. Los determinantes que implicaron el incremento del riesgo de presentar desnutrición crónica en un menor de 5 años son la pobreza extrema (OR=4,0), antecedente de bajo peso al nacer (OR=2,6) y ningún nivel educativo de la madre (OR=1,9). Los determinantes que involucran protección son el antecedente de parto en un establecimiento de salud (OR=0,4), ingerir hierro durante la gestación (OR=0,6) y haber tenido control prenatal completo en el 1er trimestre (OR=0,7). Background: Chronic child malnutrition is an indicator of a country&amp;#039;s development. It has been recognized that nutrition is a cornerstone for social and economic development, ie, chronic malnutrition is not translated only as a health problem, but also a limitation for development. It is common that stunting is used as an indicator of poverty and underdevelopment. Methods: Based on the Demographic and Health Survey - DHS 2012the identification of the determinants of chronic malnutrition through a regression analysis was conducted at the national level. To perfo…","author":[{"dropping-particle":"","family":"Mariños-Anticona","given":"Carlos","non-dropping-particle":"","parse-names":false,"suffix":""},{"dropping-particle":"","family":"Chaña-Toledo","given":"Roy","non-dropping-particle":"","parse-names":false,"suffix":""},{"dropping-particle":"","family":"Medina-Osis","given":"José","non-dropping-particle":"","parse-names":false,"suffix":""},{"dropping-particle":"","family":"Vidal-Anzardo","given":"Margot","non-dropping-particle":"","parse-names":false,"suffix":""},{"dropping-particle":"","family":"Valdez-Huarcaya","given":"William","non-dropping-particle":"","parse-names":false,"suffix":""}],"container-title":"Rev. peru. epidemiol. (Online)","id":"ITEM-4","issue":"supl.1","issued":{"date-parts":[["2014"]]},"language":"es","page":"1-7","title":"Determinantes sociales de la desnutrición crónica infantil en el Perú","type":"article-journal","volume":"18"},"uris":["http://www.mendeley.com/documents/?uuid=b60e921f-7d27-4874-8a5b-080c8d5985ed"]},{"id":"ITEM-5","itemData":{"PMID":"28156832","abstract":"Background Stunting, a form of anthropometric failure, disproportionately affects children in developing countries with a higher burden on children living in poverty. How early life deprivation affects physical growth over various life stages is less well-known. Objective We investigate the short- and long-run associations between household wealth in early life with physical growth in childhood in four low- and middle-income countries to understand the persistent implications of early life conditions of poverty and resource constraints on physical growth. Design Longitudinal study of eight cohorts of children in four countries - Ethiopia, India, Peru, and Vietnam (n=10,016) - ages 6 months to 15 years, using data from the Young Lives project, 2002-2009. Physical growth outcomes are standardized height-for-age z-scores (HAZ) and stunting. The key exposure is household wealth measured at baseline using a wealth index, an asset-based indicator. Covariates include child's age and sex, caregiver's educational status, household size, and place of residence. Results Baseline wealth index is significantly associated with higher physical growth rates as suggested by higher HAZ and lower odds of stunting. We found these associations in all four countries, for younger and older cohorts and for children who experienced changes in living standards. For the older cohort, despite the timing of the first survey at age 7-8 years, which is beyond the critical period of 1,000 days, there are lasting influences of early poverty, even for those who experienced changes in wealth. Conclusions Household wealth in early life matters for physical growth with conditions of poverty and deprivation influencing growth faltering even beyond the 1,000 days window. The influences of early childhood poverty, so prevalent among children in low- and middle-income countries, must be addressed by policies and programs targeting early life but also focusing on older children experiencing growth faltering.","author":[{"dropping-particle":"","family":"Krishna","given":"A","non-dropping-particle":"","parse-names":false,"suffix":""},{"dropping-particle":"","family":"Oh","given":"J","non-dropping-particle":"","parse-names":false,"suffix":""},{"dropping-particle":"","family":"Lee","given":"J K","non-dropping-particle":"","parse-names":false,"suffix":""},{"dropping-particle":"","family":"Lee","given":"H Y","non-dropping-particle":"","parse-names":false,"suffix":""},{"dropping-particle":"","family":"Perkins","given":"J M","non-dropping-particle":"","parse-names":false,"suffix":""},{"dropping-particle":"","family":"Heo","given":"J","non-dropping-particle":"","parse-names":false,"suffix":""},{"dropping-particle":"","family":"Ro","given":"Y S","non-dropping-particle":"","parse-names":false,"suffix":""},{"dropping-particle":"V","family":"Subramanian","given":"S","non-dropping-particle":"","parse-names":false,"suffix":""}],"container-title":"Glob Health Action","id":"ITEM-5","issue":"1","issued":{"date-parts":[["2015"]]},"page":"26523","title":"Short-term and long-term associations between household wealth and physical growth: a cross-comparative analysis of children from four low- and middle-income countries","type":"article-journal","volume":"8"},"uris":["http://www.mendeley.com/documents/?uuid=7ee8c202-b013-4d8c-a684-7fce6121ad7d"]},{"id":"ITEM-6","itemData":{"PMID":"20163318260","abstract":"The large literature on health differentials between rural and urban areas relies almost exclusively on cross-sectional data. Bringing together the demographic literature on area-level health inequalities with the bio-physiological literature on children's catch-up growth over time, this paper uses panel data to investigate the stability and origins of rural-urban health differentials. Using data from the Young Lives longitudinal study of child poverty, I present evidence of large level differences but similar trends in rural versus urban children's height for age in four developing countries. Further, observable characteristics of children's environment such as their household wealth, mother's education, and epidemiological environment explain these differentials in most contexts. In Peru, where they do not, children's birthweight and mothers' health and other characteristics suggest that initial endowments - even before birth - may play an important role in explaining \"residual\" rural-urban child height inequalities. These latter results imply that prioritizing maternal nutrition and health is essential - particularly where rural-urban height inequalities are large. Interventions to reduce area-level health inequalities should begin even before birth.","author":[{"dropping-particle":"","family":"Nolan","given":"L B","non-dropping-particle":"","parse-names":false,"suffix":""}],"container-title":"Population Research and Policy Review","id":"ITEM-6","issue":"5","issued":{"date-parts":[["2016"]]},"page":"599-629","title":"Rural-urban child height for age trajectories and their heterogeneous determinants in four developing countries","type":"article-journal","volume":"35"},"uris":["http://www.mendeley.com/documents/?uuid=118ecc32-93f5-4a00-8e36-659590a4bf7d"]}],"mendeley":{"formattedCitation":"[9,24,56,98–100]","plainTextFormattedCitation":"[9,24,56,98–100]","previouslyFormattedCitation":"[9,24,56,98–100]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[9,24,56,98–100]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Maternal height and maternal BMI were associated with infant height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{"citationItems":[{"id":"ITEM-1","itemData":{"DOI":"10.1017/S0007114507795272","abstract":"Child malnutrition, including wasting, underweight and stunting, is associated with infections, poor nutrient intake, and environmental and sociodemographic factors. Preschool-age children are especially vulnerable due to their high growth requirements. To target interventions for preschoolage children in a community of extreme poverty in Peru, we conducted a household survey between October 2005 and January 2006 to determine the prevalence of malnutrition and its risk factors. Of 252 children &amp;lt;5 years old, the prevalence of wasting, underweight and stunting was 26.6, 28.6 and 32.1 %, respectively, based on the new WHO Child Growth Standards. Risk factors for wasting were: (1) moderate-high intensity Trichuris infection (OR 2.50; 95% CI 1.06, 5.93); (2) hookworm infection (OR 6.67; 95% CI 1.08, 41.05); (3) age (OR6-month 1.27; 95% CI 1.11, 1.46); (4) maternal education (secondary incomplete) (OR 5.77; 95% CI 2.38, 13.99); and (5) decreasing maternal BMI (OR1kg/m 2 1.12; 95% CI 1.02, 1.23). Risk factors for underweight were: (1) moderate-high intensity Trichuris infection (OR 4.74; 95% CI 1.99, 11.32); (2) age (OR6-month 1.22; 95% CI 1.07, 1.38); (3) maternal education (secondary incomplete) (OR 2.92; 95% CI 1.40, 6.12); and (4) decreasing maternal BMI (OR1kg/m 2 1.11; 95% CI 1.02, 1.21). Risk factors for stunting were: (1) age (OR6-month 1.14; 95% CI 1.02, 1.27) and (2) decreasing maternal height (OR1cm 1.12; 95% CI 1.06, 1.20). Overall, risk factors for malnutrition included both child and maternal determinants. Based on these data, locally appropriate and cost-effective dietary, de-worming and educational programmes should be targeted to mothers and preschool-age children. © The Authors 2007.","author":[{"dropping-particle":"","family":"Casapía","given":"M","non-dropping-particle":"","parse-names":false,"suffix":""},{"dropping-particle":"","family":"Joseph","given":"S A","non-dropping-particle":"","parse-names":false,"suffix":""},{"dropping-particle":"","family":"Núñez","given":"C","non-dropping-particle":"","parse-names":false,"suffix":""},{"dropping-particle":"","family":"Elham","given":"R","non-dropping-particle":"","parse-names":false,"suffix":""},{"dropping-particle":"","family":"Gyorkos","given":"T W","non-dropping-particle":"","parse-names":false,"suffix":""}],"container-title":"British Journal of Nutrition","id":"ITEM-1","issue":"6","issued":{"date-parts":[["2007"]]},"page":"1259-1266","title":"Parasite and maternal risk factors for malnutrition in preschool-age children in Belen, Peru using the new WHO child growth standards","type":"article-journal","volume":"98"},"uris":["http://www.mendeley.com/documents/?uuid=90540337-5d3e-4b21-b699-dd801f832bd6"]},{"id":"ITEM-2","itemData":{"PMID":"20023134069","abstract":"Data from the Demographic and Health Surveys (DHS) for 5 Latin American countries (7 data sets) were used to explore the feasibility of creating a composite feeding index and to examine the association between feeding practices and child height-for-age Z-scores (HAZ). The variables used for the index were as follows: current breast-feeding, use of complementary foods and liquids in the past 24 h, frequency of use over the past week and feeding frequency. The index was made age specific for 6- to 9-, 9- to 12- and 12- to 36-mo-old age groups, and age-specific feeding terciles were created. Bivariate analyses showed that feeding practices were strongly and significantly associated with child HAZ in all 7 data sets, especially after 12 mo of age. Differences in HAZ between child feeding terciles remained significant after controlling for potentially confounding influences, for all countries except Bolivia. Multiple regression analyses also revealed that better feeding practices were more important for children of lower, compared with higher socioeconomic status (in Colombia 1995 and Nicaragua 1998); among children of Ladino (Spanish speaking) compared with indigenous origin (in Guatemala 1995); and among children whose mothers had primary schooling compared with mothers with no schooling, or mothers with higher than primary school level (Peru 1996). The data available in DHS data sets can thus be used effectively to create a composite child feeding index and to identify vulnerable groups that could be targeted by nutrition education and behavior change interventions.","author":[{"dropping-particle":"","family":"Ruel","given":"M T","non-dropping-particle":"","parse-names":false,"suffix":""},{"dropping-particle":"","family":"Menon","given":"P","non-dropping-particle":"","parse-names":false,"suffix":""}],"container-title":"Journal of Nutrition","id":"ITEM-2","issue":"6","issued":{"date-parts":[["2002"]]},"page":"1180-1187","title":"Child feeding practices are associated with child nutritional status in Latin America: innovative uses of the Demographic and Health Surveys","type":"article-journal","volume":"132"},"uris":["http://www.mendeley.com/documents/?uuid=fecc56f2-a8fe-4562-b39e-37c9dde401be"]},{"id":"ITEM-3","itemData":{"author":[{"dropping-particle":"","family":"Budge","given":"Sophie","non-dropping-particle":"","parse-names":false,"suffix":""}],"id":"ITEM-3","issue":"September","issued":{"date-parts":[["2015"]]},"title":"Maternal Perceptions of Child Weight and Height and the Double Burden of Malnutrition : MSc Project Report height and the double burden of malnutrition : Young Lives , Peru Supervisors : Paula Sheppard &amp; Lenka Benova","type":"article-journal"},"uris":["http://www.mendeley.com/documents/?uuid=c6012cff-6748-47c3-b46b-15cdfcb801c5"]}],"mendeley":{"formattedCitation":"[45,58,99]","plainTextFormattedCitation":"[45,58,99]","previouslyFormattedCitation":"[45,58,99]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[45,58,99]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A total of 10 studies reported a positive association between stunting and age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{"citationItems":[{"id":"ITEM-1","itemData":{"PMID":"20113211761","abstract":"The study objective was to understand the role of traditional Awajun foods in dietary quality and the potential impacts on growth of Awajun infants and young children 0-23 months of age. Research took place in April and May of 2004, along the Cenepa River in six Awajun communities. Anthropometry estimated nutritional status for 32 infants (0-23 months). Repeat dietary recalls and infant feeding histories were completed with 32 mothers. Adequacy of the complementary foods was compared with World Health Organization guidelines. Anthropometry indicated a high prevalence of stunting (39.4% of infants and young children), with nutritional status declining with age. Half of the Awajun mothers practised exclusive breastfeeding. Dietary recalls and infant food histories suggested that many of the infants were getting adequate nutrition from complementary foods and breastfeeding; however, there was variation in breastfeeding and complementary feeding practices among the mothers. Complementary feeding for young children 12-23 months generally met nutrient recommendations, but mean intakes for iron, zinc, calcium and vitamin A were inadequate in infants 6-11 months. Traditional foods provided 85% of energy and were more nutrient dense than market foods. Appropriate infant and complementary feeding was found among some women; however, given the range of feeding practices and introduction of market foods, health promotion targeting infant and young child feeding is warranted.","author":[{"dropping-particle":"","family":"Roche","given":"M L","non-dropping-particle":"","parse-names":false,"suffix":""},{"dropping-particle":"","family":"Creed-Kanashiro","given":"H M","non-dropping-particle":"","parse-names":false,"suffix":""},{"dropping-particle":"","family":"Tuesta","given":"I","non-dropping-particle":"","parse-names":false,"suffix":""},{"dropping-particle":"V","family":"Kuhnlein","given":"H","non-dropping-particle":"","parse-names":false,"suffix":""}],"container-title":"Maternal and Child Nutrition","id":"ITEM-1","issue":"3","issued":{"date-parts":[["2011"]]},"page":"284-294","title":"Infant and young child feeding in the Peruvian Amazon: the need to promote exclusive breastfeeding and nutrient-dense traditional complementary foods","type":"article-journal","volume":"7"},"uris":["http://www.mendeley.com/documents/?uuid=f72a3ad7-8fb2-4335-873d-2753cbe0ae28"]},{"id":"ITEM-2","itemData":{"abstract":"Inequality of opportunity is ‘a universal challenge that the whole world must address’, the UN Secretary-General wrote recently in his synthesis report on the post-2015 agenda. Many of the disparities seen between individuals and social groups take hold during childhood, and as new findings from Young Lives show, too often opportunities close to the poorest children well before they become adults.\r\n\r\nUsing unique cohort data, which follows the same children over time, Young Lives is able to identify how and when the high hopes young people typically have for their education and job prospects are blocked, by barriers related to income, nutrition, schooling and social norms. This enables us to provide insights into key entry points for social investments that can support children’s development at critical ages, and overturn the obstacles the poorest children face as they grow up.\r\n\r\nAs these findings show, such policy interventions are imperative not only to address the increasing needs of labour markets for skills gained through formal schooling, but to help mitigate the increasing inequality within countries that currently sees so much human capital wasted and the poorest children ‘left behind’. In short: there is no better public policy investment than in children.","author":[{"dropping-particle":"","family":"Dornan","given":"Paul","non-dropping-particle":"","parse-names":false,"suffix":""},{"dropping-particle":"","family":"Pells","given":"Kirrily","non-dropping-particle":"","parse-names":false,"suffix":""}],"id":"ITEM-2","issue":"December","issued":{"date-parts":[["2014"]]},"title":"From Infancy to Adolescence: Growing Up in Poverty Preliminary Findings from Round 4 of Young Lives","type":"article-journal"},"uris":["http://www.mendeley.com/documents/?uuid=0bd3d83d-1dca-4a97-bbde-af8420f3ca5d"]},{"id":"ITEM-3","itemData":{"DOI":"10.1017/S1368980014000275","abstract":"Objective To examine trends in stunting and overweight in Peruvian children, using 2006 WHO Multicentre Growth Reference Study criteria. Design Trend analyses using nationally representative cross-sectional surveys from Demographic and Health Surveys (1991-2011). We performed logistic regression analyses of stunting and overweight trends in sociodemographic groups (sex, age, urban-rural residence, region, maternal education and household wealth), adjusted for sampling design effects (strata, clusters and sampling weights). Setting Peru. Subjects Children aged 0-59 months surveyed in 1991-92 (n 7999), 1996 (n 14 877), 2000 (n 11 754), 2007-08 (n 8232) and 2011 (n 8186). Results Child stunting declined (F(1, 5149) = 174·8, P ≤ 0·00) and child overweight was stable in the period 1991-2011 (F(1, 5147) = 0·4, P ≤ 0·54). Over the study period, levels of stunting were highest in rural compared with urban areas, the Andean and Amazon regions compared with the Coast, among children of low-educated mothers and among children living in households in the poorest wealth quintile. The trend in overweight rose among males in coastal areas (F(1, 2250) = 4·779, P ≤ 0·029) and among males in the richest wealth quintile (F(1, 1730) = 5·458, P ≤ 0·020). Conclusions The 2011 levels of stunting and overweight were eight times and three and a half times higher, respectively, than the expected levels from the 2006 WHO growth standards. The trend over the study period in stunting declined in most sociodemographic subgroups. The trend in overweight was stable in most sociodemographic subgroups. © The Authors 2014.","author":[{"dropping-particle":"","family":"Urke","given":"H B","non-dropping-particle":"","parse-names":false,"suffix":""},{"dropping-particle":"","family":"Mittelmark","given":"M B","non-dropping-particle":"","parse-names":false,"suffix":""},{"dropping-particle":"","family":"Valdivia","given":"M","non-dropping-particle":"","parse-names":false,"suffix":""}],"container-title":"Public Health Nutrition","id":"ITEM-3","issue":"11","issued":{"date-parts":[["2013"]]},"note":"Cited By :6\nExport Date: 31 May 2017\n\nAviva abstracted","page":"2407-2418","title":"Trends in stunting and overweight in Peruvian pre-schoolers from 1991 to 2011: Findings from the Demographic and Health Surveys","type":"article-journal","volume":"17"},"uris":["http://www.mendeley.com/documents/?uuid=0fb4b330-b8fa-42c7-b8f7-a09eab65d675"]},{"id":"ITEM-4","itemData":{"PMID":"20123011649","abstract":"This study investigated the association of parents' socioeconomic status (SES) with child stunting in the Peruvian Andes and in Peru nationally. It was hypothesized that the relationship of SES to child stunting would be weaker in the Andean compared with the national sample. This is consistent with earlier research indicating that the relationship of SES to health may be weak in poor regions. The data were from the Demographic and Health Survey 2004 to 2006. Two samples of children 3 to 60 months old were compared: a national sample (n=1426) and an Andean sample (n=543). Malnutrition was measured using the indicator \"stunting,\" which is small stature for age. Socioeconomic status was measured using parental education, occupation, and household wealth index (WI). In both samples, SES was significantly related to stunting. The odds of stunting in the poorest WI quintile were significantly higher than in the richest quintile. The same pattern was observed in children of mothers having incomplete primary education compared with children of mothers having complete secondary or higher education. The odds of stunting were significantly lower in children of mothers working at home compared with mothers in professional occupations. The associations of WI and maternal education with stunting were significantly stronger in the Andean compared with the national sample; the study did not find support for the hypothesis. Even in very poor regions such as the Andes, SES may be associated with child health, suggesting the importance of public health measures to overcome the health disadvantages experienced by children living in low SES households.","author":[{"dropping-particle":"","family":"Urke","given":"H B","non-dropping-particle":"","parse-names":false,"suffix":""},{"dropping-particle":"","family":"Bull","given":"T","non-dropping-particle":"","parse-names":false,"suffix":""},{"dropping-particle":"","family":"Mittelmark","given":"M B","non-dropping-particle":"","parse-names":false,"suffix":""}],"container-title":"Nutrition Research","id":"ITEM-4","issue":"10","issued":{"date-parts":[["2011"]]},"page":"741-747","title":"Socioeconomic status and chronic child malnutrition: wealth and maternal education matter more in the Peruvian Andes than nationally","type":"article-journal","volume":"31"},"uris":["http://www.mendeley.com/documents/?uuid=3abbd5d7-8bb9-4435-9f26-80b189b006e6"]},{"id":"ITEM-5","itemData":{"DOI":"10.1017/S0007114507795272","abstract":"Child malnutrition, including wasting, underweight and stunting, is associated with infections, poor nutrient intake, and environmental and sociodemographic factors. Preschool-age children are especially vulnerable due to their high growth requirements. To target interventions for preschoolage children in a community of extreme poverty in Peru, we conducted a household survey between October 2005 and January 2006 to determine the prevalence of malnutrition and its risk factors. Of 252 children &amp;lt;5 years old, the prevalence of wasting, underweight and stunting was 26.6, 28.6 and 32.1 %, respectively, based on the new WHO Child Growth Standards. Risk factors for wasting were: (1) moderate-high intensity Trichuris infection (OR 2.50; 95% CI 1.06, 5.93); (2) hookworm infection (OR 6.67; 95% CI 1.08, 41.05); (3) age (OR6-month 1.27; 95% CI 1.11, 1.46); (4) maternal education (secondary incomplete) (OR 5.77; 95% CI 2.38, 13.99); and (5) decreasing maternal BMI (OR1kg/m 2 1.12; 95% CI 1.02, 1.23). Risk factors for underweight were: (1) moderate-high intensity Trichuris infection (OR 4.74; 95% CI 1.99, 11.32); (2) age (OR6-month 1.22; 95% CI 1.07, 1.38); (3) maternal education (secondary incomplete) (OR 2.92; 95% CI 1.40, 6.12); and (4) decreasing maternal BMI (OR1kg/m 2 1.11; 95% CI 1.02, 1.21). Risk factors for stunting were: (1) age (OR6-month 1.14; 95% CI 1.02, 1.27) and (2) decreasing maternal height (OR1cm 1.12; 95% CI 1.06, 1.20). Overall, risk factors for malnutrition included both child and maternal determinants. Based on these data, locally appropriate and cost-effective dietary, de-worming and educational programmes should be targeted to mothers and preschool-age children. © The Authors 2007.","author":[{"dropping-particle":"","family":"Casapía","given":"M","non-dropping-particle":"","parse-names":false,"suffix":""},{"dropping-particle":"","family":"Joseph","given":"S A","non-dropping-particle":"","parse-names":false,"suffix":""},{"dropping-particle":"","family":"Núñez","given":"C","non-dropping-particle":"","parse-names":false,"suffix":""},{"dropping-particle":"","family":"Elham","given":"R","non-dropping-particle":"","parse-names":false,"suffix":""},{"dropping-particle":"","family":"Gyorkos","given":"T W","non-dropping-particle":"","parse-names":false,"suffix":""}],"container-title":"British Journal of Nutrition","id":"ITEM-5","issue":"6","issued":{"date-parts":[["2007"]]},"page":"1259-1266","title":"Parasite and maternal risk factors for malnutrition in preschool-age children in Belen, Peru using the new WHO child growth standards","type":"article-journal","volume":"98"},"uris":["http://www.mendeley.com/documents/?uuid=90540337-5d3e-4b21-b699-dd801f832bd6"]},{"id":"ITEM-6","itemData":{"PMID":"355692835","abstract":"Background. Previous growth studies of Peruvian children have featured high stunting rates and limited information about body composition. Objective. We aimed to characterize anthropometric measures of Peruvian infants 0 to 12 months of age in relation to the international growth references and biological, environmental, and socioeconomic factors. Methods. Infants (n = 232) were followed longitudinally from birth through 12 months of age from a prenatal zinc supplementation trial conducted in Lima, Peru, between 1995 and 1997. Anthropometric measures of growth and body composition were obtained at enrollment from mothers and monthly through 1 year of age from infants. Weekly morbidity and dietary intake surveillance was carried out during the second half of infancy. Results. The prevalence rates of stunting, underweight, and wasting did not exceed 4% based on the World Health Organization growth references. Infants of mothers from high-altitude regions had larger chest circumference (p =.006) and greater length (p =.06) by 12 months. Significant predictors of growth and body composition throughout infancy were age, sex, anthropometric measurements at birth, breastfeeding, maternal anthropometric measurements, primiparity, prevalence of diarrhea among children, and the altitude of the region of maternal origin. No associations were found for maternal education, asset ownership, or sanitation and hygiene factors. Conclusions. Peruvian infants in this urban setting had lower rates of stunting than expected. Proximal and familial conditions influenced growth throughout infancy. © 2009.","author":[{"dropping-particle":"","family":"Iannotti","given":"L L","non-dropping-particle":"","parse-names":false,"suffix":""},{"dropping-particle":"","family":"Zavaleta","given":"N","non-dropping-particle":"","parse-names":false,"suffix":""},{"dropping-particle":"","family":"Leon","given":"Z","non-dropping-particle":"","parse-names":false,"suffix":""},{"dropping-particle":"","family":"Caulfield","given":"E L","non-dropping-particle":"","parse-names":false,"suffix":""}],"container-title":"Food and Nutrition Bulletin","id":"ITEM-6","issue":"3","issued":{"date-parts":[["2009"]]},"page":"245-253","title":"Growth and body composition of Peruvian infants in a peri urban setting","type":"article-journal","volume":"30"},"uris":["http://www.mendeley.com/documents/?uuid=537381da-5624-4128-9360-400b6c0f7c70"]},{"id":"ITEM-7","itemData":{"DOI":"10.1136/jech.2005.039180","ISSN":", 1470-2738","PMID":"16286495","author":[{"dropping-particle":"","family":"Bennett","given":"Ian","non-dropping-particle":"","parse-names":false,"suffix":""},{"dropping-particle":"","family":"Schott","given":"Whitney","non-dropping-particle":"","parse-names":false,"suffix":""},{"dropping-particle":"","family":"Krutikova","given":"Sofya","non-dropping-particle":"","parse-names":false,"suffix":""},{"dropping-particle":"","family":"Behrman","given":"Jere R.","non-dropping-particle":"","parse-names":false,"suffix":""}],"id":"ITEM-7","issued":{"date-parts":[["2014"]]},"title":"Maternal Mental Health and Child Growth and Developmental Outcomes in Four Developing Countries","type":"report"},"uris":["http://www.mendeley.com/documents/?uuid=9a10f53a-5c8d-4331-b111-66a6fbc05fb6"]},{"id":"ITEM-8","itemData":{"ISBN":"0002-9165","abstract":"BACKGROUND: Leptin, ghrelin, and insulin are hormonal regulators of energy balance and, therefore, may be related to growth during infancy. Zinc is essential for growth, and its growth effects may be mediated through these hormones. OBJECTIVE: We examined the effects of supplemental zinc on plasma leptin, ghrelin, and insulin concentrations among young children at risk of zinc deficiency and examined the relations between these hormones and physical growth. DESIGN: Children (n = 142) aged 6-8 mo were randomly assigned to receive 3 mg Zn/d as a supplement, in a fortified food, or as a placebo for 6 mo. Relations between hormones and anthropometric z scores, body composition, and growth rates were examined at baseline and 3 and 6 mo after the start of the intervention. RESULTS: No treatment group-related differences were found in plasma leptin, ghrelin, or glucose concentrations or in anthropometric z scores at 3 or 6 mo after the start of the zinc intervention. Neither plasma leptin nor ghrelin concentrations at baseline or 3 mo were predictive of subsequent changes in growth. However, changes in weight-for-age z scores over the two 3-mo time intervals were positively associated with subsequent leptin concentrations and inversely associated with subsequent plasma ghrelin concentrations. CONCLUSIONS: Supplemental zinc did not affect the children's growth, anthropometric indexes, or plasma hormone concentrations in this study population. Our results suggest that plasma leptin and ghrelin concentrations in later infancy are a consequence of previous weight changes rather than predictors of short-term growth. Copyright © 2007 American Society for Nutrition","author":[{"dropping-particle":"","family":"Arsenault","given":"J E","non-dropping-particle":"","parse-names":false,"suffix":""},{"dropping-particle":"","family":"Havel","given":"P J","non-dropping-particle":"","parse-names":false,"suffix":""},{"dropping-particle":"","family":"Romaña","given":"D L","non-dropping-particle":"de","parse-names":false,"suffix":""},{"dropping-particle":"","family":"Penny","given":"M E","non-dropping-particle":"","parse-names":false,"suffix":""},{"dropping-particle":"","family":"Loan","given":"M D","non-dropping-particle":"Van","parse-names":false,"suffix":""},{"dropping-particle":"","family":"Brown","given":"K H","non-dropping-particle":"","parse-names":false,"suffix":""}],"container-title":"American Journal of Clinical Nutrition","id":"ITEM-8","issue":"4","issued":{"date-parts":[["2007"]]},"page":"1111-1119","publisher":"American Society for Nutrition","publisher-place":"Bethesda, Maryland","title":"Longitudinal measures of circulating leptin and ghrelin concentrations are associated with the growth of young Peruvian children but are not affected by zinc supplementation","type":"article-journal","volume":"86"},"uris":["http://www.mendeley.com/documents/?uuid=fcdfc327-f945-4268-b0cb-34680c7e237a"]},{"id":"ITEM-9","itemData":{"PMID":"32174589","author":[{"dropping-particle":"","family":"Marquis","given":"G S","non-dropping-particle":"","parse-names":false,"suffix":""},{"dropping-particle":"","family":"Habicht","given":"J P","non-dropping-particle":"","parse-names":false,"suffix":""}],"container-title":"Advances in Experimental Medicine and Biology","id":"ITEM-9","issued":{"date-parts":[["2000"]]},"page":"163-172","title":"Breastfeeding and stunting among toddlers in Peru","type":"article-journal","volume":"478"},"uris":["http://www.mendeley.com/documents/?uuid=33810e3f-3db8-46c2-a771-57b36a7dc4ca"]},{"id":"ITEM-10","itemData":{"PMID":"20153021166","abstract":"Background: Children under two years of age are in the most critical window for growth and development. As mobility increases, this time period also coincides with first exposure to soil-transmitted helminth (STH) infections in tropical and sub-tropical environments. The association between malnutrition and STH infection, however, has been understudied in this vulnerable age group. Methodology/Principal Findings: A nested cross-sectional survey was conducted in 12 and 13-month old children participating in a deworming trial in Iquitos, an STH-endemic area of the Peruvian Amazon. An extensive socio-demo-epi questionnaire was administered to the child's parent. Length and weight were measured, and the Bayley Scales of Infant and Toddler Development were administered to measure cognition, language, and fine motor development. Stool specimens were collected to determine the presence of STH. The association between malnutrition (i.e. stunting and underweight) and STH infection, and other child, maternal, and household characteristics, was analyzed using multivariable Poisson regression. A total of 1760 children were recruited between September 2011 and June 2012. Baseline data showed a prevalence of stunting and underweight of 24.2% and 8.6%, respectively. In a subgroup of 880 randomly-allocated children whose specimens were analyzed by the Kato-Katz method, the prevalence of any STH infection was 14.5%. Risk factors for stunting in these 880 children included infection with at least one STH species (aRR=1.37; 95% CI 1.01, 1.86) and a lower development score (aRR=0.97; 95% CI: 0.95, 0.99). A lower development score was also a significant risk factor for underweight (aRR=0.92; 95% CI: 0.89, 0.95). Conclusions: The high prevalence of malnutrition, particularly stunting, and its association with STH infection and lower developmental attainment in early preschool-age children is of concern. Emphasis should be placed on determining the most cost-effective, integrated interventions to reduce disease and malnutrition burdens in this vulnerable age group.","author":[{"dropping-particle":"","family":"Joseph","given":"S A","non-dropping-particle":"","parse-names":false,"suffix":""},{"dropping-particle":"","family":"Casapia","given":"M","non-dropping-particle":"","parse-names":false,"suffix":""},{"dropping-particle":"","family":"Blouin","given":"B","non-dropping-particle":"","parse-names":false,"suffix":""},{"dropping-particle":"","family":"Maheu-Giroux","given":"M","non-dropping-particle":"","parse-names":false,"suffix":""},{"dropping-particle":"","family":"Rahme","given":"E","non-dropping-particle":"","parse-names":false,"suffix":""},{"dropping-particle":"","family":"Gyorkos","given":"T W","non-dropping-particle":"","parse-names":false,"suffix":""}],"container-title":"PLoS Neglected Tropical Diseases","id":"ITEM-10","issue":"12","issued":{"date-parts":[["2014"]]},"title":"Risk factors associated with malnutrition in one-year-old children living in the Peruvian Amazon","type":"article-journal","volume":"8"},"uris":["http://www.mendeley.com/documents/?uuid=c881de91-fca9-457a-b315-8a69adf8d574"]}],"mendeley":{"formattedCitation":"[11,45,51,54,61,85,96,100–102]","plainTextFormattedCitation":"[11,45,51,54,61,85,96,100–102]","previouslyFormattedCitation":"[11,45,51,54,61,85,96,100–102]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[11,45,51,54,61,85,96,100–102]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After adjusting for confounding variables, 1 study reported that birth spacing of less than or equal to 24 months was associated with stunting in 1996, 2000, 2010, and 2014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{"citationItems":[{"id":"ITEM-1","itemData":{"PMID":"27804155","abstract":"BACKGROUND: Examine the evolution of stunting in &lt;5years of age in Peru and its relationship with birth interval (BI), and associated factors from 1996 to 2014. METHODS: Data were extracted from the National Demographic and Health Survey of Peru (DHS) for the years 1996, 2000, 2005, 2010 and 2014 on children &lt;5years of age for stunting (height / age&lt;=2DS). The main independent variable of interest was BI dichotomized by interval between date of last and penultimate birth (&lt;=24months vs. &gt;24months) and others sociodemographic variables. Crude and adjusted odds ratios with 95% confidence intervals were estimated in logistic regression for the effect of BI and other variables on stunting by each survey year. RESULTS: Between 1996 and 2014, stunting declined in both BI groups: &lt;=24months: 35.8% to 21.8%; &gt;24months: 29.5% to 14.3%. BI was associated with stunting after adjustment for other variables in each survey except 2005. Of the other factors, sex, birth order (fourth child or more), maternal education and poverty were independently associated with stunting in all survey years. Residence in rural areas and in Amazon forest and highland regions was associated with stunting 1996 and 2000. Maternal age was not independently associated with stunting. CONCLUSIONS: While stunting showed a decreasing trend from 1996 to 2014, birth interval exceeding 24months exerted a protective effect on stunting across the years surveyed. Poverty, low maternal education and high birth order were associated with stunting in all survey years. Copyright © 2016 John Wiley &amp; Sons Ltd.","author":[{"dropping-particle":"","family":"Sobrino","given":"M","non-dropping-particle":"","parse-names":false,"suffix":""},{"dropping-particle":"","family":"Gutierrez","given":"C","non-dropping-particle":"","parse-names":false,"suffix":""},{"dropping-particle":"","family":"Alarcon","given":"J","non-dropping-particle":"","parse-names":false,"suffix":""},{"dropping-particle":"","family":"Davila","given":"M","non-dropping-particle":"","parse-names":false,"suffix":""},{"dropping-particle":"","family":"Cunha","given":"A J","non-dropping-particle":"","parse-names":false,"suffix":""}],"container-title":"Child: Care, Health &amp; Development","id":"ITEM-1","issue":"1","issued":{"date-parts":[["2017"]]},"note":"Sobrino, M\nGutierrez, C\nAlarcon, J\nDavila, M\nCunha, A J\n\nAviva abstracted","page":"97-103","title":"Birth interval and stunting in children under five years of age in Peru (1996-2014)","type":"article-journal","volume":"43"},"uris":["http://www.mendeley.com/documents/?uuid=9ab7045f-1909-4a94-81d7-b2c919548579"]}],"mendeley":{"formattedCitation":"[103]","plainTextFormattedCitation":"[103]","previouslyFormattedCitation":"[103]"},"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[103]</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445DF4A4" w14:textId="77777777" w:rsidR="001070CC" w:rsidRPr="003D7162" w:rsidRDefault="001070CC" w:rsidP="000C7ADC">
      <w:pPr>
        <w:rPr>
          <w:rFonts w:ascii="Helvetica" w:hAnsi="Helvetica" w:cs="Helvetica"/>
        </w:rPr>
      </w:pPr>
    </w:p>
    <w:p w14:paraId="0741F016" w14:textId="77777777" w:rsidR="001070CC" w:rsidRPr="003D7162" w:rsidRDefault="001070CC" w:rsidP="000C7ADC">
      <w:pPr>
        <w:rPr>
          <w:rFonts w:ascii="Helvetica" w:hAnsi="Helvetica" w:cs="Helvetica"/>
          <w:b/>
        </w:rPr>
      </w:pPr>
    </w:p>
    <w:p w14:paraId="40E05EB7" w14:textId="77777777" w:rsidR="001070CC" w:rsidRPr="003D7162" w:rsidRDefault="001070CC" w:rsidP="000C7ADC">
      <w:pPr>
        <w:rPr>
          <w:rFonts w:ascii="Helvetica" w:hAnsi="Helvetica" w:cs="Helvetica"/>
          <w:b/>
        </w:rPr>
      </w:pPr>
    </w:p>
    <w:p w14:paraId="28F3AB61" w14:textId="77777777" w:rsidR="001070CC" w:rsidRPr="003D7162" w:rsidRDefault="001070CC" w:rsidP="000C7ADC">
      <w:pPr>
        <w:rPr>
          <w:rFonts w:ascii="Helvetica" w:hAnsi="Helvetica" w:cs="Helvetica"/>
          <w:b/>
        </w:rPr>
      </w:pPr>
    </w:p>
    <w:p w14:paraId="239329FA" w14:textId="77777777" w:rsidR="001070CC" w:rsidRPr="003D7162" w:rsidRDefault="001070CC" w:rsidP="000C7ADC">
      <w:pPr>
        <w:rPr>
          <w:rFonts w:ascii="Helvetica" w:hAnsi="Helvetica" w:cs="Helvetica"/>
          <w:b/>
        </w:rPr>
      </w:pPr>
    </w:p>
    <w:p w14:paraId="1DCA3554" w14:textId="77777777" w:rsidR="001070CC" w:rsidRPr="003D7162" w:rsidRDefault="001070CC" w:rsidP="000C7ADC">
      <w:pPr>
        <w:rPr>
          <w:rFonts w:ascii="Helvetica" w:hAnsi="Helvetica" w:cs="Helvetica"/>
          <w:b/>
        </w:rPr>
      </w:pPr>
    </w:p>
    <w:p w14:paraId="6FEE57F9" w14:textId="77777777" w:rsidR="001070CC" w:rsidRPr="003D7162" w:rsidRDefault="001070CC" w:rsidP="000C7ADC">
      <w:pPr>
        <w:rPr>
          <w:rFonts w:ascii="Helvetica" w:hAnsi="Helvetica" w:cs="Helvetica"/>
          <w:b/>
        </w:rPr>
      </w:pPr>
    </w:p>
    <w:p w14:paraId="329CA752" w14:textId="77777777" w:rsidR="001070CC" w:rsidRPr="003D7162" w:rsidRDefault="001070CC" w:rsidP="000C7ADC">
      <w:pPr>
        <w:rPr>
          <w:rFonts w:ascii="Helvetica" w:hAnsi="Helvetica" w:cs="Helvetica"/>
          <w:b/>
        </w:rPr>
      </w:pPr>
    </w:p>
    <w:p w14:paraId="283F10A4" w14:textId="77777777" w:rsidR="001070CC" w:rsidRPr="003D7162" w:rsidRDefault="001070CC" w:rsidP="000C7ADC">
      <w:pPr>
        <w:rPr>
          <w:rFonts w:ascii="Helvetica" w:hAnsi="Helvetica" w:cs="Helvetica"/>
          <w:b/>
        </w:rPr>
      </w:pPr>
    </w:p>
    <w:p w14:paraId="1BFAFD48" w14:textId="77777777" w:rsidR="001070CC" w:rsidRPr="003D7162" w:rsidRDefault="001070CC" w:rsidP="000C7ADC">
      <w:pPr>
        <w:rPr>
          <w:rFonts w:ascii="Helvetica" w:hAnsi="Helvetica" w:cs="Helvetica"/>
          <w:b/>
        </w:rPr>
      </w:pPr>
    </w:p>
    <w:p w14:paraId="792EAE56" w14:textId="77777777" w:rsidR="001070CC" w:rsidRPr="003D7162" w:rsidRDefault="001070CC" w:rsidP="000C7ADC">
      <w:pPr>
        <w:rPr>
          <w:rFonts w:ascii="Helvetica" w:hAnsi="Helvetica" w:cs="Helvetica"/>
          <w:b/>
        </w:rPr>
      </w:pPr>
    </w:p>
    <w:p w14:paraId="38C162AF" w14:textId="77777777" w:rsidR="001070CC" w:rsidRPr="003D7162" w:rsidRDefault="001070CC" w:rsidP="000C7ADC">
      <w:pPr>
        <w:rPr>
          <w:rFonts w:ascii="Helvetica" w:hAnsi="Helvetica" w:cs="Helvetica"/>
          <w:b/>
        </w:rPr>
      </w:pPr>
    </w:p>
    <w:p w14:paraId="353FD07D" w14:textId="77777777" w:rsidR="001070CC" w:rsidRPr="003D7162" w:rsidRDefault="001070CC" w:rsidP="000C7ADC">
      <w:pPr>
        <w:rPr>
          <w:rFonts w:ascii="Helvetica" w:hAnsi="Helvetica" w:cs="Helvetica"/>
          <w:b/>
        </w:rPr>
      </w:pPr>
    </w:p>
    <w:p w14:paraId="3D69C730" w14:textId="77777777" w:rsidR="001070CC" w:rsidRPr="003D7162" w:rsidRDefault="001070CC" w:rsidP="000C7ADC">
      <w:pPr>
        <w:rPr>
          <w:rFonts w:ascii="Helvetica" w:hAnsi="Helvetica" w:cs="Helvetica"/>
          <w:b/>
        </w:rPr>
      </w:pPr>
    </w:p>
    <w:p w14:paraId="31984EE2" w14:textId="77777777" w:rsidR="001070CC" w:rsidRPr="003D7162" w:rsidRDefault="001070CC" w:rsidP="000C7ADC">
      <w:pPr>
        <w:rPr>
          <w:rFonts w:ascii="Helvetica" w:hAnsi="Helvetica" w:cs="Helvetica"/>
          <w:b/>
        </w:rPr>
      </w:pPr>
    </w:p>
    <w:p w14:paraId="7D1FF7FF" w14:textId="77777777" w:rsidR="001070CC" w:rsidRPr="003D7162" w:rsidRDefault="001070CC" w:rsidP="000C7ADC">
      <w:pPr>
        <w:rPr>
          <w:rFonts w:ascii="Helvetica" w:hAnsi="Helvetica" w:cs="Helvetica"/>
          <w:b/>
        </w:rPr>
      </w:pPr>
    </w:p>
    <w:p w14:paraId="37C990A5" w14:textId="77777777" w:rsidR="001070CC" w:rsidRPr="003D7162" w:rsidRDefault="001070CC" w:rsidP="000C7ADC">
      <w:pPr>
        <w:rPr>
          <w:rFonts w:ascii="Helvetica" w:hAnsi="Helvetica" w:cs="Helvetica"/>
          <w:b/>
        </w:rPr>
      </w:pPr>
    </w:p>
    <w:p w14:paraId="1849606D" w14:textId="77777777" w:rsidR="001070CC" w:rsidRPr="003D7162" w:rsidRDefault="001070CC" w:rsidP="000C7ADC">
      <w:pPr>
        <w:rPr>
          <w:rFonts w:ascii="Helvetica" w:hAnsi="Helvetica" w:cs="Helvetica"/>
          <w:b/>
        </w:rPr>
      </w:pPr>
    </w:p>
    <w:p w14:paraId="4662077C" w14:textId="77777777" w:rsidR="00AA42ED" w:rsidRPr="003D7162" w:rsidRDefault="00AA42ED" w:rsidP="000C7ADC">
      <w:pPr>
        <w:spacing w:after="160"/>
        <w:rPr>
          <w:rFonts w:ascii="Helvetica" w:hAnsi="Helvetica" w:cs="Helvetica"/>
          <w:b/>
        </w:rPr>
      </w:pPr>
      <w:r w:rsidRPr="003D7162">
        <w:rPr>
          <w:rFonts w:ascii="Helvetica" w:hAnsi="Helvetica" w:cs="Helvetica"/>
          <w:b/>
        </w:rPr>
        <w:br w:type="page"/>
      </w:r>
    </w:p>
    <w:p w14:paraId="03926B17" w14:textId="3A49BAA5" w:rsidR="000C7ADC" w:rsidRPr="003E1E6C" w:rsidRDefault="00D91F4C" w:rsidP="000C7ADC">
      <w:pPr>
        <w:pStyle w:val="Heading1"/>
        <w:rPr>
          <w:rFonts w:ascii="Helvetica" w:hAnsi="Helvetica" w:cs="Helvetica"/>
          <w:b/>
          <w:sz w:val="24"/>
        </w:rPr>
      </w:pPr>
      <w:bookmarkStart w:id="6" w:name="_Toc40953303"/>
      <w:r>
        <w:rPr>
          <w:rFonts w:ascii="Helvetica" w:hAnsi="Helvetica" w:cs="Helvetica"/>
          <w:b/>
          <w:sz w:val="24"/>
          <w:szCs w:val="24"/>
        </w:rPr>
        <w:t xml:space="preserve">Supplementary </w:t>
      </w:r>
      <w:r w:rsidR="000C7ADC" w:rsidRPr="003E1E6C">
        <w:rPr>
          <w:rFonts w:ascii="Helvetica" w:hAnsi="Helvetica" w:cs="Helvetica"/>
          <w:b/>
          <w:sz w:val="24"/>
        </w:rPr>
        <w:t>Appendix 3:</w:t>
      </w:r>
      <w:r w:rsidR="000C7ADC" w:rsidRPr="003E1E6C">
        <w:rPr>
          <w:rFonts w:ascii="Helvetica" w:hAnsi="Helvetica" w:cs="Helvetica"/>
          <w:sz w:val="24"/>
        </w:rPr>
        <w:t xml:space="preserve"> Multivariable Analyses Methods</w:t>
      </w:r>
      <w:bookmarkEnd w:id="6"/>
    </w:p>
    <w:p w14:paraId="0FDF43AD" w14:textId="2E844C05" w:rsidR="000C7ADC" w:rsidRPr="003D7162" w:rsidRDefault="000C7ADC" w:rsidP="000C7ADC">
      <w:pPr>
        <w:rPr>
          <w:rFonts w:ascii="Helvetica" w:hAnsi="Helvetica" w:cs="Helvetica"/>
        </w:rPr>
      </w:pPr>
    </w:p>
    <w:p w14:paraId="122F62AB" w14:textId="77777777" w:rsidR="000C7ADC" w:rsidRPr="003D7162" w:rsidRDefault="000C7ADC" w:rsidP="000C7ADC">
      <w:pPr>
        <w:rPr>
          <w:rFonts w:ascii="Helvetica" w:hAnsi="Helvetica" w:cs="Helvetica"/>
          <w:sz w:val="22"/>
          <w:szCs w:val="22"/>
        </w:rPr>
      </w:pPr>
      <w:r w:rsidRPr="003D7162">
        <w:rPr>
          <w:rFonts w:ascii="Helvetica" w:hAnsi="Helvetica" w:cs="Helvetica"/>
          <w:sz w:val="22"/>
          <w:szCs w:val="22"/>
        </w:rPr>
        <w:t xml:space="preserve">We undertook two sets of hierarchical multivariable analyses that are discussed in detail below. Using complementary approaches, each of these analyses attempts to answer the same research question i.e. what are the main predictors of change in child linear growth in Peru during critical time periods? The linear mixed effect regression is an ecological analyses with department-year data and % stunting prevalence as the outcome. However, though it effectively analyzes the entire time series of estimates from 2000-2016, inferences are susceptible to the ecological fallacy. The Oaxaca-Blinder decomposition is based on individual-level data, and thus has larger sample sizes/higher statistical power of estimates, but relies only on DHS survey rounds conducted in 2000, 2007/08 and 2016. Findings from the decomposition, consequently, “ignore” in-between survey rounds and thus any intermittent fluctuations in the predictors. As has been suggested in previous decomposition analyses, we operationalize child HAZ as the linear growth outcome due to its greater statistical efficiency relative to the dichotomous child stunting variable. Each of the two below multivariable methods pose their own strengths and limitations – however, as sensitivity analyses, study inferences should be anchored in both and congruent findings between the methods strengthen the key messages. </w:t>
      </w:r>
    </w:p>
    <w:p w14:paraId="246524A6" w14:textId="3EE8F684" w:rsidR="000C7ADC" w:rsidRPr="003D7162" w:rsidRDefault="000C7ADC" w:rsidP="000C7ADC">
      <w:pPr>
        <w:rPr>
          <w:rFonts w:ascii="Helvetica" w:hAnsi="Helvetica" w:cs="Helvetica"/>
          <w:sz w:val="22"/>
          <w:szCs w:val="22"/>
        </w:rPr>
      </w:pPr>
    </w:p>
    <w:p w14:paraId="0A45E8DE" w14:textId="343E988F"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Linear Mixed Effect Regression</w:t>
      </w:r>
    </w:p>
    <w:p w14:paraId="606F63FD" w14:textId="3DD24CC7" w:rsidR="000C7ADC" w:rsidRPr="003D7162" w:rsidRDefault="000C7ADC" w:rsidP="000C7ADC">
      <w:pPr>
        <w:rPr>
          <w:rFonts w:ascii="Helvetica" w:hAnsi="Helvetica" w:cs="Helvetica"/>
          <w:sz w:val="22"/>
          <w:szCs w:val="22"/>
        </w:rPr>
      </w:pPr>
    </w:p>
    <w:p w14:paraId="51119DFA" w14:textId="366F8FFE" w:rsidR="000C7ADC" w:rsidRPr="003D7162" w:rsidRDefault="000C7ADC" w:rsidP="000C7ADC">
      <w:pPr>
        <w:rPr>
          <w:rFonts w:ascii="Helvetica" w:hAnsi="Helvetica" w:cs="Helvetica"/>
          <w:sz w:val="22"/>
          <w:szCs w:val="22"/>
        </w:rPr>
      </w:pPr>
      <w:r w:rsidRPr="003D7162">
        <w:rPr>
          <w:rFonts w:ascii="Helvetica" w:hAnsi="Helvetica" w:cs="Helvetica"/>
          <w:sz w:val="22"/>
          <w:szCs w:val="22"/>
        </w:rPr>
        <w:t xml:space="preserve">We carried out data analysis for all three time periods. We consider a two-year time lag between predictors and outcome, to allow a reasonable period of time before exploring the effects of the different factors on stunting. It is worth mentioning that, despite Period 1 and 2 having 8 and 9 years of data, respectively, because our analysis considered a two-year time lag between predictors and outcome, the final analysis for each period encompasses 8 years and 7 years, respectively. Therefore, the number of our units of analysis (i.e. department-year) for each time period is 192 (period 1) and 168 (period 2). </w:t>
      </w:r>
    </w:p>
    <w:p w14:paraId="2BE666A0" w14:textId="77777777" w:rsidR="000C7ADC" w:rsidRPr="003D7162" w:rsidRDefault="000C7ADC" w:rsidP="000C7ADC">
      <w:pPr>
        <w:rPr>
          <w:rFonts w:ascii="Helvetica" w:hAnsi="Helvetica" w:cs="Helvetica"/>
          <w:i/>
          <w:color w:val="181A18"/>
          <w:sz w:val="22"/>
          <w:szCs w:val="22"/>
          <w:u w:val="single"/>
        </w:rPr>
      </w:pPr>
    </w:p>
    <w:p w14:paraId="40FBC3B1" w14:textId="77777777" w:rsidR="000C7ADC" w:rsidRPr="003D7162" w:rsidRDefault="000C7ADC" w:rsidP="000C7ADC">
      <w:pPr>
        <w:pStyle w:val="p1"/>
        <w:rPr>
          <w:rFonts w:cs="Helvetica"/>
          <w:color w:val="000000" w:themeColor="text1"/>
          <w:sz w:val="22"/>
          <w:szCs w:val="22"/>
        </w:rPr>
      </w:pPr>
      <w:r w:rsidRPr="003D7162">
        <w:rPr>
          <w:rFonts w:cs="Helvetica"/>
          <w:color w:val="000000" w:themeColor="text1"/>
          <w:sz w:val="22"/>
          <w:szCs w:val="22"/>
        </w:rPr>
        <w:t>We conducted stepwise multilevel mixed-effects linear regression model with department-year as our unit of analysis. This first modelling set was done at departmental level, because the individual modelling, despite theoretical advantages, is strongly driven by individual characteristics, specially poverty. This is not so well measured in surveys and ends up giving way to residual confounding, so that any determinant that also marks poverty ends up as a predictor of stunting. This is the case, for instance, of the percent of population covered by the SIS program, where poorer areas have a higher percentage, and the program ends up a risk factor for stunting, not a preventive factor.</w:t>
      </w:r>
    </w:p>
    <w:p w14:paraId="158F46A7" w14:textId="77777777" w:rsidR="000C7ADC" w:rsidRPr="003D7162" w:rsidRDefault="000C7ADC" w:rsidP="000C7ADC">
      <w:pPr>
        <w:pStyle w:val="p1"/>
        <w:rPr>
          <w:rFonts w:cs="Helvetica"/>
          <w:color w:val="000000" w:themeColor="text1"/>
          <w:sz w:val="22"/>
          <w:szCs w:val="22"/>
        </w:rPr>
      </w:pPr>
    </w:p>
    <w:p w14:paraId="349636FB" w14:textId="77777777" w:rsidR="000C7ADC" w:rsidRPr="003D7162" w:rsidRDefault="000C7ADC" w:rsidP="000C7ADC">
      <w:pPr>
        <w:pStyle w:val="p1"/>
        <w:rPr>
          <w:rFonts w:cs="Helvetica"/>
          <w:color w:val="000000" w:themeColor="text1"/>
          <w:sz w:val="22"/>
          <w:szCs w:val="22"/>
        </w:rPr>
      </w:pPr>
      <w:r w:rsidRPr="003D7162">
        <w:rPr>
          <w:rFonts w:cs="Helvetica"/>
          <w:color w:val="000000" w:themeColor="text1"/>
          <w:sz w:val="22"/>
          <w:szCs w:val="22"/>
        </w:rPr>
        <w:t xml:space="preserve">We first ran bivariate correlations between different predictor variables and the outcome of interest at departmental level to examine crude associations. Next, we used a simple variance multilevel model with one variance term for the measures at each time point (level 1) and one variance term for the department level (level 2). This model takes into account the fixed effects of the predictors (structured in our conceptual framework) and also the fixed effects of time. The random effects take into account the variability within departments, over time, as well as between departments. The general formulation of this model is </w:t>
      </w:r>
      <w:r w:rsidRPr="003D7162">
        <w:rPr>
          <w:rFonts w:cs="Helvetica"/>
          <w:i/>
          <w:color w:val="000000" w:themeColor="text1"/>
          <w:sz w:val="22"/>
          <w:szCs w:val="22"/>
        </w:rPr>
        <w:t>yij  = ∑ k = 0p βkxk  +  uj  +  eij</w:t>
      </w:r>
      <w:r w:rsidRPr="003D7162">
        <w:rPr>
          <w:rFonts w:cs="Helvetica"/>
          <w:color w:val="000000" w:themeColor="text1"/>
          <w:sz w:val="22"/>
          <w:szCs w:val="22"/>
        </w:rPr>
        <w:t xml:space="preserve">, where </w:t>
      </w:r>
      <w:r w:rsidRPr="003D7162">
        <w:rPr>
          <w:rFonts w:cs="Helvetica"/>
          <w:i/>
          <w:color w:val="000000" w:themeColor="text1"/>
          <w:sz w:val="22"/>
          <w:szCs w:val="22"/>
        </w:rPr>
        <w:t xml:space="preserve">yij </w:t>
      </w:r>
      <w:r w:rsidRPr="003D7162">
        <w:rPr>
          <w:rFonts w:cs="Helvetica"/>
          <w:color w:val="000000" w:themeColor="text1"/>
          <w:sz w:val="22"/>
          <w:szCs w:val="22"/>
        </w:rPr>
        <w:t xml:space="preserve">is the prevalence of stunting in time </w:t>
      </w:r>
      <w:r w:rsidRPr="003D7162">
        <w:rPr>
          <w:rFonts w:cs="Helvetica"/>
          <w:i/>
          <w:color w:val="000000" w:themeColor="text1"/>
          <w:sz w:val="22"/>
          <w:szCs w:val="22"/>
        </w:rPr>
        <w:t>i</w:t>
      </w:r>
      <w:r w:rsidRPr="003D7162">
        <w:rPr>
          <w:rFonts w:cs="Helvetica"/>
          <w:color w:val="000000" w:themeColor="text1"/>
          <w:sz w:val="22"/>
          <w:szCs w:val="22"/>
        </w:rPr>
        <w:t xml:space="preserve">, department </w:t>
      </w:r>
      <w:r w:rsidRPr="003D7162">
        <w:rPr>
          <w:rFonts w:cs="Helvetica"/>
          <w:i/>
          <w:color w:val="000000" w:themeColor="text1"/>
          <w:sz w:val="22"/>
          <w:szCs w:val="22"/>
        </w:rPr>
        <w:t>j</w:t>
      </w:r>
      <w:r w:rsidRPr="003D7162">
        <w:rPr>
          <w:rFonts w:cs="Helvetica"/>
          <w:color w:val="000000" w:themeColor="text1"/>
          <w:sz w:val="22"/>
          <w:szCs w:val="22"/>
        </w:rPr>
        <w:t xml:space="preserve">, the </w:t>
      </w:r>
      <w:r w:rsidRPr="003D7162">
        <w:rPr>
          <w:rFonts w:cs="Helvetica"/>
          <w:i/>
          <w:color w:val="000000" w:themeColor="text1"/>
          <w:sz w:val="22"/>
          <w:szCs w:val="22"/>
        </w:rPr>
        <w:t>βs</w:t>
      </w:r>
      <w:r w:rsidRPr="003D7162">
        <w:rPr>
          <w:rFonts w:cs="Helvetica"/>
          <w:color w:val="000000" w:themeColor="text1"/>
          <w:sz w:val="22"/>
          <w:szCs w:val="22"/>
        </w:rPr>
        <w:t xml:space="preserve"> are the fixed effects for the predictors and </w:t>
      </w:r>
      <w:r w:rsidRPr="003D7162">
        <w:rPr>
          <w:rFonts w:cs="Helvetica"/>
          <w:i/>
          <w:color w:val="000000" w:themeColor="text1"/>
          <w:sz w:val="22"/>
          <w:szCs w:val="22"/>
        </w:rPr>
        <w:t>uj</w:t>
      </w:r>
      <w:r w:rsidRPr="003D7162">
        <w:rPr>
          <w:rFonts w:cs="Helvetica"/>
          <w:color w:val="000000" w:themeColor="text1"/>
          <w:sz w:val="22"/>
          <w:szCs w:val="22"/>
        </w:rPr>
        <w:t xml:space="preserve"> and </w:t>
      </w:r>
      <w:r w:rsidRPr="003D7162">
        <w:rPr>
          <w:rFonts w:cs="Helvetica"/>
          <w:i/>
          <w:color w:val="000000" w:themeColor="text1"/>
          <w:sz w:val="22"/>
          <w:szCs w:val="22"/>
        </w:rPr>
        <w:t xml:space="preserve">eij </w:t>
      </w:r>
      <w:r w:rsidRPr="003D7162">
        <w:rPr>
          <w:rFonts w:cs="Helvetica"/>
          <w:color w:val="000000" w:themeColor="text1"/>
          <w:sz w:val="22"/>
          <w:szCs w:val="22"/>
        </w:rPr>
        <w:t xml:space="preserve">are the variability terms between and within departments, respectively. </w:t>
      </w:r>
    </w:p>
    <w:p w14:paraId="01C80B83" w14:textId="77777777" w:rsidR="000C7ADC" w:rsidRPr="003D7162" w:rsidRDefault="000C7ADC" w:rsidP="000C7ADC">
      <w:pPr>
        <w:pStyle w:val="p1"/>
        <w:rPr>
          <w:rFonts w:cs="Helvetica"/>
          <w:color w:val="000000" w:themeColor="text1"/>
          <w:sz w:val="22"/>
          <w:szCs w:val="22"/>
        </w:rPr>
      </w:pPr>
    </w:p>
    <w:p w14:paraId="726E4946" w14:textId="23DA1748" w:rsidR="000C7ADC" w:rsidRPr="003D7162" w:rsidRDefault="000C7ADC" w:rsidP="000C7ADC">
      <w:pPr>
        <w:pStyle w:val="p1"/>
        <w:rPr>
          <w:rFonts w:cs="Helvetica"/>
          <w:color w:val="000000" w:themeColor="text1"/>
          <w:sz w:val="22"/>
          <w:szCs w:val="22"/>
        </w:rPr>
      </w:pPr>
      <w:r w:rsidRPr="003D7162">
        <w:rPr>
          <w:rFonts w:cs="Helvetica"/>
          <w:color w:val="000000" w:themeColor="text1"/>
          <w:sz w:val="22"/>
          <w:szCs w:val="22"/>
        </w:rPr>
        <w:t xml:space="preserve">A hierarchical modelling approach using distal, two intermediate (level 1 and 2), and proximal level variables was executed as suggested </w:t>
      </w:r>
      <w:r w:rsidRPr="003D7162">
        <w:rPr>
          <w:rFonts w:cs="Helvetica"/>
          <w:color w:val="auto"/>
          <w:sz w:val="22"/>
          <w:szCs w:val="22"/>
        </w:rPr>
        <w:t xml:space="preserve">by Victora 1997 </w:t>
      </w:r>
      <w:r w:rsidRPr="003D7162">
        <w:rPr>
          <w:rFonts w:cs="Helvetica"/>
          <w:color w:val="auto"/>
          <w:sz w:val="22"/>
          <w:szCs w:val="22"/>
        </w:rPr>
        <w:fldChar w:fldCharType="begin" w:fldLock="1"/>
      </w:r>
      <w:r w:rsidRPr="003D7162">
        <w:rPr>
          <w:rFonts w:cs="Helvetica"/>
          <w:color w:val="auto"/>
          <w:sz w:val="22"/>
          <w:szCs w:val="22"/>
        </w:rPr>
        <w:instrText>ADDIN CSL_CITATION {"citationItems":[{"id":"ITEM-1","itemData":{"author":[{"dropping-particle":"","family":"Victora C","given":"G","non-dropping-particle":"","parse-names":false,"suffix":""},{"dropping-particle":"","family":"Huttly, S","given":"R","non-dropping-particle":"","parse-names":false,"suffix":""},{"dropping-particle":"","family":"Fuchs, S","given":"C","non-dropping-particle":"","parse-names":false,"suffix":""},{"dropping-particle":"","family":"Olinto, M","given":"T","non-dropping-particle":"","parse-names":false,"suffix":""}],"container-title":"International Journal of Epidemiology","id":"ITEM-1","issue":"1","issued":{"date-parts":[["1997"]]},"page":"224-227","title":"The role of conceptual frameworks in epidemiological analysis: a hierarchical approach","type":"article-journal","volume":"26"},"uris":["http://www.mendeley.com/documents/?uuid=b2900e26-0539-4268-a375-0617ed1d386f"]}],"mendeley":{"formattedCitation":"[104]","plainTextFormattedCitation":"[104]","previouslyFormattedCitation":"[36]"},"properties":{"noteIndex":0},"schema":"https://github.com/citation-style-language/schema/raw/master/csl-citation.json"}</w:instrText>
      </w:r>
      <w:r w:rsidRPr="003D7162">
        <w:rPr>
          <w:rFonts w:cs="Helvetica"/>
          <w:color w:val="auto"/>
          <w:sz w:val="22"/>
          <w:szCs w:val="22"/>
        </w:rPr>
        <w:fldChar w:fldCharType="separate"/>
      </w:r>
      <w:r w:rsidRPr="003D7162">
        <w:rPr>
          <w:rFonts w:cs="Helvetica"/>
          <w:noProof/>
          <w:color w:val="auto"/>
          <w:sz w:val="22"/>
          <w:szCs w:val="22"/>
        </w:rPr>
        <w:t>[104]</w:t>
      </w:r>
      <w:r w:rsidRPr="003D7162">
        <w:rPr>
          <w:rFonts w:cs="Helvetica"/>
          <w:color w:val="auto"/>
          <w:sz w:val="22"/>
          <w:szCs w:val="22"/>
        </w:rPr>
        <w:fldChar w:fldCharType="end"/>
      </w:r>
      <w:r w:rsidRPr="003D7162">
        <w:rPr>
          <w:rFonts w:cs="Helvetica"/>
          <w:color w:val="auto"/>
          <w:sz w:val="22"/>
          <w:szCs w:val="22"/>
        </w:rPr>
        <w:t xml:space="preserve">. </w:t>
      </w:r>
      <w:r w:rsidRPr="003D7162">
        <w:rPr>
          <w:rFonts w:cs="Helvetica"/>
          <w:color w:val="000000" w:themeColor="text1"/>
          <w:sz w:val="22"/>
          <w:szCs w:val="22"/>
        </w:rPr>
        <w:t xml:space="preserve">Variables within each level were selected from our general conceptual framework as defined in Figure 5. For each level of our conceptual model, starting with the distal level, we first run crude mixed-effects linear regressions, with stunting and one predictor at a time, with year as a fixed term (i.e. variable included in the model irrespective of the selection criteria). We next select those variables with </w:t>
      </w:r>
      <w:r w:rsidRPr="003D7162">
        <w:rPr>
          <w:rFonts w:cs="Helvetica"/>
          <w:i/>
          <w:color w:val="000000" w:themeColor="text1"/>
          <w:sz w:val="22"/>
          <w:szCs w:val="22"/>
        </w:rPr>
        <w:t>p</w:t>
      </w:r>
      <w:r w:rsidRPr="003D7162">
        <w:rPr>
          <w:rFonts w:cs="Helvetica"/>
          <w:color w:val="000000" w:themeColor="text1"/>
          <w:sz w:val="22"/>
          <w:szCs w:val="22"/>
        </w:rPr>
        <w:t>-value </w:t>
      </w:r>
      <w:r w:rsidRPr="003D7162">
        <w:rPr>
          <w:rFonts w:eastAsia="Calibri" w:cs="Helvetica"/>
          <w:color w:val="000000" w:themeColor="text1"/>
          <w:sz w:val="22"/>
          <w:szCs w:val="22"/>
          <w:lang w:val="en-GB"/>
        </w:rPr>
        <w:sym w:font="Symbol" w:char="F0A3"/>
      </w:r>
      <w:r w:rsidRPr="003D7162">
        <w:rPr>
          <w:rFonts w:cs="Helvetica"/>
          <w:color w:val="000000" w:themeColor="text1"/>
          <w:sz w:val="22"/>
          <w:szCs w:val="22"/>
        </w:rPr>
        <w:t xml:space="preserve"> 0.20, irrespective of their direction to move forward for multivariable modeling. Selected variables are entered into backward stepwise elimination modeling within their respective levels and those with </w:t>
      </w:r>
      <w:r w:rsidRPr="003D7162">
        <w:rPr>
          <w:rFonts w:cs="Helvetica"/>
          <w:i/>
          <w:color w:val="000000" w:themeColor="text1"/>
          <w:sz w:val="22"/>
          <w:szCs w:val="22"/>
        </w:rPr>
        <w:t>p</w:t>
      </w:r>
      <w:r w:rsidRPr="003D7162">
        <w:rPr>
          <w:rFonts w:cs="Helvetica"/>
          <w:color w:val="000000" w:themeColor="text1"/>
          <w:sz w:val="22"/>
          <w:szCs w:val="22"/>
        </w:rPr>
        <w:t xml:space="preserve">-values </w:t>
      </w:r>
      <w:r w:rsidRPr="003D7162">
        <w:rPr>
          <w:rFonts w:eastAsia="Calibri" w:cs="Helvetica"/>
          <w:color w:val="000000" w:themeColor="text1"/>
          <w:sz w:val="22"/>
          <w:szCs w:val="22"/>
          <w:lang w:val="en-GB"/>
        </w:rPr>
        <w:sym w:font="Symbol" w:char="F0A3"/>
      </w:r>
      <w:r w:rsidRPr="003D7162">
        <w:rPr>
          <w:rFonts w:cs="Helvetica"/>
          <w:color w:val="000000" w:themeColor="text1"/>
          <w:sz w:val="22"/>
          <w:szCs w:val="22"/>
        </w:rPr>
        <w:t xml:space="preserve">0.10 are retained. </w:t>
      </w:r>
    </w:p>
    <w:p w14:paraId="0BFDF47A" w14:textId="77777777" w:rsidR="000C7ADC" w:rsidRPr="003D7162" w:rsidRDefault="000C7ADC" w:rsidP="000C7ADC">
      <w:pPr>
        <w:rPr>
          <w:rFonts w:ascii="Helvetica" w:hAnsi="Helvetica" w:cs="Helvetica"/>
          <w:i/>
          <w:color w:val="181A18"/>
          <w:szCs w:val="22"/>
          <w:u w:val="single"/>
        </w:rPr>
      </w:pPr>
    </w:p>
    <w:p w14:paraId="2898A20C" w14:textId="77777777" w:rsidR="000C7ADC" w:rsidRPr="003D7162" w:rsidRDefault="000C7AD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To obtain the relative contribution across our conceptual framework levels, as well as within each respective level, we performed post-estimation estimations of ‘variance explained’. To estimate the relative contribution across each level, the percentage of residual variance explained by the covariables was calculated as ([residual variance component of null model - residual variance covariable model]/[residual variance null model]), reflecting the proportion of the total variability explained by the covariable model. To estimate the effect size of individual variables within each level, Cohen’s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(based on R</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values of different versions of the multivariable, mixed-effects regression model) was calculated as ([R</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of the full model – R</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of the restricted model]/[1 - R</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of the full model]), with the restricted model excluding the variable to be evaluated (without the effect of interest) and with the random intercept variance constrained to be the same as the full model. Cohen’s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is an informative, standardized measure (with respect to the total variance) of effect size that allows the evaluation and comparison of local effect sizes between variables within the model as a whole, quantifying the effect as small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r w:rsidRPr="003D7162">
        <w:rPr>
          <w:rFonts w:ascii="Helvetica" w:eastAsia="Calibri" w:hAnsi="Helvetica" w:cs="Helvetica"/>
          <w:color w:val="000000" w:themeColor="text1"/>
          <w:sz w:val="22"/>
          <w:szCs w:val="22"/>
          <w:lang w:val="en-GB"/>
        </w:rPr>
        <w:sym w:font="Symbol" w:char="F0B3"/>
      </w:r>
      <w:r w:rsidRPr="003D7162">
        <w:rPr>
          <w:rFonts w:ascii="Helvetica" w:hAnsi="Helvetica" w:cs="Helvetica"/>
          <w:color w:val="000000" w:themeColor="text1"/>
          <w:sz w:val="22"/>
          <w:szCs w:val="22"/>
        </w:rPr>
        <w:t xml:space="preserve"> 0.02), medium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r w:rsidRPr="003D7162">
        <w:rPr>
          <w:rFonts w:ascii="Helvetica" w:eastAsia="Calibri" w:hAnsi="Helvetica" w:cs="Helvetica"/>
          <w:color w:val="000000" w:themeColor="text1"/>
          <w:sz w:val="22"/>
          <w:szCs w:val="22"/>
          <w:lang w:val="en-GB"/>
        </w:rPr>
        <w:sym w:font="Symbol" w:char="F0B3"/>
      </w:r>
      <w:r w:rsidRPr="003D7162">
        <w:rPr>
          <w:rFonts w:ascii="Helvetica" w:hAnsi="Helvetica" w:cs="Helvetica"/>
          <w:color w:val="000000" w:themeColor="text1"/>
          <w:sz w:val="22"/>
          <w:szCs w:val="22"/>
        </w:rPr>
        <w:t xml:space="preserve"> 0.15), or large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r w:rsidRPr="003D7162">
        <w:rPr>
          <w:rFonts w:ascii="Helvetica" w:eastAsia="Calibri" w:hAnsi="Helvetica" w:cs="Helvetica"/>
          <w:color w:val="000000" w:themeColor="text1"/>
          <w:sz w:val="22"/>
          <w:szCs w:val="22"/>
          <w:lang w:val="en-GB"/>
        </w:rPr>
        <w:sym w:font="Symbol" w:char="F0B3"/>
      </w:r>
      <w:r w:rsidRPr="003D7162">
        <w:rPr>
          <w:rFonts w:ascii="Helvetica" w:hAnsi="Helvetica" w:cs="Helvetica"/>
          <w:color w:val="000000" w:themeColor="text1"/>
          <w:sz w:val="22"/>
          <w:szCs w:val="22"/>
        </w:rPr>
        <w:t xml:space="preserve"> 0.35). All analyses were conducted with Stata 13.1 (Stata Corp., College Station, TX).</w:t>
      </w:r>
    </w:p>
    <w:p w14:paraId="47D853BF" w14:textId="028D62E8" w:rsidR="000C7ADC" w:rsidRPr="003D7162" w:rsidRDefault="000C7ADC" w:rsidP="000C7ADC">
      <w:pPr>
        <w:rPr>
          <w:rFonts w:ascii="Helvetica" w:hAnsi="Helvetica" w:cs="Helvetica"/>
          <w:sz w:val="22"/>
          <w:szCs w:val="22"/>
        </w:rPr>
      </w:pPr>
    </w:p>
    <w:p w14:paraId="051808C5" w14:textId="782BE7F8"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Oaxaca-Blinder Decomposition</w:t>
      </w:r>
    </w:p>
    <w:p w14:paraId="476F1A17" w14:textId="144C0BA1" w:rsidR="000C7ADC" w:rsidRPr="003D7162" w:rsidRDefault="000C7ADC" w:rsidP="000C7ADC">
      <w:pPr>
        <w:rPr>
          <w:rFonts w:ascii="Helvetica" w:hAnsi="Helvetica" w:cs="Helvetica"/>
          <w:sz w:val="22"/>
          <w:szCs w:val="22"/>
        </w:rPr>
      </w:pPr>
    </w:p>
    <w:p w14:paraId="3844F911" w14:textId="07C9E168" w:rsidR="000C7ADC" w:rsidRPr="003D7162" w:rsidRDefault="000C7ADC" w:rsidP="000C7ADC">
      <w:pPr>
        <w:rPr>
          <w:rFonts w:ascii="Helvetica" w:hAnsi="Helvetica" w:cs="Helvetica"/>
          <w:sz w:val="22"/>
          <w:szCs w:val="22"/>
        </w:rPr>
      </w:pPr>
      <w:r w:rsidRPr="003D7162">
        <w:rPr>
          <w:rFonts w:ascii="Helvetica" w:hAnsi="Helvetica" w:cs="Helvetica"/>
          <w:sz w:val="22"/>
          <w:szCs w:val="22"/>
        </w:rPr>
        <w:t xml:space="preserve">We also undertook the commonly used Oaxaca-Blinder decomposition methods </w:t>
      </w:r>
      <w:r w:rsidRPr="003D7162">
        <w:rPr>
          <w:rFonts w:ascii="Helvetica" w:hAnsi="Helvetica" w:cs="Helvetica"/>
          <w:sz w:val="22"/>
          <w:szCs w:val="22"/>
        </w:rPr>
        <w:fldChar w:fldCharType="begin" w:fldLock="1"/>
      </w:r>
      <w:r w:rsidRPr="003D7162">
        <w:rPr>
          <w:rFonts w:ascii="Helvetica" w:hAnsi="Helvetica" w:cs="Helvetica"/>
          <w:sz w:val="22"/>
          <w:szCs w:val="22"/>
        </w:rPr>
        <w:instrText>ADDIN CSL_CITATION {"citationItems":[{"id":"ITEM-1","itemData":{"abstract":"The counterfactual decomposition technique popularized by Blinder (1973, Journal of Human Resources, 436–455) and Oaxaca (1973, International Economic Review, 693–709) is widely used to study mean outcome differences be-tween groups. For example, the technique is often used to analyze wage gaps by sex or race. This article summarizes the technique and addresses several compli-cations, such as the identification of effects of categorical predictors in the detailed decomposition or the estimation of standard errors. A new command called oaxaca is introduced, and examples illustrating its usage are given.","author":[{"dropping-particle":"","family":"Jann","given":"Ben","non-dropping-particle":"","parse-names":false,"suffix":""}],"container-title":"The Stata Journal","id":"ITEM-1","issue":"4","issued":{"date-parts":[["2008"]]},"page":"453-479","title":"The Blinder–Oaxaca decomposition for linear regression models","type":"article-journal","volume":"8"},"uris":["http://www.mendeley.com/documents/?uuid=bf3bf47a-3c22-3aca-a1e0-cf8fc69c2919","http://www.mendeley.com/documents/?uuid=4bd718f7-f127-48d0-aee7-f33acae0b651"]}],"mendeley":{"formattedCitation":"[105]","plainTextFormattedCitation":"[105]","previouslyFormattedCitation":"[37]"},"properties":{"noteIndex":0},"schema":"https://github.com/citation-style-language/schema/raw/master/csl-citation.json"}</w:instrText>
      </w:r>
      <w:r w:rsidRPr="003D7162">
        <w:rPr>
          <w:rFonts w:ascii="Helvetica" w:hAnsi="Helvetica" w:cs="Helvetica"/>
          <w:sz w:val="22"/>
          <w:szCs w:val="22"/>
        </w:rPr>
        <w:fldChar w:fldCharType="separate"/>
      </w:r>
      <w:r w:rsidRPr="003D7162">
        <w:rPr>
          <w:rFonts w:ascii="Helvetica" w:hAnsi="Helvetica" w:cs="Helvetica"/>
          <w:noProof/>
          <w:sz w:val="22"/>
          <w:szCs w:val="22"/>
        </w:rPr>
        <w:t>[105]</w:t>
      </w:r>
      <w:r w:rsidRPr="003D7162">
        <w:rPr>
          <w:rFonts w:ascii="Helvetica" w:hAnsi="Helvetica" w:cs="Helvetica"/>
          <w:sz w:val="22"/>
          <w:szCs w:val="22"/>
        </w:rPr>
        <w:fldChar w:fldCharType="end"/>
      </w:r>
      <w:r w:rsidRPr="003D7162">
        <w:rPr>
          <w:rFonts w:ascii="Helvetica" w:hAnsi="Helvetica" w:cs="Helvetica"/>
          <w:sz w:val="22"/>
          <w:szCs w:val="22"/>
        </w:rPr>
        <w:t xml:space="preserve"> to assess nutritional change over time in Peru. These methods based on individual-level data have increased statistical power and have been widely used to assess nutrition determinants over time in low and middle income settings </w:t>
      </w:r>
      <w:r w:rsidRPr="003D7162">
        <w:rPr>
          <w:rFonts w:ascii="Helvetica" w:hAnsi="Helvetica" w:cs="Helvetica"/>
          <w:sz w:val="22"/>
          <w:szCs w:val="22"/>
        </w:rPr>
        <w:fldChar w:fldCharType="begin" w:fldLock="1"/>
      </w:r>
      <w:r w:rsidRPr="003D7162">
        <w:rPr>
          <w:rFonts w:ascii="Helvetica" w:hAnsi="Helvetica" w:cs="Helvetica"/>
          <w:sz w:val="22"/>
          <w:szCs w:val="22"/>
        </w:rPr>
        <w:instrText>ADDIN CSL_CITATION {"citationItems":[{"id":"ITEM-1","itemData":{"DOI":"10.1016/j.gfs.2017.02.003","abstract":"A B S T R A C T Over the past two decades, many developing countries have made impressive progress in reducing under-nutrition. We explore potential explanations of this success by applying consistent statistical methods to multiple rounds of Demographic Health Surveys for Bangladesh, Nepal, Ethiopia, Odisha, Senegal, and Zambia. We find that changes in household wealth, mother's education and access to antenatal care are the largest drivers of nutritional improvement, except for Zambia where large increases in bednet usage is the single largest factor. Other factors play a smaller role in explaining nutritional improvements with improvements in sanitation only appearing to be important in South Asia. Overall, the results point to the need for multidimensional nutritional strategies involving a broad range of nutrition-sensitive sectors.","author":[{"dropping-particle":"","family":"Headey","given":"Derek","non-dropping-particle":"","parse-names":false,"suffix":""},{"dropping-particle":"","family":"Hoddinott","given":"John","non-dropping-particle":"","parse-names":false,"suffix":""},{"dropping-particle":"","family":"Park","given":"Seollee","non-dropping-particle":"","parse-names":false,"suffix":""}],"container-title":"Global Food Security","id":"ITEM-1","issued":{"date-parts":[["2017"]]},"page":"12-20","title":"Accounting for nutritional changes in six success stories: A regression- decomposition approach","type":"article-journal","volume":"13"},"uris":["http://www.mendeley.com/documents/?uuid=cf01041e-396e-31ad-864c-60dbf6a5fce8","http://www.mendeley.com/documents/?uuid=1e9fdd39-dcd6-4351-80c8-1ab58c974c25"]},{"id":"ITEM-2","itemData":{"DOI":"10.1111/mcn.12274","ISBN":"1740-8695","ISSN":"17408709","PMID":"27187917","abstract":"This paper quantifies the factors explaining long-term improvements in child height for age z-scores in Bangladesh (1996/1997-2011), India (1992/1993-2005/2006), Nepal (1997-2011) and Pakistan (1991-2013). We apply the same statistical techniques to data from a common data source from which we have extracted a set of common explanatory variables that capture 'nutrition-sensitive' factors. Three are particularly important in explaining height for age z-score changes over these timeframes: improvements in material well-being; increases in female education; and improvements in sanitation. These factors have comparable associations across all four countries.","author":[{"dropping-particle":"","family":"Headey","given":"Derek","non-dropping-particle":"","parse-names":false,"suffix":""},{"dropping-particle":"","family":"Hoddinott","given":"John","non-dropping-particle":"","parse-names":false,"suffix":""},{"dropping-particle":"","family":"Park","given":"Seollee","non-dropping-particle":"","parse-names":false,"suffix":""}],"container-title":"Maternal and Child Nutrition","id":"ITEM-2","issue":"S1","issued":{"date-parts":[["2016"]]},"page":"210-218","title":"Drivers of nutritional change in four South Asian countries: A dynamic observational analysis","type":"article-journal","volume":"12"},"uris":["http://www.mendeley.com/documents/?uuid=f5e4a981-11e3-447d-abcb-38c89014c660","http://www.mendeley.com/documents/?uuid=4dab930f-1534-4cf7-a189-cebe92e9c5db"]},{"id":"ITEM-3","itemData":{"DOI":"10.1111/mcn.12307","abstract":"The prevalence of stunting in Ethiopia declined from 57% in 2000 to 44% in 2011, yet the factors producing this change are not fully understood. Data on 23,999 children 0–59 months of age from three Demographic and Health Surveys (DHS) from 2000, 2005, and 2011 were analyzed to assess the trends in stunting prevalence, mean height-for-age z-scores (HAZ) and the associations between potential factors and HAZ. Associations were determined separately using three separate generalized linear models for children age less than 6 months, 6–23 months, and 24–59 months of age. Significant variables were then analyzed to determine if they showed an overall trend between the 2000 and 2011 surveys. In children &lt; 6 months of age, only mother's height was both a significant predictor of HAZ and showed a progressive, albeit non-significant, increase from 2000 to 2011. In children 6–23 months of age, only mother's use of modern contraception showed substantial changes in a direction consistent with improving HAZ, but improvements in maternal nutrition status were observed from 2000 to 2005. For children 24–59 months of age a consistent and progressive change is seen in child's diarrhea, fever, mother's education, and the occurrence of open defecation. Our analysis demonstrated that factors associated with HAZ vary by child's age and the dom-inant livelihood practice in the community. Variables that could have contributed to the decline of stunting in Ethi-opia in children less than 5 years of age include markers of child health, mother's nutritional status, mother's educational level, and environmental hygiene.","author":[{"dropping-particle":"","family":"Woodruff","given":"Bradley A","non-dropping-particle":"","parse-names":false,"suffix":""},{"dropping-particle":"","family":"Wirth","given":"James P","non-dropping-particle":"","parse-names":false,"suffix":""},{"dropping-particle":"","family":"Bailes","given":"Adam","non-dropping-particle":"","parse-names":false,"suffix":""},{"dropping-particle":"","family":"Matji","given":"Joan","non-dropping-particle":"","parse-names":false,"suffix":""},{"dropping-particle":"","family":"Timmer","given":"Arnold","non-dropping-particle":"","parse-names":false,"suffix":""},{"dropping-particle":"","family":"Rohner","given":"Fabian","non-dropping-particle":"","parse-names":false,"suffix":""}],"container-title":"Maternal &amp; Child Nutrition","id":"ITEM-3","issue":"2","issued":{"date-parts":[["2017"]]},"title":"Determinants of stunting reduction in Ethiopia 2000 – 2011","type":"article-journal","volume":"13"},"uris":["http://www.mendeley.com/documents/?uuid=8d714fc3-61c2-3754-9fd6-188870e4f038","http://www.mendeley.com/documents/?uuid=cca72be6-5aa5-42b8-ad7a-7ff16d4e9cf5"]},{"id":"ITEM-4","itemData":{"DOI":"10.1371/journal.pone.0145738","abstract":"South Asia has long been synonymous with unusually high rates of undernutrition. In the past decade, however, Nepal has arguably achieved the fastest recorded decline in child stunting in the world and has done so in the midst of civil war and post-conflict political insta-bility. Given recent interest in reducing undernutrition–particularly the role of nutrition-sensi-tive policies–this paper aims to quantitatively understand this surprising success story by analyzing the 2001, 2006, and 2011 rounds of Nepal's Demographic Health Surveys. To do so, we construct models of the intermediate determinants of child and maternal nutritional change and then decompose predicted changes in nutrition outcomes over time. We iden-tify four broad drivers of change: asset accumulation, health and nutrition interventions, maternal educational gains, and improvements in sanitation. Many of these changes were clearly influenced by policy decisions, including increased public investments in health and education and community-led health and sanitation campaigns. Other factors, such as rapid growth in migration-based remittances, are more a reflection of household responses to changing political and economic circumstances.","author":[{"dropping-particle":"","family":"Headey","given":"Derek D","non-dropping-particle":"","parse-names":false,"suffix":""},{"dropping-particle":"","family":"Hoddinott","given":"John","non-dropping-particle":"","parse-names":false,"suffix":""}],"container-title":"PLoS ONE","id":"ITEM-4","issue":"12","issued":{"date-parts":[["2015"]]},"page":"e0145738","title":"Understanding the Rapid Reduction of Undernutrition in Nepal","type":"article-journal","volume":"10"},"uris":["http://www.mendeley.com/documents/?uuid=985aca20-92d5-3ed4-9fd7-0511b7d77054","http://www.mendeley.com/documents/?uuid=28b2ba75-57a5-45b2-8f01-ed86d65a406b"]}],"mendeley":{"formattedCitation":"[106–109]","plainTextFormattedCitation":"[106–109]","previouslyFormattedCitation":"[10–12,38]"},"properties":{"noteIndex":0},"schema":"https://github.com/citation-style-language/schema/raw/master/csl-citation.json"}</w:instrText>
      </w:r>
      <w:r w:rsidRPr="003D7162">
        <w:rPr>
          <w:rFonts w:ascii="Helvetica" w:hAnsi="Helvetica" w:cs="Helvetica"/>
          <w:sz w:val="22"/>
          <w:szCs w:val="22"/>
        </w:rPr>
        <w:fldChar w:fldCharType="separate"/>
      </w:r>
      <w:r w:rsidRPr="003D7162">
        <w:rPr>
          <w:rFonts w:ascii="Helvetica" w:hAnsi="Helvetica" w:cs="Helvetica"/>
          <w:noProof/>
          <w:sz w:val="22"/>
          <w:szCs w:val="22"/>
        </w:rPr>
        <w:t>[106–109]</w:t>
      </w:r>
      <w:r w:rsidRPr="003D7162">
        <w:rPr>
          <w:rFonts w:ascii="Helvetica" w:hAnsi="Helvetica" w:cs="Helvetica"/>
          <w:sz w:val="22"/>
          <w:szCs w:val="22"/>
        </w:rPr>
        <w:fldChar w:fldCharType="end"/>
      </w:r>
      <w:r w:rsidRPr="003D7162">
        <w:rPr>
          <w:rFonts w:ascii="Helvetica" w:hAnsi="Helvetica" w:cs="Helvetica"/>
          <w:sz w:val="22"/>
          <w:szCs w:val="22"/>
        </w:rPr>
        <w:t>.</w:t>
      </w:r>
    </w:p>
    <w:p w14:paraId="4913D073" w14:textId="77777777" w:rsidR="000C7ADC" w:rsidRPr="003D7162" w:rsidRDefault="000C7ADC" w:rsidP="000C7ADC">
      <w:pPr>
        <w:rPr>
          <w:rFonts w:ascii="Helvetica" w:hAnsi="Helvetica" w:cs="Helvetica"/>
          <w:sz w:val="22"/>
          <w:szCs w:val="22"/>
        </w:rPr>
      </w:pPr>
    </w:p>
    <w:p w14:paraId="1830AC5D" w14:textId="6F4E33D1" w:rsidR="000C7ADC" w:rsidRPr="003D7162" w:rsidRDefault="000C7ADC" w:rsidP="000C7ADC">
      <w:pPr>
        <w:rPr>
          <w:rFonts w:ascii="Helvetica" w:hAnsi="Helvetica" w:cs="Helvetica"/>
          <w:sz w:val="22"/>
          <w:szCs w:val="22"/>
        </w:rPr>
      </w:pPr>
      <w:r w:rsidRPr="003D7162">
        <w:rPr>
          <w:rFonts w:ascii="Helvetica" w:hAnsi="Helvetica" w:cs="Helvetica"/>
          <w:sz w:val="22"/>
          <w:szCs w:val="22"/>
        </w:rPr>
        <w:t>We analyzed individual-level data from three rounds of Peru’s DHSs: 2000, 2007/08, and 2016.</w:t>
      </w:r>
      <w:r w:rsidRPr="003D7162">
        <w:rPr>
          <w:rFonts w:ascii="Helvetica" w:hAnsi="Helvetica" w:cs="Helvetica"/>
          <w:color w:val="000000" w:themeColor="text1"/>
          <w:sz w:val="22"/>
          <w:szCs w:val="22"/>
        </w:rPr>
        <w:t xml:space="preserve"> </w:t>
      </w:r>
      <w:r w:rsidRPr="003D7162">
        <w:rPr>
          <w:rFonts w:ascii="Helvetica" w:hAnsi="Helvetica" w:cs="Helvetica"/>
          <w:sz w:val="22"/>
          <w:szCs w:val="22"/>
        </w:rPr>
        <w:t xml:space="preserve">Our analysis focused on the index mother-child pair from each DHS round. Defined as the youngest child of the youngest mother in each household, selection of an index pair simplifies the model and interpretation, and is common practice in advanced analysis of DHS datasets. The total number of index pairs available from each survey were n=8842, n=8278, n=16998 for DHS 2000, 2007/08 and 2016, respectively. A flow chart outlining sample size breakdown during the index pair selection process is presented in Appendix 6. Given that the dietary needs/practices and growth trajectories of children in the first 1000 days of life vary notably from children beyond 2 years of age, it has been suggested that these two cohorts be analyzed separately to unmask true effects of environmental conditions and other factors on undernutrition. We conducted analyses for the entire under-5 child population, and stratified child age groups including &lt;6 months, 6-23 months, and 24+ months as has been proposed in recent literature </w:t>
      </w:r>
      <w:r w:rsidRPr="003D7162">
        <w:rPr>
          <w:rFonts w:ascii="Helvetica" w:hAnsi="Helvetica" w:cs="Helvetica"/>
          <w:sz w:val="22"/>
          <w:szCs w:val="22"/>
        </w:rPr>
        <w:fldChar w:fldCharType="begin" w:fldLock="1"/>
      </w:r>
      <w:r w:rsidRPr="003D7162">
        <w:rPr>
          <w:rFonts w:ascii="Helvetica" w:hAnsi="Helvetica" w:cs="Helvetica"/>
          <w:sz w:val="22"/>
          <w:szCs w:val="22"/>
        </w:rPr>
        <w:instrText>ADDIN CSL_CITATION {"citationItems":[{"id":"ITEM-1","itemData":{"DOI":"10.1371/journal.pone.0195904","abstract":"Background","author":[{"dropping-particle":"","family":"Alderman","given":"Harold","non-dropping-particle":"","parse-names":false,"suffix":""},{"dropping-particle":"","family":"Headey","given":"Derek","non-dropping-particle":"","parse-names":false,"suffix":""}],"container-title":"PloS one","id":"ITEM-1","issue":"4","issued":{"date-parts":[["2018"]]},"page":"e0195904","title":"The timing of growth faltering has important implications for observational analyses of the underlying determinants of nutrition outcomes","type":"article-journal","volume":"13"},"uris":["http://www.mendeley.com/documents/?uuid=57f10c1c-78be-4139-9089-a538c66122e1","http://www.mendeley.com/documents/?uuid=6f81e78a-d684-4a13-a780-2d4609168c30"]}],"mendeley":{"formattedCitation":"[110]","plainTextFormattedCitation":"[110]","previouslyFormattedCitation":"[39]"},"properties":{"noteIndex":0},"schema":"https://github.com/citation-style-language/schema/raw/master/csl-citation.json"}</w:instrText>
      </w:r>
      <w:r w:rsidRPr="003D7162">
        <w:rPr>
          <w:rFonts w:ascii="Helvetica" w:hAnsi="Helvetica" w:cs="Helvetica"/>
          <w:sz w:val="22"/>
          <w:szCs w:val="22"/>
        </w:rPr>
        <w:fldChar w:fldCharType="separate"/>
      </w:r>
      <w:r w:rsidRPr="003D7162">
        <w:rPr>
          <w:rFonts w:ascii="Helvetica" w:hAnsi="Helvetica" w:cs="Helvetica"/>
          <w:noProof/>
          <w:sz w:val="22"/>
          <w:szCs w:val="22"/>
        </w:rPr>
        <w:t>[110]</w:t>
      </w:r>
      <w:r w:rsidRPr="003D7162">
        <w:rPr>
          <w:rFonts w:ascii="Helvetica" w:hAnsi="Helvetica" w:cs="Helvetica"/>
          <w:sz w:val="22"/>
          <w:szCs w:val="22"/>
        </w:rPr>
        <w:fldChar w:fldCharType="end"/>
      </w:r>
      <w:r w:rsidRPr="003D7162">
        <w:rPr>
          <w:rFonts w:ascii="Helvetica" w:hAnsi="Helvetica" w:cs="Helvetica"/>
          <w:sz w:val="22"/>
          <w:szCs w:val="22"/>
        </w:rPr>
        <w:t>.</w:t>
      </w:r>
    </w:p>
    <w:p w14:paraId="1E51246F" w14:textId="77777777" w:rsidR="000C7ADC" w:rsidRPr="003D7162" w:rsidRDefault="000C7ADC" w:rsidP="000C7ADC">
      <w:pPr>
        <w:rPr>
          <w:rFonts w:ascii="Helvetica" w:hAnsi="Helvetica" w:cs="Helvetica"/>
          <w:color w:val="000000" w:themeColor="text1"/>
          <w:sz w:val="22"/>
          <w:szCs w:val="22"/>
        </w:rPr>
      </w:pPr>
    </w:p>
    <w:p w14:paraId="29EF7617" w14:textId="77777777" w:rsidR="000C7ADC" w:rsidRPr="003D7162" w:rsidRDefault="000C7ADC" w:rsidP="000C7ADC">
      <w:pPr>
        <w:rPr>
          <w:rFonts w:ascii="Helvetica" w:hAnsi="Helvetica" w:cs="Helvetica"/>
          <w:sz w:val="22"/>
          <w:szCs w:val="22"/>
        </w:rPr>
      </w:pPr>
      <w:r w:rsidRPr="003D7162">
        <w:rPr>
          <w:rFonts w:ascii="Helvetica" w:hAnsi="Helvetica" w:cs="Helvetica"/>
          <w:sz w:val="22"/>
          <w:szCs w:val="22"/>
        </w:rPr>
        <w:t xml:space="preserve">We used the continuous formulation of HAZ (as opposed to categorical stunting) as the dependent outcome to strengthen statistical power of the analyses. Linear least square regression models -accounting for survey design and weights - were used to assess associations between </w:t>
      </w:r>
      <m:oMath>
        <m:sSub>
          <m:sSubPr>
            <m:ctrlPr>
              <w:rPr>
                <w:rFonts w:ascii="Cambria Math" w:hAnsi="Cambria Math" w:cs="Helvetica"/>
                <w:b/>
                <w:i/>
                <w:sz w:val="22"/>
                <w:szCs w:val="22"/>
              </w:rPr>
            </m:ctrlPr>
          </m:sSubPr>
          <m:e>
            <m:r>
              <m:rPr>
                <m:sty m:val="bi"/>
              </m:rPr>
              <w:rPr>
                <w:rFonts w:ascii="Cambria Math" w:hAnsi="Cambria Math" w:cs="Helvetica"/>
                <w:sz w:val="22"/>
                <w:szCs w:val="22"/>
              </w:rPr>
              <m:t>y</m:t>
            </m:r>
          </m:e>
          <m:sub>
            <m:r>
              <m:rPr>
                <m:sty m:val="bi"/>
              </m:rPr>
              <w:rPr>
                <w:rFonts w:ascii="Cambria Math" w:hAnsi="Cambria Math" w:cs="Helvetica"/>
                <w:sz w:val="22"/>
                <w:szCs w:val="22"/>
              </w:rPr>
              <m:t>i,t</m:t>
            </m:r>
          </m:sub>
        </m:sSub>
      </m:oMath>
      <w:r w:rsidRPr="003D7162">
        <w:rPr>
          <w:rFonts w:ascii="Helvetica" w:hAnsi="Helvetica" w:cs="Helvetica"/>
          <w:sz w:val="22"/>
          <w:szCs w:val="22"/>
        </w:rPr>
        <w:t xml:space="preserve">, our outcome variable measured for a child </w:t>
      </w:r>
      <w:r w:rsidRPr="003D7162">
        <w:rPr>
          <w:rFonts w:ascii="Helvetica" w:hAnsi="Helvetica" w:cs="Helvetica"/>
          <w:i/>
          <w:sz w:val="22"/>
          <w:szCs w:val="22"/>
        </w:rPr>
        <w:t>i</w:t>
      </w:r>
      <w:r w:rsidRPr="003D7162">
        <w:rPr>
          <w:rFonts w:ascii="Helvetica" w:hAnsi="Helvetica" w:cs="Helvetica"/>
          <w:sz w:val="22"/>
          <w:szCs w:val="22"/>
        </w:rPr>
        <w:t xml:space="preserve"> at time </w:t>
      </w:r>
      <w:r w:rsidRPr="003D7162">
        <w:rPr>
          <w:rFonts w:ascii="Helvetica" w:hAnsi="Helvetica" w:cs="Helvetica"/>
          <w:i/>
          <w:sz w:val="22"/>
          <w:szCs w:val="22"/>
        </w:rPr>
        <w:t>t</w:t>
      </w:r>
      <w:r w:rsidRPr="003D7162">
        <w:rPr>
          <w:rFonts w:ascii="Helvetica" w:hAnsi="Helvetica" w:cs="Helvetica"/>
          <w:sz w:val="22"/>
          <w:szCs w:val="22"/>
        </w:rPr>
        <w:t>, a vector of time-varying determinants (</w:t>
      </w:r>
      <w:r w:rsidRPr="003D7162">
        <w:rPr>
          <w:rFonts w:ascii="Helvetica" w:hAnsi="Helvetica" w:cs="Helvetica"/>
          <w:b/>
          <w:sz w:val="22"/>
          <w:szCs w:val="22"/>
        </w:rPr>
        <w:t>X</w:t>
      </w:r>
      <w:r w:rsidRPr="003D7162">
        <w:rPr>
          <w:rFonts w:ascii="Helvetica" w:hAnsi="Helvetica" w:cs="Helvetica"/>
          <w:sz w:val="22"/>
          <w:szCs w:val="22"/>
        </w:rPr>
        <w:t>), time-invariant child age and sex control variables (</w:t>
      </w:r>
      <w:r w:rsidRPr="003D7162">
        <w:rPr>
          <w:rFonts w:ascii="Helvetica" w:hAnsi="Helvetica" w:cs="Helvetica"/>
          <w:b/>
          <w:sz w:val="22"/>
          <w:szCs w:val="22"/>
        </w:rPr>
        <w:t>C</w:t>
      </w:r>
      <w:r w:rsidRPr="003D7162">
        <w:rPr>
          <w:rFonts w:ascii="Helvetica" w:hAnsi="Helvetica" w:cs="Helvetica"/>
          <w:sz w:val="22"/>
          <w:szCs w:val="22"/>
        </w:rPr>
        <w:t>), and a survey round time variable (</w:t>
      </w:r>
      <w:r w:rsidRPr="003D7162">
        <w:rPr>
          <w:rFonts w:ascii="Helvetica" w:hAnsi="Helvetica" w:cs="Helvetica"/>
          <w:b/>
          <w:sz w:val="22"/>
          <w:szCs w:val="22"/>
        </w:rPr>
        <w:t>T</w:t>
      </w:r>
      <w:r w:rsidRPr="003D7162">
        <w:rPr>
          <w:rFonts w:ascii="Helvetica" w:hAnsi="Helvetica" w:cs="Helvetica"/>
          <w:sz w:val="22"/>
          <w:szCs w:val="22"/>
        </w:rPr>
        <w:t xml:space="preserve">) to capture any trend effects. Collectively, with the standard error term, the model is expressed in Equation 1. </w:t>
      </w:r>
    </w:p>
    <w:p w14:paraId="629219EF" w14:textId="77777777" w:rsidR="000C7ADC" w:rsidRPr="003D7162" w:rsidRDefault="000C7ADC" w:rsidP="000C7ADC">
      <w:pPr>
        <w:rPr>
          <w:rFonts w:ascii="Helvetica" w:hAnsi="Helvetica" w:cs="Helvetica"/>
          <w:sz w:val="22"/>
          <w:szCs w:val="22"/>
        </w:rPr>
      </w:pPr>
    </w:p>
    <w:p w14:paraId="19F9CDE7" w14:textId="77777777" w:rsidR="000C7ADC" w:rsidRPr="003D7162" w:rsidRDefault="007E0452" w:rsidP="000C7ADC">
      <w:pPr>
        <w:autoSpaceDE w:val="0"/>
        <w:autoSpaceDN w:val="0"/>
        <w:adjustRightInd w:val="0"/>
        <w:jc w:val="center"/>
        <w:rPr>
          <w:rFonts w:ascii="Helvetica" w:hAnsi="Helvetica" w:cs="Helvetica"/>
          <w:sz w:val="22"/>
          <w:szCs w:val="22"/>
        </w:rPr>
      </w:pPr>
      <m:oMath>
        <m:sSub>
          <m:sSubPr>
            <m:ctrlPr>
              <w:rPr>
                <w:rFonts w:ascii="Cambria Math" w:hAnsi="Cambria Math" w:cs="Helvetica"/>
                <w:b/>
                <w:i/>
                <w:sz w:val="22"/>
                <w:szCs w:val="22"/>
              </w:rPr>
            </m:ctrlPr>
          </m:sSubPr>
          <m:e>
            <m:r>
              <m:rPr>
                <m:sty m:val="bi"/>
              </m:rPr>
              <w:rPr>
                <w:rFonts w:ascii="Cambria Math" w:hAnsi="Cambria Math" w:cs="Helvetica"/>
                <w:sz w:val="22"/>
                <w:szCs w:val="22"/>
              </w:rPr>
              <m:t>Y</m:t>
            </m:r>
          </m:e>
          <m:sub>
            <m:r>
              <m:rPr>
                <m:sty m:val="bi"/>
              </m:rPr>
              <w:rPr>
                <w:rFonts w:ascii="Cambria Math" w:hAnsi="Cambria Math" w:cs="Helvetica"/>
                <w:sz w:val="22"/>
                <w:szCs w:val="22"/>
              </w:rPr>
              <m:t>i,t</m:t>
            </m:r>
          </m:sub>
        </m:sSub>
        <m:r>
          <w:rPr>
            <w:rFonts w:ascii="Cambria Math" w:hAnsi="Cambria Math" w:cs="Helvetica"/>
            <w:sz w:val="22"/>
            <w:szCs w:val="22"/>
          </w:rPr>
          <m:t>=</m:t>
        </m:r>
        <m:sSub>
          <m:sSubPr>
            <m:ctrlPr>
              <w:rPr>
                <w:rFonts w:ascii="Cambria Math" w:hAnsi="Cambria Math" w:cs="Helvetica"/>
                <w:i/>
                <w:sz w:val="22"/>
                <w:szCs w:val="22"/>
              </w:rPr>
            </m:ctrlPr>
          </m:sSubPr>
          <m:e>
            <m:r>
              <m:rPr>
                <m:sty m:val="bi"/>
              </m:rPr>
              <w:rPr>
                <w:rFonts w:ascii="Cambria Math" w:hAnsi="Cambria Math" w:cs="Helvetica"/>
                <w:sz w:val="22"/>
                <w:szCs w:val="22"/>
              </w:rPr>
              <m:t>β</m:t>
            </m:r>
          </m:e>
          <m:sub>
            <m:r>
              <w:rPr>
                <w:rFonts w:ascii="Cambria Math" w:hAnsi="Cambria Math" w:cs="Helvetica"/>
                <w:sz w:val="22"/>
                <w:szCs w:val="22"/>
              </w:rPr>
              <m:t xml:space="preserve"> </m:t>
            </m:r>
          </m:sub>
        </m:sSub>
        <m:sSub>
          <m:sSubPr>
            <m:ctrlPr>
              <w:rPr>
                <w:rFonts w:ascii="Cambria Math" w:hAnsi="Cambria Math" w:cs="Helvetica"/>
                <w:i/>
                <w:sz w:val="22"/>
                <w:szCs w:val="22"/>
              </w:rPr>
            </m:ctrlPr>
          </m:sSubPr>
          <m:e>
            <m:r>
              <m:rPr>
                <m:sty m:val="bi"/>
              </m:rPr>
              <w:rPr>
                <w:rFonts w:ascii="Cambria Math" w:hAnsi="Cambria Math" w:cs="Helvetica"/>
                <w:sz w:val="22"/>
                <w:szCs w:val="22"/>
              </w:rPr>
              <m:t>X</m:t>
            </m:r>
          </m:e>
          <m:sub>
            <m:r>
              <w:rPr>
                <w:rFonts w:ascii="Cambria Math" w:hAnsi="Cambria Math" w:cs="Helvetica"/>
                <w:sz w:val="22"/>
                <w:szCs w:val="22"/>
              </w:rPr>
              <m:t>i,k</m:t>
            </m:r>
          </m:sub>
        </m:sSub>
        <m:r>
          <w:rPr>
            <w:rFonts w:ascii="Cambria Math" w:hAnsi="Cambria Math" w:cs="Helvetica"/>
            <w:sz w:val="22"/>
            <w:szCs w:val="22"/>
          </w:rPr>
          <m:t>+</m:t>
        </m:r>
        <m:sSub>
          <m:sSubPr>
            <m:ctrlPr>
              <w:rPr>
                <w:rFonts w:ascii="Cambria Math" w:hAnsi="Cambria Math" w:cs="Helvetica"/>
                <w:i/>
                <w:sz w:val="22"/>
                <w:szCs w:val="22"/>
              </w:rPr>
            </m:ctrlPr>
          </m:sSubPr>
          <m:e>
            <m:r>
              <m:rPr>
                <m:sty m:val="bi"/>
              </m:rPr>
              <w:rPr>
                <w:rFonts w:ascii="Cambria Math" w:hAnsi="Cambria Math" w:cs="Helvetica"/>
                <w:sz w:val="22"/>
                <w:szCs w:val="22"/>
              </w:rPr>
              <m:t>C</m:t>
            </m:r>
          </m:e>
          <m:sub>
            <m:r>
              <w:rPr>
                <w:rFonts w:ascii="Cambria Math" w:hAnsi="Cambria Math" w:cs="Helvetica"/>
                <w:sz w:val="22"/>
                <w:szCs w:val="22"/>
              </w:rPr>
              <m:t>i</m:t>
            </m:r>
          </m:sub>
        </m:sSub>
        <m:r>
          <w:rPr>
            <w:rFonts w:ascii="Cambria Math" w:hAnsi="Cambria Math" w:cs="Helvetica"/>
            <w:sz w:val="22"/>
            <w:szCs w:val="22"/>
          </w:rPr>
          <m:t>+</m:t>
        </m:r>
        <m:r>
          <m:rPr>
            <m:sty m:val="bi"/>
          </m:rPr>
          <w:rPr>
            <w:rFonts w:ascii="Cambria Math" w:hAnsi="Cambria Math" w:cs="Helvetica"/>
            <w:sz w:val="22"/>
            <w:szCs w:val="22"/>
          </w:rPr>
          <m:t>T</m:t>
        </m:r>
        <m:r>
          <w:rPr>
            <w:rFonts w:ascii="Cambria Math" w:hAnsi="Cambria Math" w:cs="Helvetica"/>
            <w:sz w:val="22"/>
            <w:szCs w:val="22"/>
          </w:rPr>
          <m:t xml:space="preserve"> + </m:t>
        </m:r>
        <m:sSub>
          <m:sSubPr>
            <m:ctrlPr>
              <w:rPr>
                <w:rFonts w:ascii="Cambria Math" w:hAnsi="Cambria Math" w:cs="Helvetica"/>
                <w:i/>
                <w:sz w:val="22"/>
                <w:szCs w:val="22"/>
              </w:rPr>
            </m:ctrlPr>
          </m:sSubPr>
          <m:e>
            <m:r>
              <w:rPr>
                <w:rFonts w:ascii="Cambria Math" w:hAnsi="Cambria Math" w:cs="Helvetica"/>
                <w:sz w:val="22"/>
                <w:szCs w:val="22"/>
              </w:rPr>
              <m:t>ε</m:t>
            </m:r>
          </m:e>
          <m:sub>
            <m:r>
              <w:rPr>
                <w:rFonts w:ascii="Cambria Math" w:hAnsi="Cambria Math" w:cs="Helvetica"/>
                <w:sz w:val="22"/>
                <w:szCs w:val="22"/>
              </w:rPr>
              <m:t>i,t</m:t>
            </m:r>
          </m:sub>
        </m:sSub>
      </m:oMath>
      <w:r w:rsidR="000C7ADC" w:rsidRPr="003D7162">
        <w:rPr>
          <w:rFonts w:ascii="Helvetica" w:hAnsi="Helvetica" w:cs="Helvetica"/>
          <w:sz w:val="22"/>
          <w:szCs w:val="22"/>
        </w:rPr>
        <w:t xml:space="preserve">       [Equation 1]</w:t>
      </w:r>
    </w:p>
    <w:p w14:paraId="1F5CD5DC" w14:textId="77777777" w:rsidR="000C7ADC" w:rsidRPr="003D7162" w:rsidRDefault="000C7ADC" w:rsidP="000C7ADC">
      <w:pPr>
        <w:rPr>
          <w:rFonts w:ascii="Helvetica" w:hAnsi="Helvetica" w:cs="Helvetica"/>
          <w:sz w:val="22"/>
          <w:szCs w:val="22"/>
        </w:rPr>
      </w:pPr>
    </w:p>
    <w:p w14:paraId="47852294" w14:textId="522D8C2E" w:rsidR="000C7ADC" w:rsidRPr="003D7162" w:rsidRDefault="000C7ADC" w:rsidP="000C7ADC">
      <w:pPr>
        <w:rPr>
          <w:rFonts w:ascii="Helvetica" w:hAnsi="Helvetica" w:cs="Helvetica"/>
          <w:sz w:val="22"/>
          <w:szCs w:val="22"/>
        </w:rPr>
      </w:pPr>
      <w:r w:rsidRPr="003D7162">
        <w:rPr>
          <w:rFonts w:ascii="Helvetica" w:hAnsi="Helvetica" w:cs="Helvetica"/>
          <w:sz w:val="22"/>
          <w:szCs w:val="22"/>
        </w:rPr>
        <w:t xml:space="preserve">Relevant individual and household level determinants in the DHS dataset were supplemented with department-level variables from the ecological dataset.  When similar variables were available in both the ecological and DHS datasets, the latter were selected for analysis. The conceptual framework and corresponding list of covariables, their data sources, and definitions used in decomposition assessment are </w:t>
      </w:r>
      <w:r w:rsidR="00B267D8">
        <w:rPr>
          <w:rFonts w:ascii="Helvetica" w:hAnsi="Helvetica" w:cs="Helvetica"/>
          <w:sz w:val="22"/>
          <w:szCs w:val="22"/>
        </w:rPr>
        <w:t>available in our larger report</w:t>
      </w:r>
      <w:r w:rsidRPr="003D7162">
        <w:rPr>
          <w:rFonts w:ascii="Helvetica" w:hAnsi="Helvetica" w:cs="Helvetica"/>
          <w:sz w:val="22"/>
          <w:szCs w:val="22"/>
        </w:rPr>
        <w:t xml:space="preserve">. Applying the conceptual framework, we used a similar </w:t>
      </w:r>
      <w:r w:rsidRPr="003D7162">
        <w:rPr>
          <w:rFonts w:ascii="Helvetica" w:hAnsi="Helvetica" w:cs="Helvetica"/>
          <w:color w:val="000000" w:themeColor="text1"/>
          <w:sz w:val="22"/>
          <w:szCs w:val="22"/>
        </w:rPr>
        <w:t xml:space="preserve">hierarchical modelling approach (as described above) whereby we examined the distal, intermediate (level 1 and 2), and </w:t>
      </w:r>
      <w:r w:rsidRPr="003D7162">
        <w:rPr>
          <w:rFonts w:ascii="Helvetica" w:hAnsi="Helvetica" w:cs="Helvetica"/>
          <w:sz w:val="22"/>
          <w:szCs w:val="22"/>
        </w:rPr>
        <w:t>proximal level determinants of HAZ [25]</w:t>
      </w:r>
      <w:r w:rsidR="00B267D8">
        <w:rPr>
          <w:rFonts w:ascii="Helvetica" w:hAnsi="Helvetica" w:cs="Helvetica"/>
          <w:sz w:val="22"/>
          <w:szCs w:val="22"/>
        </w:rPr>
        <w:t>.</w:t>
      </w:r>
      <w:r w:rsidRPr="003D7162">
        <w:rPr>
          <w:rFonts w:ascii="Helvetica" w:hAnsi="Helvetica" w:cs="Helvetica"/>
          <w:sz w:val="22"/>
          <w:szCs w:val="22"/>
        </w:rPr>
        <w:t xml:space="preserve"> </w:t>
      </w:r>
    </w:p>
    <w:p w14:paraId="598C5072" w14:textId="77777777" w:rsidR="000C7ADC" w:rsidRPr="003D7162" w:rsidRDefault="000C7ADC" w:rsidP="000C7ADC">
      <w:pPr>
        <w:rPr>
          <w:rFonts w:ascii="Helvetica" w:hAnsi="Helvetica" w:cs="Helvetica"/>
          <w:sz w:val="22"/>
          <w:szCs w:val="22"/>
        </w:rPr>
      </w:pPr>
    </w:p>
    <w:p w14:paraId="76F70698" w14:textId="77777777" w:rsidR="000C7ADC" w:rsidRPr="003D7162" w:rsidRDefault="000C7ADC" w:rsidP="000C7ADC">
      <w:pPr>
        <w:autoSpaceDE w:val="0"/>
        <w:autoSpaceDN w:val="0"/>
        <w:adjustRightInd w:val="0"/>
        <w:rPr>
          <w:rFonts w:ascii="Helvetica" w:hAnsi="Helvetica" w:cs="Helvetica"/>
          <w:sz w:val="22"/>
          <w:szCs w:val="22"/>
        </w:rPr>
      </w:pPr>
      <w:r w:rsidRPr="003D7162">
        <w:rPr>
          <w:rFonts w:ascii="Helvetica" w:hAnsi="Helvetica" w:cs="Helvetica"/>
          <w:sz w:val="22"/>
          <w:szCs w:val="22"/>
        </w:rPr>
        <w:t xml:space="preserve">Equation 1 was applied to derive β coefficients for determinants in 2 time periods (DHS 2007 – DHS 2016, and DHS 2000 – DHS 2016). To explain the relative contribution of each covariable over time to HAZ change, we used the Oaxaca- Blinder decomposition under the assumption that the β coefficients are the same across the two populations and the error term has the mean zero. Using the estimated parameters from Equation 1 and the (weighted) means of explanatory variables in the two time points, we applied Equation 2 (e.g. for years 2000 to 2016) to obtain the predicted change in HAZ due to the change in each determinant [26]. </w:t>
      </w:r>
    </w:p>
    <w:p w14:paraId="7DC4E59C" w14:textId="77777777" w:rsidR="000C7ADC" w:rsidRPr="003D7162" w:rsidRDefault="000C7ADC" w:rsidP="000C7ADC">
      <w:pPr>
        <w:autoSpaceDE w:val="0"/>
        <w:autoSpaceDN w:val="0"/>
        <w:adjustRightInd w:val="0"/>
        <w:rPr>
          <w:rFonts w:ascii="Helvetica" w:hAnsi="Helvetica" w:cs="Helvetica"/>
          <w:sz w:val="22"/>
          <w:szCs w:val="22"/>
        </w:rPr>
      </w:pPr>
    </w:p>
    <w:p w14:paraId="05A97D33" w14:textId="77777777" w:rsidR="000C7ADC" w:rsidRPr="003D7162" w:rsidRDefault="000C7ADC" w:rsidP="000C7ADC">
      <w:pPr>
        <w:jc w:val="center"/>
        <w:rPr>
          <w:rFonts w:ascii="Helvetica" w:hAnsi="Helvetica" w:cs="Helvetica"/>
          <w:sz w:val="22"/>
          <w:szCs w:val="22"/>
        </w:rPr>
      </w:pPr>
      <m:oMathPara>
        <m:oMath>
          <m:r>
            <w:rPr>
              <w:rFonts w:ascii="Cambria Math" w:hAnsi="Cambria Math" w:cs="Helvetica"/>
              <w:sz w:val="22"/>
              <w:szCs w:val="22"/>
            </w:rPr>
            <m:t>∆</m:t>
          </m:r>
          <m:sSub>
            <m:sSubPr>
              <m:ctrlPr>
                <w:rPr>
                  <w:rFonts w:ascii="Cambria Math" w:hAnsi="Cambria Math" w:cs="Helvetica"/>
                  <w:i/>
                  <w:sz w:val="22"/>
                  <w:szCs w:val="22"/>
                </w:rPr>
              </m:ctrlPr>
            </m:sSubPr>
            <m:e>
              <m:acc>
                <m:accPr>
                  <m:chr m:val="̅"/>
                  <m:ctrlPr>
                    <w:rPr>
                      <w:rFonts w:ascii="Cambria Math" w:hAnsi="Cambria Math" w:cs="Helvetica"/>
                      <w:i/>
                      <w:sz w:val="22"/>
                      <w:szCs w:val="22"/>
                    </w:rPr>
                  </m:ctrlPr>
                </m:accPr>
                <m:e>
                  <m:r>
                    <w:rPr>
                      <w:rFonts w:ascii="Cambria Math" w:hAnsi="Cambria Math" w:cs="Helvetica"/>
                      <w:sz w:val="22"/>
                      <w:szCs w:val="22"/>
                    </w:rPr>
                    <m:t>Y</m:t>
                  </m:r>
                </m:e>
              </m:acc>
            </m:e>
            <m:sub>
              <m:r>
                <w:rPr>
                  <w:rFonts w:ascii="Cambria Math" w:hAnsi="Cambria Math" w:cs="Helvetica"/>
                  <w:sz w:val="22"/>
                  <w:szCs w:val="22"/>
                </w:rPr>
                <m:t>i,t</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β</m:t>
              </m:r>
            </m:e>
            <m:sub/>
          </m:sSub>
          <m:d>
            <m:dPr>
              <m:ctrlPr>
                <w:rPr>
                  <w:rFonts w:ascii="Cambria Math" w:hAnsi="Cambria Math" w:cs="Helvetica"/>
                  <w:i/>
                  <w:sz w:val="22"/>
                  <w:szCs w:val="22"/>
                </w:rPr>
              </m:ctrlPr>
            </m:dPr>
            <m:e>
              <m:sSub>
                <m:sSubPr>
                  <m:ctrlPr>
                    <w:rPr>
                      <w:rFonts w:ascii="Cambria Math" w:hAnsi="Cambria Math" w:cs="Helvetica"/>
                      <w:i/>
                      <w:sz w:val="22"/>
                      <w:szCs w:val="22"/>
                    </w:rPr>
                  </m:ctrlPr>
                </m:sSubPr>
                <m:e>
                  <m:acc>
                    <m:accPr>
                      <m:chr m:val="̅"/>
                      <m:ctrlPr>
                        <w:rPr>
                          <w:rFonts w:ascii="Cambria Math" w:hAnsi="Cambria Math" w:cs="Helvetica"/>
                          <w:i/>
                          <w:sz w:val="22"/>
                          <w:szCs w:val="22"/>
                        </w:rPr>
                      </m:ctrlPr>
                    </m:accPr>
                    <m:e>
                      <m:r>
                        <w:rPr>
                          <w:rFonts w:ascii="Cambria Math" w:hAnsi="Cambria Math" w:cs="Helvetica"/>
                          <w:sz w:val="22"/>
                          <w:szCs w:val="22"/>
                        </w:rPr>
                        <m:t>X</m:t>
                      </m:r>
                    </m:e>
                  </m:acc>
                </m:e>
                <m:sub>
                  <m:r>
                    <w:rPr>
                      <w:rFonts w:ascii="Cambria Math" w:hAnsi="Cambria Math" w:cs="Helvetica"/>
                      <w:sz w:val="22"/>
                      <w:szCs w:val="22"/>
                    </w:rPr>
                    <m:t>2016</m:t>
                  </m:r>
                </m:sub>
              </m:sSub>
              <m:r>
                <w:rPr>
                  <w:rFonts w:ascii="Cambria Math" w:hAnsi="Cambria Math" w:cs="Helvetica"/>
                  <w:sz w:val="22"/>
                  <w:szCs w:val="22"/>
                </w:rPr>
                <m:t>-</m:t>
              </m:r>
              <m:sSub>
                <m:sSubPr>
                  <m:ctrlPr>
                    <w:rPr>
                      <w:rFonts w:ascii="Cambria Math" w:hAnsi="Cambria Math" w:cs="Helvetica"/>
                      <w:i/>
                      <w:sz w:val="22"/>
                      <w:szCs w:val="22"/>
                    </w:rPr>
                  </m:ctrlPr>
                </m:sSubPr>
                <m:e>
                  <m:acc>
                    <m:accPr>
                      <m:chr m:val="̅"/>
                      <m:ctrlPr>
                        <w:rPr>
                          <w:rFonts w:ascii="Cambria Math" w:hAnsi="Cambria Math" w:cs="Helvetica"/>
                          <w:i/>
                          <w:sz w:val="22"/>
                          <w:szCs w:val="22"/>
                        </w:rPr>
                      </m:ctrlPr>
                    </m:accPr>
                    <m:e>
                      <m:r>
                        <w:rPr>
                          <w:rFonts w:ascii="Cambria Math" w:hAnsi="Cambria Math" w:cs="Helvetica"/>
                          <w:sz w:val="22"/>
                          <w:szCs w:val="22"/>
                        </w:rPr>
                        <m:t>X</m:t>
                      </m:r>
                    </m:e>
                  </m:acc>
                </m:e>
                <m:sub>
                  <m:r>
                    <w:rPr>
                      <w:rFonts w:ascii="Cambria Math" w:hAnsi="Cambria Math" w:cs="Helvetica"/>
                      <w:sz w:val="22"/>
                      <w:szCs w:val="22"/>
                    </w:rPr>
                    <m:t>2000</m:t>
                  </m:r>
                </m:sub>
              </m:sSub>
            </m:e>
          </m:d>
        </m:oMath>
      </m:oMathPara>
    </w:p>
    <w:p w14:paraId="5234B3D1" w14:textId="77777777" w:rsidR="000C7ADC" w:rsidRPr="003D7162" w:rsidRDefault="000C7ADC" w:rsidP="000C7ADC">
      <w:pPr>
        <w:autoSpaceDE w:val="0"/>
        <w:autoSpaceDN w:val="0"/>
        <w:adjustRightInd w:val="0"/>
        <w:rPr>
          <w:rFonts w:ascii="Helvetica" w:hAnsi="Helvetica" w:cs="Helvetica"/>
          <w:sz w:val="22"/>
          <w:szCs w:val="22"/>
        </w:rPr>
      </w:pPr>
    </w:p>
    <w:p w14:paraId="4AE32BCC" w14:textId="77777777" w:rsidR="000C7ADC" w:rsidRPr="003D7162" w:rsidRDefault="000C7ADC" w:rsidP="000C7ADC">
      <w:pPr>
        <w:autoSpaceDE w:val="0"/>
        <w:autoSpaceDN w:val="0"/>
        <w:adjustRightInd w:val="0"/>
        <w:rPr>
          <w:rFonts w:ascii="Helvetica" w:hAnsi="Helvetica" w:cs="Helvetica"/>
          <w:sz w:val="22"/>
          <w:szCs w:val="22"/>
        </w:rPr>
      </w:pPr>
      <w:r w:rsidRPr="003D7162">
        <w:rPr>
          <w:rFonts w:ascii="Helvetica" w:hAnsi="Helvetica" w:cs="Helvetica"/>
          <w:sz w:val="22"/>
          <w:szCs w:val="22"/>
        </w:rPr>
        <w:t>The product coefficients for individual determinants were subsequently ranked to identify the relative contribution of each factor to HAZ change. Like determinants were also grouped into broader domains for interpretation. We examined variance inflation factors (VIF) to assess multicollinearity between variables whereby a VIF &gt; 3 was considered suspect of high inter-variable correlation. For model building, a p-value &lt;0.20 was considered statistically important and variables with p&lt; 0.10 were retained in the final hierarchical multivariable models. All analyses were carried out in Stata version 14.0.</w:t>
      </w:r>
    </w:p>
    <w:p w14:paraId="081406E8" w14:textId="77777777" w:rsidR="000C7ADC" w:rsidRPr="003D7162" w:rsidRDefault="000C7ADC" w:rsidP="000C7ADC">
      <w:pPr>
        <w:rPr>
          <w:rFonts w:ascii="Helvetica" w:hAnsi="Helvetica" w:cs="Helvetica"/>
        </w:rPr>
      </w:pPr>
    </w:p>
    <w:p w14:paraId="4466D6A3" w14:textId="3858C9E3" w:rsidR="000C7ADC" w:rsidRPr="003D7162" w:rsidRDefault="000C7ADC" w:rsidP="000C7ADC">
      <w:pPr>
        <w:rPr>
          <w:rFonts w:ascii="Helvetica" w:hAnsi="Helvetica" w:cs="Helvetica"/>
        </w:rPr>
      </w:pPr>
    </w:p>
    <w:p w14:paraId="4145DF55" w14:textId="30959FDD" w:rsidR="000C7ADC" w:rsidRPr="003D7162" w:rsidRDefault="000C7ADC" w:rsidP="000C7ADC">
      <w:pPr>
        <w:rPr>
          <w:rFonts w:ascii="Helvetica" w:hAnsi="Helvetica" w:cs="Helvetica"/>
        </w:rPr>
      </w:pPr>
    </w:p>
    <w:p w14:paraId="7722AEE8" w14:textId="089D0161" w:rsidR="000C7ADC" w:rsidRPr="003D7162" w:rsidRDefault="000C7ADC">
      <w:pPr>
        <w:spacing w:after="160" w:line="259" w:lineRule="auto"/>
        <w:rPr>
          <w:rFonts w:ascii="Helvetica" w:hAnsi="Helvetica" w:cs="Helvetica"/>
        </w:rPr>
      </w:pPr>
      <w:r w:rsidRPr="003D7162">
        <w:rPr>
          <w:rFonts w:ascii="Helvetica" w:hAnsi="Helvetica" w:cs="Helvetica"/>
        </w:rPr>
        <w:br w:type="page"/>
      </w:r>
    </w:p>
    <w:p w14:paraId="0A4AACE6" w14:textId="398A21BC" w:rsidR="000C7ADC" w:rsidRPr="003E1E6C" w:rsidRDefault="00D91F4C" w:rsidP="000C7ADC">
      <w:pPr>
        <w:pStyle w:val="Heading1"/>
        <w:rPr>
          <w:rFonts w:ascii="Helvetica" w:hAnsi="Helvetica" w:cs="Helvetica"/>
          <w:b/>
          <w:sz w:val="24"/>
          <w:szCs w:val="24"/>
        </w:rPr>
      </w:pPr>
      <w:bookmarkStart w:id="7" w:name="_Toc40953304"/>
      <w:r>
        <w:rPr>
          <w:rFonts w:ascii="Helvetica" w:hAnsi="Helvetica" w:cs="Helvetica"/>
          <w:b/>
          <w:sz w:val="24"/>
          <w:szCs w:val="24"/>
        </w:rPr>
        <w:t xml:space="preserve">Supplementary </w:t>
      </w:r>
      <w:r w:rsidR="000C7ADC" w:rsidRPr="003E1E6C">
        <w:rPr>
          <w:rFonts w:ascii="Helvetica" w:hAnsi="Helvetica" w:cs="Helvetica"/>
          <w:b/>
          <w:sz w:val="24"/>
          <w:szCs w:val="24"/>
        </w:rPr>
        <w:t xml:space="preserve">Appendix 4: </w:t>
      </w:r>
      <w:r w:rsidR="000C7ADC" w:rsidRPr="003E1E6C">
        <w:rPr>
          <w:rFonts w:ascii="Helvetica" w:hAnsi="Helvetica" w:cs="Helvetica"/>
          <w:sz w:val="24"/>
          <w:szCs w:val="24"/>
        </w:rPr>
        <w:t>Qualitative Data Collection and Analyses Methods</w:t>
      </w:r>
      <w:bookmarkEnd w:id="7"/>
    </w:p>
    <w:p w14:paraId="7E449E8F" w14:textId="4F6119FC" w:rsidR="000C7ADC" w:rsidRPr="003D7162" w:rsidRDefault="000C7ADC" w:rsidP="000C7ADC">
      <w:pPr>
        <w:rPr>
          <w:rFonts w:ascii="Helvetica" w:hAnsi="Helvetica" w:cs="Helvetica"/>
        </w:rPr>
      </w:pPr>
    </w:p>
    <w:p w14:paraId="5B2EAC51" w14:textId="3CC0CFAF"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Qualitative Inquiry Process</w:t>
      </w:r>
    </w:p>
    <w:p w14:paraId="4BEC4733" w14:textId="77777777" w:rsidR="000C7ADC" w:rsidRPr="003D7162" w:rsidRDefault="000C7ADC" w:rsidP="00C14D61">
      <w:pPr>
        <w:spacing w:line="276" w:lineRule="auto"/>
        <w:rPr>
          <w:rFonts w:ascii="Helvetica" w:hAnsi="Helvetica" w:cs="Helvetica"/>
          <w:b/>
          <w:sz w:val="22"/>
          <w:szCs w:val="22"/>
        </w:rPr>
      </w:pPr>
    </w:p>
    <w:p w14:paraId="0DF1E7C4" w14:textId="77777777" w:rsidR="000C7ADC" w:rsidRPr="003D7162" w:rsidRDefault="000C7ADC" w:rsidP="00C14D61">
      <w:pPr>
        <w:spacing w:line="276" w:lineRule="auto"/>
        <w:rPr>
          <w:rFonts w:ascii="Helvetica" w:hAnsi="Helvetica" w:cs="Helvetica"/>
          <w:sz w:val="22"/>
          <w:szCs w:val="22"/>
        </w:rPr>
      </w:pPr>
      <w:r w:rsidRPr="003D7162">
        <w:rPr>
          <w:rFonts w:ascii="Helvetica" w:hAnsi="Helvetica" w:cs="Helvetica"/>
          <w:sz w:val="22"/>
          <w:szCs w:val="22"/>
        </w:rPr>
        <w:t xml:space="preserve">To understand national stakeholder perspectives on Peru’s nutrition evolution (focused on progress in stunting) and the major contributing factors behind it – we conducted a focus group discussion (FGD) followed by a series of in-depth interviews with key stakeholders. Detail on our methods and results can be found in the complete </w:t>
      </w:r>
      <w:r w:rsidRPr="003D7162">
        <w:rPr>
          <w:rFonts w:ascii="Helvetica" w:hAnsi="Helvetica" w:cs="Helvetica"/>
          <w:b/>
          <w:sz w:val="22"/>
          <w:szCs w:val="22"/>
        </w:rPr>
        <w:t>qualitative report</w:t>
      </w:r>
      <w:r w:rsidRPr="003D7162">
        <w:rPr>
          <w:rFonts w:ascii="Helvetica" w:hAnsi="Helvetica" w:cs="Helvetica"/>
          <w:sz w:val="22"/>
          <w:szCs w:val="22"/>
        </w:rPr>
        <w:t xml:space="preserve"> submitted as a supplement to this summary evaluation. Below and throughout this summary report, we provide a synopsis of key methods and results.</w:t>
      </w:r>
    </w:p>
    <w:p w14:paraId="14550686" w14:textId="77777777" w:rsidR="000C7ADC" w:rsidRPr="003D7162" w:rsidRDefault="000C7ADC" w:rsidP="000C7ADC">
      <w:pPr>
        <w:rPr>
          <w:rFonts w:ascii="Helvetica" w:hAnsi="Helvetica" w:cs="Helvetica"/>
          <w:sz w:val="22"/>
          <w:szCs w:val="22"/>
        </w:rPr>
      </w:pPr>
    </w:p>
    <w:p w14:paraId="1CE7FEA0" w14:textId="12C4CE2E" w:rsidR="000C7ADC" w:rsidRPr="003D7162" w:rsidRDefault="000C7ADC" w:rsidP="000C7ADC">
      <w:pPr>
        <w:spacing w:line="276" w:lineRule="auto"/>
        <w:rPr>
          <w:rFonts w:ascii="Helvetica" w:hAnsi="Helvetica" w:cs="Helvetica"/>
          <w:sz w:val="22"/>
          <w:szCs w:val="22"/>
        </w:rPr>
      </w:pPr>
      <w:r w:rsidRPr="003D7162">
        <w:rPr>
          <w:rFonts w:ascii="Helvetica" w:hAnsi="Helvetica" w:cs="Helvetica"/>
          <w:sz w:val="22"/>
          <w:szCs w:val="22"/>
        </w:rPr>
        <w:t>Semi-structured discussion/interview guides were used for the focus group discussion and interviews</w:t>
      </w:r>
      <w:r w:rsidR="005C453A">
        <w:rPr>
          <w:rFonts w:ascii="Helvetica" w:hAnsi="Helvetica" w:cs="Helvetica"/>
          <w:sz w:val="22"/>
          <w:szCs w:val="22"/>
        </w:rPr>
        <w:t xml:space="preserve"> and</w:t>
      </w:r>
      <w:r w:rsidRPr="003D7162">
        <w:rPr>
          <w:rFonts w:ascii="Helvetica" w:hAnsi="Helvetica" w:cs="Helvetica"/>
          <w:sz w:val="22"/>
          <w:szCs w:val="22"/>
        </w:rPr>
        <w:t xml:space="preserve"> were based on the framework proposed by Huicho et al. </w:t>
      </w:r>
      <w:r w:rsidRPr="003D7162">
        <w:rPr>
          <w:rFonts w:ascii="Helvetica" w:hAnsi="Helvetica" w:cs="Helvetica"/>
          <w:sz w:val="22"/>
          <w:szCs w:val="22"/>
        </w:rPr>
        <w:fldChar w:fldCharType="begin" w:fldLock="1"/>
      </w:r>
      <w:r w:rsidRPr="003D7162">
        <w:rPr>
          <w:rFonts w:ascii="Helvetica" w:hAnsi="Helvetica" w:cs="Helvetica"/>
          <w:sz w:val="22"/>
          <w:szCs w:val="22"/>
        </w:rPr>
        <w:instrText>ADDIN CSL_CITATION { "citationItems" : [ { "id" : "ITEM-1", "itemData" : { "DOI" : "10.1186/s12887-017-0790-3", "ISSN" : "1471-2431", "abstract" : "Background: Stunting prevalence in children less than 5 years has remained stagnated in Peru from 1992 to 2007, with a rapid reduction thereafter. We aimed to assess the role of different predictors on stunting reduction over time and across departments, from 2000 to 2012. Methods: We used various secondary data sources to describe time trends of stunting and of possible predictors that included distal to proximal determinants. We determined a ranking of departments by annual change of stunting and of different predictors. To account for variation over time and across departments, we used an ecological hierarchical approach based on a multilevel mixed-effects regression model, considering stunting as the outcome. Our unit of analysis was one department-year. Results: Stunting followed a decreasing trend in all departments, with differing slopes. The reduction pace was higher from 2007\u20132008 onwards. The departments with the highest annual stunting reduction were Cusco (\u22122.31%), Amazonas (\u22121.57%), Puno (\u22121.54%), Huanuco (\u22121.52%), and Ancash (\u22121.44). Those with the lowest reduction were Ica (\u22120.67%), Ucayali (\u22120.64%), Tumbes (\u22120.45%), Lima (\u22120.37%), and Tacna (\u22120.31%). Amazon and Andean departments, with the highest baseline poverty rates and concentrating the highest rural populations, showed the highest stunting reduction. In the multilevel analysis, when accounting for confounding, social determinants seemed to be the most important factors influencing annual stunting reduction, with significant variation between departments. Conclusions: Stunting reduction may be explained by the adoption of anti-poverty policies and sustained implementation of equitable crosscutting interventions, with focus on poorest areas. Inclusion of quality indicators for reproductive, maternal, neonatal and child health interventions may enable further analyses to show the influence of these factors. After a long stagnation period, Peru reduced dramatically its national and departmental stunting prevalence, thanks to a combination of social determinants and crosscutting factors. This experience offers useful lessons to other countries trying to improve their children\u2019snutrition.", "author" : [ { "dropping-particle" : "", "family" : "Huicho", "given" : "Luis", "non-dropping-particle" : "", "parse-names" : false, "suffix" : "" }, { "dropping-particle" : "", "family" : "Huayanay-Espinoza", "given" : "Carlos A.", "non-dropping-particle" : "", "parse-names" : false, "suffix" : "" }, { "dropping-particle" : "", "family" : "Herrera-Perez", "given" : "Eder", "non-dropping-particle" : "", "parse-names" : false, "suffix" : "" }, { "dropping-particle" : "", "family" : "Segura", "given" : "Eddy R.", "non-dropping-particle" : "", "parse-names" : false, "suffix" : "" }, { "dropping-particle" : "", "family" : "Ni\u00f1o de Guzman", "given" : "Jessica", "non-dropping-particle" : "", "parse-names" : false, "suffix" : "" }, { "dropping-particle" : "", "family" : "Rivera-Ch", "given" : "Mar\u00eda", "non-dropping-particle" : "", "parse-names" : false, "suffix" : "" }, { "dropping-particle" : "", "family" : "Barros", "given" : "Aluisio J.D.", "non-dropping-particle" : "", "parse-names" : false, "suffix" : "" } ], "container-title" : "BMC Pediatrics", "id" : "ITEM-1", "issue" : "1", "issued" : { "date-parts" : [ [ "2017", "12", "19" ] ] }, "note" : "Very important; analysis by department; shows that social interventions are more important than the nutrition specific interventions\n\nAviva abstracted", "page" : "29", "title" : "Factors behind the success story of under-five stunting in Peru: a district ecological multilevel analysis", "type" : "article-journal", "volume" : "17" }, "uris" : [ "http://www.mendeley.com/documents/?uuid=05869431-955e-48b7-972a-9f62b66b698b" ] } ], "mendeley" : { "formattedCitation" : "[7]", "plainTextFormattedCitation" : "[7]", "previouslyFormattedCitation" : "[7]" }, "properties" : { "noteIndex" : 0 }, "schema" : "https://github.com/citation-style-language/schema/raw/master/csl-citation.json" }</w:instrText>
      </w:r>
      <w:r w:rsidRPr="003D7162">
        <w:rPr>
          <w:rFonts w:ascii="Helvetica" w:hAnsi="Helvetica" w:cs="Helvetica"/>
          <w:sz w:val="22"/>
          <w:szCs w:val="22"/>
        </w:rPr>
        <w:fldChar w:fldCharType="separate"/>
      </w:r>
      <w:r w:rsidRPr="003D7162">
        <w:rPr>
          <w:rFonts w:ascii="Helvetica" w:hAnsi="Helvetica" w:cs="Helvetica"/>
          <w:noProof/>
          <w:sz w:val="22"/>
          <w:szCs w:val="22"/>
        </w:rPr>
        <w:t>[7]</w:t>
      </w:r>
      <w:r w:rsidRPr="003D7162">
        <w:rPr>
          <w:rFonts w:ascii="Helvetica" w:hAnsi="Helvetica" w:cs="Helvetica"/>
          <w:sz w:val="22"/>
          <w:szCs w:val="22"/>
        </w:rPr>
        <w:fldChar w:fldCharType="end"/>
      </w:r>
      <w:r w:rsidRPr="003D7162">
        <w:rPr>
          <w:rFonts w:ascii="Helvetica" w:hAnsi="Helvetica" w:cs="Helvetica"/>
          <w:sz w:val="22"/>
          <w:szCs w:val="22"/>
        </w:rPr>
        <w:t xml:space="preserve"> (Figure </w:t>
      </w:r>
      <w:r w:rsidR="005C453A">
        <w:rPr>
          <w:rFonts w:ascii="Helvetica" w:hAnsi="Helvetica" w:cs="Helvetica"/>
          <w:sz w:val="22"/>
          <w:szCs w:val="22"/>
        </w:rPr>
        <w:t>3</w:t>
      </w:r>
      <w:r w:rsidRPr="003D7162">
        <w:rPr>
          <w:rFonts w:ascii="Helvetica" w:hAnsi="Helvetica" w:cs="Helvetica"/>
          <w:sz w:val="22"/>
          <w:szCs w:val="22"/>
        </w:rPr>
        <w:t>). This framework is akin to the UNICEF nutrition determinants framework and the one presented in the Lancet nutrition series – both which were used to draft our adapted study conceptual framework – but highlights more broadly the contextual, policy and program, and service quality/availability factors.  Given the nature of policy and programmatic information to be collected from prospective participants, this slightly modified framework was adopted to focus insight on broad contextual drivers and sector-related changes in Peru (e.g. in health sector vs others) that participants could readily relate to.</w:t>
      </w:r>
    </w:p>
    <w:p w14:paraId="56ABB14B" w14:textId="77777777" w:rsidR="000C7ADC" w:rsidRPr="003D7162" w:rsidRDefault="000C7ADC" w:rsidP="000C7ADC">
      <w:pPr>
        <w:spacing w:line="276" w:lineRule="auto"/>
        <w:jc w:val="center"/>
        <w:rPr>
          <w:rFonts w:ascii="Helvetica" w:hAnsi="Helvetica" w:cs="Helvetica"/>
          <w:sz w:val="22"/>
          <w:szCs w:val="22"/>
          <w:lang w:val="es-ES"/>
        </w:rPr>
      </w:pPr>
      <w:r w:rsidRPr="003D7162">
        <w:rPr>
          <w:rFonts w:ascii="Helvetica" w:hAnsi="Helvetica" w:cs="Helvetica"/>
          <w:noProof/>
          <w:sz w:val="22"/>
          <w:szCs w:val="22"/>
          <w:lang w:val="en-CA" w:eastAsia="en-CA"/>
        </w:rPr>
        <w:drawing>
          <wp:inline distT="0" distB="0" distL="0" distR="0" wp14:anchorId="6533C076" wp14:editId="0D6B639C">
            <wp:extent cx="4394835" cy="2229605"/>
            <wp:effectExtent l="0" t="0" r="0" b="5715"/>
            <wp:docPr id="55" name="Picture 55" descr="../../../../../Desktop/Screen%20Shot%202017-10-30%20at%2010.15.30%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7-10-30%20at%2010.15.30%20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6079" cy="2235309"/>
                    </a:xfrm>
                    <a:prstGeom prst="rect">
                      <a:avLst/>
                    </a:prstGeom>
                    <a:noFill/>
                    <a:ln>
                      <a:noFill/>
                    </a:ln>
                  </pic:spPr>
                </pic:pic>
              </a:graphicData>
            </a:graphic>
          </wp:inline>
        </w:drawing>
      </w:r>
    </w:p>
    <w:p w14:paraId="13BD6E0E" w14:textId="033D0251" w:rsidR="000C7ADC" w:rsidRPr="003D7162" w:rsidRDefault="00D91F4C" w:rsidP="000C7ADC">
      <w:pPr>
        <w:pStyle w:val="Heading2"/>
        <w:rPr>
          <w:rFonts w:cs="Helvetica"/>
          <w:szCs w:val="24"/>
          <w:lang w:val="es-ES"/>
        </w:rPr>
      </w:pPr>
      <w:bookmarkStart w:id="8" w:name="_Ref503521537"/>
      <w:bookmarkStart w:id="9" w:name="_Toc516688836"/>
      <w:bookmarkStart w:id="10" w:name="_Toc516759424"/>
      <w:bookmarkStart w:id="11" w:name="_Toc40953305"/>
      <w:r>
        <w:rPr>
          <w:rFonts w:cs="Helvetica"/>
          <w:b/>
          <w:szCs w:val="24"/>
        </w:rPr>
        <w:t xml:space="preserve">Supplementary </w:t>
      </w:r>
      <w:r w:rsidR="000C7ADC" w:rsidRPr="003D7162">
        <w:rPr>
          <w:rFonts w:cs="Helvetica"/>
          <w:b/>
          <w:szCs w:val="24"/>
        </w:rPr>
        <w:t>Appendix Figure</w:t>
      </w:r>
      <w:bookmarkEnd w:id="8"/>
      <w:r w:rsidR="000C7ADC" w:rsidRPr="003D7162">
        <w:rPr>
          <w:rFonts w:cs="Helvetica"/>
          <w:b/>
          <w:szCs w:val="24"/>
        </w:rPr>
        <w:t xml:space="preserve"> 3:</w:t>
      </w:r>
      <w:r w:rsidR="000C7ADC" w:rsidRPr="003D7162">
        <w:rPr>
          <w:rFonts w:cs="Helvetica"/>
          <w:szCs w:val="24"/>
        </w:rPr>
        <w:t xml:space="preserve"> Framework proposed by Huicho et al for the determinants of stunting reduction</w:t>
      </w:r>
      <w:bookmarkEnd w:id="9"/>
      <w:bookmarkEnd w:id="10"/>
      <w:bookmarkEnd w:id="11"/>
    </w:p>
    <w:p w14:paraId="32BD6A35" w14:textId="427450C9" w:rsidR="000C7ADC" w:rsidRPr="003D7162" w:rsidRDefault="000C7ADC" w:rsidP="000C7ADC">
      <w:pPr>
        <w:rPr>
          <w:rFonts w:ascii="Helvetica" w:hAnsi="Helvetica" w:cs="Helvetica"/>
          <w:sz w:val="22"/>
          <w:szCs w:val="22"/>
        </w:rPr>
      </w:pPr>
    </w:p>
    <w:p w14:paraId="034C0005" w14:textId="14CEF415"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Data Collection Methods</w:t>
      </w:r>
    </w:p>
    <w:p w14:paraId="627678E8" w14:textId="2437DAAA" w:rsidR="000C7ADC" w:rsidRPr="003D7162" w:rsidRDefault="000C7ADC" w:rsidP="000C7ADC">
      <w:pPr>
        <w:rPr>
          <w:rFonts w:ascii="Helvetica" w:hAnsi="Helvetica" w:cs="Helvetica"/>
          <w:b/>
          <w:sz w:val="22"/>
          <w:szCs w:val="22"/>
        </w:rPr>
      </w:pPr>
    </w:p>
    <w:p w14:paraId="0DCC665B" w14:textId="1533A647" w:rsidR="000C7ADC" w:rsidRPr="003D7162" w:rsidRDefault="000C7ADC" w:rsidP="00C14D61">
      <w:pPr>
        <w:spacing w:line="276" w:lineRule="auto"/>
        <w:rPr>
          <w:rFonts w:ascii="Helvetica" w:hAnsi="Helvetica" w:cs="Helvetica"/>
          <w:sz w:val="22"/>
          <w:szCs w:val="22"/>
        </w:rPr>
      </w:pPr>
      <w:r w:rsidRPr="003D7162">
        <w:rPr>
          <w:rFonts w:ascii="Helvetica" w:hAnsi="Helvetica" w:cs="Helvetica"/>
          <w:sz w:val="22"/>
          <w:szCs w:val="22"/>
        </w:rPr>
        <w:t>Both activities were conducted from August 14 to September 30, 2017. The FGD was performed first, followed by the in-depth interviews, to identify through the group discussions specific points needing further insight through individual interviews, so as to get a more balanced perspective of all participants. We aimed not to repeat participants in each of the activities.</w:t>
      </w:r>
    </w:p>
    <w:p w14:paraId="39DB116A" w14:textId="77777777" w:rsidR="000C7ADC" w:rsidRPr="003D7162" w:rsidRDefault="000C7ADC" w:rsidP="000C7ADC">
      <w:pPr>
        <w:rPr>
          <w:rFonts w:ascii="Helvetica" w:hAnsi="Helvetica" w:cs="Helvetica"/>
          <w:b/>
          <w:sz w:val="22"/>
          <w:szCs w:val="22"/>
        </w:rPr>
      </w:pPr>
    </w:p>
    <w:p w14:paraId="5DF78C32" w14:textId="0FF38595"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Focus</w:t>
      </w:r>
      <w:r w:rsidR="008811DB">
        <w:rPr>
          <w:rFonts w:ascii="Helvetica" w:hAnsi="Helvetica" w:cs="Helvetica"/>
          <w:b/>
          <w:sz w:val="22"/>
          <w:szCs w:val="22"/>
        </w:rPr>
        <w:t xml:space="preserve"> </w:t>
      </w:r>
      <w:r w:rsidRPr="003D7162">
        <w:rPr>
          <w:rFonts w:ascii="Helvetica" w:hAnsi="Helvetica" w:cs="Helvetica"/>
          <w:b/>
          <w:sz w:val="22"/>
          <w:szCs w:val="22"/>
        </w:rPr>
        <w:t>Group Discussions</w:t>
      </w:r>
    </w:p>
    <w:p w14:paraId="092CEA09" w14:textId="1B1B22D4" w:rsidR="000C7ADC" w:rsidRPr="003D7162" w:rsidRDefault="000C7ADC" w:rsidP="000C7ADC">
      <w:pPr>
        <w:rPr>
          <w:rFonts w:ascii="Helvetica" w:hAnsi="Helvetica" w:cs="Helvetica"/>
          <w:sz w:val="22"/>
          <w:szCs w:val="22"/>
        </w:rPr>
      </w:pPr>
    </w:p>
    <w:p w14:paraId="754524C2" w14:textId="44FBAFFC" w:rsidR="000C7ADC" w:rsidRPr="003D7162" w:rsidRDefault="000C7ADC" w:rsidP="000C7ADC">
      <w:pPr>
        <w:spacing w:line="276" w:lineRule="auto"/>
        <w:rPr>
          <w:rFonts w:ascii="Helvetica" w:hAnsi="Helvetica" w:cs="Helvetica"/>
          <w:sz w:val="22"/>
          <w:szCs w:val="22"/>
        </w:rPr>
      </w:pPr>
      <w:r w:rsidRPr="003D7162">
        <w:rPr>
          <w:rFonts w:ascii="Helvetica" w:hAnsi="Helvetica" w:cs="Helvetica"/>
          <w:sz w:val="22"/>
          <w:szCs w:val="22"/>
        </w:rPr>
        <w:t xml:space="preserve">The group discussion was conducted in a neutral setting and lasted approximately 100 minutes. The FGD participants were selected among recognized representatives of institutions considered key in the efforts to reduce child stunting in Peru.  Six participants were selected and attended this activity, which was conducted by two members of Peru research team (Elisa Juárez and Elisa Vidal). They were current or former representatives from different stakeholders, key in the implementation of policies programs deemed relevant in the efforts for stunting reduction, including MINSA, Ministry of finance and economy (MoF), Ministry of Development and Social Inclusion (MIDIS), The World Bank, RoundTable Against Poverty, CARE Peru), the Pan American Health Organization, and UNICEF.  A full list of participants and their affiliation for the FGD are included in </w:t>
      </w:r>
      <w:r w:rsidR="00FA2532">
        <w:rPr>
          <w:rFonts w:ascii="Helvetica" w:hAnsi="Helvetica" w:cs="Helvetica"/>
          <w:sz w:val="22"/>
          <w:szCs w:val="22"/>
        </w:rPr>
        <w:t>Table 1 below.</w:t>
      </w:r>
    </w:p>
    <w:p w14:paraId="78A02F25" w14:textId="77777777" w:rsidR="000C7ADC" w:rsidRPr="003D7162" w:rsidRDefault="000C7ADC" w:rsidP="000C7ADC">
      <w:pPr>
        <w:spacing w:line="276" w:lineRule="auto"/>
        <w:rPr>
          <w:rFonts w:ascii="Helvetica" w:hAnsi="Helvetica" w:cs="Helvetica"/>
          <w:sz w:val="22"/>
          <w:szCs w:val="22"/>
        </w:rPr>
      </w:pPr>
    </w:p>
    <w:p w14:paraId="343D8445" w14:textId="568E88CF" w:rsidR="000C7ADC" w:rsidRPr="003D7162" w:rsidRDefault="00D91F4C" w:rsidP="000C7ADC">
      <w:pPr>
        <w:pStyle w:val="Heading2"/>
        <w:rPr>
          <w:rFonts w:cs="Helvetica"/>
          <w:szCs w:val="24"/>
        </w:rPr>
      </w:pPr>
      <w:bookmarkStart w:id="12" w:name="_Toc516759410"/>
      <w:bookmarkStart w:id="13" w:name="_Toc40953306"/>
      <w:r>
        <w:rPr>
          <w:rFonts w:cs="Helvetica"/>
          <w:b/>
          <w:szCs w:val="24"/>
        </w:rPr>
        <w:t xml:space="preserve">Supplementary </w:t>
      </w:r>
      <w:r w:rsidR="000C7ADC" w:rsidRPr="003D7162">
        <w:rPr>
          <w:rFonts w:cs="Helvetica"/>
          <w:b/>
          <w:szCs w:val="24"/>
        </w:rPr>
        <w:t>Appendix Table 1:</w:t>
      </w:r>
      <w:r w:rsidR="000C7ADC" w:rsidRPr="003D7162">
        <w:rPr>
          <w:rFonts w:cs="Helvetica"/>
          <w:szCs w:val="24"/>
        </w:rPr>
        <w:t xml:space="preserve"> List of participants and their affiliation that were included in the FGD</w:t>
      </w:r>
      <w:bookmarkEnd w:id="12"/>
      <w:bookmarkEnd w:id="13"/>
    </w:p>
    <w:p w14:paraId="37081F36" w14:textId="77777777" w:rsidR="000C7ADC" w:rsidRPr="003D7162" w:rsidRDefault="000C7ADC" w:rsidP="000C7ADC">
      <w:pPr>
        <w:rPr>
          <w:rFonts w:ascii="Helvetica" w:hAnsi="Helvetica" w:cs="Helvetica"/>
          <w:sz w:val="22"/>
          <w:szCs w:val="22"/>
        </w:rPr>
      </w:pPr>
      <w:r w:rsidRPr="003D7162">
        <w:rPr>
          <w:rFonts w:ascii="Helvetica" w:hAnsi="Helvetica" w:cs="Helvetica"/>
          <w:sz w:val="22"/>
          <w:szCs w:val="22"/>
        </w:rPr>
        <w:t xml:space="preserve"> </w:t>
      </w:r>
    </w:p>
    <w:tbl>
      <w:tblPr>
        <w:tblStyle w:val="TableGrid"/>
        <w:tblW w:w="0" w:type="auto"/>
        <w:tblLook w:val="04A0" w:firstRow="1" w:lastRow="0" w:firstColumn="1" w:lastColumn="0" w:noHBand="0" w:noVBand="1"/>
      </w:tblPr>
      <w:tblGrid>
        <w:gridCol w:w="1568"/>
        <w:gridCol w:w="6920"/>
      </w:tblGrid>
      <w:tr w:rsidR="000C7ADC" w:rsidRPr="003D7162" w14:paraId="16BB64B9" w14:textId="77777777" w:rsidTr="00FC161A">
        <w:tc>
          <w:tcPr>
            <w:tcW w:w="1615" w:type="dxa"/>
          </w:tcPr>
          <w:p w14:paraId="4DA233C8"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Participant</w:t>
            </w:r>
          </w:p>
        </w:tc>
        <w:tc>
          <w:tcPr>
            <w:tcW w:w="7735" w:type="dxa"/>
          </w:tcPr>
          <w:p w14:paraId="62A95F56"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Position &amp; affiliation</w:t>
            </w:r>
          </w:p>
        </w:tc>
      </w:tr>
      <w:tr w:rsidR="000C7ADC" w:rsidRPr="003D7162" w14:paraId="2BFA172A" w14:textId="77777777" w:rsidTr="00FC161A">
        <w:tc>
          <w:tcPr>
            <w:tcW w:w="9350" w:type="dxa"/>
            <w:gridSpan w:val="2"/>
          </w:tcPr>
          <w:p w14:paraId="2E13D810" w14:textId="77777777" w:rsidR="000C7ADC" w:rsidRPr="003D7162" w:rsidRDefault="000C7ADC" w:rsidP="00FC161A">
            <w:pPr>
              <w:pStyle w:val="NoSpacing"/>
              <w:rPr>
                <w:rFonts w:ascii="Helvetica" w:hAnsi="Helvetica" w:cs="Helvetica"/>
                <w:b/>
                <w:sz w:val="22"/>
                <w:szCs w:val="22"/>
              </w:rPr>
            </w:pPr>
          </w:p>
          <w:p w14:paraId="4A54A2E5" w14:textId="77777777" w:rsidR="000C7ADC" w:rsidRPr="003D7162" w:rsidRDefault="000C7ADC" w:rsidP="00FC161A">
            <w:pPr>
              <w:pStyle w:val="NoSpacing"/>
              <w:rPr>
                <w:rFonts w:ascii="Helvetica" w:hAnsi="Helvetica" w:cs="Helvetica"/>
                <w:b/>
                <w:sz w:val="22"/>
                <w:szCs w:val="22"/>
              </w:rPr>
            </w:pPr>
            <w:r w:rsidRPr="003D7162">
              <w:rPr>
                <w:rFonts w:ascii="Helvetica" w:hAnsi="Helvetica" w:cs="Helvetica"/>
                <w:b/>
                <w:sz w:val="22"/>
                <w:szCs w:val="22"/>
              </w:rPr>
              <w:t>Focus group discussion participants</w:t>
            </w:r>
          </w:p>
        </w:tc>
      </w:tr>
      <w:tr w:rsidR="000C7ADC" w:rsidRPr="003D7162" w14:paraId="29B965D4" w14:textId="77777777" w:rsidTr="00FC161A">
        <w:tc>
          <w:tcPr>
            <w:tcW w:w="1615" w:type="dxa"/>
          </w:tcPr>
          <w:p w14:paraId="34577648"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Participant 1</w:t>
            </w:r>
          </w:p>
        </w:tc>
        <w:tc>
          <w:tcPr>
            <w:tcW w:w="7735" w:type="dxa"/>
          </w:tcPr>
          <w:p w14:paraId="1A6181B3"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Member of the technical team, Direction of Health Promotion of the Ministry of Health, Strategy of Healthy Feeding and Nutrition.</w:t>
            </w:r>
          </w:p>
        </w:tc>
      </w:tr>
      <w:tr w:rsidR="000C7ADC" w:rsidRPr="003D7162" w14:paraId="7219AB67" w14:textId="77777777" w:rsidTr="00FC161A">
        <w:tc>
          <w:tcPr>
            <w:tcW w:w="1615" w:type="dxa"/>
          </w:tcPr>
          <w:p w14:paraId="48843987"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Participant 2</w:t>
            </w:r>
          </w:p>
        </w:tc>
        <w:tc>
          <w:tcPr>
            <w:tcW w:w="7735" w:type="dxa"/>
          </w:tcPr>
          <w:p w14:paraId="139FBCC6" w14:textId="77777777" w:rsidR="000C7ADC" w:rsidRPr="003D7162" w:rsidRDefault="000C7ADC" w:rsidP="00FC161A">
            <w:pPr>
              <w:spacing w:line="276" w:lineRule="auto"/>
              <w:contextualSpacing/>
              <w:jc w:val="both"/>
              <w:rPr>
                <w:rFonts w:ascii="Helvetica" w:hAnsi="Helvetica" w:cs="Helvetica"/>
                <w:sz w:val="22"/>
                <w:szCs w:val="22"/>
              </w:rPr>
            </w:pPr>
            <w:r w:rsidRPr="003D7162">
              <w:rPr>
                <w:rFonts w:ascii="Helvetica" w:hAnsi="Helvetica" w:cs="Helvetica"/>
                <w:sz w:val="22"/>
                <w:szCs w:val="22"/>
              </w:rPr>
              <w:t>Medical doctor, specialist in nutrition and public.  Institution: General Direction of Monitoring and Evaluation, Ministry of Development and Social Inclusion.</w:t>
            </w:r>
          </w:p>
        </w:tc>
      </w:tr>
      <w:tr w:rsidR="000C7ADC" w:rsidRPr="003D7162" w14:paraId="4554945F" w14:textId="77777777" w:rsidTr="00FC161A">
        <w:tc>
          <w:tcPr>
            <w:tcW w:w="1615" w:type="dxa"/>
          </w:tcPr>
          <w:p w14:paraId="5DD18674"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Participant 3</w:t>
            </w:r>
          </w:p>
        </w:tc>
        <w:tc>
          <w:tcPr>
            <w:tcW w:w="7735" w:type="dxa"/>
          </w:tcPr>
          <w:p w14:paraId="4A1FE9AE"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Sociologist. Member, Technical Team of the Roundtable of Fight Against Poverty.</w:t>
            </w:r>
          </w:p>
        </w:tc>
      </w:tr>
      <w:tr w:rsidR="000C7ADC" w:rsidRPr="003D7162" w14:paraId="25E2F424" w14:textId="77777777" w:rsidTr="00FC161A">
        <w:tc>
          <w:tcPr>
            <w:tcW w:w="1615" w:type="dxa"/>
          </w:tcPr>
          <w:p w14:paraId="58CCEA62"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Participant 4</w:t>
            </w:r>
          </w:p>
        </w:tc>
        <w:tc>
          <w:tcPr>
            <w:tcW w:w="7735" w:type="dxa"/>
          </w:tcPr>
          <w:p w14:paraId="4848A4B1"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Medical doctor, specialist in public health and in monitoring and evaluation. Direction of Monitoring and Evaluation, Ministry of Development and Social Inclusion</w:t>
            </w:r>
          </w:p>
        </w:tc>
      </w:tr>
      <w:tr w:rsidR="000C7ADC" w:rsidRPr="003D7162" w14:paraId="4C04204E" w14:textId="77777777" w:rsidTr="00FC161A">
        <w:tc>
          <w:tcPr>
            <w:tcW w:w="1615" w:type="dxa"/>
          </w:tcPr>
          <w:p w14:paraId="0EBCDAC1"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Participant 5</w:t>
            </w:r>
          </w:p>
        </w:tc>
        <w:tc>
          <w:tcPr>
            <w:tcW w:w="7735" w:type="dxa"/>
          </w:tcPr>
          <w:p w14:paraId="7E20D123"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Nurse, specialist in public health. Coordinator, Nutrition and Child Development, MIDIS.</w:t>
            </w:r>
          </w:p>
        </w:tc>
      </w:tr>
      <w:tr w:rsidR="000C7ADC" w:rsidRPr="003D7162" w14:paraId="4C0E1FC3" w14:textId="77777777" w:rsidTr="00FC161A">
        <w:tc>
          <w:tcPr>
            <w:tcW w:w="1615" w:type="dxa"/>
          </w:tcPr>
          <w:p w14:paraId="55581C16"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Participant 6</w:t>
            </w:r>
          </w:p>
        </w:tc>
        <w:tc>
          <w:tcPr>
            <w:tcW w:w="7735" w:type="dxa"/>
          </w:tcPr>
          <w:p w14:paraId="303A6A56" w14:textId="77777777" w:rsidR="000C7ADC" w:rsidRPr="003D7162" w:rsidRDefault="000C7ADC" w:rsidP="00FC161A">
            <w:pPr>
              <w:pStyle w:val="NoSpacing"/>
              <w:rPr>
                <w:rFonts w:ascii="Helvetica" w:hAnsi="Helvetica" w:cs="Helvetica"/>
                <w:sz w:val="22"/>
                <w:szCs w:val="22"/>
              </w:rPr>
            </w:pPr>
            <w:r w:rsidRPr="003D7162">
              <w:rPr>
                <w:rFonts w:ascii="Helvetica" w:hAnsi="Helvetica" w:cs="Helvetica"/>
                <w:sz w:val="22"/>
                <w:szCs w:val="22"/>
              </w:rPr>
              <w:t>Pediatrician, former technical officer of UNICEF and advisor in child health and nutrition for the Ministry of Health. Currently, independent advisor to the United Nations World Food Program.</w:t>
            </w:r>
          </w:p>
        </w:tc>
      </w:tr>
    </w:tbl>
    <w:p w14:paraId="54E5505C" w14:textId="77777777" w:rsidR="000C7ADC" w:rsidRPr="003D7162" w:rsidRDefault="000C7ADC" w:rsidP="000C7ADC">
      <w:pPr>
        <w:spacing w:line="276" w:lineRule="auto"/>
        <w:rPr>
          <w:rFonts w:ascii="Helvetica" w:hAnsi="Helvetica" w:cs="Helvetica"/>
          <w:sz w:val="22"/>
          <w:szCs w:val="22"/>
        </w:rPr>
      </w:pPr>
    </w:p>
    <w:p w14:paraId="7C48AF10" w14:textId="77777777" w:rsidR="000C7ADC" w:rsidRPr="003D7162" w:rsidRDefault="000C7ADC" w:rsidP="000C7ADC">
      <w:pPr>
        <w:rPr>
          <w:rFonts w:ascii="Helvetica" w:hAnsi="Helvetica" w:cs="Helvetica"/>
          <w:sz w:val="22"/>
          <w:szCs w:val="22"/>
        </w:rPr>
      </w:pPr>
      <w:r w:rsidRPr="003D7162">
        <w:rPr>
          <w:rFonts w:ascii="Helvetica" w:hAnsi="Helvetica" w:cs="Helvetica"/>
          <w:sz w:val="22"/>
          <w:szCs w:val="22"/>
        </w:rPr>
        <w:t>In-Depth Interviews</w:t>
      </w:r>
    </w:p>
    <w:p w14:paraId="0B70EA42" w14:textId="77777777" w:rsidR="000C7ADC" w:rsidRPr="003D7162" w:rsidRDefault="000C7ADC" w:rsidP="000C7ADC">
      <w:pPr>
        <w:rPr>
          <w:rFonts w:ascii="Helvetica" w:hAnsi="Helvetica" w:cs="Helvetica"/>
          <w:sz w:val="22"/>
          <w:szCs w:val="22"/>
        </w:rPr>
      </w:pPr>
    </w:p>
    <w:p w14:paraId="05D799C2" w14:textId="57A78AD0" w:rsidR="000C7ADC" w:rsidRPr="003D7162" w:rsidRDefault="000C7ADC" w:rsidP="000C7ADC">
      <w:pPr>
        <w:spacing w:line="276" w:lineRule="auto"/>
        <w:rPr>
          <w:rFonts w:ascii="Helvetica" w:hAnsi="Helvetica" w:cs="Helvetica"/>
          <w:sz w:val="22"/>
          <w:szCs w:val="22"/>
        </w:rPr>
      </w:pPr>
      <w:r w:rsidRPr="003D7162">
        <w:rPr>
          <w:rFonts w:ascii="Helvetica" w:hAnsi="Helvetica" w:cs="Helvetica"/>
          <w:sz w:val="22"/>
          <w:szCs w:val="22"/>
        </w:rPr>
        <w:t xml:space="preserve">The in-depth interviews were conducted after the FGD, allowing us to explore in further detail aspects that were highlighted during the group discussion. We conducted 10 interviews to key informants, selected on the basis of their experience in areas or institutions that were instrumental in the design and implementation of interventions to reduce child stunting in Peru, including the MoF, the Ministry of Health, the MIDIS; the National Institute of Statistics and Computing; UNICEF, the Roundtable Against Poverty, the Pan American Health Organization, CARE Peru, The World Bank. Given time and logistic constraints, most of the individual interviews were conducted through interactive Skype sessions, except for one face-to-face interview. A full list of participants and their affiliation for the in-depth interviews are included in Table </w:t>
      </w:r>
      <w:r w:rsidR="00FA2532">
        <w:rPr>
          <w:rFonts w:ascii="Helvetica" w:hAnsi="Helvetica" w:cs="Helvetica"/>
          <w:sz w:val="22"/>
          <w:szCs w:val="22"/>
        </w:rPr>
        <w:t>2</w:t>
      </w:r>
      <w:r w:rsidRPr="003D7162">
        <w:rPr>
          <w:rFonts w:ascii="Helvetica" w:hAnsi="Helvetica" w:cs="Helvetica"/>
          <w:sz w:val="22"/>
          <w:szCs w:val="22"/>
        </w:rPr>
        <w:t>.</w:t>
      </w:r>
    </w:p>
    <w:p w14:paraId="3B32484C" w14:textId="7DB43883" w:rsidR="000C7ADC" w:rsidRDefault="000C7ADC" w:rsidP="000C7ADC">
      <w:pPr>
        <w:spacing w:line="276" w:lineRule="auto"/>
        <w:rPr>
          <w:rFonts w:ascii="Helvetica" w:hAnsi="Helvetica" w:cs="Helvetica"/>
          <w:sz w:val="22"/>
          <w:szCs w:val="22"/>
        </w:rPr>
      </w:pPr>
    </w:p>
    <w:p w14:paraId="05E9057C" w14:textId="57841E51" w:rsidR="00265001" w:rsidRDefault="00265001" w:rsidP="000C7ADC">
      <w:pPr>
        <w:spacing w:line="276" w:lineRule="auto"/>
        <w:rPr>
          <w:rFonts w:ascii="Helvetica" w:hAnsi="Helvetica" w:cs="Helvetica"/>
          <w:sz w:val="22"/>
          <w:szCs w:val="22"/>
        </w:rPr>
      </w:pPr>
    </w:p>
    <w:p w14:paraId="028BF314" w14:textId="6567FDB7" w:rsidR="00265001" w:rsidRDefault="00265001" w:rsidP="000C7ADC">
      <w:pPr>
        <w:spacing w:line="276" w:lineRule="auto"/>
        <w:rPr>
          <w:rFonts w:ascii="Helvetica" w:hAnsi="Helvetica" w:cs="Helvetica"/>
          <w:sz w:val="22"/>
          <w:szCs w:val="22"/>
        </w:rPr>
      </w:pPr>
    </w:p>
    <w:p w14:paraId="617D305E" w14:textId="77777777" w:rsidR="00265001" w:rsidRPr="003D7162" w:rsidRDefault="00265001" w:rsidP="000C7ADC">
      <w:pPr>
        <w:spacing w:line="276" w:lineRule="auto"/>
        <w:rPr>
          <w:rFonts w:ascii="Helvetica" w:hAnsi="Helvetica" w:cs="Helvetica"/>
          <w:sz w:val="22"/>
          <w:szCs w:val="22"/>
        </w:rPr>
      </w:pPr>
    </w:p>
    <w:p w14:paraId="130C5485" w14:textId="35234D8F" w:rsidR="000C7ADC" w:rsidRPr="003D7162" w:rsidRDefault="00D91F4C" w:rsidP="000C7ADC">
      <w:pPr>
        <w:pStyle w:val="Heading2"/>
        <w:rPr>
          <w:rFonts w:cs="Helvetica"/>
          <w:szCs w:val="24"/>
        </w:rPr>
      </w:pPr>
      <w:bookmarkStart w:id="14" w:name="_Toc516759411"/>
      <w:bookmarkStart w:id="15" w:name="_Toc40953307"/>
      <w:r>
        <w:rPr>
          <w:rFonts w:cs="Helvetica"/>
          <w:b/>
          <w:szCs w:val="24"/>
        </w:rPr>
        <w:t xml:space="preserve">Supplementary </w:t>
      </w:r>
      <w:r w:rsidR="000C7ADC" w:rsidRPr="003D7162">
        <w:rPr>
          <w:rFonts w:cs="Helvetica"/>
          <w:b/>
          <w:szCs w:val="24"/>
        </w:rPr>
        <w:t>Appendix Table 2:</w:t>
      </w:r>
      <w:r w:rsidR="000C7ADC" w:rsidRPr="003D7162">
        <w:rPr>
          <w:rFonts w:cs="Helvetica"/>
          <w:szCs w:val="24"/>
        </w:rPr>
        <w:t xml:space="preserve"> List of participants and their affiliation that were included in the in-depth interviews</w:t>
      </w:r>
      <w:bookmarkEnd w:id="14"/>
      <w:bookmarkEnd w:id="15"/>
    </w:p>
    <w:p w14:paraId="5B131BAD" w14:textId="77777777" w:rsidR="000C7ADC" w:rsidRPr="003D7162" w:rsidRDefault="000C7ADC" w:rsidP="000C7ADC">
      <w:pPr>
        <w:rPr>
          <w:rFonts w:ascii="Helvetica" w:hAnsi="Helvetica" w:cs="Helvetica"/>
          <w:sz w:val="22"/>
          <w:szCs w:val="22"/>
        </w:rPr>
      </w:pPr>
    </w:p>
    <w:tbl>
      <w:tblPr>
        <w:tblStyle w:val="TableGrid"/>
        <w:tblW w:w="0" w:type="auto"/>
        <w:tblLook w:val="04A0" w:firstRow="1" w:lastRow="0" w:firstColumn="1" w:lastColumn="0" w:noHBand="0" w:noVBand="1"/>
      </w:tblPr>
      <w:tblGrid>
        <w:gridCol w:w="1564"/>
        <w:gridCol w:w="6924"/>
      </w:tblGrid>
      <w:tr w:rsidR="000C7ADC" w:rsidRPr="003D7162" w14:paraId="00264532" w14:textId="77777777" w:rsidTr="00FC161A">
        <w:tc>
          <w:tcPr>
            <w:tcW w:w="1615" w:type="dxa"/>
          </w:tcPr>
          <w:p w14:paraId="07199FE1" w14:textId="77777777" w:rsidR="000C7ADC" w:rsidRPr="003D7162" w:rsidRDefault="000C7ADC" w:rsidP="00FC161A">
            <w:pPr>
              <w:rPr>
                <w:rFonts w:ascii="Helvetica" w:hAnsi="Helvetica" w:cs="Helvetica"/>
                <w:b/>
                <w:sz w:val="22"/>
                <w:szCs w:val="22"/>
              </w:rPr>
            </w:pPr>
            <w:r w:rsidRPr="003D7162">
              <w:rPr>
                <w:rFonts w:ascii="Helvetica" w:hAnsi="Helvetica" w:cs="Helvetica"/>
                <w:sz w:val="22"/>
                <w:szCs w:val="22"/>
              </w:rPr>
              <w:t>Participant</w:t>
            </w:r>
          </w:p>
        </w:tc>
        <w:tc>
          <w:tcPr>
            <w:tcW w:w="7735" w:type="dxa"/>
          </w:tcPr>
          <w:p w14:paraId="7D174105" w14:textId="77777777" w:rsidR="000C7ADC" w:rsidRPr="003D7162" w:rsidRDefault="000C7ADC" w:rsidP="00FC161A">
            <w:pPr>
              <w:rPr>
                <w:rFonts w:ascii="Helvetica" w:hAnsi="Helvetica" w:cs="Helvetica"/>
                <w:b/>
                <w:sz w:val="22"/>
                <w:szCs w:val="22"/>
              </w:rPr>
            </w:pPr>
            <w:r w:rsidRPr="003D7162">
              <w:rPr>
                <w:rFonts w:ascii="Helvetica" w:hAnsi="Helvetica" w:cs="Helvetica"/>
                <w:sz w:val="22"/>
                <w:szCs w:val="22"/>
              </w:rPr>
              <w:t>Position &amp; affiliation</w:t>
            </w:r>
          </w:p>
        </w:tc>
      </w:tr>
      <w:tr w:rsidR="000C7ADC" w:rsidRPr="003D7162" w14:paraId="0C32CC80" w14:textId="77777777" w:rsidTr="00FC161A">
        <w:tc>
          <w:tcPr>
            <w:tcW w:w="9350" w:type="dxa"/>
            <w:gridSpan w:val="2"/>
          </w:tcPr>
          <w:p w14:paraId="573943B0" w14:textId="77777777" w:rsidR="000C7ADC" w:rsidRPr="003D7162" w:rsidRDefault="000C7ADC" w:rsidP="00FC161A">
            <w:pPr>
              <w:rPr>
                <w:rFonts w:ascii="Helvetica" w:hAnsi="Helvetica" w:cs="Helvetica"/>
                <w:b/>
                <w:sz w:val="22"/>
                <w:szCs w:val="22"/>
              </w:rPr>
            </w:pPr>
          </w:p>
          <w:p w14:paraId="4AE69D71" w14:textId="77777777" w:rsidR="000C7ADC" w:rsidRPr="003D7162" w:rsidRDefault="000C7ADC" w:rsidP="00FC161A">
            <w:pPr>
              <w:rPr>
                <w:rFonts w:ascii="Helvetica" w:hAnsi="Helvetica" w:cs="Helvetica"/>
                <w:b/>
                <w:sz w:val="22"/>
                <w:szCs w:val="22"/>
              </w:rPr>
            </w:pPr>
            <w:r w:rsidRPr="003D7162">
              <w:rPr>
                <w:rFonts w:ascii="Helvetica" w:hAnsi="Helvetica" w:cs="Helvetica"/>
                <w:b/>
                <w:sz w:val="22"/>
                <w:szCs w:val="22"/>
              </w:rPr>
              <w:t>In-depth interviews participants</w:t>
            </w:r>
          </w:p>
        </w:tc>
      </w:tr>
      <w:tr w:rsidR="000C7ADC" w:rsidRPr="003D7162" w14:paraId="089AE675" w14:textId="77777777" w:rsidTr="00FC161A">
        <w:tc>
          <w:tcPr>
            <w:tcW w:w="1615" w:type="dxa"/>
          </w:tcPr>
          <w:p w14:paraId="13DBF2D0"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1</w:t>
            </w:r>
          </w:p>
        </w:tc>
        <w:tc>
          <w:tcPr>
            <w:tcW w:w="7735" w:type="dxa"/>
          </w:tcPr>
          <w:p w14:paraId="77FEE4C2"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 xml:space="preserve">Member of Faculty of Universidad Peruana Cayetano Heredia since 1990. Technical officer at the Ministry of Economy and Finances since 2007. Specialist in the implementation of Results-Based Budgeting Programs.  </w:t>
            </w:r>
          </w:p>
        </w:tc>
      </w:tr>
      <w:tr w:rsidR="000C7ADC" w:rsidRPr="003D7162" w14:paraId="44F0BC64" w14:textId="77777777" w:rsidTr="00FC161A">
        <w:tc>
          <w:tcPr>
            <w:tcW w:w="1615" w:type="dxa"/>
          </w:tcPr>
          <w:p w14:paraId="3987D345"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2</w:t>
            </w:r>
          </w:p>
        </w:tc>
        <w:tc>
          <w:tcPr>
            <w:tcW w:w="7735" w:type="dxa"/>
          </w:tcPr>
          <w:p w14:paraId="2AC0E3D2" w14:textId="77777777" w:rsidR="000C7ADC" w:rsidRPr="003D7162" w:rsidRDefault="000C7ADC" w:rsidP="00FC161A">
            <w:pPr>
              <w:spacing w:line="276" w:lineRule="auto"/>
              <w:contextualSpacing/>
              <w:rPr>
                <w:rFonts w:ascii="Helvetica" w:hAnsi="Helvetica" w:cs="Helvetica"/>
                <w:sz w:val="22"/>
                <w:szCs w:val="22"/>
              </w:rPr>
            </w:pPr>
            <w:r w:rsidRPr="003D7162">
              <w:rPr>
                <w:rFonts w:ascii="Helvetica" w:hAnsi="Helvetica" w:cs="Helvetica"/>
                <w:sz w:val="22"/>
                <w:szCs w:val="22"/>
              </w:rPr>
              <w:t xml:space="preserve">Medical doctor and public health expert. Former member of technical teams at the Ministry of Economy and Finances, Ministry of Health, and Ministry of Development and Social Inclusion. Former Vice-Minister of Policies and Social Evaluation at MIDIS. </w:t>
            </w:r>
          </w:p>
        </w:tc>
      </w:tr>
      <w:tr w:rsidR="000C7ADC" w:rsidRPr="003D7162" w14:paraId="6D88AEC6" w14:textId="77777777" w:rsidTr="00FC161A">
        <w:tc>
          <w:tcPr>
            <w:tcW w:w="1615" w:type="dxa"/>
          </w:tcPr>
          <w:p w14:paraId="62781EA5"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3</w:t>
            </w:r>
          </w:p>
        </w:tc>
        <w:tc>
          <w:tcPr>
            <w:tcW w:w="7735" w:type="dxa"/>
          </w:tcPr>
          <w:p w14:paraId="353C835F"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Former technical officer at the Ministry of Health. Key member of the team that developed the causal conceptual framework for child stunting. Former member of technical team of the Ministry of Economy and Finances that implemented the Results-Based Budgeting Programs (</w:t>
            </w:r>
            <w:r w:rsidRPr="003D7162">
              <w:rPr>
                <w:rFonts w:ascii="Helvetica" w:hAnsi="Helvetica" w:cs="Helvetica"/>
                <w:i/>
                <w:sz w:val="22"/>
                <w:szCs w:val="22"/>
              </w:rPr>
              <w:t>Presupuesto por Resultados, PPR</w:t>
            </w:r>
            <w:r w:rsidRPr="003D7162">
              <w:rPr>
                <w:rFonts w:ascii="Helvetica" w:hAnsi="Helvetica" w:cs="Helvetica"/>
                <w:sz w:val="22"/>
                <w:szCs w:val="22"/>
              </w:rPr>
              <w:t>). Experience in design and implementation of two PPR programs: the Articulated Nutrition Program and the Strategic Maternal-Neonatal Program.</w:t>
            </w:r>
          </w:p>
        </w:tc>
      </w:tr>
      <w:tr w:rsidR="000C7ADC" w:rsidRPr="003D7162" w14:paraId="1921C215" w14:textId="77777777" w:rsidTr="00FC161A">
        <w:tc>
          <w:tcPr>
            <w:tcW w:w="1615" w:type="dxa"/>
          </w:tcPr>
          <w:p w14:paraId="2FA5C4E9"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4</w:t>
            </w:r>
          </w:p>
        </w:tc>
        <w:tc>
          <w:tcPr>
            <w:tcW w:w="7735" w:type="dxa"/>
          </w:tcPr>
          <w:p w14:paraId="057FF68A"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Specialist in Public Nutrition. Member of the Ministry of Economy and Finances. Former technical member of the National Institute of Statistics and Computing (</w:t>
            </w:r>
            <w:r w:rsidRPr="003D7162">
              <w:rPr>
                <w:rFonts w:ascii="Helvetica" w:hAnsi="Helvetica" w:cs="Helvetica"/>
                <w:i/>
                <w:sz w:val="22"/>
                <w:szCs w:val="22"/>
              </w:rPr>
              <w:t>Instituto Nacional de Estadística e Informática, INEI</w:t>
            </w:r>
            <w:r w:rsidRPr="003D7162">
              <w:rPr>
                <w:rFonts w:ascii="Helvetica" w:hAnsi="Helvetica" w:cs="Helvetica"/>
                <w:sz w:val="22"/>
                <w:szCs w:val="22"/>
              </w:rPr>
              <w:t>). Former member of UNICEF, specifically involved in aspects related to child stunting.</w:t>
            </w:r>
          </w:p>
        </w:tc>
      </w:tr>
      <w:tr w:rsidR="000C7ADC" w:rsidRPr="003D7162" w14:paraId="5BF23056" w14:textId="77777777" w:rsidTr="00FC161A">
        <w:tc>
          <w:tcPr>
            <w:tcW w:w="1615" w:type="dxa"/>
          </w:tcPr>
          <w:p w14:paraId="3F1F7114"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5</w:t>
            </w:r>
          </w:p>
        </w:tc>
        <w:tc>
          <w:tcPr>
            <w:tcW w:w="7735" w:type="dxa"/>
          </w:tcPr>
          <w:p w14:paraId="3441D0C0" w14:textId="77777777" w:rsidR="000C7ADC" w:rsidRPr="003D7162" w:rsidRDefault="000C7ADC" w:rsidP="00FC161A">
            <w:pPr>
              <w:spacing w:line="276" w:lineRule="auto"/>
              <w:contextualSpacing/>
              <w:rPr>
                <w:rFonts w:ascii="Helvetica" w:hAnsi="Helvetica" w:cs="Helvetica"/>
                <w:sz w:val="22"/>
                <w:szCs w:val="22"/>
              </w:rPr>
            </w:pPr>
            <w:r w:rsidRPr="003D7162">
              <w:rPr>
                <w:rFonts w:ascii="Helvetica" w:hAnsi="Helvetica" w:cs="Helvetica"/>
                <w:sz w:val="22"/>
                <w:szCs w:val="22"/>
              </w:rPr>
              <w:t>Pediatrician. Former technical officer of UNICEF and advisor in child health and nutrition for the Ministry of Health. Currently, independent advisor to the United Nations World Food Program.</w:t>
            </w:r>
            <w:r w:rsidRPr="003D7162">
              <w:rPr>
                <w:rFonts w:ascii="Helvetica" w:hAnsi="Helvetica" w:cs="Helvetica"/>
                <w:sz w:val="22"/>
                <w:szCs w:val="22"/>
                <w:vertAlign w:val="superscript"/>
              </w:rPr>
              <w:t>1</w:t>
            </w:r>
          </w:p>
        </w:tc>
      </w:tr>
      <w:tr w:rsidR="000C7ADC" w:rsidRPr="003D7162" w14:paraId="458643A7" w14:textId="77777777" w:rsidTr="00FC161A">
        <w:tc>
          <w:tcPr>
            <w:tcW w:w="1615" w:type="dxa"/>
          </w:tcPr>
          <w:p w14:paraId="7535443B"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6</w:t>
            </w:r>
          </w:p>
        </w:tc>
        <w:tc>
          <w:tcPr>
            <w:tcW w:w="7735" w:type="dxa"/>
          </w:tcPr>
          <w:p w14:paraId="17878858"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Anthropologist. Expert in human rights and policy sciences. Member of the Roundtable Against Poverty, where they coordinate social themes, particularly those related to maternal, neonatal and child health and nutrition.</w:t>
            </w:r>
          </w:p>
        </w:tc>
      </w:tr>
      <w:tr w:rsidR="000C7ADC" w:rsidRPr="003D7162" w14:paraId="4CB32FBD" w14:textId="77777777" w:rsidTr="00FC161A">
        <w:tc>
          <w:tcPr>
            <w:tcW w:w="1615" w:type="dxa"/>
          </w:tcPr>
          <w:p w14:paraId="4ADE3389"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7</w:t>
            </w:r>
          </w:p>
        </w:tc>
        <w:tc>
          <w:tcPr>
            <w:tcW w:w="7735" w:type="dxa"/>
          </w:tcPr>
          <w:p w14:paraId="496BEEC1"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Medical doctor and public health specialist, eexperience in primary health care. Formerly member of the International Cooperation Office at the Ministry of Health. From 2007 onwards technical officer at the Pan American Health Organization, where they participate in initiatives related to nutrition, such as the launch of the Pan American Alliance Against Malnutrition</w:t>
            </w:r>
          </w:p>
        </w:tc>
      </w:tr>
      <w:tr w:rsidR="000C7ADC" w:rsidRPr="003D7162" w14:paraId="1D08F651" w14:textId="77777777" w:rsidTr="00FC161A">
        <w:tc>
          <w:tcPr>
            <w:tcW w:w="1615" w:type="dxa"/>
          </w:tcPr>
          <w:p w14:paraId="113B4665"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8</w:t>
            </w:r>
          </w:p>
        </w:tc>
        <w:tc>
          <w:tcPr>
            <w:tcW w:w="7735" w:type="dxa"/>
          </w:tcPr>
          <w:p w14:paraId="2A085747"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Medical doctor. Specialist in Health Administration, social policies, public health and finances. Member of the Ministry of Economy and Finances since 2009, coordinating budgetary support, particularly to programs related to childhood and maternal and child health. From 2009 to 2012 provided support to regional governments and to the Ministry of Health in the costing process of products related to the Articulated Nutrition Program and the Strategic Maternal-Neonatal Program. Former member of the health reform program PARSALUD II. Program of Complementary Feeding for High Risk Groups (</w:t>
            </w:r>
            <w:r w:rsidRPr="003D7162">
              <w:rPr>
                <w:rFonts w:ascii="Helvetica" w:hAnsi="Helvetica" w:cs="Helvetica"/>
                <w:i/>
                <w:sz w:val="22"/>
                <w:szCs w:val="22"/>
              </w:rPr>
              <w:t>Programa de Complementación Alimentaria para Grupos en Mayor Riesgo, Programa de Distribuci</w:t>
            </w:r>
            <w:r w:rsidRPr="003D7162">
              <w:rPr>
                <w:rFonts w:ascii="Helvetica" w:eastAsia="Helvetica" w:hAnsi="Helvetica" w:cs="Helvetica"/>
                <w:i/>
                <w:sz w:val="22"/>
                <w:szCs w:val="22"/>
              </w:rPr>
              <w:t>ón de P</w:t>
            </w:r>
            <w:r w:rsidRPr="003D7162">
              <w:rPr>
                <w:rFonts w:ascii="Helvetica" w:hAnsi="Helvetica" w:cs="Helvetica"/>
                <w:i/>
                <w:sz w:val="22"/>
                <w:szCs w:val="22"/>
              </w:rPr>
              <w:t>apillas</w:t>
            </w:r>
            <w:r w:rsidRPr="003D7162">
              <w:rPr>
                <w:rFonts w:ascii="Helvetica" w:hAnsi="Helvetica" w:cs="Helvetica"/>
                <w:sz w:val="22"/>
                <w:szCs w:val="22"/>
              </w:rPr>
              <w:t>).</w:t>
            </w:r>
          </w:p>
        </w:tc>
      </w:tr>
      <w:tr w:rsidR="000C7ADC" w:rsidRPr="003D7162" w14:paraId="0197C9FA" w14:textId="77777777" w:rsidTr="00FC161A">
        <w:tc>
          <w:tcPr>
            <w:tcW w:w="1615" w:type="dxa"/>
          </w:tcPr>
          <w:p w14:paraId="7BDE4BC0"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9</w:t>
            </w:r>
          </w:p>
        </w:tc>
        <w:tc>
          <w:tcPr>
            <w:tcW w:w="7735" w:type="dxa"/>
          </w:tcPr>
          <w:p w14:paraId="1A0D0C26" w14:textId="77777777" w:rsidR="000C7ADC" w:rsidRPr="003D7162" w:rsidRDefault="000C7ADC" w:rsidP="00FC161A">
            <w:pPr>
              <w:spacing w:line="276" w:lineRule="auto"/>
              <w:contextualSpacing/>
              <w:rPr>
                <w:rFonts w:ascii="Helvetica" w:hAnsi="Helvetica" w:cs="Helvetica"/>
                <w:sz w:val="22"/>
                <w:szCs w:val="22"/>
              </w:rPr>
            </w:pPr>
            <w:r w:rsidRPr="003D7162">
              <w:rPr>
                <w:rFonts w:ascii="Helvetica" w:hAnsi="Helvetica" w:cs="Helvetica"/>
                <w:sz w:val="22"/>
                <w:szCs w:val="22"/>
              </w:rPr>
              <w:t>Economist, Master in Education and Social Work. Current National Director of Care. Member of CARE for 27 years. Coordinator of the Child Malnutrition Initiative (</w:t>
            </w:r>
            <w:r w:rsidRPr="003D7162">
              <w:rPr>
                <w:rFonts w:ascii="Helvetica" w:hAnsi="Helvetica" w:cs="Helvetica"/>
                <w:i/>
                <w:sz w:val="22"/>
                <w:szCs w:val="22"/>
              </w:rPr>
              <w:t>Iniciativa contra la Desnutrici</w:t>
            </w:r>
            <w:r w:rsidRPr="003D7162">
              <w:rPr>
                <w:rFonts w:ascii="Helvetica" w:eastAsia="Helvetica" w:hAnsi="Helvetica" w:cs="Helvetica"/>
                <w:i/>
                <w:sz w:val="22"/>
                <w:szCs w:val="22"/>
              </w:rPr>
              <w:t xml:space="preserve">ón </w:t>
            </w:r>
            <w:r w:rsidRPr="003D7162">
              <w:rPr>
                <w:rFonts w:ascii="Helvetica" w:hAnsi="Helvetica" w:cs="Helvetica"/>
                <w:i/>
                <w:sz w:val="22"/>
                <w:szCs w:val="22"/>
              </w:rPr>
              <w:t>Infantil, IDI</w:t>
            </w:r>
            <w:r w:rsidRPr="003D7162">
              <w:rPr>
                <w:rFonts w:ascii="Helvetica" w:hAnsi="Helvetica" w:cs="Helvetica"/>
                <w:sz w:val="22"/>
                <w:szCs w:val="22"/>
              </w:rPr>
              <w:t>) since its launch in 2006.</w:t>
            </w:r>
          </w:p>
        </w:tc>
      </w:tr>
      <w:tr w:rsidR="000C7ADC" w:rsidRPr="003D7162" w14:paraId="1A10A4FE" w14:textId="77777777" w:rsidTr="00FC161A">
        <w:tc>
          <w:tcPr>
            <w:tcW w:w="1615" w:type="dxa"/>
          </w:tcPr>
          <w:p w14:paraId="372C29D4"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Participant 10</w:t>
            </w:r>
          </w:p>
        </w:tc>
        <w:tc>
          <w:tcPr>
            <w:tcW w:w="7735" w:type="dxa"/>
          </w:tcPr>
          <w:p w14:paraId="344D71B9"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National specialist of Social Protection of the World Bank in Peru. In charge of supervision and technical follow-up during implementation of programs focused on closing the gaps of stunting.</w:t>
            </w:r>
          </w:p>
        </w:tc>
      </w:tr>
    </w:tbl>
    <w:p w14:paraId="0B967580" w14:textId="77777777" w:rsidR="000C7ADC" w:rsidRPr="003D7162" w:rsidRDefault="000C7ADC" w:rsidP="000C7ADC">
      <w:pPr>
        <w:rPr>
          <w:rFonts w:ascii="Helvetica" w:hAnsi="Helvetica" w:cs="Helvetica"/>
          <w:sz w:val="22"/>
          <w:szCs w:val="22"/>
          <w:vertAlign w:val="superscript"/>
        </w:rPr>
      </w:pPr>
      <w:r w:rsidRPr="003D7162">
        <w:rPr>
          <w:rFonts w:ascii="Helvetica" w:hAnsi="Helvetica" w:cs="Helvetica"/>
          <w:i/>
          <w:sz w:val="22"/>
          <w:szCs w:val="22"/>
        </w:rPr>
        <w:t xml:space="preserve">Notes: </w:t>
      </w:r>
      <w:r w:rsidRPr="003D7162">
        <w:rPr>
          <w:rFonts w:ascii="Helvetica" w:hAnsi="Helvetica" w:cs="Helvetica"/>
          <w:i/>
          <w:sz w:val="22"/>
          <w:szCs w:val="22"/>
          <w:vertAlign w:val="superscript"/>
        </w:rPr>
        <w:t xml:space="preserve"> </w:t>
      </w:r>
      <w:r w:rsidRPr="003D7162">
        <w:rPr>
          <w:rFonts w:ascii="Helvetica" w:hAnsi="Helvetica" w:cs="Helvetica"/>
          <w:sz w:val="22"/>
          <w:szCs w:val="22"/>
          <w:vertAlign w:val="superscript"/>
        </w:rPr>
        <w:t>1</w:t>
      </w:r>
      <w:r w:rsidRPr="003D7162">
        <w:rPr>
          <w:rFonts w:ascii="Helvetica" w:hAnsi="Helvetica" w:cs="Helvetica"/>
          <w:sz w:val="22"/>
          <w:szCs w:val="22"/>
        </w:rPr>
        <w:t>This participant was also part of the focus group</w:t>
      </w:r>
    </w:p>
    <w:p w14:paraId="7B13E465" w14:textId="77777777" w:rsidR="000C7ADC" w:rsidRPr="003D7162" w:rsidRDefault="000C7ADC" w:rsidP="000C7ADC">
      <w:pPr>
        <w:rPr>
          <w:rFonts w:ascii="Helvetica" w:hAnsi="Helvetica" w:cs="Helvetica"/>
          <w:sz w:val="22"/>
          <w:szCs w:val="22"/>
        </w:rPr>
      </w:pPr>
    </w:p>
    <w:p w14:paraId="1D56354B" w14:textId="520009E7"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Qualitative Data Analysis</w:t>
      </w:r>
    </w:p>
    <w:p w14:paraId="6688B7A9" w14:textId="75F12D99" w:rsidR="000C7ADC" w:rsidRPr="003D7162" w:rsidRDefault="000C7ADC" w:rsidP="000C7ADC">
      <w:pPr>
        <w:rPr>
          <w:rFonts w:ascii="Helvetica" w:hAnsi="Helvetica" w:cs="Helvetica"/>
          <w:sz w:val="22"/>
          <w:szCs w:val="22"/>
        </w:rPr>
      </w:pPr>
    </w:p>
    <w:p w14:paraId="63EE764F" w14:textId="77777777" w:rsidR="000C7ADC" w:rsidRPr="003D7162" w:rsidRDefault="000C7ADC" w:rsidP="00C14D61">
      <w:pPr>
        <w:spacing w:line="276" w:lineRule="auto"/>
        <w:rPr>
          <w:rFonts w:ascii="Helvetica" w:hAnsi="Helvetica" w:cs="Helvetica"/>
          <w:sz w:val="22"/>
          <w:szCs w:val="22"/>
        </w:rPr>
      </w:pPr>
      <w:r w:rsidRPr="003D7162">
        <w:rPr>
          <w:rFonts w:ascii="Helvetica" w:hAnsi="Helvetica" w:cs="Helvetica"/>
          <w:sz w:val="22"/>
          <w:szCs w:val="22"/>
        </w:rPr>
        <w:t xml:space="preserve">We performed a deductive analysis, using a data discharge matrix where we incorporated the information considered relevant for answering our research question. The analysis of the FGD was performed by two coding persons simultaneously. This allowed the exchange of ideas on the information obtained and the codes to employ. The analysis of the in-depth interviews was performed by one of the coding persons. The main objective of this task was to explore in further detail the role of each institution previously identified as key in the implementation of efforts against stunting, as well as to explore in further detail facilitating factors and barriers in the efforts of stunting reduction. The analysis also tried to identify the remaining challenges that need to be taken into consideration in future efforts against stunting. A third person (the PI of the Peru team) checked the in-depth interviews and the FGD transcriptions to refine the above described analyses. </w:t>
      </w:r>
    </w:p>
    <w:p w14:paraId="406F41FD" w14:textId="77777777" w:rsidR="000C7ADC" w:rsidRPr="003D7162" w:rsidRDefault="000C7ADC" w:rsidP="000C7ADC">
      <w:pPr>
        <w:rPr>
          <w:rFonts w:ascii="Helvetica" w:hAnsi="Helvetica" w:cs="Helvetica"/>
          <w:sz w:val="22"/>
          <w:szCs w:val="22"/>
        </w:rPr>
      </w:pPr>
    </w:p>
    <w:p w14:paraId="2F24012C" w14:textId="77777777" w:rsidR="000C7ADC" w:rsidRPr="003D7162" w:rsidRDefault="000C7ADC">
      <w:pPr>
        <w:spacing w:after="160" w:line="259" w:lineRule="auto"/>
        <w:rPr>
          <w:rFonts w:ascii="Helvetica" w:eastAsiaTheme="majorEastAsia" w:hAnsi="Helvetica" w:cs="Helvetica"/>
          <w:b/>
          <w:sz w:val="28"/>
          <w:szCs w:val="32"/>
          <w:lang w:val="en-US" w:eastAsia="es-ES_tradnl"/>
        </w:rPr>
      </w:pPr>
      <w:r w:rsidRPr="003D7162">
        <w:rPr>
          <w:rFonts w:ascii="Helvetica" w:hAnsi="Helvetica" w:cs="Helvetica"/>
          <w:b/>
        </w:rPr>
        <w:br w:type="page"/>
      </w:r>
    </w:p>
    <w:p w14:paraId="6FA14345" w14:textId="2663480F" w:rsidR="001070CC" w:rsidRPr="003E1E6C" w:rsidRDefault="00D91F4C" w:rsidP="000C7ADC">
      <w:pPr>
        <w:pStyle w:val="Heading1"/>
        <w:rPr>
          <w:rFonts w:ascii="Helvetica" w:hAnsi="Helvetica" w:cs="Helvetica"/>
          <w:b/>
          <w:sz w:val="24"/>
          <w:szCs w:val="24"/>
        </w:rPr>
      </w:pPr>
      <w:bookmarkStart w:id="16" w:name="_Toc40953308"/>
      <w:r>
        <w:rPr>
          <w:rFonts w:ascii="Helvetica" w:hAnsi="Helvetica" w:cs="Helvetica"/>
          <w:b/>
          <w:sz w:val="24"/>
          <w:szCs w:val="24"/>
        </w:rPr>
        <w:t xml:space="preserve">Supplementary </w:t>
      </w:r>
      <w:r w:rsidR="002F0450" w:rsidRPr="003E1E6C">
        <w:rPr>
          <w:rFonts w:ascii="Helvetica" w:hAnsi="Helvetica" w:cs="Helvetica"/>
          <w:b/>
          <w:sz w:val="24"/>
          <w:szCs w:val="24"/>
        </w:rPr>
        <w:t>Appendix 5</w:t>
      </w:r>
      <w:r w:rsidR="001070CC" w:rsidRPr="003E1E6C">
        <w:rPr>
          <w:rFonts w:ascii="Helvetica" w:hAnsi="Helvetica" w:cs="Helvetica"/>
          <w:b/>
          <w:sz w:val="24"/>
          <w:szCs w:val="24"/>
        </w:rPr>
        <w:t xml:space="preserve">: </w:t>
      </w:r>
      <w:r w:rsidR="001070CC" w:rsidRPr="003E1E6C">
        <w:rPr>
          <w:rFonts w:ascii="Helvetica" w:hAnsi="Helvetica" w:cs="Helvetica"/>
          <w:sz w:val="24"/>
          <w:szCs w:val="24"/>
        </w:rPr>
        <w:t>Quantitative Results</w:t>
      </w:r>
      <w:bookmarkEnd w:id="16"/>
    </w:p>
    <w:p w14:paraId="78FEAC17" w14:textId="372B9D69" w:rsidR="001070CC" w:rsidRPr="003D7162" w:rsidRDefault="001070CC" w:rsidP="000C7ADC">
      <w:pPr>
        <w:rPr>
          <w:rFonts w:ascii="Helvetica" w:hAnsi="Helvetica" w:cs="Helvetica"/>
          <w:b/>
        </w:rPr>
      </w:pPr>
    </w:p>
    <w:p w14:paraId="5535A1BD" w14:textId="03A2BE34" w:rsidR="00D5600B" w:rsidRPr="003D7162" w:rsidRDefault="00D91F4C" w:rsidP="000C7ADC">
      <w:pPr>
        <w:pStyle w:val="Heading2"/>
        <w:rPr>
          <w:rFonts w:cs="Helvetica"/>
          <w:szCs w:val="24"/>
        </w:rPr>
      </w:pPr>
      <w:bookmarkStart w:id="17" w:name="_Toc40953309"/>
      <w:r>
        <w:rPr>
          <w:rFonts w:cs="Helvetica"/>
          <w:b/>
          <w:szCs w:val="24"/>
        </w:rPr>
        <w:t xml:space="preserve">Supplementary </w:t>
      </w:r>
      <w:r w:rsidR="002F0450" w:rsidRPr="003D7162">
        <w:rPr>
          <w:rFonts w:cs="Helvetica"/>
          <w:b/>
          <w:szCs w:val="24"/>
        </w:rPr>
        <w:t>Appendix Figure 4</w:t>
      </w:r>
      <w:r>
        <w:rPr>
          <w:rFonts w:cs="Helvetica"/>
          <w:b/>
          <w:szCs w:val="24"/>
        </w:rPr>
        <w:t>A</w:t>
      </w:r>
      <w:r w:rsidR="00D5600B" w:rsidRPr="003D7162">
        <w:rPr>
          <w:rFonts w:cs="Helvetica"/>
          <w:szCs w:val="24"/>
        </w:rPr>
        <w:t xml:space="preserve">: </w:t>
      </w:r>
      <w:r w:rsidR="0090198D">
        <w:rPr>
          <w:rFonts w:cs="Helvetica"/>
          <w:szCs w:val="24"/>
        </w:rPr>
        <w:t xml:space="preserve">Spline analysis of inflection points of change in the slope of HAZ, </w:t>
      </w:r>
      <w:r w:rsidR="00D5600B" w:rsidRPr="003D7162">
        <w:rPr>
          <w:rFonts w:cs="Helvetica"/>
          <w:szCs w:val="24"/>
        </w:rPr>
        <w:t>2000</w:t>
      </w:r>
      <w:bookmarkEnd w:id="17"/>
    </w:p>
    <w:p w14:paraId="058AC560" w14:textId="77777777" w:rsidR="00D5600B" w:rsidRPr="003D7162" w:rsidRDefault="00D5600B" w:rsidP="000C7ADC">
      <w:pPr>
        <w:rPr>
          <w:rFonts w:ascii="Helvetica" w:hAnsi="Helvetica" w:cs="Helvetica"/>
        </w:rPr>
      </w:pPr>
    </w:p>
    <w:p w14:paraId="37C2B510" w14:textId="77777777" w:rsidR="00D5600B" w:rsidRPr="003D7162" w:rsidRDefault="00D5600B" w:rsidP="000C7ADC">
      <w:pPr>
        <w:rPr>
          <w:rFonts w:ascii="Helvetica" w:hAnsi="Helvetica" w:cs="Helvetica"/>
        </w:rPr>
      </w:pPr>
      <w:r w:rsidRPr="003D7162">
        <w:rPr>
          <w:rFonts w:ascii="Helvetica" w:hAnsi="Helvetica" w:cs="Helvetica"/>
          <w:noProof/>
          <w:lang w:val="en-CA" w:eastAsia="en-CA"/>
        </w:rPr>
        <w:drawing>
          <wp:inline distT="0" distB="0" distL="0" distR="0" wp14:anchorId="6E9CFAEF" wp14:editId="17538F40">
            <wp:extent cx="3798093" cy="2762250"/>
            <wp:effectExtent l="0" t="0" r="0" b="0"/>
            <wp:docPr id="40" name="Picture 40" descr="C:\Users\saman brar\Dropbox\Splines\Spline graphs\Peru2000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an brar\Dropbox\Splines\Spline graphs\Peru2000graph.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04882" cy="2767188"/>
                    </a:xfrm>
                    <a:prstGeom prst="rect">
                      <a:avLst/>
                    </a:prstGeom>
                    <a:noFill/>
                    <a:ln>
                      <a:noFill/>
                    </a:ln>
                  </pic:spPr>
                </pic:pic>
              </a:graphicData>
            </a:graphic>
          </wp:inline>
        </w:drawing>
      </w:r>
    </w:p>
    <w:p w14:paraId="45B31687" w14:textId="77777777" w:rsidR="00D5600B" w:rsidRPr="003D7162" w:rsidRDefault="00D5600B" w:rsidP="000C7ADC">
      <w:pPr>
        <w:rPr>
          <w:rFonts w:ascii="Helvetica" w:hAnsi="Helvetica" w:cs="Helvetica"/>
          <w:b/>
        </w:rPr>
      </w:pPr>
    </w:p>
    <w:p w14:paraId="02742578" w14:textId="4E17A29D" w:rsidR="00D5600B" w:rsidRPr="003D7162" w:rsidRDefault="00D91F4C" w:rsidP="000C7ADC">
      <w:pPr>
        <w:pStyle w:val="Heading2"/>
        <w:rPr>
          <w:rFonts w:cs="Helvetica"/>
          <w:szCs w:val="24"/>
        </w:rPr>
      </w:pPr>
      <w:bookmarkStart w:id="18" w:name="_Toc40953310"/>
      <w:r>
        <w:rPr>
          <w:rFonts w:cs="Helvetica"/>
          <w:b/>
          <w:szCs w:val="24"/>
        </w:rPr>
        <w:t xml:space="preserve">Supplementary </w:t>
      </w:r>
      <w:r w:rsidR="002F0450" w:rsidRPr="003D7162">
        <w:rPr>
          <w:rFonts w:cs="Helvetica"/>
          <w:b/>
          <w:szCs w:val="24"/>
        </w:rPr>
        <w:t>Appendix Figure 4</w:t>
      </w:r>
      <w:r>
        <w:rPr>
          <w:rFonts w:cs="Helvetica"/>
          <w:b/>
          <w:szCs w:val="24"/>
        </w:rPr>
        <w:t>B</w:t>
      </w:r>
      <w:r w:rsidR="00D5600B" w:rsidRPr="003D7162">
        <w:rPr>
          <w:rFonts w:cs="Helvetica"/>
          <w:szCs w:val="24"/>
        </w:rPr>
        <w:t xml:space="preserve">: </w:t>
      </w:r>
      <w:r w:rsidR="0090198D">
        <w:rPr>
          <w:rFonts w:cs="Helvetica"/>
          <w:szCs w:val="24"/>
        </w:rPr>
        <w:t xml:space="preserve">Spline analysis of inflection points of change in the slope of HAZ, </w:t>
      </w:r>
      <w:r w:rsidR="00D5600B" w:rsidRPr="003D7162">
        <w:rPr>
          <w:rFonts w:cs="Helvetica"/>
          <w:szCs w:val="24"/>
        </w:rPr>
        <w:t>2007/08</w:t>
      </w:r>
      <w:bookmarkEnd w:id="18"/>
    </w:p>
    <w:p w14:paraId="064FEC1A" w14:textId="77777777" w:rsidR="00AA42ED" w:rsidRPr="003D7162" w:rsidRDefault="00AA42ED" w:rsidP="000C7ADC">
      <w:pPr>
        <w:rPr>
          <w:rFonts w:ascii="Helvetica" w:hAnsi="Helvetica" w:cs="Helvetica"/>
        </w:rPr>
      </w:pPr>
    </w:p>
    <w:p w14:paraId="5A053C02" w14:textId="77777777" w:rsidR="00AA42ED" w:rsidRPr="003D7162" w:rsidRDefault="00D5600B" w:rsidP="000C7ADC">
      <w:pPr>
        <w:rPr>
          <w:rFonts w:ascii="Helvetica" w:hAnsi="Helvetica" w:cs="Helvetica"/>
        </w:rPr>
      </w:pPr>
      <w:r w:rsidRPr="003D7162">
        <w:rPr>
          <w:rFonts w:ascii="Helvetica" w:hAnsi="Helvetica" w:cs="Helvetica"/>
          <w:noProof/>
          <w:lang w:val="en-CA" w:eastAsia="en-CA"/>
        </w:rPr>
        <w:drawing>
          <wp:inline distT="0" distB="0" distL="0" distR="0" wp14:anchorId="7BAB376E" wp14:editId="727A651A">
            <wp:extent cx="3829050" cy="2787469"/>
            <wp:effectExtent l="0" t="0" r="0" b="0"/>
            <wp:docPr id="41" name="Picture 41" descr="C:\Users\saman brar\Dropbox\Splines\Feb 26 Splines - complete years\Peru2008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an brar\Dropbox\Splines\Feb 26 Splines - complete years\Peru2008grap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8013" cy="2793994"/>
                    </a:xfrm>
                    <a:prstGeom prst="rect">
                      <a:avLst/>
                    </a:prstGeom>
                    <a:noFill/>
                    <a:ln>
                      <a:noFill/>
                    </a:ln>
                  </pic:spPr>
                </pic:pic>
              </a:graphicData>
            </a:graphic>
          </wp:inline>
        </w:drawing>
      </w:r>
    </w:p>
    <w:p w14:paraId="359DB5CF" w14:textId="77777777" w:rsidR="00265001" w:rsidRDefault="00265001" w:rsidP="000C7ADC">
      <w:pPr>
        <w:pStyle w:val="Heading2"/>
        <w:rPr>
          <w:rFonts w:cs="Helvetica"/>
          <w:b/>
          <w:szCs w:val="24"/>
        </w:rPr>
      </w:pPr>
    </w:p>
    <w:p w14:paraId="144C280A" w14:textId="1CCB881D" w:rsidR="00265001" w:rsidRDefault="00265001" w:rsidP="000C7ADC">
      <w:pPr>
        <w:pStyle w:val="Heading2"/>
        <w:rPr>
          <w:rFonts w:cs="Helvetica"/>
          <w:b/>
          <w:szCs w:val="24"/>
        </w:rPr>
      </w:pPr>
    </w:p>
    <w:p w14:paraId="47317FA0" w14:textId="77777777" w:rsidR="00265001" w:rsidRPr="00265001" w:rsidRDefault="00265001" w:rsidP="00265001">
      <w:pPr>
        <w:rPr>
          <w:lang w:val="en-US" w:eastAsia="es-ES_tradnl"/>
        </w:rPr>
      </w:pPr>
    </w:p>
    <w:p w14:paraId="0BB1B7C3" w14:textId="77777777" w:rsidR="00265001" w:rsidRDefault="00265001" w:rsidP="000C7ADC">
      <w:pPr>
        <w:pStyle w:val="Heading2"/>
        <w:rPr>
          <w:rFonts w:cs="Helvetica"/>
          <w:b/>
          <w:szCs w:val="24"/>
        </w:rPr>
      </w:pPr>
    </w:p>
    <w:p w14:paraId="1E66DB72" w14:textId="77777777" w:rsidR="00265001" w:rsidRDefault="00265001" w:rsidP="000C7ADC">
      <w:pPr>
        <w:pStyle w:val="Heading2"/>
        <w:rPr>
          <w:rFonts w:cs="Helvetica"/>
          <w:b/>
          <w:szCs w:val="24"/>
        </w:rPr>
      </w:pPr>
    </w:p>
    <w:p w14:paraId="14D3CF7C" w14:textId="77777777" w:rsidR="00265001" w:rsidRDefault="00265001" w:rsidP="000C7ADC">
      <w:pPr>
        <w:pStyle w:val="Heading2"/>
        <w:rPr>
          <w:rFonts w:cs="Helvetica"/>
          <w:b/>
          <w:szCs w:val="24"/>
        </w:rPr>
      </w:pPr>
    </w:p>
    <w:p w14:paraId="59EA85B3" w14:textId="6AFD5C88" w:rsidR="00D5600B" w:rsidRPr="003D7162" w:rsidRDefault="00D91F4C" w:rsidP="000C7ADC">
      <w:pPr>
        <w:pStyle w:val="Heading2"/>
        <w:rPr>
          <w:rFonts w:cs="Helvetica"/>
          <w:szCs w:val="24"/>
        </w:rPr>
      </w:pPr>
      <w:bookmarkStart w:id="19" w:name="_Toc40953311"/>
      <w:r>
        <w:rPr>
          <w:rFonts w:cs="Helvetica"/>
          <w:b/>
          <w:szCs w:val="24"/>
        </w:rPr>
        <w:t xml:space="preserve">Supplementary </w:t>
      </w:r>
      <w:r w:rsidR="002F0450" w:rsidRPr="003D7162">
        <w:rPr>
          <w:rFonts w:cs="Helvetica"/>
          <w:b/>
          <w:szCs w:val="24"/>
        </w:rPr>
        <w:t>Appendix Figure 4</w:t>
      </w:r>
      <w:r>
        <w:rPr>
          <w:rFonts w:cs="Helvetica"/>
          <w:b/>
          <w:szCs w:val="24"/>
        </w:rPr>
        <w:t>C</w:t>
      </w:r>
      <w:r w:rsidR="00D5600B" w:rsidRPr="003D7162">
        <w:rPr>
          <w:rFonts w:cs="Helvetica"/>
          <w:szCs w:val="24"/>
        </w:rPr>
        <w:t xml:space="preserve">: </w:t>
      </w:r>
      <w:r w:rsidR="0090198D">
        <w:rPr>
          <w:rFonts w:cs="Helvetica"/>
          <w:szCs w:val="24"/>
        </w:rPr>
        <w:t xml:space="preserve">Spline analysis of inflection points of change in the slope of HAZ, </w:t>
      </w:r>
      <w:r w:rsidR="00D5600B" w:rsidRPr="003D7162">
        <w:rPr>
          <w:rFonts w:cs="Helvetica"/>
          <w:szCs w:val="24"/>
        </w:rPr>
        <w:t>2016</w:t>
      </w:r>
      <w:bookmarkEnd w:id="19"/>
    </w:p>
    <w:p w14:paraId="15180A02" w14:textId="77777777" w:rsidR="00D5600B" w:rsidRPr="003D7162" w:rsidRDefault="00D5600B" w:rsidP="000C7ADC">
      <w:pPr>
        <w:rPr>
          <w:rFonts w:ascii="Helvetica" w:hAnsi="Helvetica" w:cs="Helvetica"/>
        </w:rPr>
      </w:pPr>
    </w:p>
    <w:p w14:paraId="081332A0" w14:textId="77777777" w:rsidR="000C7ADC" w:rsidRPr="003D7162" w:rsidRDefault="00D5600B" w:rsidP="000C7ADC">
      <w:pPr>
        <w:rPr>
          <w:rFonts w:ascii="Helvetica" w:hAnsi="Helvetica" w:cs="Helvetica"/>
          <w:b/>
        </w:rPr>
      </w:pPr>
      <w:r w:rsidRPr="003D7162">
        <w:rPr>
          <w:rFonts w:ascii="Helvetica" w:hAnsi="Helvetica" w:cs="Helvetica"/>
          <w:noProof/>
          <w:lang w:val="en-CA" w:eastAsia="en-CA"/>
        </w:rPr>
        <w:drawing>
          <wp:inline distT="0" distB="0" distL="0" distR="0" wp14:anchorId="5C85973F" wp14:editId="0C082F05">
            <wp:extent cx="3876675" cy="2819400"/>
            <wp:effectExtent l="0" t="0" r="9525" b="0"/>
            <wp:docPr id="42" name="Picture 42" descr="C:\Users\saman brar\Dropbox\Splines\Spline graphs\Peru2016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an brar\Dropbox\Splines\Spline graphs\Peru2016graph.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4781" cy="2825295"/>
                    </a:xfrm>
                    <a:prstGeom prst="rect">
                      <a:avLst/>
                    </a:prstGeom>
                    <a:noFill/>
                    <a:ln>
                      <a:noFill/>
                    </a:ln>
                  </pic:spPr>
                </pic:pic>
              </a:graphicData>
            </a:graphic>
          </wp:inline>
        </w:drawing>
      </w:r>
    </w:p>
    <w:p w14:paraId="38973256" w14:textId="77777777" w:rsidR="000C7ADC" w:rsidRPr="003D7162" w:rsidRDefault="000C7ADC" w:rsidP="000C7ADC">
      <w:pPr>
        <w:rPr>
          <w:rFonts w:ascii="Helvetica" w:hAnsi="Helvetica" w:cs="Helvetica"/>
          <w:b/>
        </w:rPr>
      </w:pPr>
    </w:p>
    <w:p w14:paraId="5F957B08" w14:textId="77777777" w:rsidR="000C7ADC" w:rsidRPr="003D7162" w:rsidRDefault="000C7ADC">
      <w:pPr>
        <w:spacing w:after="160" w:line="259" w:lineRule="auto"/>
        <w:rPr>
          <w:rFonts w:ascii="Helvetica" w:hAnsi="Helvetica" w:cs="Helvetica"/>
          <w:b/>
        </w:rPr>
      </w:pPr>
      <w:r w:rsidRPr="003D7162">
        <w:rPr>
          <w:rFonts w:ascii="Helvetica" w:hAnsi="Helvetica" w:cs="Helvetica"/>
          <w:b/>
        </w:rPr>
        <w:br w:type="page"/>
      </w:r>
    </w:p>
    <w:p w14:paraId="093C6668" w14:textId="579F1467" w:rsidR="00D5600B" w:rsidRPr="003D7162" w:rsidRDefault="00D91F4C" w:rsidP="000C7ADC">
      <w:pPr>
        <w:pStyle w:val="Heading2"/>
        <w:rPr>
          <w:rFonts w:cs="Helvetica"/>
          <w:szCs w:val="24"/>
        </w:rPr>
      </w:pPr>
      <w:bookmarkStart w:id="20" w:name="_Toc40953312"/>
      <w:r>
        <w:rPr>
          <w:rFonts w:cs="Helvetica"/>
          <w:b/>
          <w:szCs w:val="24"/>
        </w:rPr>
        <w:t xml:space="preserve">Supplementary </w:t>
      </w:r>
      <w:r w:rsidR="000C7ADC" w:rsidRPr="003D7162">
        <w:rPr>
          <w:rFonts w:cs="Helvetica"/>
          <w:b/>
          <w:szCs w:val="24"/>
        </w:rPr>
        <w:t>Appendix Figure 5</w:t>
      </w:r>
      <w:r w:rsidR="00D5600B" w:rsidRPr="003D7162">
        <w:rPr>
          <w:rFonts w:cs="Helvetica"/>
          <w:szCs w:val="24"/>
        </w:rPr>
        <w:t>: Stunting estimates for children under-5 years old from 2005-2016</w:t>
      </w:r>
      <w:bookmarkEnd w:id="20"/>
    </w:p>
    <w:p w14:paraId="6D316A96" w14:textId="77777777" w:rsidR="00D5600B" w:rsidRPr="003D7162" w:rsidRDefault="00D5600B" w:rsidP="000C7ADC">
      <w:pPr>
        <w:ind w:right="-336"/>
        <w:rPr>
          <w:rFonts w:ascii="Helvetica" w:hAnsi="Helvetica" w:cs="Helvetica"/>
        </w:rPr>
      </w:pPr>
      <w:r w:rsidRPr="003D7162">
        <w:rPr>
          <w:rFonts w:ascii="Helvetica" w:hAnsi="Helvetica" w:cs="Helvetica"/>
          <w:noProof/>
          <w:lang w:val="en-CA" w:eastAsia="en-CA"/>
        </w:rPr>
        <w:drawing>
          <wp:anchor distT="0" distB="0" distL="114300" distR="114300" simplePos="0" relativeHeight="251669504" behindDoc="0" locked="0" layoutInCell="1" allowOverlap="1" wp14:anchorId="31009235" wp14:editId="7DF5C85A">
            <wp:simplePos x="0" y="0"/>
            <wp:positionH relativeFrom="margin">
              <wp:posOffset>2583033</wp:posOffset>
            </wp:positionH>
            <wp:positionV relativeFrom="paragraph">
              <wp:posOffset>6222350</wp:posOffset>
            </wp:positionV>
            <wp:extent cx="765544" cy="268211"/>
            <wp:effectExtent l="0" t="0" r="0" b="0"/>
            <wp:wrapNone/>
            <wp:docPr id="49" name="Picture 49"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5544" cy="2682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8480" behindDoc="0" locked="0" layoutInCell="1" allowOverlap="1" wp14:anchorId="59142160" wp14:editId="7451434D">
            <wp:simplePos x="0" y="0"/>
            <wp:positionH relativeFrom="margin">
              <wp:posOffset>709</wp:posOffset>
            </wp:positionH>
            <wp:positionV relativeFrom="paragraph">
              <wp:posOffset>6177516</wp:posOffset>
            </wp:positionV>
            <wp:extent cx="806450" cy="283093"/>
            <wp:effectExtent l="0" t="0" r="0" b="3175"/>
            <wp:wrapNone/>
            <wp:docPr id="24" name="Picture 24"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2050" cy="2885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7456" behindDoc="0" locked="0" layoutInCell="1" allowOverlap="1" wp14:anchorId="6C8FE299" wp14:editId="66F4EAB6">
            <wp:simplePos x="0" y="0"/>
            <wp:positionH relativeFrom="margin">
              <wp:posOffset>1244719</wp:posOffset>
            </wp:positionH>
            <wp:positionV relativeFrom="paragraph">
              <wp:posOffset>6203147</wp:posOffset>
            </wp:positionV>
            <wp:extent cx="765544" cy="268211"/>
            <wp:effectExtent l="0" t="0" r="0" b="0"/>
            <wp:wrapNone/>
            <wp:docPr id="25" name="Picture 25"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7361" cy="2688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59264" behindDoc="0" locked="0" layoutInCell="1" allowOverlap="1" wp14:anchorId="5CDD2DF1" wp14:editId="2C3870FC">
            <wp:simplePos x="0" y="0"/>
            <wp:positionH relativeFrom="margin">
              <wp:posOffset>3879983</wp:posOffset>
            </wp:positionH>
            <wp:positionV relativeFrom="paragraph">
              <wp:posOffset>1952182</wp:posOffset>
            </wp:positionV>
            <wp:extent cx="808410" cy="283781"/>
            <wp:effectExtent l="0" t="0" r="0" b="2540"/>
            <wp:wrapNone/>
            <wp:docPr id="26" name="Picture 26"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410" cy="2837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0288" behindDoc="0" locked="0" layoutInCell="1" allowOverlap="1" wp14:anchorId="0C5345BF" wp14:editId="71A76DD3">
            <wp:simplePos x="0" y="0"/>
            <wp:positionH relativeFrom="margin">
              <wp:posOffset>2536492</wp:posOffset>
            </wp:positionH>
            <wp:positionV relativeFrom="paragraph">
              <wp:posOffset>1948948</wp:posOffset>
            </wp:positionV>
            <wp:extent cx="808410" cy="283781"/>
            <wp:effectExtent l="0" t="0" r="0" b="2540"/>
            <wp:wrapNone/>
            <wp:docPr id="29" name="Picture 29"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410" cy="2837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1312" behindDoc="0" locked="0" layoutInCell="1" allowOverlap="1" wp14:anchorId="3F2D35C2" wp14:editId="447421ED">
            <wp:simplePos x="0" y="0"/>
            <wp:positionH relativeFrom="margin">
              <wp:posOffset>1267460</wp:posOffset>
            </wp:positionH>
            <wp:positionV relativeFrom="paragraph">
              <wp:posOffset>1948209</wp:posOffset>
            </wp:positionV>
            <wp:extent cx="808410" cy="283781"/>
            <wp:effectExtent l="0" t="0" r="0" b="2540"/>
            <wp:wrapNone/>
            <wp:docPr id="31" name="Picture 31"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410" cy="2837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6432" behindDoc="0" locked="0" layoutInCell="1" allowOverlap="1" wp14:anchorId="364661C2" wp14:editId="45210F17">
            <wp:simplePos x="0" y="0"/>
            <wp:positionH relativeFrom="margin">
              <wp:posOffset>-24646</wp:posOffset>
            </wp:positionH>
            <wp:positionV relativeFrom="paragraph">
              <wp:posOffset>1919295</wp:posOffset>
            </wp:positionV>
            <wp:extent cx="808355" cy="283210"/>
            <wp:effectExtent l="0" t="0" r="0" b="2540"/>
            <wp:wrapNone/>
            <wp:docPr id="224" name="Picture 224"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355" cy="283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4384" behindDoc="0" locked="0" layoutInCell="1" allowOverlap="1" wp14:anchorId="204CC75D" wp14:editId="3C8904BD">
            <wp:simplePos x="0" y="0"/>
            <wp:positionH relativeFrom="margin">
              <wp:posOffset>1306371</wp:posOffset>
            </wp:positionH>
            <wp:positionV relativeFrom="paragraph">
              <wp:posOffset>3948633</wp:posOffset>
            </wp:positionV>
            <wp:extent cx="808355" cy="283210"/>
            <wp:effectExtent l="0" t="0" r="0" b="2540"/>
            <wp:wrapNone/>
            <wp:docPr id="225" name="Picture 225"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355" cy="283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3360" behindDoc="0" locked="0" layoutInCell="1" allowOverlap="1" wp14:anchorId="6F87AB36" wp14:editId="42C02DAE">
            <wp:simplePos x="0" y="0"/>
            <wp:positionH relativeFrom="margin">
              <wp:posOffset>2593286</wp:posOffset>
            </wp:positionH>
            <wp:positionV relativeFrom="paragraph">
              <wp:posOffset>3949281</wp:posOffset>
            </wp:positionV>
            <wp:extent cx="808355" cy="283210"/>
            <wp:effectExtent l="0" t="0" r="0" b="2540"/>
            <wp:wrapNone/>
            <wp:docPr id="226" name="Picture 226"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355" cy="283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2336" behindDoc="0" locked="0" layoutInCell="1" allowOverlap="1" wp14:anchorId="61A537D0" wp14:editId="1A5B0AF8">
            <wp:simplePos x="0" y="0"/>
            <wp:positionH relativeFrom="margin">
              <wp:posOffset>3873648</wp:posOffset>
            </wp:positionH>
            <wp:positionV relativeFrom="paragraph">
              <wp:posOffset>3948646</wp:posOffset>
            </wp:positionV>
            <wp:extent cx="808355" cy="283210"/>
            <wp:effectExtent l="0" t="0" r="0" b="2540"/>
            <wp:wrapNone/>
            <wp:docPr id="228" name="Picture 228"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355" cy="283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5408" behindDoc="0" locked="0" layoutInCell="1" allowOverlap="1" wp14:anchorId="31C08EDB" wp14:editId="43353B54">
            <wp:simplePos x="0" y="0"/>
            <wp:positionH relativeFrom="margin">
              <wp:posOffset>0</wp:posOffset>
            </wp:positionH>
            <wp:positionV relativeFrom="paragraph">
              <wp:posOffset>3939256</wp:posOffset>
            </wp:positionV>
            <wp:extent cx="808410" cy="283781"/>
            <wp:effectExtent l="0" t="0" r="0" b="2540"/>
            <wp:wrapNone/>
            <wp:docPr id="229" name="Picture 229"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410" cy="2837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inline distT="0" distB="0" distL="0" distR="0" wp14:anchorId="6C31E233" wp14:editId="50BFB2D1">
            <wp:extent cx="1270986" cy="2205431"/>
            <wp:effectExtent l="0" t="0" r="5715" b="4445"/>
            <wp:docPr id="230" name="Picture 230" descr="C:\Users\nadia akseer\Documents\ASUS Laptop Jan142015\Global Child Health Statistics Work\Stunting Case Studies\Peru\Department Stunting maps\2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adia akseer\Documents\ASUS Laptop Jan142015\Global Child Health Statistics Work\Stunting Case Studies\Peru\Department Stunting maps\2005.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9768" r="44329"/>
                    <a:stretch/>
                  </pic:blipFill>
                  <pic:spPr bwMode="auto">
                    <a:xfrm>
                      <a:off x="0" y="0"/>
                      <a:ext cx="1281529" cy="222372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3D7162">
        <w:rPr>
          <w:rFonts w:ascii="Helvetica" w:hAnsi="Helvetica" w:cs="Helvetica"/>
          <w:noProof/>
          <w:lang w:val="en-CA" w:eastAsia="en-CA"/>
        </w:rPr>
        <w:drawing>
          <wp:inline distT="0" distB="0" distL="0" distR="0" wp14:anchorId="653BD22B" wp14:editId="42FA9815">
            <wp:extent cx="1283376" cy="2219634"/>
            <wp:effectExtent l="0" t="0" r="0" b="9525"/>
            <wp:docPr id="231" name="Picture 231" descr="C:\Users\nadia akseer\Documents\ASUS Laptop Jan142015\Global Child Health Statistics Work\Stunting Case Studies\Peru\Department Stunting maps\2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adia akseer\Documents\ASUS Laptop Jan142015\Global Child Health Statistics Work\Stunting Case Studies\Peru\Department Stunting maps\2006.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633" r="44435"/>
                    <a:stretch/>
                  </pic:blipFill>
                  <pic:spPr bwMode="auto">
                    <a:xfrm>
                      <a:off x="0" y="0"/>
                      <a:ext cx="1293330" cy="223685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3D7162">
        <w:rPr>
          <w:rFonts w:ascii="Helvetica" w:hAnsi="Helvetica" w:cs="Helvetica"/>
          <w:noProof/>
          <w:lang w:val="en-CA" w:eastAsia="en-CA"/>
        </w:rPr>
        <w:drawing>
          <wp:inline distT="0" distB="0" distL="0" distR="0" wp14:anchorId="22A93D04" wp14:editId="51967EB2">
            <wp:extent cx="1299826" cy="2224508"/>
            <wp:effectExtent l="0" t="0" r="0" b="4445"/>
            <wp:docPr id="232" name="Picture 232" descr="C:\Users\nadia akseer\Documents\ASUS Laptop Jan142015\Global Child Health Statistics Work\Stunting Case Studies\Peru\Department Stunting maps\2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adia akseer\Documents\ASUS Laptop Jan142015\Global Child Health Statistics Work\Stunting Case Studies\Peru\Department Stunting maps\2008.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724" r="44252"/>
                    <a:stretch/>
                  </pic:blipFill>
                  <pic:spPr bwMode="auto">
                    <a:xfrm>
                      <a:off x="0" y="0"/>
                      <a:ext cx="1306664" cy="2236211"/>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3D7162">
        <w:rPr>
          <w:rFonts w:ascii="Helvetica" w:hAnsi="Helvetica" w:cs="Helvetica"/>
          <w:noProof/>
          <w:lang w:val="en-CA" w:eastAsia="en-CA"/>
        </w:rPr>
        <w:drawing>
          <wp:inline distT="0" distB="0" distL="0" distR="0" wp14:anchorId="15874E01" wp14:editId="02C83FF4">
            <wp:extent cx="1282486" cy="2223460"/>
            <wp:effectExtent l="0" t="0" r="0" b="5715"/>
            <wp:docPr id="233" name="Picture 233" descr="C:\Users\nadia akseer\Documents\ASUS Laptop Jan142015\Global Child Health Statistics Work\Stunting Case Studies\Peru\Department Stunting maps\2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dia akseer\Documents\ASUS Laptop Jan142015\Global Child Health Statistics Work\Stunting Case Studies\Peru\Department Stunting maps\2009.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0095" r="44344"/>
                    <a:stretch/>
                  </pic:blipFill>
                  <pic:spPr bwMode="auto">
                    <a:xfrm>
                      <a:off x="0" y="0"/>
                      <a:ext cx="1285449" cy="2228597"/>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3D7162">
        <w:rPr>
          <w:rFonts w:ascii="Helvetica" w:hAnsi="Helvetica" w:cs="Helvetica"/>
          <w:noProof/>
          <w:lang w:val="en-CA" w:eastAsia="en-CA"/>
        </w:rPr>
        <w:drawing>
          <wp:inline distT="0" distB="0" distL="0" distR="0" wp14:anchorId="574A20F9" wp14:editId="51DFC62D">
            <wp:extent cx="1280569" cy="2050239"/>
            <wp:effectExtent l="0" t="0" r="0" b="7620"/>
            <wp:docPr id="234" name="Picture 234" descr="C:\Users\nadia akseer\Documents\ASUS Laptop Jan142015\Global Child Health Statistics Work\Stunting Case Studies\Peru\Department Stunting maps\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adia akseer\Documents\ASUS Laptop Jan142015\Global Child Health Statistics Work\Stunting Case Studies\Peru\Department Stunting maps\2010.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9910" r="44344"/>
                    <a:stretch/>
                  </pic:blipFill>
                  <pic:spPr bwMode="auto">
                    <a:xfrm>
                      <a:off x="0" y="0"/>
                      <a:ext cx="1296634" cy="207596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3D7162">
        <w:rPr>
          <w:rFonts w:ascii="Helvetica" w:hAnsi="Helvetica" w:cs="Helvetica"/>
          <w:noProof/>
          <w:lang w:val="en-CA" w:eastAsia="en-CA"/>
        </w:rPr>
        <w:drawing>
          <wp:inline distT="0" distB="0" distL="0" distR="0" wp14:anchorId="10C29566" wp14:editId="13EA36DC">
            <wp:extent cx="1280898" cy="2029729"/>
            <wp:effectExtent l="0" t="0" r="0" b="8890"/>
            <wp:docPr id="235" name="Picture 235" descr="C:\Users\nadia akseer\Documents\ASUS Laptop Jan142015\Global Child Health Statistics Work\Stunting Case Studies\Peru\Department Stunting maps\2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adia akseer\Documents\ASUS Laptop Jan142015\Global Child Health Statistics Work\Stunting Case Studies\Peru\Department Stunting maps\2011.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632" r="44251"/>
                    <a:stretch/>
                  </pic:blipFill>
                  <pic:spPr bwMode="auto">
                    <a:xfrm>
                      <a:off x="0" y="0"/>
                      <a:ext cx="1299679" cy="2059489"/>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3D7162">
        <w:rPr>
          <w:rFonts w:ascii="Helvetica" w:hAnsi="Helvetica" w:cs="Helvetica"/>
          <w:noProof/>
          <w:lang w:val="en-CA" w:eastAsia="en-CA"/>
        </w:rPr>
        <w:drawing>
          <wp:inline distT="0" distB="0" distL="0" distR="0" wp14:anchorId="1B47505E" wp14:editId="19E2F3B4">
            <wp:extent cx="1319732" cy="2118428"/>
            <wp:effectExtent l="0" t="0" r="0" b="0"/>
            <wp:docPr id="236" name="Picture 236" descr="C:\Users\nadia akseer\Documents\ASUS Laptop Jan142015\Global Child Health Statistics Work\Stunting Case Studies\Peru\Department Stunting maps\2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adia akseer\Documents\ASUS Laptop Jan142015\Global Child Health Statistics Work\Stunting Case Studies\Peru\Department Stunting maps\2012.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910" r="44436"/>
                    <a:stretch/>
                  </pic:blipFill>
                  <pic:spPr bwMode="auto">
                    <a:xfrm>
                      <a:off x="0" y="0"/>
                      <a:ext cx="1321432" cy="2121157"/>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3D7162">
        <w:rPr>
          <w:rFonts w:ascii="Helvetica" w:hAnsi="Helvetica" w:cs="Helvetica"/>
          <w:noProof/>
          <w:lang w:val="en-CA" w:eastAsia="en-CA"/>
        </w:rPr>
        <w:drawing>
          <wp:inline distT="0" distB="0" distL="0" distR="0" wp14:anchorId="32ABF3CB" wp14:editId="09B47D74">
            <wp:extent cx="1284356" cy="2093393"/>
            <wp:effectExtent l="0" t="0" r="0" b="254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27351" cy="2163471"/>
                    </a:xfrm>
                    <a:prstGeom prst="rect">
                      <a:avLst/>
                    </a:prstGeom>
                    <a:noFill/>
                    <a:ln>
                      <a:noFill/>
                    </a:ln>
                  </pic:spPr>
                </pic:pic>
              </a:graphicData>
            </a:graphic>
          </wp:inline>
        </w:drawing>
      </w:r>
      <w:r w:rsidRPr="003D7162">
        <w:rPr>
          <w:rFonts w:ascii="Helvetica" w:hAnsi="Helvetica" w:cs="Helvetica"/>
          <w:noProof/>
          <w:lang w:val="en-CA" w:eastAsia="en-CA"/>
        </w:rPr>
        <w:drawing>
          <wp:inline distT="0" distB="0" distL="0" distR="0" wp14:anchorId="6C3D8249" wp14:editId="0EBC1EBD">
            <wp:extent cx="1274013" cy="2117991"/>
            <wp:effectExtent l="0" t="0" r="254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04996" cy="2169499"/>
                    </a:xfrm>
                    <a:prstGeom prst="rect">
                      <a:avLst/>
                    </a:prstGeom>
                    <a:noFill/>
                    <a:ln>
                      <a:noFill/>
                    </a:ln>
                  </pic:spPr>
                </pic:pic>
              </a:graphicData>
            </a:graphic>
          </wp:inline>
        </w:drawing>
      </w:r>
      <w:r w:rsidRPr="003D7162">
        <w:rPr>
          <w:rFonts w:ascii="Helvetica" w:hAnsi="Helvetica" w:cs="Helvetica"/>
          <w:noProof/>
          <w:lang w:val="en-CA" w:eastAsia="en-CA"/>
        </w:rPr>
        <w:drawing>
          <wp:inline distT="0" distB="0" distL="0" distR="0" wp14:anchorId="61F3E1A5" wp14:editId="64245E7E">
            <wp:extent cx="1304852" cy="2120076"/>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38099" cy="2174095"/>
                    </a:xfrm>
                    <a:prstGeom prst="rect">
                      <a:avLst/>
                    </a:prstGeom>
                    <a:noFill/>
                    <a:ln>
                      <a:noFill/>
                    </a:ln>
                  </pic:spPr>
                </pic:pic>
              </a:graphicData>
            </a:graphic>
          </wp:inline>
        </w:drawing>
      </w:r>
      <w:r w:rsidRPr="003D7162">
        <w:rPr>
          <w:rFonts w:ascii="Helvetica" w:hAnsi="Helvetica" w:cs="Helvetica"/>
          <w:noProof/>
          <w:lang w:val="en-CA" w:eastAsia="en-CA"/>
        </w:rPr>
        <w:drawing>
          <wp:inline distT="0" distB="0" distL="0" distR="0" wp14:anchorId="6249E2A9" wp14:editId="478953E5">
            <wp:extent cx="1339702" cy="21050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21346" cy="2233309"/>
                    </a:xfrm>
                    <a:prstGeom prst="rect">
                      <a:avLst/>
                    </a:prstGeom>
                    <a:noFill/>
                    <a:ln>
                      <a:noFill/>
                    </a:ln>
                  </pic:spPr>
                </pic:pic>
              </a:graphicData>
            </a:graphic>
          </wp:inline>
        </w:drawing>
      </w:r>
    </w:p>
    <w:p w14:paraId="1BD2EF49" w14:textId="77777777" w:rsidR="00D5600B" w:rsidRPr="003D7162" w:rsidRDefault="00D5600B" w:rsidP="000C7ADC">
      <w:pPr>
        <w:rPr>
          <w:rFonts w:ascii="Helvetica" w:eastAsia="Times New Roman" w:hAnsi="Helvetica" w:cs="Helvetica"/>
          <w:snapToGrid w:val="0"/>
          <w:color w:val="000000"/>
          <w:w w:val="0"/>
          <w:sz w:val="0"/>
          <w:szCs w:val="0"/>
          <w:u w:color="000000"/>
          <w:bdr w:val="none" w:sz="0" w:space="0" w:color="000000"/>
          <w:shd w:val="clear" w:color="000000" w:fill="000000"/>
          <w:lang w:val="x-none" w:eastAsia="x-none" w:bidi="x-none"/>
        </w:rPr>
      </w:pPr>
      <w:r w:rsidRPr="003D7162">
        <w:rPr>
          <w:rFonts w:ascii="Helvetica" w:eastAsia="Times New Roman" w:hAnsi="Helvetica" w:cs="Helvetica"/>
          <w:snapToGrid w:val="0"/>
          <w:color w:val="000000"/>
          <w:w w:val="0"/>
          <w:sz w:val="0"/>
          <w:szCs w:val="0"/>
          <w:u w:color="000000"/>
          <w:bdr w:val="none" w:sz="0" w:space="0" w:color="000000"/>
          <w:shd w:val="clear" w:color="000000" w:fill="000000"/>
          <w:lang w:val="x-none" w:eastAsia="x-none" w:bidi="x-none"/>
        </w:rPr>
        <w:t xml:space="preserve"> </w:t>
      </w:r>
      <w:r w:rsidRPr="003D7162">
        <w:rPr>
          <w:rFonts w:ascii="Helvetica" w:eastAsia="Times New Roman" w:hAnsi="Helvetica" w:cs="Helvetica"/>
          <w:snapToGrid w:val="0"/>
          <w:color w:val="000000"/>
          <w:w w:val="0"/>
          <w:sz w:val="0"/>
          <w:szCs w:val="0"/>
          <w:u w:color="000000"/>
          <w:bdr w:val="none" w:sz="0" w:space="0" w:color="000000"/>
          <w:shd w:val="clear" w:color="000000" w:fill="000000"/>
          <w:lang w:eastAsia="x-none" w:bidi="x-none"/>
        </w:rPr>
        <w:t>zzz</w:t>
      </w:r>
    </w:p>
    <w:p w14:paraId="436041AD" w14:textId="77777777" w:rsidR="000C7ADC" w:rsidRPr="003D7162" w:rsidRDefault="000C7ADC" w:rsidP="000C7ADC">
      <w:pPr>
        <w:rPr>
          <w:rFonts w:ascii="Helvetica" w:hAnsi="Helvetica" w:cs="Helvetica"/>
          <w:b/>
        </w:rPr>
      </w:pPr>
    </w:p>
    <w:p w14:paraId="30CC361E" w14:textId="77777777" w:rsidR="000C7ADC" w:rsidRPr="003D7162" w:rsidRDefault="000C7ADC" w:rsidP="000C7ADC">
      <w:pPr>
        <w:rPr>
          <w:rFonts w:ascii="Helvetica" w:hAnsi="Helvetica" w:cs="Helvetica"/>
          <w:b/>
        </w:rPr>
      </w:pPr>
    </w:p>
    <w:p w14:paraId="3520DE90" w14:textId="77777777" w:rsidR="000C7ADC" w:rsidRPr="003D7162" w:rsidRDefault="000C7ADC">
      <w:pPr>
        <w:spacing w:after="160" w:line="259" w:lineRule="auto"/>
        <w:rPr>
          <w:rFonts w:ascii="Helvetica" w:hAnsi="Helvetica" w:cs="Helvetica"/>
          <w:b/>
        </w:rPr>
      </w:pPr>
      <w:r w:rsidRPr="003D7162">
        <w:rPr>
          <w:rFonts w:ascii="Helvetica" w:hAnsi="Helvetica" w:cs="Helvetica"/>
          <w:b/>
        </w:rPr>
        <w:br w:type="page"/>
      </w:r>
    </w:p>
    <w:p w14:paraId="4DC052B6" w14:textId="088F13E3" w:rsidR="000C7ADC" w:rsidRPr="003D7162" w:rsidRDefault="00D91F4C" w:rsidP="000C7ADC">
      <w:pPr>
        <w:pStyle w:val="Heading2"/>
        <w:rPr>
          <w:rFonts w:cs="Helvetica"/>
          <w:noProof/>
          <w:szCs w:val="24"/>
        </w:rPr>
      </w:pPr>
      <w:bookmarkStart w:id="21" w:name="_Toc40953313"/>
      <w:r>
        <w:rPr>
          <w:rFonts w:cs="Helvetica"/>
          <w:b/>
          <w:szCs w:val="24"/>
        </w:rPr>
        <w:t xml:space="preserve">Supplementary </w:t>
      </w:r>
      <w:r w:rsidR="000C7ADC" w:rsidRPr="003D7162">
        <w:rPr>
          <w:rFonts w:cs="Helvetica"/>
          <w:b/>
          <w:szCs w:val="24"/>
        </w:rPr>
        <w:t>Appendix Figure 6</w:t>
      </w:r>
      <w:r>
        <w:rPr>
          <w:rFonts w:cs="Helvetica"/>
          <w:b/>
          <w:szCs w:val="24"/>
        </w:rPr>
        <w:t>A</w:t>
      </w:r>
      <w:r w:rsidR="000C7ADC" w:rsidRPr="003D7162">
        <w:rPr>
          <w:rFonts w:cs="Helvetica"/>
          <w:noProof/>
          <w:szCs w:val="24"/>
        </w:rPr>
        <w:t>: Change in absolute SII by year in Peru</w:t>
      </w:r>
      <w:bookmarkEnd w:id="21"/>
    </w:p>
    <w:p w14:paraId="6631E8AE" w14:textId="77777777" w:rsidR="000C7ADC" w:rsidRPr="003D7162" w:rsidRDefault="000C7ADC" w:rsidP="000C7ADC">
      <w:pPr>
        <w:tabs>
          <w:tab w:val="left" w:pos="6505"/>
        </w:tabs>
        <w:rPr>
          <w:rFonts w:ascii="Helvetica" w:hAnsi="Helvetica" w:cs="Helvetica"/>
        </w:rPr>
      </w:pPr>
      <w:r w:rsidRPr="003D7162">
        <w:rPr>
          <w:rFonts w:ascii="Helvetica" w:hAnsi="Helvetica" w:cs="Helvetica"/>
          <w:noProof/>
          <w:lang w:val="en-CA" w:eastAsia="en-CA"/>
        </w:rPr>
        <w:drawing>
          <wp:inline distT="0" distB="0" distL="0" distR="0" wp14:anchorId="64A79584" wp14:editId="0C1FE75C">
            <wp:extent cx="4603898" cy="3350782"/>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07342" cy="3353288"/>
                    </a:xfrm>
                    <a:prstGeom prst="rect">
                      <a:avLst/>
                    </a:prstGeom>
                    <a:noFill/>
                    <a:ln>
                      <a:noFill/>
                    </a:ln>
                  </pic:spPr>
                </pic:pic>
              </a:graphicData>
            </a:graphic>
          </wp:inline>
        </w:drawing>
      </w:r>
    </w:p>
    <w:p w14:paraId="23B84FE0" w14:textId="77777777" w:rsidR="000C7ADC" w:rsidRPr="003D7162" w:rsidRDefault="000C7ADC" w:rsidP="000C7ADC">
      <w:pPr>
        <w:tabs>
          <w:tab w:val="left" w:pos="6505"/>
        </w:tabs>
        <w:rPr>
          <w:rFonts w:ascii="Helvetica" w:hAnsi="Helvetica" w:cs="Helvetica"/>
        </w:rPr>
      </w:pPr>
    </w:p>
    <w:p w14:paraId="70DD1718" w14:textId="155C761E" w:rsidR="000C7ADC" w:rsidRPr="003D7162" w:rsidRDefault="00D91F4C" w:rsidP="000C7ADC">
      <w:pPr>
        <w:pStyle w:val="Heading2"/>
        <w:rPr>
          <w:rFonts w:cs="Helvetica"/>
          <w:noProof/>
          <w:szCs w:val="24"/>
        </w:rPr>
      </w:pPr>
      <w:bookmarkStart w:id="22" w:name="_Toc40953314"/>
      <w:r>
        <w:rPr>
          <w:rFonts w:cs="Helvetica"/>
          <w:b/>
          <w:szCs w:val="24"/>
        </w:rPr>
        <w:t xml:space="preserve">Supplementary </w:t>
      </w:r>
      <w:r w:rsidR="000C7ADC" w:rsidRPr="003D7162">
        <w:rPr>
          <w:rFonts w:cs="Helvetica"/>
          <w:b/>
          <w:szCs w:val="24"/>
        </w:rPr>
        <w:t>Appendix Figure 6</w:t>
      </w:r>
      <w:r>
        <w:rPr>
          <w:rFonts w:cs="Helvetica"/>
          <w:b/>
          <w:szCs w:val="24"/>
        </w:rPr>
        <w:t>B</w:t>
      </w:r>
      <w:r w:rsidR="000C7ADC" w:rsidRPr="003D7162">
        <w:rPr>
          <w:rFonts w:cs="Helvetica"/>
          <w:noProof/>
          <w:szCs w:val="24"/>
        </w:rPr>
        <w:t>: Change in relative CIX by year in Peru</w:t>
      </w:r>
      <w:bookmarkEnd w:id="22"/>
    </w:p>
    <w:p w14:paraId="6CCBE1F0" w14:textId="77777777" w:rsidR="000C7ADC" w:rsidRPr="003D7162" w:rsidRDefault="000C7ADC" w:rsidP="000C7ADC">
      <w:pPr>
        <w:rPr>
          <w:rFonts w:ascii="Helvetica" w:hAnsi="Helvetica" w:cs="Helvetica"/>
          <w:b/>
          <w:color w:val="000000" w:themeColor="text1"/>
        </w:rPr>
        <w:sectPr w:rsidR="000C7ADC" w:rsidRPr="003D7162" w:rsidSect="001070CC">
          <w:headerReference w:type="default" r:id="rId28"/>
          <w:pgSz w:w="11900" w:h="16840"/>
          <w:pgMar w:top="1417" w:right="1701" w:bottom="1417" w:left="1701" w:header="708" w:footer="708" w:gutter="0"/>
          <w:cols w:space="708"/>
          <w:docGrid w:linePitch="360"/>
        </w:sectPr>
      </w:pPr>
      <w:r w:rsidRPr="003D7162">
        <w:rPr>
          <w:rFonts w:ascii="Helvetica" w:hAnsi="Helvetica" w:cs="Helvetica"/>
          <w:noProof/>
          <w:lang w:val="en-CA" w:eastAsia="en-CA"/>
        </w:rPr>
        <w:drawing>
          <wp:inline distT="0" distB="0" distL="0" distR="0" wp14:anchorId="3EFB784F" wp14:editId="504337E7">
            <wp:extent cx="4582632" cy="3335603"/>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90431" cy="3341280"/>
                    </a:xfrm>
                    <a:prstGeom prst="rect">
                      <a:avLst/>
                    </a:prstGeom>
                    <a:noFill/>
                    <a:ln>
                      <a:noFill/>
                    </a:ln>
                  </pic:spPr>
                </pic:pic>
              </a:graphicData>
            </a:graphic>
          </wp:inline>
        </w:drawing>
      </w:r>
    </w:p>
    <w:p w14:paraId="2EC6D370" w14:textId="6684C083" w:rsidR="00D5600B" w:rsidRPr="003D7162" w:rsidRDefault="00D91F4C" w:rsidP="000C7ADC">
      <w:pPr>
        <w:pStyle w:val="Heading2"/>
        <w:rPr>
          <w:rFonts w:cs="Helvetica"/>
          <w:szCs w:val="24"/>
        </w:rPr>
      </w:pPr>
      <w:bookmarkStart w:id="23" w:name="_Toc40953315"/>
      <w:r>
        <w:rPr>
          <w:rFonts w:cs="Helvetica"/>
          <w:b/>
          <w:szCs w:val="24"/>
        </w:rPr>
        <w:t xml:space="preserve">Supplementary </w:t>
      </w:r>
      <w:r w:rsidR="005179DF" w:rsidRPr="003D7162">
        <w:rPr>
          <w:rFonts w:cs="Helvetica"/>
          <w:b/>
          <w:szCs w:val="24"/>
        </w:rPr>
        <w:t xml:space="preserve">Appendix </w:t>
      </w:r>
      <w:r w:rsidR="000C7ADC" w:rsidRPr="003D7162">
        <w:rPr>
          <w:rFonts w:cs="Helvetica"/>
          <w:b/>
          <w:szCs w:val="24"/>
        </w:rPr>
        <w:t>Figure 7</w:t>
      </w:r>
      <w:r>
        <w:rPr>
          <w:rFonts w:cs="Helvetica"/>
          <w:b/>
          <w:szCs w:val="24"/>
        </w:rPr>
        <w:t>A</w:t>
      </w:r>
      <w:r w:rsidR="00D5600B" w:rsidRPr="003D7162">
        <w:rPr>
          <w:rFonts w:cs="Helvetica"/>
          <w:szCs w:val="24"/>
        </w:rPr>
        <w:t>: Stunting prevalence by gender, 1992/93 – 2017</w:t>
      </w:r>
      <w:bookmarkEnd w:id="23"/>
    </w:p>
    <w:p w14:paraId="712C3D1D" w14:textId="579F0E2B" w:rsidR="00D5600B" w:rsidRPr="003D7162" w:rsidRDefault="00D5600B" w:rsidP="000C7ADC">
      <w:pPr>
        <w:rPr>
          <w:rFonts w:ascii="Helvetica" w:hAnsi="Helvetica" w:cs="Helvetica"/>
        </w:rPr>
      </w:pPr>
      <w:r w:rsidRPr="003D7162">
        <w:rPr>
          <w:rFonts w:ascii="Helvetica" w:hAnsi="Helvetica" w:cs="Helvetica"/>
          <w:noProof/>
          <w:lang w:val="en-CA" w:eastAsia="en-CA"/>
        </w:rPr>
        <w:drawing>
          <wp:inline distT="0" distB="0" distL="0" distR="0" wp14:anchorId="7A64649C" wp14:editId="7874AE81">
            <wp:extent cx="4370011" cy="3179135"/>
            <wp:effectExtent l="0" t="0" r="0" b="2540"/>
            <wp:docPr id="45" name="Picture 45" descr="C:\Users\saman brar\AppData\Local\Microsoft\Windows\INetCache\Content.Outlook\1IWHG3VL\Gender. PE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an brar\AppData\Local\Microsoft\Windows\INetCache\Content.Outlook\1IWHG3VL\Gender. PERU.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2552" cy="3188258"/>
                    </a:xfrm>
                    <a:prstGeom prst="rect">
                      <a:avLst/>
                    </a:prstGeom>
                    <a:noFill/>
                    <a:ln>
                      <a:noFill/>
                    </a:ln>
                  </pic:spPr>
                </pic:pic>
              </a:graphicData>
            </a:graphic>
          </wp:inline>
        </w:drawing>
      </w:r>
    </w:p>
    <w:p w14:paraId="11CA01E9" w14:textId="4167E7A9" w:rsidR="005179DF" w:rsidRPr="003D7162" w:rsidRDefault="005179DF" w:rsidP="000C7ADC">
      <w:pPr>
        <w:rPr>
          <w:rFonts w:ascii="Helvetica" w:hAnsi="Helvetica" w:cs="Helvetica"/>
        </w:rPr>
      </w:pPr>
    </w:p>
    <w:p w14:paraId="07DF6EF2" w14:textId="1BFC61C1" w:rsidR="005179DF" w:rsidRPr="003D7162" w:rsidRDefault="00D91F4C" w:rsidP="000C7ADC">
      <w:pPr>
        <w:pStyle w:val="Heading2"/>
        <w:rPr>
          <w:rFonts w:cs="Helvetica"/>
          <w:szCs w:val="24"/>
        </w:rPr>
      </w:pPr>
      <w:bookmarkStart w:id="24" w:name="_Toc40953316"/>
      <w:r>
        <w:rPr>
          <w:rFonts w:cs="Helvetica"/>
          <w:b/>
          <w:szCs w:val="24"/>
        </w:rPr>
        <w:t xml:space="preserve">Supplementary </w:t>
      </w:r>
      <w:r w:rsidR="000C7ADC" w:rsidRPr="003D7162">
        <w:rPr>
          <w:rFonts w:cs="Helvetica"/>
          <w:b/>
          <w:szCs w:val="24"/>
        </w:rPr>
        <w:t>Appendix</w:t>
      </w:r>
      <w:r w:rsidR="0094720F" w:rsidRPr="003D7162">
        <w:rPr>
          <w:rFonts w:cs="Helvetica"/>
          <w:b/>
          <w:szCs w:val="24"/>
        </w:rPr>
        <w:t xml:space="preserve"> Figure 7</w:t>
      </w:r>
      <w:r>
        <w:rPr>
          <w:rFonts w:cs="Helvetica"/>
          <w:b/>
          <w:szCs w:val="24"/>
        </w:rPr>
        <w:t>B</w:t>
      </w:r>
      <w:r w:rsidR="005179DF" w:rsidRPr="003D7162">
        <w:rPr>
          <w:rFonts w:cs="Helvetica"/>
          <w:szCs w:val="24"/>
        </w:rPr>
        <w:t xml:space="preserve">: Stunting prevalence by </w:t>
      </w:r>
      <w:r w:rsidR="005179DF" w:rsidRPr="003D7162">
        <w:rPr>
          <w:rFonts w:cs="Helvetica"/>
          <w:color w:val="000000" w:themeColor="text1"/>
          <w:szCs w:val="24"/>
        </w:rPr>
        <w:t>geographic región</w:t>
      </w:r>
      <w:r w:rsidR="005179DF" w:rsidRPr="003D7162">
        <w:rPr>
          <w:rFonts w:cs="Helvetica"/>
          <w:szCs w:val="24"/>
        </w:rPr>
        <w:t>, 2000 – 2016</w:t>
      </w:r>
      <w:bookmarkEnd w:id="24"/>
    </w:p>
    <w:p w14:paraId="68A7C939" w14:textId="65ED608F" w:rsidR="005179DF" w:rsidRPr="003D7162" w:rsidRDefault="005179DF" w:rsidP="000C7ADC">
      <w:pPr>
        <w:rPr>
          <w:rFonts w:ascii="Helvetica" w:hAnsi="Helvetica" w:cs="Helvetica"/>
        </w:rPr>
      </w:pPr>
    </w:p>
    <w:p w14:paraId="5E9E4CE0" w14:textId="79F82209" w:rsidR="005179DF" w:rsidRPr="003D7162" w:rsidRDefault="005179DF" w:rsidP="000C7ADC">
      <w:pPr>
        <w:rPr>
          <w:rFonts w:ascii="Helvetica" w:hAnsi="Helvetica" w:cs="Helvetica"/>
        </w:rPr>
        <w:sectPr w:rsidR="005179DF" w:rsidRPr="003D7162" w:rsidSect="001070CC">
          <w:pgSz w:w="11900" w:h="16840"/>
          <w:pgMar w:top="1417" w:right="1701" w:bottom="1417" w:left="1701" w:header="708" w:footer="708" w:gutter="0"/>
          <w:cols w:space="708"/>
          <w:docGrid w:linePitch="360"/>
        </w:sectPr>
      </w:pPr>
      <w:r w:rsidRPr="003D7162">
        <w:rPr>
          <w:rFonts w:ascii="Helvetica" w:hAnsi="Helvetica" w:cs="Helvetica"/>
          <w:noProof/>
          <w:lang w:val="en-CA" w:eastAsia="en-CA"/>
        </w:rPr>
        <w:drawing>
          <wp:inline distT="0" distB="0" distL="0" distR="0" wp14:anchorId="3F3EAC5B" wp14:editId="6266E6EA">
            <wp:extent cx="4486939" cy="3264199"/>
            <wp:effectExtent l="0" t="0" r="8890" b="0"/>
            <wp:docPr id="1" name="Picture 1" descr="C:\Users\saman brar\AppData\Local\Microsoft\Windows\INetCache\Content.Outlook\1IWHG3VL\Geographic region. PE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an brar\AppData\Local\Microsoft\Windows\INetCache\Content.Outlook\1IWHG3VL\Geographic region. PERU.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89150" cy="3265807"/>
                    </a:xfrm>
                    <a:prstGeom prst="rect">
                      <a:avLst/>
                    </a:prstGeom>
                    <a:noFill/>
                    <a:ln>
                      <a:noFill/>
                    </a:ln>
                  </pic:spPr>
                </pic:pic>
              </a:graphicData>
            </a:graphic>
          </wp:inline>
        </w:drawing>
      </w:r>
    </w:p>
    <w:p w14:paraId="6A5E5B04" w14:textId="0196CA80" w:rsidR="00D5600B" w:rsidRPr="003D7162" w:rsidRDefault="00D91F4C" w:rsidP="000C7ADC">
      <w:pPr>
        <w:pStyle w:val="Heading2"/>
        <w:rPr>
          <w:rFonts w:cs="Helvetica"/>
          <w:szCs w:val="24"/>
        </w:rPr>
      </w:pPr>
      <w:bookmarkStart w:id="25" w:name="_Toc548955"/>
      <w:bookmarkStart w:id="26" w:name="_Toc40953317"/>
      <w:r>
        <w:rPr>
          <w:rFonts w:cs="Helvetica"/>
          <w:b/>
          <w:szCs w:val="24"/>
        </w:rPr>
        <w:t xml:space="preserve">Supplementary </w:t>
      </w:r>
      <w:r w:rsidR="00D5600B"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3</w:t>
      </w:r>
      <w:r w:rsidR="00D5600B" w:rsidRPr="003D7162">
        <w:rPr>
          <w:rFonts w:cs="Helvetica"/>
          <w:b/>
          <w:szCs w:val="24"/>
        </w:rPr>
        <w:t>:</w:t>
      </w:r>
      <w:r w:rsidR="00D5600B" w:rsidRPr="003D7162">
        <w:rPr>
          <w:rFonts w:cs="Helvetica"/>
          <w:szCs w:val="24"/>
        </w:rPr>
        <w:t xml:space="preserve"> </w:t>
      </w:r>
      <w:bookmarkEnd w:id="25"/>
      <w:r w:rsidR="00D5600B" w:rsidRPr="003D7162">
        <w:rPr>
          <w:rFonts w:cs="Helvetica"/>
          <w:szCs w:val="24"/>
        </w:rPr>
        <w:t>Descriptive trends in stunting determinants in children &lt;5 years 2000, 2007/08, 2016</w:t>
      </w:r>
      <w:bookmarkEnd w:id="26"/>
      <w:r w:rsidR="00D5600B" w:rsidRPr="003D7162">
        <w:rPr>
          <w:rFonts w:cs="Helvetica"/>
          <w:szCs w:val="24"/>
        </w:rPr>
        <w:t xml:space="preserve"> </w:t>
      </w:r>
    </w:p>
    <w:tbl>
      <w:tblPr>
        <w:tblW w:w="9878" w:type="dxa"/>
        <w:tblLook w:val="04A0" w:firstRow="1" w:lastRow="0" w:firstColumn="1" w:lastColumn="0" w:noHBand="0" w:noVBand="1"/>
      </w:tblPr>
      <w:tblGrid>
        <w:gridCol w:w="1940"/>
        <w:gridCol w:w="939"/>
        <w:gridCol w:w="939"/>
        <w:gridCol w:w="956"/>
        <w:gridCol w:w="950"/>
        <w:gridCol w:w="834"/>
        <w:gridCol w:w="950"/>
        <w:gridCol w:w="834"/>
        <w:gridCol w:w="950"/>
        <w:gridCol w:w="834"/>
      </w:tblGrid>
      <w:tr w:rsidR="00D5600B" w:rsidRPr="003D7162" w14:paraId="005BC20D" w14:textId="77777777" w:rsidTr="001070CC">
        <w:trPr>
          <w:trHeight w:val="975"/>
        </w:trPr>
        <w:tc>
          <w:tcPr>
            <w:tcW w:w="1928" w:type="dxa"/>
            <w:vMerge w:val="restart"/>
            <w:tcBorders>
              <w:top w:val="single" w:sz="4" w:space="0" w:color="auto"/>
              <w:left w:val="single" w:sz="4" w:space="0" w:color="auto"/>
              <w:bottom w:val="single" w:sz="4" w:space="0" w:color="000000"/>
              <w:right w:val="single" w:sz="4" w:space="0" w:color="auto"/>
            </w:tcBorders>
            <w:shd w:val="clear" w:color="000000" w:fill="808080"/>
            <w:vAlign w:val="center"/>
            <w:hideMark/>
          </w:tcPr>
          <w:p w14:paraId="40D689A3"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Domain/Indicator</w:t>
            </w:r>
          </w:p>
        </w:tc>
        <w:tc>
          <w:tcPr>
            <w:tcW w:w="7950" w:type="dxa"/>
            <w:gridSpan w:val="9"/>
            <w:tcBorders>
              <w:top w:val="single" w:sz="4" w:space="0" w:color="auto"/>
              <w:left w:val="nil"/>
              <w:bottom w:val="single" w:sz="4" w:space="0" w:color="auto"/>
              <w:right w:val="single" w:sz="4" w:space="0" w:color="000000"/>
            </w:tcBorders>
            <w:shd w:val="clear" w:color="000000" w:fill="808080"/>
            <w:vAlign w:val="center"/>
            <w:hideMark/>
          </w:tcPr>
          <w:p w14:paraId="016AFC40"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DHS Survey Year</w:t>
            </w:r>
          </w:p>
        </w:tc>
      </w:tr>
      <w:tr w:rsidR="00D5600B" w:rsidRPr="003D7162" w14:paraId="5972746B" w14:textId="77777777" w:rsidTr="001070CC">
        <w:trPr>
          <w:trHeight w:val="975"/>
        </w:trPr>
        <w:tc>
          <w:tcPr>
            <w:tcW w:w="1928" w:type="dxa"/>
            <w:vMerge/>
            <w:tcBorders>
              <w:top w:val="single" w:sz="4" w:space="0" w:color="auto"/>
              <w:left w:val="single" w:sz="4" w:space="0" w:color="auto"/>
              <w:bottom w:val="single" w:sz="4" w:space="0" w:color="000000"/>
              <w:right w:val="single" w:sz="4" w:space="0" w:color="auto"/>
            </w:tcBorders>
            <w:vAlign w:val="center"/>
            <w:hideMark/>
          </w:tcPr>
          <w:p w14:paraId="5B3012F0" w14:textId="77777777" w:rsidR="00D5600B" w:rsidRPr="003D7162" w:rsidRDefault="00D5600B" w:rsidP="000C7ADC">
            <w:pPr>
              <w:rPr>
                <w:rFonts w:ascii="Helvetica" w:eastAsia="Times New Roman" w:hAnsi="Helvetica" w:cs="Helvetica"/>
                <w:b/>
                <w:bCs/>
                <w:color w:val="FFFFFF"/>
                <w:sz w:val="20"/>
                <w:szCs w:val="20"/>
                <w:lang w:eastAsia="en-US"/>
              </w:rPr>
            </w:pPr>
          </w:p>
        </w:tc>
        <w:tc>
          <w:tcPr>
            <w:tcW w:w="922" w:type="dxa"/>
            <w:tcBorders>
              <w:top w:val="nil"/>
              <w:left w:val="nil"/>
              <w:bottom w:val="nil"/>
              <w:right w:val="single" w:sz="4" w:space="0" w:color="auto"/>
            </w:tcBorders>
            <w:shd w:val="clear" w:color="000000" w:fill="808080"/>
            <w:vAlign w:val="center"/>
            <w:hideMark/>
          </w:tcPr>
          <w:p w14:paraId="5E535896"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2000</w:t>
            </w:r>
          </w:p>
        </w:tc>
        <w:tc>
          <w:tcPr>
            <w:tcW w:w="922" w:type="dxa"/>
            <w:tcBorders>
              <w:top w:val="nil"/>
              <w:left w:val="nil"/>
              <w:bottom w:val="nil"/>
              <w:right w:val="single" w:sz="4" w:space="0" w:color="auto"/>
            </w:tcBorders>
            <w:shd w:val="clear" w:color="000000" w:fill="808080"/>
            <w:vAlign w:val="center"/>
            <w:hideMark/>
          </w:tcPr>
          <w:p w14:paraId="3E7A6D4D"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2007-08</w:t>
            </w:r>
          </w:p>
        </w:tc>
        <w:tc>
          <w:tcPr>
            <w:tcW w:w="1009" w:type="dxa"/>
            <w:tcBorders>
              <w:top w:val="nil"/>
              <w:left w:val="nil"/>
              <w:bottom w:val="nil"/>
              <w:right w:val="single" w:sz="4" w:space="0" w:color="auto"/>
            </w:tcBorders>
            <w:shd w:val="clear" w:color="000000" w:fill="808080"/>
            <w:vAlign w:val="center"/>
            <w:hideMark/>
          </w:tcPr>
          <w:p w14:paraId="79BFF1A5"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2016</w:t>
            </w:r>
          </w:p>
        </w:tc>
        <w:tc>
          <w:tcPr>
            <w:tcW w:w="1699" w:type="dxa"/>
            <w:gridSpan w:val="2"/>
            <w:tcBorders>
              <w:top w:val="single" w:sz="4" w:space="0" w:color="auto"/>
              <w:left w:val="nil"/>
              <w:bottom w:val="single" w:sz="4" w:space="0" w:color="auto"/>
              <w:right w:val="single" w:sz="4" w:space="0" w:color="000000"/>
            </w:tcBorders>
            <w:shd w:val="clear" w:color="000000" w:fill="808080"/>
            <w:vAlign w:val="center"/>
            <w:hideMark/>
          </w:tcPr>
          <w:p w14:paraId="53A63C81"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Earlier time period                          (2007-08 - 2000)</w:t>
            </w:r>
          </w:p>
        </w:tc>
        <w:tc>
          <w:tcPr>
            <w:tcW w:w="1699" w:type="dxa"/>
            <w:gridSpan w:val="2"/>
            <w:tcBorders>
              <w:top w:val="single" w:sz="4" w:space="0" w:color="auto"/>
              <w:left w:val="nil"/>
              <w:bottom w:val="single" w:sz="4" w:space="0" w:color="auto"/>
              <w:right w:val="single" w:sz="4" w:space="0" w:color="000000"/>
            </w:tcBorders>
            <w:shd w:val="clear" w:color="000000" w:fill="808080"/>
            <w:vAlign w:val="center"/>
            <w:hideMark/>
          </w:tcPr>
          <w:p w14:paraId="2B6BFA8E"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Later time period                               (2016 - 2007-08 )</w:t>
            </w:r>
          </w:p>
        </w:tc>
        <w:tc>
          <w:tcPr>
            <w:tcW w:w="1699" w:type="dxa"/>
            <w:gridSpan w:val="2"/>
            <w:tcBorders>
              <w:top w:val="single" w:sz="4" w:space="0" w:color="auto"/>
              <w:left w:val="nil"/>
              <w:bottom w:val="single" w:sz="4" w:space="0" w:color="auto"/>
              <w:right w:val="single" w:sz="4" w:space="0" w:color="000000"/>
            </w:tcBorders>
            <w:shd w:val="clear" w:color="000000" w:fill="808080"/>
            <w:vAlign w:val="center"/>
            <w:hideMark/>
          </w:tcPr>
          <w:p w14:paraId="6877DD52"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Full time period                                 (2016 - 2000)</w:t>
            </w:r>
          </w:p>
        </w:tc>
      </w:tr>
      <w:tr w:rsidR="00D5600B" w:rsidRPr="003D7162" w14:paraId="2C3F729E" w14:textId="77777777" w:rsidTr="001070CC">
        <w:trPr>
          <w:trHeight w:val="799"/>
        </w:trPr>
        <w:tc>
          <w:tcPr>
            <w:tcW w:w="1928" w:type="dxa"/>
            <w:vMerge/>
            <w:tcBorders>
              <w:top w:val="single" w:sz="4" w:space="0" w:color="auto"/>
              <w:left w:val="single" w:sz="4" w:space="0" w:color="auto"/>
              <w:bottom w:val="single" w:sz="4" w:space="0" w:color="000000"/>
              <w:right w:val="single" w:sz="4" w:space="0" w:color="auto"/>
            </w:tcBorders>
            <w:vAlign w:val="center"/>
            <w:hideMark/>
          </w:tcPr>
          <w:p w14:paraId="16E920B7" w14:textId="77777777" w:rsidR="00D5600B" w:rsidRPr="003D7162" w:rsidRDefault="00D5600B" w:rsidP="000C7ADC">
            <w:pPr>
              <w:rPr>
                <w:rFonts w:ascii="Helvetica" w:eastAsia="Times New Roman" w:hAnsi="Helvetica" w:cs="Helvetica"/>
                <w:b/>
                <w:bCs/>
                <w:color w:val="FFFFFF"/>
                <w:sz w:val="20"/>
                <w:szCs w:val="20"/>
                <w:lang w:eastAsia="en-US"/>
              </w:rPr>
            </w:pPr>
          </w:p>
        </w:tc>
        <w:tc>
          <w:tcPr>
            <w:tcW w:w="922" w:type="dxa"/>
            <w:tcBorders>
              <w:top w:val="nil"/>
              <w:left w:val="nil"/>
              <w:bottom w:val="single" w:sz="4" w:space="0" w:color="auto"/>
              <w:right w:val="single" w:sz="4" w:space="0" w:color="auto"/>
            </w:tcBorders>
            <w:shd w:val="clear" w:color="000000" w:fill="808080"/>
            <w:vAlign w:val="center"/>
            <w:hideMark/>
          </w:tcPr>
          <w:p w14:paraId="0898B8EB"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(n = 8848)</w:t>
            </w:r>
          </w:p>
        </w:tc>
        <w:tc>
          <w:tcPr>
            <w:tcW w:w="922" w:type="dxa"/>
            <w:tcBorders>
              <w:top w:val="nil"/>
              <w:left w:val="nil"/>
              <w:bottom w:val="single" w:sz="4" w:space="0" w:color="auto"/>
              <w:right w:val="single" w:sz="4" w:space="0" w:color="auto"/>
            </w:tcBorders>
            <w:shd w:val="clear" w:color="000000" w:fill="808080"/>
            <w:vAlign w:val="center"/>
            <w:hideMark/>
          </w:tcPr>
          <w:p w14:paraId="65FAB7D5"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 (n = 8289)</w:t>
            </w:r>
          </w:p>
        </w:tc>
        <w:tc>
          <w:tcPr>
            <w:tcW w:w="1009" w:type="dxa"/>
            <w:tcBorders>
              <w:top w:val="nil"/>
              <w:left w:val="nil"/>
              <w:bottom w:val="single" w:sz="4" w:space="0" w:color="auto"/>
              <w:right w:val="single" w:sz="4" w:space="0" w:color="auto"/>
            </w:tcBorders>
            <w:shd w:val="clear" w:color="000000" w:fill="808080"/>
            <w:vAlign w:val="center"/>
            <w:hideMark/>
          </w:tcPr>
          <w:p w14:paraId="5E6B4383"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(n =16999)</w:t>
            </w:r>
          </w:p>
        </w:tc>
        <w:tc>
          <w:tcPr>
            <w:tcW w:w="888" w:type="dxa"/>
            <w:tcBorders>
              <w:top w:val="nil"/>
              <w:left w:val="nil"/>
              <w:bottom w:val="single" w:sz="4" w:space="0" w:color="auto"/>
              <w:right w:val="single" w:sz="4" w:space="0" w:color="auto"/>
            </w:tcBorders>
            <w:shd w:val="clear" w:color="000000" w:fill="808080"/>
            <w:vAlign w:val="center"/>
            <w:hideMark/>
          </w:tcPr>
          <w:p w14:paraId="5409F053"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Change</w:t>
            </w:r>
          </w:p>
        </w:tc>
        <w:tc>
          <w:tcPr>
            <w:tcW w:w="811" w:type="dxa"/>
            <w:tcBorders>
              <w:top w:val="nil"/>
              <w:left w:val="nil"/>
              <w:bottom w:val="single" w:sz="4" w:space="0" w:color="auto"/>
              <w:right w:val="single" w:sz="4" w:space="0" w:color="auto"/>
            </w:tcBorders>
            <w:shd w:val="clear" w:color="000000" w:fill="808080"/>
            <w:vAlign w:val="center"/>
            <w:hideMark/>
          </w:tcPr>
          <w:p w14:paraId="1C558409"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p-value</w:t>
            </w:r>
          </w:p>
        </w:tc>
        <w:tc>
          <w:tcPr>
            <w:tcW w:w="888" w:type="dxa"/>
            <w:tcBorders>
              <w:top w:val="nil"/>
              <w:left w:val="nil"/>
              <w:bottom w:val="single" w:sz="4" w:space="0" w:color="auto"/>
              <w:right w:val="single" w:sz="4" w:space="0" w:color="auto"/>
            </w:tcBorders>
            <w:shd w:val="clear" w:color="000000" w:fill="808080"/>
            <w:vAlign w:val="center"/>
            <w:hideMark/>
          </w:tcPr>
          <w:p w14:paraId="17B7059E"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Change</w:t>
            </w:r>
          </w:p>
        </w:tc>
        <w:tc>
          <w:tcPr>
            <w:tcW w:w="811" w:type="dxa"/>
            <w:tcBorders>
              <w:top w:val="nil"/>
              <w:left w:val="nil"/>
              <w:bottom w:val="single" w:sz="4" w:space="0" w:color="auto"/>
              <w:right w:val="single" w:sz="4" w:space="0" w:color="auto"/>
            </w:tcBorders>
            <w:shd w:val="clear" w:color="000000" w:fill="808080"/>
            <w:vAlign w:val="center"/>
            <w:hideMark/>
          </w:tcPr>
          <w:p w14:paraId="635F48A7"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p-value</w:t>
            </w:r>
          </w:p>
        </w:tc>
        <w:tc>
          <w:tcPr>
            <w:tcW w:w="888" w:type="dxa"/>
            <w:tcBorders>
              <w:top w:val="nil"/>
              <w:left w:val="nil"/>
              <w:bottom w:val="single" w:sz="4" w:space="0" w:color="auto"/>
              <w:right w:val="single" w:sz="4" w:space="0" w:color="auto"/>
            </w:tcBorders>
            <w:shd w:val="clear" w:color="000000" w:fill="808080"/>
            <w:vAlign w:val="center"/>
            <w:hideMark/>
          </w:tcPr>
          <w:p w14:paraId="597308BB"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Change</w:t>
            </w:r>
          </w:p>
        </w:tc>
        <w:tc>
          <w:tcPr>
            <w:tcW w:w="811" w:type="dxa"/>
            <w:tcBorders>
              <w:top w:val="nil"/>
              <w:left w:val="nil"/>
              <w:bottom w:val="single" w:sz="4" w:space="0" w:color="auto"/>
              <w:right w:val="single" w:sz="4" w:space="0" w:color="auto"/>
            </w:tcBorders>
            <w:shd w:val="clear" w:color="000000" w:fill="808080"/>
            <w:vAlign w:val="center"/>
            <w:hideMark/>
          </w:tcPr>
          <w:p w14:paraId="2D22D483"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p-value</w:t>
            </w:r>
          </w:p>
        </w:tc>
      </w:tr>
      <w:tr w:rsidR="00D5600B" w:rsidRPr="003D7162" w14:paraId="04CD14F1" w14:textId="77777777" w:rsidTr="001070CC">
        <w:trPr>
          <w:trHeight w:val="435"/>
        </w:trPr>
        <w:tc>
          <w:tcPr>
            <w:tcW w:w="9878" w:type="dxa"/>
            <w:gridSpan w:val="10"/>
            <w:tcBorders>
              <w:top w:val="single" w:sz="4" w:space="0" w:color="auto"/>
              <w:left w:val="single" w:sz="4" w:space="0" w:color="auto"/>
              <w:bottom w:val="single" w:sz="4" w:space="0" w:color="auto"/>
              <w:right w:val="single" w:sz="4" w:space="0" w:color="000000"/>
            </w:tcBorders>
            <w:shd w:val="clear" w:color="000000" w:fill="808080"/>
            <w:vAlign w:val="center"/>
            <w:hideMark/>
          </w:tcPr>
          <w:p w14:paraId="191CE6C0" w14:textId="77777777" w:rsidR="00D5600B" w:rsidRPr="003D7162" w:rsidRDefault="00D5600B" w:rsidP="000C7ADC">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Outcome</w:t>
            </w:r>
          </w:p>
        </w:tc>
      </w:tr>
      <w:tr w:rsidR="00D5600B" w:rsidRPr="003D7162" w14:paraId="1CE96DCC"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AA9161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Height for age z-score</w:t>
            </w:r>
          </w:p>
        </w:tc>
        <w:tc>
          <w:tcPr>
            <w:tcW w:w="922" w:type="dxa"/>
            <w:tcBorders>
              <w:top w:val="nil"/>
              <w:left w:val="nil"/>
              <w:bottom w:val="nil"/>
              <w:right w:val="single" w:sz="4" w:space="0" w:color="auto"/>
            </w:tcBorders>
            <w:shd w:val="clear" w:color="000000" w:fill="FFFFFF"/>
            <w:vAlign w:val="center"/>
            <w:hideMark/>
          </w:tcPr>
          <w:p w14:paraId="53C0BD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-1.24</w:t>
            </w:r>
          </w:p>
        </w:tc>
        <w:tc>
          <w:tcPr>
            <w:tcW w:w="922" w:type="dxa"/>
            <w:tcBorders>
              <w:top w:val="nil"/>
              <w:left w:val="nil"/>
              <w:bottom w:val="nil"/>
              <w:right w:val="nil"/>
            </w:tcBorders>
            <w:shd w:val="clear" w:color="000000" w:fill="FFFFFF"/>
            <w:vAlign w:val="center"/>
            <w:hideMark/>
          </w:tcPr>
          <w:p w14:paraId="242F04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-1.21</w:t>
            </w:r>
          </w:p>
        </w:tc>
        <w:tc>
          <w:tcPr>
            <w:tcW w:w="1009" w:type="dxa"/>
            <w:tcBorders>
              <w:top w:val="nil"/>
              <w:left w:val="single" w:sz="4" w:space="0" w:color="auto"/>
              <w:bottom w:val="nil"/>
              <w:right w:val="single" w:sz="4" w:space="0" w:color="auto"/>
            </w:tcBorders>
            <w:shd w:val="clear" w:color="000000" w:fill="FFFFFF"/>
            <w:vAlign w:val="center"/>
            <w:hideMark/>
          </w:tcPr>
          <w:p w14:paraId="3AD97F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-0.84</w:t>
            </w:r>
          </w:p>
        </w:tc>
        <w:tc>
          <w:tcPr>
            <w:tcW w:w="888" w:type="dxa"/>
            <w:tcBorders>
              <w:top w:val="nil"/>
              <w:left w:val="nil"/>
              <w:bottom w:val="nil"/>
              <w:right w:val="single" w:sz="4" w:space="0" w:color="auto"/>
            </w:tcBorders>
            <w:shd w:val="clear" w:color="000000" w:fill="FFFFFF"/>
            <w:vAlign w:val="center"/>
            <w:hideMark/>
          </w:tcPr>
          <w:p w14:paraId="450011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w:t>
            </w:r>
          </w:p>
        </w:tc>
        <w:tc>
          <w:tcPr>
            <w:tcW w:w="811" w:type="dxa"/>
            <w:tcBorders>
              <w:top w:val="nil"/>
              <w:left w:val="nil"/>
              <w:bottom w:val="nil"/>
              <w:right w:val="single" w:sz="4" w:space="0" w:color="auto"/>
            </w:tcBorders>
            <w:shd w:val="clear" w:color="000000" w:fill="FFFFFF"/>
            <w:vAlign w:val="center"/>
            <w:hideMark/>
          </w:tcPr>
          <w:p w14:paraId="2EAF39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0.283</w:t>
            </w:r>
          </w:p>
        </w:tc>
        <w:tc>
          <w:tcPr>
            <w:tcW w:w="888" w:type="dxa"/>
            <w:tcBorders>
              <w:top w:val="nil"/>
              <w:left w:val="nil"/>
              <w:bottom w:val="nil"/>
              <w:right w:val="single" w:sz="4" w:space="0" w:color="auto"/>
            </w:tcBorders>
            <w:shd w:val="clear" w:color="000000" w:fill="FFFFFF"/>
            <w:vAlign w:val="center"/>
            <w:hideMark/>
          </w:tcPr>
          <w:p w14:paraId="133148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0.37</w:t>
            </w:r>
          </w:p>
        </w:tc>
        <w:tc>
          <w:tcPr>
            <w:tcW w:w="811" w:type="dxa"/>
            <w:tcBorders>
              <w:top w:val="nil"/>
              <w:left w:val="nil"/>
              <w:bottom w:val="nil"/>
              <w:right w:val="single" w:sz="4" w:space="0" w:color="auto"/>
            </w:tcBorders>
            <w:shd w:val="clear" w:color="000000" w:fill="FFFFFF"/>
            <w:vAlign w:val="center"/>
            <w:hideMark/>
          </w:tcPr>
          <w:p w14:paraId="64A784E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9A277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0.40</w:t>
            </w:r>
          </w:p>
        </w:tc>
        <w:tc>
          <w:tcPr>
            <w:tcW w:w="811" w:type="dxa"/>
            <w:tcBorders>
              <w:top w:val="nil"/>
              <w:left w:val="nil"/>
              <w:bottom w:val="nil"/>
              <w:right w:val="single" w:sz="4" w:space="0" w:color="auto"/>
            </w:tcBorders>
            <w:shd w:val="clear" w:color="000000" w:fill="FFFFFF"/>
            <w:vAlign w:val="center"/>
            <w:hideMark/>
          </w:tcPr>
          <w:p w14:paraId="38BBEF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43E942E"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225E4CE"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42C787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BA363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62FC5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1B334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2FFBE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84E5B9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11D1A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48FA9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660A2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5DAD1DD"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6FC74B0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B962C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B3EA5A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0D66A9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693A44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91204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332FCE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61E20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CDF6F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2B49C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09AAB6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6B1CED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Stunting</w:t>
            </w:r>
          </w:p>
        </w:tc>
        <w:tc>
          <w:tcPr>
            <w:tcW w:w="922" w:type="dxa"/>
            <w:tcBorders>
              <w:top w:val="nil"/>
              <w:left w:val="nil"/>
              <w:bottom w:val="nil"/>
              <w:right w:val="single" w:sz="4" w:space="0" w:color="auto"/>
            </w:tcBorders>
            <w:shd w:val="clear" w:color="000000" w:fill="FFFFFF"/>
            <w:vAlign w:val="center"/>
            <w:hideMark/>
          </w:tcPr>
          <w:p w14:paraId="5E5A14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27.59</w:t>
            </w:r>
          </w:p>
        </w:tc>
        <w:tc>
          <w:tcPr>
            <w:tcW w:w="922" w:type="dxa"/>
            <w:tcBorders>
              <w:top w:val="nil"/>
              <w:left w:val="nil"/>
              <w:bottom w:val="nil"/>
              <w:right w:val="nil"/>
            </w:tcBorders>
            <w:shd w:val="clear" w:color="000000" w:fill="FFFFFF"/>
            <w:vAlign w:val="center"/>
            <w:hideMark/>
          </w:tcPr>
          <w:p w14:paraId="40D9397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25.51</w:t>
            </w:r>
          </w:p>
        </w:tc>
        <w:tc>
          <w:tcPr>
            <w:tcW w:w="1009" w:type="dxa"/>
            <w:tcBorders>
              <w:top w:val="nil"/>
              <w:left w:val="single" w:sz="4" w:space="0" w:color="auto"/>
              <w:bottom w:val="nil"/>
              <w:right w:val="single" w:sz="4" w:space="0" w:color="auto"/>
            </w:tcBorders>
            <w:shd w:val="clear" w:color="000000" w:fill="FFFFFF"/>
            <w:vAlign w:val="center"/>
            <w:hideMark/>
          </w:tcPr>
          <w:p w14:paraId="687EA9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11.90</w:t>
            </w:r>
          </w:p>
        </w:tc>
        <w:tc>
          <w:tcPr>
            <w:tcW w:w="888" w:type="dxa"/>
            <w:tcBorders>
              <w:top w:val="nil"/>
              <w:left w:val="nil"/>
              <w:bottom w:val="nil"/>
              <w:right w:val="single" w:sz="4" w:space="0" w:color="auto"/>
            </w:tcBorders>
            <w:shd w:val="clear" w:color="000000" w:fill="FFFFFF"/>
            <w:vAlign w:val="center"/>
            <w:hideMark/>
          </w:tcPr>
          <w:p w14:paraId="5E2661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-2.08</w:t>
            </w:r>
          </w:p>
        </w:tc>
        <w:tc>
          <w:tcPr>
            <w:tcW w:w="811" w:type="dxa"/>
            <w:tcBorders>
              <w:top w:val="nil"/>
              <w:left w:val="nil"/>
              <w:bottom w:val="nil"/>
              <w:right w:val="single" w:sz="4" w:space="0" w:color="auto"/>
            </w:tcBorders>
            <w:shd w:val="clear" w:color="000000" w:fill="FFFFFF"/>
            <w:vAlign w:val="center"/>
            <w:hideMark/>
          </w:tcPr>
          <w:p w14:paraId="016CF4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0.035</w:t>
            </w:r>
          </w:p>
        </w:tc>
        <w:tc>
          <w:tcPr>
            <w:tcW w:w="888" w:type="dxa"/>
            <w:tcBorders>
              <w:top w:val="nil"/>
              <w:left w:val="nil"/>
              <w:bottom w:val="nil"/>
              <w:right w:val="single" w:sz="4" w:space="0" w:color="auto"/>
            </w:tcBorders>
            <w:shd w:val="clear" w:color="000000" w:fill="FFFFFF"/>
            <w:vAlign w:val="center"/>
            <w:hideMark/>
          </w:tcPr>
          <w:p w14:paraId="4BE97A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-13.65</w:t>
            </w:r>
          </w:p>
        </w:tc>
        <w:tc>
          <w:tcPr>
            <w:tcW w:w="811" w:type="dxa"/>
            <w:tcBorders>
              <w:top w:val="nil"/>
              <w:left w:val="nil"/>
              <w:bottom w:val="nil"/>
              <w:right w:val="single" w:sz="4" w:space="0" w:color="auto"/>
            </w:tcBorders>
            <w:shd w:val="clear" w:color="000000" w:fill="FFFFFF"/>
            <w:vAlign w:val="center"/>
            <w:hideMark/>
          </w:tcPr>
          <w:p w14:paraId="570D3A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1984F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-15.73</w:t>
            </w:r>
          </w:p>
        </w:tc>
        <w:tc>
          <w:tcPr>
            <w:tcW w:w="811" w:type="dxa"/>
            <w:tcBorders>
              <w:top w:val="nil"/>
              <w:left w:val="nil"/>
              <w:bottom w:val="nil"/>
              <w:right w:val="single" w:sz="4" w:space="0" w:color="auto"/>
            </w:tcBorders>
            <w:shd w:val="clear" w:color="000000" w:fill="FFFFFF"/>
            <w:vAlign w:val="center"/>
            <w:hideMark/>
          </w:tcPr>
          <w:p w14:paraId="3B1DC8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09A1231"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8AEA8C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of children below -2 SD</w:t>
            </w:r>
          </w:p>
        </w:tc>
        <w:tc>
          <w:tcPr>
            <w:tcW w:w="922" w:type="dxa"/>
            <w:tcBorders>
              <w:top w:val="nil"/>
              <w:left w:val="nil"/>
              <w:bottom w:val="nil"/>
              <w:right w:val="single" w:sz="4" w:space="0" w:color="auto"/>
            </w:tcBorders>
            <w:shd w:val="clear" w:color="000000" w:fill="FFFFFF"/>
            <w:vAlign w:val="center"/>
            <w:hideMark/>
          </w:tcPr>
          <w:p w14:paraId="6F8D6E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FCD52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2D05FC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EF67C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11051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A1223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4E283A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0E2006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9363BA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D39D7DD"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1B8839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E9D34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00699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84BEA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367B1C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C1B450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D3315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BDFC1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209CBA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CD6885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8051A7C" w14:textId="77777777" w:rsidTr="001070CC">
        <w:trPr>
          <w:trHeight w:val="435"/>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7F1AF3BA" w14:textId="77777777" w:rsidR="00D5600B" w:rsidRPr="003D7162" w:rsidRDefault="00D5600B" w:rsidP="000C7ADC">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Child Demographic</w:t>
            </w:r>
          </w:p>
        </w:tc>
      </w:tr>
      <w:tr w:rsidR="00D5600B" w:rsidRPr="003D7162" w14:paraId="56213623"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06D5E0E4"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D5600B" w:rsidRPr="003D7162" w14:paraId="31E8DF0B"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5326B61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Child sex (male)</w:t>
            </w:r>
          </w:p>
        </w:tc>
        <w:tc>
          <w:tcPr>
            <w:tcW w:w="922" w:type="dxa"/>
            <w:tcBorders>
              <w:top w:val="nil"/>
              <w:left w:val="nil"/>
              <w:bottom w:val="nil"/>
              <w:right w:val="single" w:sz="4" w:space="0" w:color="auto"/>
            </w:tcBorders>
            <w:shd w:val="clear" w:color="000000" w:fill="FFFFFF"/>
            <w:vAlign w:val="center"/>
            <w:hideMark/>
          </w:tcPr>
          <w:p w14:paraId="0F24F8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51.06</w:t>
            </w:r>
          </w:p>
        </w:tc>
        <w:tc>
          <w:tcPr>
            <w:tcW w:w="922" w:type="dxa"/>
            <w:tcBorders>
              <w:top w:val="nil"/>
              <w:left w:val="nil"/>
              <w:bottom w:val="nil"/>
              <w:right w:val="nil"/>
            </w:tcBorders>
            <w:shd w:val="clear" w:color="000000" w:fill="FFFFFF"/>
            <w:vAlign w:val="center"/>
            <w:hideMark/>
          </w:tcPr>
          <w:p w14:paraId="184C3D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50.17</w:t>
            </w:r>
          </w:p>
        </w:tc>
        <w:tc>
          <w:tcPr>
            <w:tcW w:w="1009" w:type="dxa"/>
            <w:tcBorders>
              <w:top w:val="nil"/>
              <w:left w:val="single" w:sz="4" w:space="0" w:color="auto"/>
              <w:bottom w:val="nil"/>
              <w:right w:val="single" w:sz="4" w:space="0" w:color="auto"/>
            </w:tcBorders>
            <w:shd w:val="clear" w:color="000000" w:fill="FFFFFF"/>
            <w:vAlign w:val="center"/>
            <w:hideMark/>
          </w:tcPr>
          <w:p w14:paraId="3FCDDB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51.70</w:t>
            </w:r>
          </w:p>
        </w:tc>
        <w:tc>
          <w:tcPr>
            <w:tcW w:w="888" w:type="dxa"/>
            <w:tcBorders>
              <w:top w:val="nil"/>
              <w:left w:val="nil"/>
              <w:bottom w:val="nil"/>
              <w:right w:val="single" w:sz="4" w:space="0" w:color="auto"/>
            </w:tcBorders>
            <w:shd w:val="clear" w:color="000000" w:fill="FFFFFF"/>
            <w:vAlign w:val="center"/>
            <w:hideMark/>
          </w:tcPr>
          <w:p w14:paraId="575D6E6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-0.89</w:t>
            </w:r>
          </w:p>
        </w:tc>
        <w:tc>
          <w:tcPr>
            <w:tcW w:w="811" w:type="dxa"/>
            <w:tcBorders>
              <w:top w:val="nil"/>
              <w:left w:val="nil"/>
              <w:bottom w:val="nil"/>
              <w:right w:val="single" w:sz="4" w:space="0" w:color="auto"/>
            </w:tcBorders>
            <w:shd w:val="clear" w:color="000000" w:fill="FFFFFF"/>
            <w:vAlign w:val="center"/>
            <w:hideMark/>
          </w:tcPr>
          <w:p w14:paraId="3661AD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0.374</w:t>
            </w:r>
          </w:p>
        </w:tc>
        <w:tc>
          <w:tcPr>
            <w:tcW w:w="888" w:type="dxa"/>
            <w:tcBorders>
              <w:top w:val="nil"/>
              <w:left w:val="nil"/>
              <w:bottom w:val="nil"/>
              <w:right w:val="single" w:sz="4" w:space="0" w:color="auto"/>
            </w:tcBorders>
            <w:shd w:val="clear" w:color="000000" w:fill="FFFFFF"/>
            <w:vAlign w:val="center"/>
            <w:hideMark/>
          </w:tcPr>
          <w:p w14:paraId="5C37BB2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1.53</w:t>
            </w:r>
          </w:p>
        </w:tc>
        <w:tc>
          <w:tcPr>
            <w:tcW w:w="811" w:type="dxa"/>
            <w:tcBorders>
              <w:top w:val="nil"/>
              <w:left w:val="nil"/>
              <w:bottom w:val="nil"/>
              <w:right w:val="single" w:sz="4" w:space="0" w:color="auto"/>
            </w:tcBorders>
            <w:shd w:val="clear" w:color="000000" w:fill="FFFFFF"/>
            <w:vAlign w:val="center"/>
            <w:hideMark/>
          </w:tcPr>
          <w:p w14:paraId="6114EB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0.088</w:t>
            </w:r>
          </w:p>
        </w:tc>
        <w:tc>
          <w:tcPr>
            <w:tcW w:w="888" w:type="dxa"/>
            <w:tcBorders>
              <w:top w:val="nil"/>
              <w:left w:val="nil"/>
              <w:bottom w:val="nil"/>
              <w:right w:val="single" w:sz="4" w:space="0" w:color="auto"/>
            </w:tcBorders>
            <w:shd w:val="clear" w:color="000000" w:fill="FFFFFF"/>
            <w:vAlign w:val="center"/>
            <w:hideMark/>
          </w:tcPr>
          <w:p w14:paraId="7A9C00F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0.64</w:t>
            </w:r>
          </w:p>
        </w:tc>
        <w:tc>
          <w:tcPr>
            <w:tcW w:w="811" w:type="dxa"/>
            <w:tcBorders>
              <w:top w:val="nil"/>
              <w:left w:val="nil"/>
              <w:bottom w:val="nil"/>
              <w:right w:val="single" w:sz="4" w:space="0" w:color="auto"/>
            </w:tcBorders>
            <w:shd w:val="clear" w:color="000000" w:fill="FFFFFF"/>
            <w:vAlign w:val="center"/>
            <w:hideMark/>
          </w:tcPr>
          <w:p w14:paraId="4DDCFD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0.458</w:t>
            </w:r>
          </w:p>
        </w:tc>
      </w:tr>
      <w:tr w:rsidR="00D5600B" w:rsidRPr="003D7162" w14:paraId="652DACB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DC177F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of males</w:t>
            </w:r>
          </w:p>
        </w:tc>
        <w:tc>
          <w:tcPr>
            <w:tcW w:w="922" w:type="dxa"/>
            <w:tcBorders>
              <w:top w:val="nil"/>
              <w:left w:val="nil"/>
              <w:bottom w:val="nil"/>
              <w:right w:val="single" w:sz="4" w:space="0" w:color="auto"/>
            </w:tcBorders>
            <w:shd w:val="clear" w:color="000000" w:fill="FFFFFF"/>
            <w:vAlign w:val="center"/>
            <w:hideMark/>
          </w:tcPr>
          <w:p w14:paraId="122450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6244A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9548C6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B9A3C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71F57B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873D8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F4F01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4EA74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17D76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59E1D15"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447EF4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6B347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6D8D7A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7D610E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A5496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A2E4C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D404F2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7288D5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9C4039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FCAE4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EF39203"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DCE5B5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Child age</w:t>
            </w:r>
          </w:p>
        </w:tc>
        <w:tc>
          <w:tcPr>
            <w:tcW w:w="922" w:type="dxa"/>
            <w:tcBorders>
              <w:top w:val="nil"/>
              <w:left w:val="nil"/>
              <w:bottom w:val="nil"/>
              <w:right w:val="nil"/>
            </w:tcBorders>
            <w:shd w:val="clear" w:color="000000" w:fill="FFFFFF"/>
            <w:vAlign w:val="center"/>
            <w:hideMark/>
          </w:tcPr>
          <w:p w14:paraId="1093C31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26.91</w:t>
            </w:r>
          </w:p>
        </w:tc>
        <w:tc>
          <w:tcPr>
            <w:tcW w:w="922" w:type="dxa"/>
            <w:tcBorders>
              <w:top w:val="nil"/>
              <w:left w:val="single" w:sz="4" w:space="0" w:color="auto"/>
              <w:bottom w:val="nil"/>
              <w:right w:val="single" w:sz="4" w:space="0" w:color="auto"/>
            </w:tcBorders>
            <w:shd w:val="clear" w:color="000000" w:fill="FFFFFF"/>
            <w:vAlign w:val="center"/>
            <w:hideMark/>
          </w:tcPr>
          <w:p w14:paraId="0FB148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27.09</w:t>
            </w:r>
          </w:p>
        </w:tc>
        <w:tc>
          <w:tcPr>
            <w:tcW w:w="1009" w:type="dxa"/>
            <w:tcBorders>
              <w:top w:val="nil"/>
              <w:left w:val="nil"/>
              <w:bottom w:val="nil"/>
              <w:right w:val="single" w:sz="4" w:space="0" w:color="auto"/>
            </w:tcBorders>
            <w:shd w:val="clear" w:color="000000" w:fill="FFFFFF"/>
            <w:vAlign w:val="center"/>
            <w:hideMark/>
          </w:tcPr>
          <w:p w14:paraId="1F470BE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28.16</w:t>
            </w:r>
          </w:p>
        </w:tc>
        <w:tc>
          <w:tcPr>
            <w:tcW w:w="888" w:type="dxa"/>
            <w:tcBorders>
              <w:top w:val="nil"/>
              <w:left w:val="nil"/>
              <w:bottom w:val="nil"/>
              <w:right w:val="single" w:sz="4" w:space="0" w:color="auto"/>
            </w:tcBorders>
            <w:shd w:val="clear" w:color="000000" w:fill="FFFFFF"/>
            <w:vAlign w:val="center"/>
            <w:hideMark/>
          </w:tcPr>
          <w:p w14:paraId="039F8C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0.18</w:t>
            </w:r>
          </w:p>
        </w:tc>
        <w:tc>
          <w:tcPr>
            <w:tcW w:w="811" w:type="dxa"/>
            <w:tcBorders>
              <w:top w:val="nil"/>
              <w:left w:val="nil"/>
              <w:bottom w:val="nil"/>
              <w:right w:val="single" w:sz="4" w:space="0" w:color="auto"/>
            </w:tcBorders>
            <w:shd w:val="clear" w:color="000000" w:fill="FFFFFF"/>
            <w:vAlign w:val="center"/>
            <w:hideMark/>
          </w:tcPr>
          <w:p w14:paraId="1ADF16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0.610</w:t>
            </w:r>
          </w:p>
        </w:tc>
        <w:tc>
          <w:tcPr>
            <w:tcW w:w="888" w:type="dxa"/>
            <w:tcBorders>
              <w:top w:val="nil"/>
              <w:left w:val="nil"/>
              <w:bottom w:val="nil"/>
              <w:right w:val="single" w:sz="4" w:space="0" w:color="auto"/>
            </w:tcBorders>
            <w:shd w:val="clear" w:color="000000" w:fill="FFFFFF"/>
            <w:vAlign w:val="center"/>
            <w:hideMark/>
          </w:tcPr>
          <w:p w14:paraId="7B6BFE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1.07</w:t>
            </w:r>
          </w:p>
        </w:tc>
        <w:tc>
          <w:tcPr>
            <w:tcW w:w="811" w:type="dxa"/>
            <w:tcBorders>
              <w:top w:val="nil"/>
              <w:left w:val="nil"/>
              <w:bottom w:val="nil"/>
              <w:right w:val="single" w:sz="4" w:space="0" w:color="auto"/>
            </w:tcBorders>
            <w:shd w:val="clear" w:color="000000" w:fill="FFFFFF"/>
            <w:vAlign w:val="center"/>
            <w:hideMark/>
          </w:tcPr>
          <w:p w14:paraId="7921C3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c>
          <w:tcPr>
            <w:tcW w:w="888" w:type="dxa"/>
            <w:tcBorders>
              <w:top w:val="nil"/>
              <w:left w:val="nil"/>
              <w:bottom w:val="nil"/>
              <w:right w:val="single" w:sz="4" w:space="0" w:color="auto"/>
            </w:tcBorders>
            <w:shd w:val="clear" w:color="000000" w:fill="FFFFFF"/>
            <w:vAlign w:val="center"/>
            <w:hideMark/>
          </w:tcPr>
          <w:p w14:paraId="1F5775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1.25</w:t>
            </w:r>
          </w:p>
        </w:tc>
        <w:tc>
          <w:tcPr>
            <w:tcW w:w="811" w:type="dxa"/>
            <w:tcBorders>
              <w:top w:val="nil"/>
              <w:left w:val="nil"/>
              <w:bottom w:val="nil"/>
              <w:right w:val="single" w:sz="4" w:space="0" w:color="auto"/>
            </w:tcBorders>
            <w:shd w:val="clear" w:color="000000" w:fill="FFFFFF"/>
            <w:vAlign w:val="center"/>
            <w:hideMark/>
          </w:tcPr>
          <w:p w14:paraId="794D20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79550B56"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135462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 months)</w:t>
            </w:r>
          </w:p>
        </w:tc>
        <w:tc>
          <w:tcPr>
            <w:tcW w:w="922" w:type="dxa"/>
            <w:tcBorders>
              <w:top w:val="nil"/>
              <w:left w:val="nil"/>
              <w:bottom w:val="nil"/>
              <w:right w:val="single" w:sz="4" w:space="0" w:color="auto"/>
            </w:tcBorders>
            <w:shd w:val="clear" w:color="000000" w:fill="FFFFFF"/>
            <w:vAlign w:val="center"/>
            <w:hideMark/>
          </w:tcPr>
          <w:p w14:paraId="73D0D7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2DD8DC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7385BC7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C9B22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67FC9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F62122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05E8C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62DBA3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34C83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EA00FC8" w14:textId="77777777" w:rsidTr="001070CC">
        <w:trPr>
          <w:trHeight w:val="435"/>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4EA0EC8F" w14:textId="77777777" w:rsidR="00D5600B" w:rsidRPr="003D7162" w:rsidRDefault="00D5600B" w:rsidP="000C7ADC">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Distal level</w:t>
            </w:r>
          </w:p>
        </w:tc>
      </w:tr>
      <w:tr w:rsidR="00D5600B" w:rsidRPr="003D7162" w14:paraId="25FBD6FC"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2D8A195D"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Basic causes &amp; Income poverty</w:t>
            </w:r>
          </w:p>
        </w:tc>
      </w:tr>
      <w:tr w:rsidR="00D5600B" w:rsidRPr="003D7162" w14:paraId="7B75FA1C"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9733EF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Wealth Index</w:t>
            </w:r>
          </w:p>
        </w:tc>
        <w:tc>
          <w:tcPr>
            <w:tcW w:w="922" w:type="dxa"/>
            <w:tcBorders>
              <w:top w:val="nil"/>
              <w:left w:val="nil"/>
              <w:bottom w:val="nil"/>
              <w:right w:val="single" w:sz="4" w:space="0" w:color="auto"/>
            </w:tcBorders>
            <w:shd w:val="clear" w:color="000000" w:fill="FFFFFF"/>
            <w:vAlign w:val="center"/>
            <w:hideMark/>
          </w:tcPr>
          <w:p w14:paraId="654447A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5.70</w:t>
            </w:r>
          </w:p>
        </w:tc>
        <w:tc>
          <w:tcPr>
            <w:tcW w:w="922" w:type="dxa"/>
            <w:tcBorders>
              <w:top w:val="nil"/>
              <w:left w:val="nil"/>
              <w:bottom w:val="nil"/>
              <w:right w:val="nil"/>
            </w:tcBorders>
            <w:shd w:val="clear" w:color="000000" w:fill="FFFFFF"/>
            <w:vAlign w:val="center"/>
            <w:hideMark/>
          </w:tcPr>
          <w:p w14:paraId="077DA0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5.72</w:t>
            </w:r>
          </w:p>
        </w:tc>
        <w:tc>
          <w:tcPr>
            <w:tcW w:w="1009" w:type="dxa"/>
            <w:tcBorders>
              <w:top w:val="nil"/>
              <w:left w:val="single" w:sz="4" w:space="0" w:color="auto"/>
              <w:bottom w:val="nil"/>
              <w:right w:val="single" w:sz="4" w:space="0" w:color="auto"/>
            </w:tcBorders>
            <w:shd w:val="clear" w:color="000000" w:fill="FFFFFF"/>
            <w:vAlign w:val="center"/>
            <w:hideMark/>
          </w:tcPr>
          <w:p w14:paraId="79719FA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5.47</w:t>
            </w:r>
          </w:p>
        </w:tc>
        <w:tc>
          <w:tcPr>
            <w:tcW w:w="888" w:type="dxa"/>
            <w:tcBorders>
              <w:top w:val="nil"/>
              <w:left w:val="nil"/>
              <w:bottom w:val="nil"/>
              <w:right w:val="single" w:sz="4" w:space="0" w:color="auto"/>
            </w:tcBorders>
            <w:shd w:val="clear" w:color="000000" w:fill="FFFFFF"/>
            <w:vAlign w:val="center"/>
            <w:hideMark/>
          </w:tcPr>
          <w:p w14:paraId="1707E6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w:t>
            </w:r>
          </w:p>
        </w:tc>
        <w:tc>
          <w:tcPr>
            <w:tcW w:w="811" w:type="dxa"/>
            <w:tcBorders>
              <w:top w:val="nil"/>
              <w:left w:val="nil"/>
              <w:bottom w:val="nil"/>
              <w:right w:val="single" w:sz="4" w:space="0" w:color="auto"/>
            </w:tcBorders>
            <w:shd w:val="clear" w:color="000000" w:fill="FFFFFF"/>
            <w:vAlign w:val="center"/>
            <w:hideMark/>
          </w:tcPr>
          <w:p w14:paraId="252936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0.856</w:t>
            </w:r>
          </w:p>
        </w:tc>
        <w:tc>
          <w:tcPr>
            <w:tcW w:w="888" w:type="dxa"/>
            <w:tcBorders>
              <w:top w:val="nil"/>
              <w:left w:val="nil"/>
              <w:bottom w:val="nil"/>
              <w:right w:val="single" w:sz="4" w:space="0" w:color="auto"/>
            </w:tcBorders>
            <w:shd w:val="clear" w:color="000000" w:fill="FFFFFF"/>
            <w:vAlign w:val="center"/>
            <w:hideMark/>
          </w:tcPr>
          <w:p w14:paraId="390DEA6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-0.25</w:t>
            </w:r>
          </w:p>
        </w:tc>
        <w:tc>
          <w:tcPr>
            <w:tcW w:w="811" w:type="dxa"/>
            <w:tcBorders>
              <w:top w:val="nil"/>
              <w:left w:val="nil"/>
              <w:bottom w:val="nil"/>
              <w:right w:val="single" w:sz="4" w:space="0" w:color="auto"/>
            </w:tcBorders>
            <w:shd w:val="clear" w:color="000000" w:fill="FFFFFF"/>
            <w:vAlign w:val="center"/>
            <w:hideMark/>
          </w:tcPr>
          <w:p w14:paraId="65E537A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0.010</w:t>
            </w:r>
          </w:p>
        </w:tc>
        <w:tc>
          <w:tcPr>
            <w:tcW w:w="888" w:type="dxa"/>
            <w:tcBorders>
              <w:top w:val="nil"/>
              <w:left w:val="nil"/>
              <w:bottom w:val="nil"/>
              <w:right w:val="single" w:sz="4" w:space="0" w:color="auto"/>
            </w:tcBorders>
            <w:shd w:val="clear" w:color="000000" w:fill="FFFFFF"/>
            <w:vAlign w:val="center"/>
            <w:hideMark/>
          </w:tcPr>
          <w:p w14:paraId="259590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-0.23</w:t>
            </w:r>
          </w:p>
        </w:tc>
        <w:tc>
          <w:tcPr>
            <w:tcW w:w="811" w:type="dxa"/>
            <w:tcBorders>
              <w:top w:val="nil"/>
              <w:left w:val="nil"/>
              <w:bottom w:val="nil"/>
              <w:right w:val="single" w:sz="4" w:space="0" w:color="auto"/>
            </w:tcBorders>
            <w:shd w:val="clear" w:color="000000" w:fill="FFFFFF"/>
            <w:vAlign w:val="center"/>
            <w:hideMark/>
          </w:tcPr>
          <w:p w14:paraId="75CE03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0.007</w:t>
            </w:r>
          </w:p>
        </w:tc>
      </w:tr>
      <w:tr w:rsidR="00D5600B" w:rsidRPr="003D7162" w14:paraId="76B4B091"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8090E9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(0 - 10)</w:t>
            </w:r>
          </w:p>
        </w:tc>
        <w:tc>
          <w:tcPr>
            <w:tcW w:w="922" w:type="dxa"/>
            <w:tcBorders>
              <w:top w:val="nil"/>
              <w:left w:val="nil"/>
              <w:bottom w:val="nil"/>
              <w:right w:val="single" w:sz="4" w:space="0" w:color="auto"/>
            </w:tcBorders>
            <w:shd w:val="clear" w:color="000000" w:fill="FFFFFF"/>
            <w:vAlign w:val="center"/>
            <w:hideMark/>
          </w:tcPr>
          <w:p w14:paraId="0E8097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62EFD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3B936D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378A5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671F4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CBC78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5746A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E1768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31B3B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BDAF01B"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0CE6A4E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75055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2FF99D2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160EB3A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D0F5A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0FF52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DFFBE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746572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08AF1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D4D5C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3157F1A"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293A240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Log GDP, per capita</w:t>
            </w:r>
          </w:p>
        </w:tc>
        <w:tc>
          <w:tcPr>
            <w:tcW w:w="922" w:type="dxa"/>
            <w:tcBorders>
              <w:top w:val="nil"/>
              <w:left w:val="nil"/>
              <w:bottom w:val="nil"/>
              <w:right w:val="single" w:sz="4" w:space="0" w:color="auto"/>
            </w:tcBorders>
            <w:shd w:val="clear" w:color="000000" w:fill="FFFFFF"/>
            <w:vAlign w:val="center"/>
            <w:hideMark/>
          </w:tcPr>
          <w:p w14:paraId="36853A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6.90</w:t>
            </w:r>
          </w:p>
        </w:tc>
        <w:tc>
          <w:tcPr>
            <w:tcW w:w="922" w:type="dxa"/>
            <w:tcBorders>
              <w:top w:val="nil"/>
              <w:left w:val="nil"/>
              <w:bottom w:val="nil"/>
              <w:right w:val="nil"/>
            </w:tcBorders>
            <w:shd w:val="clear" w:color="000000" w:fill="FFFFFF"/>
            <w:vAlign w:val="center"/>
            <w:hideMark/>
          </w:tcPr>
          <w:p w14:paraId="3014853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8.02</w:t>
            </w:r>
          </w:p>
        </w:tc>
        <w:tc>
          <w:tcPr>
            <w:tcW w:w="1009" w:type="dxa"/>
            <w:tcBorders>
              <w:top w:val="nil"/>
              <w:left w:val="single" w:sz="4" w:space="0" w:color="auto"/>
              <w:bottom w:val="nil"/>
              <w:right w:val="single" w:sz="4" w:space="0" w:color="auto"/>
            </w:tcBorders>
            <w:shd w:val="clear" w:color="000000" w:fill="FFFFFF"/>
            <w:vAlign w:val="center"/>
            <w:hideMark/>
          </w:tcPr>
          <w:p w14:paraId="1E477EC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8.33</w:t>
            </w:r>
          </w:p>
        </w:tc>
        <w:tc>
          <w:tcPr>
            <w:tcW w:w="888" w:type="dxa"/>
            <w:tcBorders>
              <w:top w:val="nil"/>
              <w:left w:val="nil"/>
              <w:bottom w:val="nil"/>
              <w:right w:val="single" w:sz="4" w:space="0" w:color="auto"/>
            </w:tcBorders>
            <w:shd w:val="clear" w:color="000000" w:fill="FFFFFF"/>
            <w:vAlign w:val="center"/>
            <w:hideMark/>
          </w:tcPr>
          <w:p w14:paraId="37D74C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1.12</w:t>
            </w:r>
          </w:p>
        </w:tc>
        <w:tc>
          <w:tcPr>
            <w:tcW w:w="811" w:type="dxa"/>
            <w:tcBorders>
              <w:top w:val="nil"/>
              <w:left w:val="nil"/>
              <w:bottom w:val="nil"/>
              <w:right w:val="single" w:sz="4" w:space="0" w:color="auto"/>
            </w:tcBorders>
            <w:shd w:val="clear" w:color="000000" w:fill="FFFFFF"/>
            <w:vAlign w:val="center"/>
            <w:hideMark/>
          </w:tcPr>
          <w:p w14:paraId="598E15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AE423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0.31</w:t>
            </w:r>
          </w:p>
        </w:tc>
        <w:tc>
          <w:tcPr>
            <w:tcW w:w="811" w:type="dxa"/>
            <w:tcBorders>
              <w:top w:val="nil"/>
              <w:left w:val="nil"/>
              <w:bottom w:val="nil"/>
              <w:right w:val="single" w:sz="4" w:space="0" w:color="auto"/>
            </w:tcBorders>
            <w:shd w:val="clear" w:color="000000" w:fill="FFFFFF"/>
            <w:vAlign w:val="center"/>
            <w:hideMark/>
          </w:tcPr>
          <w:p w14:paraId="5D23DF4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438CB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1.43</w:t>
            </w:r>
          </w:p>
        </w:tc>
        <w:tc>
          <w:tcPr>
            <w:tcW w:w="811" w:type="dxa"/>
            <w:tcBorders>
              <w:top w:val="nil"/>
              <w:left w:val="nil"/>
              <w:bottom w:val="nil"/>
              <w:right w:val="single" w:sz="4" w:space="0" w:color="auto"/>
            </w:tcBorders>
            <w:shd w:val="clear" w:color="000000" w:fill="FFFFFF"/>
            <w:vAlign w:val="center"/>
            <w:hideMark/>
          </w:tcPr>
          <w:p w14:paraId="51D0D2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44FCD0A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AB9E34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922" w:type="dxa"/>
            <w:tcBorders>
              <w:top w:val="nil"/>
              <w:left w:val="nil"/>
              <w:bottom w:val="nil"/>
              <w:right w:val="single" w:sz="4" w:space="0" w:color="auto"/>
            </w:tcBorders>
            <w:shd w:val="clear" w:color="000000" w:fill="FFFFFF"/>
            <w:vAlign w:val="center"/>
            <w:hideMark/>
          </w:tcPr>
          <w:p w14:paraId="48503A8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8E17DD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DA5A1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632C4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4BBC4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2710A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5B64F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E0D17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75939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6B82326"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1DD908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1BFD65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63327C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2D5C4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DE8B16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2EA2E6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D0326F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CFAD41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DA7EB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E0BD3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631FCCF"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129419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Poverty line </w:t>
            </w:r>
          </w:p>
        </w:tc>
        <w:tc>
          <w:tcPr>
            <w:tcW w:w="922" w:type="dxa"/>
            <w:tcBorders>
              <w:top w:val="nil"/>
              <w:left w:val="nil"/>
              <w:bottom w:val="nil"/>
              <w:right w:val="single" w:sz="4" w:space="0" w:color="auto"/>
            </w:tcBorders>
            <w:shd w:val="clear" w:color="000000" w:fill="FFFFFF"/>
            <w:vAlign w:val="center"/>
            <w:hideMark/>
          </w:tcPr>
          <w:p w14:paraId="26C6476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49.64</w:t>
            </w:r>
          </w:p>
        </w:tc>
        <w:tc>
          <w:tcPr>
            <w:tcW w:w="922" w:type="dxa"/>
            <w:tcBorders>
              <w:top w:val="nil"/>
              <w:left w:val="nil"/>
              <w:bottom w:val="nil"/>
              <w:right w:val="nil"/>
            </w:tcBorders>
            <w:shd w:val="clear" w:color="000000" w:fill="FFFFFF"/>
            <w:vAlign w:val="center"/>
            <w:hideMark/>
          </w:tcPr>
          <w:p w14:paraId="1FAEE6F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40.32</w:t>
            </w:r>
          </w:p>
        </w:tc>
        <w:tc>
          <w:tcPr>
            <w:tcW w:w="1009" w:type="dxa"/>
            <w:tcBorders>
              <w:top w:val="nil"/>
              <w:left w:val="single" w:sz="4" w:space="0" w:color="auto"/>
              <w:bottom w:val="nil"/>
              <w:right w:val="single" w:sz="4" w:space="0" w:color="auto"/>
            </w:tcBorders>
            <w:shd w:val="clear" w:color="000000" w:fill="FFFFFF"/>
            <w:vAlign w:val="center"/>
            <w:hideMark/>
          </w:tcPr>
          <w:p w14:paraId="13DF197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21.19</w:t>
            </w:r>
          </w:p>
        </w:tc>
        <w:tc>
          <w:tcPr>
            <w:tcW w:w="888" w:type="dxa"/>
            <w:tcBorders>
              <w:top w:val="nil"/>
              <w:left w:val="nil"/>
              <w:bottom w:val="nil"/>
              <w:right w:val="single" w:sz="4" w:space="0" w:color="auto"/>
            </w:tcBorders>
            <w:shd w:val="clear" w:color="000000" w:fill="FFFFFF"/>
            <w:vAlign w:val="center"/>
            <w:hideMark/>
          </w:tcPr>
          <w:p w14:paraId="70E18F6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-9.32</w:t>
            </w:r>
          </w:p>
        </w:tc>
        <w:tc>
          <w:tcPr>
            <w:tcW w:w="811" w:type="dxa"/>
            <w:tcBorders>
              <w:top w:val="nil"/>
              <w:left w:val="nil"/>
              <w:bottom w:val="nil"/>
              <w:right w:val="single" w:sz="4" w:space="0" w:color="auto"/>
            </w:tcBorders>
            <w:shd w:val="clear" w:color="000000" w:fill="FFFFFF"/>
            <w:vAlign w:val="center"/>
            <w:hideMark/>
          </w:tcPr>
          <w:p w14:paraId="1846A9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9D92F5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-19.13</w:t>
            </w:r>
          </w:p>
        </w:tc>
        <w:tc>
          <w:tcPr>
            <w:tcW w:w="811" w:type="dxa"/>
            <w:tcBorders>
              <w:top w:val="nil"/>
              <w:left w:val="nil"/>
              <w:bottom w:val="nil"/>
              <w:right w:val="single" w:sz="4" w:space="0" w:color="auto"/>
            </w:tcBorders>
            <w:shd w:val="clear" w:color="000000" w:fill="FFFFFF"/>
            <w:vAlign w:val="center"/>
            <w:hideMark/>
          </w:tcPr>
          <w:p w14:paraId="4BFAAE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AF5A8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-28.45</w:t>
            </w:r>
          </w:p>
        </w:tc>
        <w:tc>
          <w:tcPr>
            <w:tcW w:w="811" w:type="dxa"/>
            <w:tcBorders>
              <w:top w:val="nil"/>
              <w:left w:val="nil"/>
              <w:bottom w:val="nil"/>
              <w:right w:val="single" w:sz="4" w:space="0" w:color="auto"/>
            </w:tcBorders>
            <w:shd w:val="clear" w:color="000000" w:fill="FFFFFF"/>
            <w:vAlign w:val="center"/>
            <w:hideMark/>
          </w:tcPr>
          <w:p w14:paraId="6D3F08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608DB6F5"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6BC5D4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families below)</w:t>
            </w:r>
          </w:p>
        </w:tc>
        <w:tc>
          <w:tcPr>
            <w:tcW w:w="922" w:type="dxa"/>
            <w:tcBorders>
              <w:top w:val="nil"/>
              <w:left w:val="nil"/>
              <w:bottom w:val="nil"/>
              <w:right w:val="single" w:sz="4" w:space="0" w:color="auto"/>
            </w:tcBorders>
            <w:shd w:val="clear" w:color="000000" w:fill="FFFFFF"/>
            <w:vAlign w:val="center"/>
            <w:hideMark/>
          </w:tcPr>
          <w:p w14:paraId="635248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6A4DD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DDF7D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1DDEBF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9B24E7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8797F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828C1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E8F5A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C9F911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CAA6145"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7B0B72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16F77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C53365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1F582C5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4A957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F7E55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CA156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47B77C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FAF75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92FDF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E407985"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F624FB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Gini coefficient (for income)</w:t>
            </w:r>
          </w:p>
        </w:tc>
        <w:tc>
          <w:tcPr>
            <w:tcW w:w="922" w:type="dxa"/>
            <w:tcBorders>
              <w:top w:val="nil"/>
              <w:left w:val="nil"/>
              <w:bottom w:val="nil"/>
              <w:right w:val="single" w:sz="4" w:space="0" w:color="auto"/>
            </w:tcBorders>
            <w:shd w:val="clear" w:color="000000" w:fill="FFFFFF"/>
            <w:vAlign w:val="center"/>
            <w:hideMark/>
          </w:tcPr>
          <w:p w14:paraId="0998C3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62.97</w:t>
            </w:r>
          </w:p>
        </w:tc>
        <w:tc>
          <w:tcPr>
            <w:tcW w:w="922" w:type="dxa"/>
            <w:tcBorders>
              <w:top w:val="nil"/>
              <w:left w:val="nil"/>
              <w:bottom w:val="nil"/>
              <w:right w:val="nil"/>
            </w:tcBorders>
            <w:shd w:val="clear" w:color="000000" w:fill="FFFFFF"/>
            <w:vAlign w:val="center"/>
            <w:hideMark/>
          </w:tcPr>
          <w:p w14:paraId="44806E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60.42</w:t>
            </w:r>
          </w:p>
        </w:tc>
        <w:tc>
          <w:tcPr>
            <w:tcW w:w="1009" w:type="dxa"/>
            <w:tcBorders>
              <w:top w:val="nil"/>
              <w:left w:val="single" w:sz="4" w:space="0" w:color="auto"/>
              <w:bottom w:val="nil"/>
              <w:right w:val="single" w:sz="4" w:space="0" w:color="auto"/>
            </w:tcBorders>
            <w:shd w:val="clear" w:color="000000" w:fill="FFFFFF"/>
            <w:vAlign w:val="center"/>
            <w:hideMark/>
          </w:tcPr>
          <w:p w14:paraId="0E0C5F6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53.73</w:t>
            </w:r>
          </w:p>
        </w:tc>
        <w:tc>
          <w:tcPr>
            <w:tcW w:w="888" w:type="dxa"/>
            <w:tcBorders>
              <w:top w:val="nil"/>
              <w:left w:val="nil"/>
              <w:bottom w:val="nil"/>
              <w:right w:val="single" w:sz="4" w:space="0" w:color="auto"/>
            </w:tcBorders>
            <w:shd w:val="clear" w:color="000000" w:fill="FFFFFF"/>
            <w:vAlign w:val="center"/>
            <w:hideMark/>
          </w:tcPr>
          <w:p w14:paraId="0BB557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-2.55</w:t>
            </w:r>
          </w:p>
        </w:tc>
        <w:tc>
          <w:tcPr>
            <w:tcW w:w="811" w:type="dxa"/>
            <w:tcBorders>
              <w:top w:val="nil"/>
              <w:left w:val="nil"/>
              <w:bottom w:val="nil"/>
              <w:right w:val="single" w:sz="4" w:space="0" w:color="auto"/>
            </w:tcBorders>
            <w:shd w:val="clear" w:color="000000" w:fill="FFFFFF"/>
            <w:vAlign w:val="center"/>
            <w:hideMark/>
          </w:tcPr>
          <w:p w14:paraId="46E6C17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D99C5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-6.69</w:t>
            </w:r>
          </w:p>
        </w:tc>
        <w:tc>
          <w:tcPr>
            <w:tcW w:w="811" w:type="dxa"/>
            <w:tcBorders>
              <w:top w:val="nil"/>
              <w:left w:val="nil"/>
              <w:bottom w:val="nil"/>
              <w:right w:val="single" w:sz="4" w:space="0" w:color="auto"/>
            </w:tcBorders>
            <w:shd w:val="clear" w:color="000000" w:fill="FFFFFF"/>
            <w:vAlign w:val="center"/>
            <w:hideMark/>
          </w:tcPr>
          <w:p w14:paraId="2F4091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5B17E2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-9.24</w:t>
            </w:r>
          </w:p>
        </w:tc>
        <w:tc>
          <w:tcPr>
            <w:tcW w:w="811" w:type="dxa"/>
            <w:tcBorders>
              <w:top w:val="nil"/>
              <w:left w:val="nil"/>
              <w:bottom w:val="nil"/>
              <w:right w:val="single" w:sz="4" w:space="0" w:color="auto"/>
            </w:tcBorders>
            <w:shd w:val="clear" w:color="000000" w:fill="FFFFFF"/>
            <w:vAlign w:val="center"/>
            <w:hideMark/>
          </w:tcPr>
          <w:p w14:paraId="3E64DB5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B92888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A82AB0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(perfect equality) – 1 (perfect inequality)</w:t>
            </w:r>
          </w:p>
        </w:tc>
        <w:tc>
          <w:tcPr>
            <w:tcW w:w="922" w:type="dxa"/>
            <w:tcBorders>
              <w:top w:val="nil"/>
              <w:left w:val="nil"/>
              <w:bottom w:val="nil"/>
              <w:right w:val="single" w:sz="4" w:space="0" w:color="auto"/>
            </w:tcBorders>
            <w:shd w:val="clear" w:color="000000" w:fill="FFFFFF"/>
            <w:vAlign w:val="center"/>
            <w:hideMark/>
          </w:tcPr>
          <w:p w14:paraId="11E7D8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6697FB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18565C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4203D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3D333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8725B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63792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CF43F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13AE5E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5DD2EF2"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F8CE3C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5B0A6A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99960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C0F42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06EB0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17EB0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45845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978E7C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E6073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531E2F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93CC3D5"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615EAE4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Maternal years of schooling</w:t>
            </w:r>
          </w:p>
        </w:tc>
        <w:tc>
          <w:tcPr>
            <w:tcW w:w="922" w:type="dxa"/>
            <w:tcBorders>
              <w:top w:val="nil"/>
              <w:left w:val="nil"/>
              <w:bottom w:val="nil"/>
              <w:right w:val="single" w:sz="4" w:space="0" w:color="auto"/>
            </w:tcBorders>
            <w:shd w:val="clear" w:color="000000" w:fill="FFFFFF"/>
            <w:vAlign w:val="center"/>
            <w:hideMark/>
          </w:tcPr>
          <w:p w14:paraId="0851257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8.02</w:t>
            </w:r>
          </w:p>
        </w:tc>
        <w:tc>
          <w:tcPr>
            <w:tcW w:w="922" w:type="dxa"/>
            <w:tcBorders>
              <w:top w:val="nil"/>
              <w:left w:val="nil"/>
              <w:bottom w:val="nil"/>
              <w:right w:val="nil"/>
            </w:tcBorders>
            <w:shd w:val="clear" w:color="000000" w:fill="FFFFFF"/>
            <w:vAlign w:val="center"/>
            <w:hideMark/>
          </w:tcPr>
          <w:p w14:paraId="2C167B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8.66</w:t>
            </w:r>
          </w:p>
        </w:tc>
        <w:tc>
          <w:tcPr>
            <w:tcW w:w="1009" w:type="dxa"/>
            <w:tcBorders>
              <w:top w:val="nil"/>
              <w:left w:val="single" w:sz="4" w:space="0" w:color="auto"/>
              <w:bottom w:val="nil"/>
              <w:right w:val="single" w:sz="4" w:space="0" w:color="auto"/>
            </w:tcBorders>
            <w:shd w:val="clear" w:color="000000" w:fill="FFFFFF"/>
            <w:vAlign w:val="center"/>
            <w:hideMark/>
          </w:tcPr>
          <w:p w14:paraId="757C80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10.14</w:t>
            </w:r>
          </w:p>
        </w:tc>
        <w:tc>
          <w:tcPr>
            <w:tcW w:w="888" w:type="dxa"/>
            <w:tcBorders>
              <w:top w:val="nil"/>
              <w:left w:val="nil"/>
              <w:bottom w:val="nil"/>
              <w:right w:val="single" w:sz="4" w:space="0" w:color="auto"/>
            </w:tcBorders>
            <w:shd w:val="clear" w:color="000000" w:fill="FFFFFF"/>
            <w:vAlign w:val="center"/>
            <w:hideMark/>
          </w:tcPr>
          <w:p w14:paraId="446D31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0.64</w:t>
            </w:r>
          </w:p>
        </w:tc>
        <w:tc>
          <w:tcPr>
            <w:tcW w:w="811" w:type="dxa"/>
            <w:tcBorders>
              <w:top w:val="nil"/>
              <w:left w:val="nil"/>
              <w:bottom w:val="nil"/>
              <w:right w:val="single" w:sz="4" w:space="0" w:color="auto"/>
            </w:tcBorders>
            <w:shd w:val="clear" w:color="000000" w:fill="FFFFFF"/>
            <w:vAlign w:val="center"/>
            <w:hideMark/>
          </w:tcPr>
          <w:p w14:paraId="2C1B0D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4E318B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1.48</w:t>
            </w:r>
          </w:p>
        </w:tc>
        <w:tc>
          <w:tcPr>
            <w:tcW w:w="811" w:type="dxa"/>
            <w:tcBorders>
              <w:top w:val="nil"/>
              <w:left w:val="nil"/>
              <w:bottom w:val="nil"/>
              <w:right w:val="single" w:sz="4" w:space="0" w:color="auto"/>
            </w:tcBorders>
            <w:shd w:val="clear" w:color="000000" w:fill="FFFFFF"/>
            <w:vAlign w:val="center"/>
            <w:hideMark/>
          </w:tcPr>
          <w:p w14:paraId="3738C7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84D46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2.13</w:t>
            </w:r>
          </w:p>
        </w:tc>
        <w:tc>
          <w:tcPr>
            <w:tcW w:w="811" w:type="dxa"/>
            <w:tcBorders>
              <w:top w:val="nil"/>
              <w:left w:val="nil"/>
              <w:bottom w:val="nil"/>
              <w:right w:val="single" w:sz="4" w:space="0" w:color="auto"/>
            </w:tcBorders>
            <w:shd w:val="clear" w:color="000000" w:fill="FFFFFF"/>
            <w:vAlign w:val="center"/>
            <w:hideMark/>
          </w:tcPr>
          <w:p w14:paraId="6786CB9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40A9887F"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B319EC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69A49D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B3F9D1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27BAF9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E0BFB1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CAD576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0FF39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A57561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38E740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B0598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368B304"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42E6428F" w14:textId="77777777" w:rsidR="00D5600B" w:rsidRPr="003D7162" w:rsidRDefault="00D5600B" w:rsidP="000C7ADC">
            <w:pPr>
              <w:jc w:val="right"/>
              <w:rPr>
                <w:rFonts w:ascii="Helvetica" w:eastAsia="Times New Roman" w:hAnsi="Helvetica" w:cs="Helvetica"/>
                <w:color w:val="000000"/>
                <w:sz w:val="20"/>
                <w:szCs w:val="20"/>
                <w:lang w:eastAsia="en-US"/>
              </w:rPr>
            </w:pPr>
          </w:p>
        </w:tc>
        <w:tc>
          <w:tcPr>
            <w:tcW w:w="922" w:type="dxa"/>
            <w:tcBorders>
              <w:top w:val="nil"/>
              <w:left w:val="nil"/>
              <w:bottom w:val="single" w:sz="4" w:space="0" w:color="auto"/>
              <w:right w:val="single" w:sz="4" w:space="0" w:color="auto"/>
            </w:tcBorders>
            <w:shd w:val="clear" w:color="000000" w:fill="FFFFFF"/>
            <w:vAlign w:val="center"/>
            <w:hideMark/>
          </w:tcPr>
          <w:p w14:paraId="16943A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F8D40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7902F96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22700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D4229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E4712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7989C8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4B9D4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82BCD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A953E7B"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72A8865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Paternal years of schooling</w:t>
            </w:r>
          </w:p>
        </w:tc>
        <w:tc>
          <w:tcPr>
            <w:tcW w:w="922" w:type="dxa"/>
            <w:tcBorders>
              <w:top w:val="nil"/>
              <w:left w:val="nil"/>
              <w:bottom w:val="nil"/>
              <w:right w:val="single" w:sz="4" w:space="0" w:color="auto"/>
            </w:tcBorders>
            <w:shd w:val="clear" w:color="000000" w:fill="FFFFFF"/>
            <w:vAlign w:val="center"/>
            <w:hideMark/>
          </w:tcPr>
          <w:p w14:paraId="46372C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9.27</w:t>
            </w:r>
          </w:p>
        </w:tc>
        <w:tc>
          <w:tcPr>
            <w:tcW w:w="922" w:type="dxa"/>
            <w:tcBorders>
              <w:top w:val="nil"/>
              <w:left w:val="nil"/>
              <w:bottom w:val="nil"/>
              <w:right w:val="nil"/>
            </w:tcBorders>
            <w:shd w:val="clear" w:color="000000" w:fill="FFFFFF"/>
            <w:vAlign w:val="center"/>
            <w:hideMark/>
          </w:tcPr>
          <w:p w14:paraId="4DA389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9.68</w:t>
            </w:r>
          </w:p>
        </w:tc>
        <w:tc>
          <w:tcPr>
            <w:tcW w:w="1009" w:type="dxa"/>
            <w:tcBorders>
              <w:top w:val="nil"/>
              <w:left w:val="single" w:sz="4" w:space="0" w:color="auto"/>
              <w:bottom w:val="nil"/>
              <w:right w:val="single" w:sz="4" w:space="0" w:color="auto"/>
            </w:tcBorders>
            <w:shd w:val="clear" w:color="000000" w:fill="FFFFFF"/>
            <w:vAlign w:val="center"/>
            <w:hideMark/>
          </w:tcPr>
          <w:p w14:paraId="15D487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9.84</w:t>
            </w:r>
          </w:p>
        </w:tc>
        <w:tc>
          <w:tcPr>
            <w:tcW w:w="888" w:type="dxa"/>
            <w:tcBorders>
              <w:top w:val="nil"/>
              <w:left w:val="nil"/>
              <w:bottom w:val="nil"/>
              <w:right w:val="single" w:sz="4" w:space="0" w:color="auto"/>
            </w:tcBorders>
            <w:shd w:val="clear" w:color="000000" w:fill="FFFFFF"/>
            <w:vAlign w:val="center"/>
            <w:hideMark/>
          </w:tcPr>
          <w:p w14:paraId="15622F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w:t>
            </w:r>
          </w:p>
        </w:tc>
        <w:tc>
          <w:tcPr>
            <w:tcW w:w="811" w:type="dxa"/>
            <w:tcBorders>
              <w:top w:val="nil"/>
              <w:left w:val="nil"/>
              <w:bottom w:val="nil"/>
              <w:right w:val="single" w:sz="4" w:space="0" w:color="auto"/>
            </w:tcBorders>
            <w:shd w:val="clear" w:color="000000" w:fill="FFFFFF"/>
            <w:vAlign w:val="center"/>
            <w:hideMark/>
          </w:tcPr>
          <w:p w14:paraId="72BAA49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D4899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w:t>
            </w:r>
          </w:p>
        </w:tc>
        <w:tc>
          <w:tcPr>
            <w:tcW w:w="811" w:type="dxa"/>
            <w:tcBorders>
              <w:top w:val="nil"/>
              <w:left w:val="nil"/>
              <w:bottom w:val="nil"/>
              <w:right w:val="single" w:sz="4" w:space="0" w:color="auto"/>
            </w:tcBorders>
            <w:shd w:val="clear" w:color="000000" w:fill="FFFFFF"/>
            <w:vAlign w:val="center"/>
            <w:hideMark/>
          </w:tcPr>
          <w:p w14:paraId="65415E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0.100</w:t>
            </w:r>
          </w:p>
        </w:tc>
        <w:tc>
          <w:tcPr>
            <w:tcW w:w="888" w:type="dxa"/>
            <w:tcBorders>
              <w:top w:val="nil"/>
              <w:left w:val="nil"/>
              <w:bottom w:val="nil"/>
              <w:right w:val="single" w:sz="4" w:space="0" w:color="auto"/>
            </w:tcBorders>
            <w:shd w:val="clear" w:color="000000" w:fill="FFFFFF"/>
            <w:vAlign w:val="center"/>
            <w:hideMark/>
          </w:tcPr>
          <w:p w14:paraId="17C61B2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0.57</w:t>
            </w:r>
          </w:p>
        </w:tc>
        <w:tc>
          <w:tcPr>
            <w:tcW w:w="811" w:type="dxa"/>
            <w:tcBorders>
              <w:top w:val="nil"/>
              <w:left w:val="nil"/>
              <w:bottom w:val="nil"/>
              <w:right w:val="single" w:sz="4" w:space="0" w:color="auto"/>
            </w:tcBorders>
            <w:shd w:val="clear" w:color="000000" w:fill="FFFFFF"/>
            <w:vAlign w:val="center"/>
            <w:hideMark/>
          </w:tcPr>
          <w:p w14:paraId="260C22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7A46D75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A8AB95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06F440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36C93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7514A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4B0BEA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B8F98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EDBA7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BBA4F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5816D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15B653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DFC6F41"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0AC098E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19B5828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635DFF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80DF5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A98CB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2BAE2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6987F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36865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70207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3E472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48790F9" w14:textId="77777777" w:rsidTr="001070CC">
        <w:trPr>
          <w:trHeight w:val="420"/>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4844DAB8" w14:textId="77777777" w:rsidR="00D5600B" w:rsidRPr="003D7162" w:rsidRDefault="00D5600B" w:rsidP="000C7ADC">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Intermediate level - I</w:t>
            </w:r>
          </w:p>
        </w:tc>
      </w:tr>
      <w:tr w:rsidR="00D5600B" w:rsidRPr="003D7162" w14:paraId="0FB2A54A"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2FD168EA"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Nutrition Specific and Sensitive Programs</w:t>
            </w:r>
          </w:p>
        </w:tc>
      </w:tr>
      <w:tr w:rsidR="00D5600B" w:rsidRPr="003D7162" w14:paraId="5153A753"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537BB7E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CCT “Juntos” program</w:t>
            </w:r>
          </w:p>
        </w:tc>
        <w:tc>
          <w:tcPr>
            <w:tcW w:w="922" w:type="dxa"/>
            <w:tcBorders>
              <w:top w:val="nil"/>
              <w:left w:val="nil"/>
              <w:bottom w:val="nil"/>
              <w:right w:val="single" w:sz="4" w:space="0" w:color="auto"/>
            </w:tcBorders>
            <w:shd w:val="clear" w:color="000000" w:fill="FFFFFF"/>
            <w:vAlign w:val="center"/>
            <w:hideMark/>
          </w:tcPr>
          <w:p w14:paraId="4C4B500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004A8D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36.82</w:t>
            </w:r>
          </w:p>
        </w:tc>
        <w:tc>
          <w:tcPr>
            <w:tcW w:w="1009" w:type="dxa"/>
            <w:tcBorders>
              <w:top w:val="nil"/>
              <w:left w:val="single" w:sz="4" w:space="0" w:color="auto"/>
              <w:bottom w:val="nil"/>
              <w:right w:val="single" w:sz="4" w:space="0" w:color="auto"/>
            </w:tcBorders>
            <w:shd w:val="clear" w:color="000000" w:fill="FFFFFF"/>
            <w:vAlign w:val="center"/>
            <w:hideMark/>
          </w:tcPr>
          <w:p w14:paraId="47155B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60.21</w:t>
            </w:r>
          </w:p>
        </w:tc>
        <w:tc>
          <w:tcPr>
            <w:tcW w:w="888" w:type="dxa"/>
            <w:tcBorders>
              <w:top w:val="nil"/>
              <w:left w:val="nil"/>
              <w:bottom w:val="nil"/>
              <w:right w:val="single" w:sz="4" w:space="0" w:color="auto"/>
            </w:tcBorders>
            <w:shd w:val="clear" w:color="000000" w:fill="FFFFFF"/>
            <w:vAlign w:val="center"/>
            <w:hideMark/>
          </w:tcPr>
          <w:p w14:paraId="195395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36.82</w:t>
            </w:r>
          </w:p>
        </w:tc>
        <w:tc>
          <w:tcPr>
            <w:tcW w:w="811" w:type="dxa"/>
            <w:tcBorders>
              <w:top w:val="nil"/>
              <w:left w:val="nil"/>
              <w:bottom w:val="nil"/>
              <w:right w:val="single" w:sz="4" w:space="0" w:color="auto"/>
            </w:tcBorders>
            <w:shd w:val="clear" w:color="000000" w:fill="FFFFFF"/>
            <w:vAlign w:val="center"/>
            <w:hideMark/>
          </w:tcPr>
          <w:p w14:paraId="36A801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65C744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23.40</w:t>
            </w:r>
          </w:p>
        </w:tc>
        <w:tc>
          <w:tcPr>
            <w:tcW w:w="811" w:type="dxa"/>
            <w:tcBorders>
              <w:top w:val="nil"/>
              <w:left w:val="nil"/>
              <w:bottom w:val="nil"/>
              <w:right w:val="single" w:sz="4" w:space="0" w:color="auto"/>
            </w:tcBorders>
            <w:shd w:val="clear" w:color="000000" w:fill="FFFFFF"/>
            <w:vAlign w:val="center"/>
            <w:hideMark/>
          </w:tcPr>
          <w:p w14:paraId="03E648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47815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60.21</w:t>
            </w:r>
          </w:p>
        </w:tc>
        <w:tc>
          <w:tcPr>
            <w:tcW w:w="811" w:type="dxa"/>
            <w:tcBorders>
              <w:top w:val="nil"/>
              <w:left w:val="nil"/>
              <w:bottom w:val="nil"/>
              <w:right w:val="single" w:sz="4" w:space="0" w:color="auto"/>
            </w:tcBorders>
            <w:shd w:val="clear" w:color="000000" w:fill="FFFFFF"/>
            <w:vAlign w:val="center"/>
            <w:hideMark/>
          </w:tcPr>
          <w:p w14:paraId="7DDE399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E06B695"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1146FCC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(No. families/1000 rural population)</w:t>
            </w:r>
          </w:p>
        </w:tc>
        <w:tc>
          <w:tcPr>
            <w:tcW w:w="922" w:type="dxa"/>
            <w:tcBorders>
              <w:top w:val="nil"/>
              <w:left w:val="nil"/>
              <w:bottom w:val="nil"/>
              <w:right w:val="single" w:sz="4" w:space="0" w:color="auto"/>
            </w:tcBorders>
            <w:shd w:val="clear" w:color="000000" w:fill="FFFFFF"/>
            <w:vAlign w:val="center"/>
            <w:hideMark/>
          </w:tcPr>
          <w:p w14:paraId="6B5C78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58772E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85109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7EEE2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26CE4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67FB5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C5BBF9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6D2C6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F0496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47ECB93"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29724DB"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B6DBE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6C295F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0A47ED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475D5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78C46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B6DDCE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0C17E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A1D53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20DBF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0931DB7"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F54B90B"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Comprehensive Health Insurance (SIS coverage)</w:t>
            </w:r>
          </w:p>
        </w:tc>
        <w:tc>
          <w:tcPr>
            <w:tcW w:w="922" w:type="dxa"/>
            <w:tcBorders>
              <w:top w:val="nil"/>
              <w:left w:val="nil"/>
              <w:bottom w:val="nil"/>
              <w:right w:val="single" w:sz="4" w:space="0" w:color="auto"/>
            </w:tcBorders>
            <w:shd w:val="clear" w:color="000000" w:fill="FFFFFF"/>
            <w:vAlign w:val="center"/>
            <w:hideMark/>
          </w:tcPr>
          <w:p w14:paraId="304BB1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62E6CD1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68.98</w:t>
            </w:r>
          </w:p>
        </w:tc>
        <w:tc>
          <w:tcPr>
            <w:tcW w:w="1009" w:type="dxa"/>
            <w:tcBorders>
              <w:top w:val="nil"/>
              <w:left w:val="single" w:sz="4" w:space="0" w:color="auto"/>
              <w:bottom w:val="nil"/>
              <w:right w:val="single" w:sz="4" w:space="0" w:color="auto"/>
            </w:tcBorders>
            <w:shd w:val="clear" w:color="000000" w:fill="FFFFFF"/>
            <w:vAlign w:val="center"/>
            <w:hideMark/>
          </w:tcPr>
          <w:p w14:paraId="4B5753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73.73</w:t>
            </w:r>
          </w:p>
        </w:tc>
        <w:tc>
          <w:tcPr>
            <w:tcW w:w="888" w:type="dxa"/>
            <w:tcBorders>
              <w:top w:val="nil"/>
              <w:left w:val="nil"/>
              <w:bottom w:val="nil"/>
              <w:right w:val="single" w:sz="4" w:space="0" w:color="auto"/>
            </w:tcBorders>
            <w:shd w:val="clear" w:color="000000" w:fill="FFFFFF"/>
            <w:vAlign w:val="center"/>
            <w:hideMark/>
          </w:tcPr>
          <w:p w14:paraId="70332A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68.98</w:t>
            </w:r>
          </w:p>
        </w:tc>
        <w:tc>
          <w:tcPr>
            <w:tcW w:w="811" w:type="dxa"/>
            <w:tcBorders>
              <w:top w:val="nil"/>
              <w:left w:val="nil"/>
              <w:bottom w:val="nil"/>
              <w:right w:val="single" w:sz="4" w:space="0" w:color="auto"/>
            </w:tcBorders>
            <w:shd w:val="clear" w:color="000000" w:fill="FFFFFF"/>
            <w:vAlign w:val="center"/>
            <w:hideMark/>
          </w:tcPr>
          <w:p w14:paraId="7600072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A2007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4.75</w:t>
            </w:r>
          </w:p>
        </w:tc>
        <w:tc>
          <w:tcPr>
            <w:tcW w:w="811" w:type="dxa"/>
            <w:tcBorders>
              <w:top w:val="nil"/>
              <w:left w:val="nil"/>
              <w:bottom w:val="nil"/>
              <w:right w:val="single" w:sz="4" w:space="0" w:color="auto"/>
            </w:tcBorders>
            <w:shd w:val="clear" w:color="000000" w:fill="FFFFFF"/>
            <w:vAlign w:val="center"/>
            <w:hideMark/>
          </w:tcPr>
          <w:p w14:paraId="39C56A4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58B9E2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73.73</w:t>
            </w:r>
          </w:p>
        </w:tc>
        <w:tc>
          <w:tcPr>
            <w:tcW w:w="811" w:type="dxa"/>
            <w:tcBorders>
              <w:top w:val="nil"/>
              <w:left w:val="nil"/>
              <w:bottom w:val="nil"/>
              <w:right w:val="single" w:sz="4" w:space="0" w:color="auto"/>
            </w:tcBorders>
            <w:shd w:val="clear" w:color="000000" w:fill="FFFFFF"/>
            <w:vAlign w:val="center"/>
            <w:hideMark/>
          </w:tcPr>
          <w:p w14:paraId="384029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598B185A"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76E7B6D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(No. under-5 attendances/under-5 population)</w:t>
            </w:r>
          </w:p>
        </w:tc>
        <w:tc>
          <w:tcPr>
            <w:tcW w:w="922" w:type="dxa"/>
            <w:tcBorders>
              <w:top w:val="nil"/>
              <w:left w:val="nil"/>
              <w:bottom w:val="nil"/>
              <w:right w:val="single" w:sz="4" w:space="0" w:color="auto"/>
            </w:tcBorders>
            <w:shd w:val="clear" w:color="000000" w:fill="FFFFFF"/>
            <w:vAlign w:val="center"/>
            <w:hideMark/>
          </w:tcPr>
          <w:p w14:paraId="325D58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2229C1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4CAC5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211DEE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29FF5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DA24C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64EDE4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AB16F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40406F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0B9BDD2"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832159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4472A3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CEEFD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7772FF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1BA606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61056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BE105C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2A82E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914E0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0F637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B83339D" w14:textId="77777777" w:rsidTr="001070CC">
        <w:trPr>
          <w:trHeight w:val="765"/>
        </w:trPr>
        <w:tc>
          <w:tcPr>
            <w:tcW w:w="1928" w:type="dxa"/>
            <w:tcBorders>
              <w:top w:val="single" w:sz="4" w:space="0" w:color="auto"/>
              <w:left w:val="single" w:sz="4" w:space="0" w:color="auto"/>
              <w:bottom w:val="nil"/>
              <w:right w:val="single" w:sz="4" w:space="0" w:color="auto"/>
            </w:tcBorders>
            <w:shd w:val="clear" w:color="000000" w:fill="FFFFFF"/>
            <w:vAlign w:val="center"/>
            <w:hideMark/>
          </w:tcPr>
          <w:p w14:paraId="60B3FE2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Articulated Nutrition Program (PANlog) expenditure</w:t>
            </w:r>
          </w:p>
        </w:tc>
        <w:tc>
          <w:tcPr>
            <w:tcW w:w="922" w:type="dxa"/>
            <w:tcBorders>
              <w:top w:val="single" w:sz="4" w:space="0" w:color="auto"/>
              <w:left w:val="nil"/>
              <w:bottom w:val="nil"/>
              <w:right w:val="single" w:sz="4" w:space="0" w:color="auto"/>
            </w:tcBorders>
            <w:shd w:val="clear" w:color="000000" w:fill="FFFFFF"/>
            <w:vAlign w:val="center"/>
            <w:hideMark/>
          </w:tcPr>
          <w:p w14:paraId="7428ED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single" w:sz="4" w:space="0" w:color="auto"/>
              <w:left w:val="nil"/>
              <w:bottom w:val="nil"/>
              <w:right w:val="nil"/>
            </w:tcBorders>
            <w:shd w:val="clear" w:color="000000" w:fill="FFFFFF"/>
            <w:vAlign w:val="center"/>
            <w:hideMark/>
          </w:tcPr>
          <w:p w14:paraId="612BA2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1009" w:type="dxa"/>
            <w:tcBorders>
              <w:top w:val="single" w:sz="4" w:space="0" w:color="auto"/>
              <w:left w:val="single" w:sz="4" w:space="0" w:color="auto"/>
              <w:bottom w:val="nil"/>
              <w:right w:val="single" w:sz="4" w:space="0" w:color="auto"/>
            </w:tcBorders>
            <w:shd w:val="clear" w:color="000000" w:fill="FFFFFF"/>
            <w:vAlign w:val="center"/>
            <w:hideMark/>
          </w:tcPr>
          <w:p w14:paraId="620273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5.29</w:t>
            </w:r>
          </w:p>
        </w:tc>
        <w:tc>
          <w:tcPr>
            <w:tcW w:w="888" w:type="dxa"/>
            <w:tcBorders>
              <w:top w:val="single" w:sz="4" w:space="0" w:color="auto"/>
              <w:left w:val="nil"/>
              <w:bottom w:val="nil"/>
              <w:right w:val="single" w:sz="4" w:space="0" w:color="auto"/>
            </w:tcBorders>
            <w:shd w:val="clear" w:color="000000" w:fill="FFFFFF"/>
            <w:vAlign w:val="center"/>
            <w:hideMark/>
          </w:tcPr>
          <w:p w14:paraId="131322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811" w:type="dxa"/>
            <w:tcBorders>
              <w:top w:val="single" w:sz="4" w:space="0" w:color="auto"/>
              <w:left w:val="nil"/>
              <w:bottom w:val="nil"/>
              <w:right w:val="single" w:sz="4" w:space="0" w:color="auto"/>
            </w:tcBorders>
            <w:shd w:val="clear" w:color="000000" w:fill="FFFFFF"/>
            <w:vAlign w:val="center"/>
            <w:hideMark/>
          </w:tcPr>
          <w:p w14:paraId="60168CB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single" w:sz="4" w:space="0" w:color="auto"/>
              <w:left w:val="nil"/>
              <w:bottom w:val="nil"/>
              <w:right w:val="single" w:sz="4" w:space="0" w:color="auto"/>
            </w:tcBorders>
            <w:shd w:val="clear" w:color="000000" w:fill="FFFFFF"/>
            <w:vAlign w:val="center"/>
            <w:hideMark/>
          </w:tcPr>
          <w:p w14:paraId="5C20B4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5.29</w:t>
            </w:r>
          </w:p>
        </w:tc>
        <w:tc>
          <w:tcPr>
            <w:tcW w:w="811" w:type="dxa"/>
            <w:tcBorders>
              <w:top w:val="single" w:sz="4" w:space="0" w:color="auto"/>
              <w:left w:val="nil"/>
              <w:bottom w:val="nil"/>
              <w:right w:val="single" w:sz="4" w:space="0" w:color="auto"/>
            </w:tcBorders>
            <w:shd w:val="clear" w:color="000000" w:fill="FFFFFF"/>
            <w:vAlign w:val="center"/>
            <w:hideMark/>
          </w:tcPr>
          <w:p w14:paraId="6DC6D2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single" w:sz="4" w:space="0" w:color="auto"/>
              <w:left w:val="nil"/>
              <w:bottom w:val="nil"/>
              <w:right w:val="single" w:sz="4" w:space="0" w:color="auto"/>
            </w:tcBorders>
            <w:shd w:val="clear" w:color="000000" w:fill="FFFFFF"/>
            <w:vAlign w:val="center"/>
            <w:hideMark/>
          </w:tcPr>
          <w:p w14:paraId="7F82B6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5.29</w:t>
            </w:r>
          </w:p>
        </w:tc>
        <w:tc>
          <w:tcPr>
            <w:tcW w:w="811" w:type="dxa"/>
            <w:tcBorders>
              <w:top w:val="single" w:sz="4" w:space="0" w:color="auto"/>
              <w:left w:val="nil"/>
              <w:bottom w:val="nil"/>
              <w:right w:val="single" w:sz="4" w:space="0" w:color="auto"/>
            </w:tcBorders>
            <w:shd w:val="clear" w:color="000000" w:fill="FFFFFF"/>
            <w:vAlign w:val="center"/>
            <w:hideMark/>
          </w:tcPr>
          <w:p w14:paraId="54B33E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49C715B"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35FFC7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922" w:type="dxa"/>
            <w:tcBorders>
              <w:top w:val="nil"/>
              <w:left w:val="nil"/>
              <w:bottom w:val="nil"/>
              <w:right w:val="single" w:sz="4" w:space="0" w:color="auto"/>
            </w:tcBorders>
            <w:shd w:val="clear" w:color="000000" w:fill="FFFFFF"/>
            <w:vAlign w:val="center"/>
            <w:hideMark/>
          </w:tcPr>
          <w:p w14:paraId="4465CA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01B7B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95D9E6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79221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C15FD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2AE74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9C2D7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2E26C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36C16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60DCE88"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00B566D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A36CA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30D0B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168409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27380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4287F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0C3067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4DB0E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2D071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19A43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3828A89"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0AB9222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Strategic Program of Maternal and Newborn Health (PSMN log expenditure), per capita</w:t>
            </w:r>
          </w:p>
        </w:tc>
        <w:tc>
          <w:tcPr>
            <w:tcW w:w="922" w:type="dxa"/>
            <w:tcBorders>
              <w:top w:val="nil"/>
              <w:left w:val="nil"/>
              <w:bottom w:val="nil"/>
              <w:right w:val="single" w:sz="4" w:space="0" w:color="auto"/>
            </w:tcBorders>
            <w:shd w:val="clear" w:color="000000" w:fill="FFFFFF"/>
            <w:vAlign w:val="center"/>
            <w:hideMark/>
          </w:tcPr>
          <w:p w14:paraId="7B6112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560BF5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1009" w:type="dxa"/>
            <w:tcBorders>
              <w:top w:val="nil"/>
              <w:left w:val="single" w:sz="4" w:space="0" w:color="auto"/>
              <w:bottom w:val="nil"/>
              <w:right w:val="single" w:sz="4" w:space="0" w:color="auto"/>
            </w:tcBorders>
            <w:shd w:val="clear" w:color="000000" w:fill="FFFFFF"/>
            <w:vAlign w:val="center"/>
            <w:hideMark/>
          </w:tcPr>
          <w:p w14:paraId="23D6018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6.96</w:t>
            </w:r>
          </w:p>
        </w:tc>
        <w:tc>
          <w:tcPr>
            <w:tcW w:w="888" w:type="dxa"/>
            <w:tcBorders>
              <w:top w:val="nil"/>
              <w:left w:val="nil"/>
              <w:bottom w:val="nil"/>
              <w:right w:val="single" w:sz="4" w:space="0" w:color="auto"/>
            </w:tcBorders>
            <w:shd w:val="clear" w:color="000000" w:fill="FFFFFF"/>
            <w:vAlign w:val="center"/>
            <w:hideMark/>
          </w:tcPr>
          <w:p w14:paraId="64062D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811" w:type="dxa"/>
            <w:tcBorders>
              <w:top w:val="nil"/>
              <w:left w:val="nil"/>
              <w:bottom w:val="nil"/>
              <w:right w:val="single" w:sz="4" w:space="0" w:color="auto"/>
            </w:tcBorders>
            <w:shd w:val="clear" w:color="000000" w:fill="FFFFFF"/>
            <w:vAlign w:val="center"/>
            <w:hideMark/>
          </w:tcPr>
          <w:p w14:paraId="5C1518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05BCD3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6.96</w:t>
            </w:r>
          </w:p>
        </w:tc>
        <w:tc>
          <w:tcPr>
            <w:tcW w:w="811" w:type="dxa"/>
            <w:tcBorders>
              <w:top w:val="nil"/>
              <w:left w:val="nil"/>
              <w:bottom w:val="nil"/>
              <w:right w:val="single" w:sz="4" w:space="0" w:color="auto"/>
            </w:tcBorders>
            <w:shd w:val="clear" w:color="000000" w:fill="FFFFFF"/>
            <w:vAlign w:val="center"/>
            <w:hideMark/>
          </w:tcPr>
          <w:p w14:paraId="4CDC71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FF5504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6.96</w:t>
            </w:r>
          </w:p>
        </w:tc>
        <w:tc>
          <w:tcPr>
            <w:tcW w:w="811" w:type="dxa"/>
            <w:tcBorders>
              <w:top w:val="nil"/>
              <w:left w:val="nil"/>
              <w:bottom w:val="nil"/>
              <w:right w:val="single" w:sz="4" w:space="0" w:color="auto"/>
            </w:tcBorders>
            <w:shd w:val="clear" w:color="000000" w:fill="FFFFFF"/>
            <w:vAlign w:val="center"/>
            <w:hideMark/>
          </w:tcPr>
          <w:p w14:paraId="411591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7458DC7D"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209B12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922" w:type="dxa"/>
            <w:tcBorders>
              <w:top w:val="nil"/>
              <w:left w:val="nil"/>
              <w:bottom w:val="nil"/>
              <w:right w:val="single" w:sz="4" w:space="0" w:color="auto"/>
            </w:tcBorders>
            <w:shd w:val="clear" w:color="000000" w:fill="FFFFFF"/>
            <w:vAlign w:val="center"/>
            <w:hideMark/>
          </w:tcPr>
          <w:p w14:paraId="78DE7AC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A196B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C4A72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F219F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7EBD50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D576A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DABA8E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D7A9E9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4232B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6B4CF3F3"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00FACD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4673ABB" w14:textId="77777777" w:rsidR="00D5600B" w:rsidRPr="003D7162" w:rsidRDefault="00D5600B" w:rsidP="000C7ADC">
            <w:pPr>
              <w:jc w:val="center"/>
              <w:rPr>
                <w:rFonts w:ascii="Helvetica" w:eastAsia="Times New Roman" w:hAnsi="Helvetica" w:cs="Helvetica"/>
                <w:i/>
                <w:iCs/>
                <w:color w:val="808080"/>
                <w:sz w:val="20"/>
                <w:szCs w:val="20"/>
                <w:lang w:eastAsia="en-US"/>
              </w:rPr>
            </w:pPr>
            <w:r w:rsidRPr="003D7162">
              <w:rPr>
                <w:rFonts w:ascii="Helvetica" w:eastAsia="Times New Roman" w:hAnsi="Helvetica" w:cs="Helvetica"/>
                <w:i/>
                <w:iCs/>
                <w:color w:val="80808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744E4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8F981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6F384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73E902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62DC4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4D069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A5B28E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63E339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CF13565" w14:textId="77777777" w:rsidTr="001070CC">
        <w:trPr>
          <w:trHeight w:val="420"/>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0237ACEA" w14:textId="77777777" w:rsidR="00D5600B" w:rsidRPr="003D7162" w:rsidRDefault="00D5600B" w:rsidP="000C7ADC">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Intermediate level - II</w:t>
            </w:r>
          </w:p>
        </w:tc>
      </w:tr>
      <w:tr w:rsidR="00D5600B" w:rsidRPr="003D7162" w14:paraId="03AA996C"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3C9A39DD"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Inadequate care and feeding practices</w:t>
            </w:r>
          </w:p>
        </w:tc>
      </w:tr>
      <w:tr w:rsidR="00D5600B" w:rsidRPr="003D7162" w14:paraId="3FCCEE89"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2CC784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Duration of breast feeding</w:t>
            </w:r>
          </w:p>
        </w:tc>
        <w:tc>
          <w:tcPr>
            <w:tcW w:w="922" w:type="dxa"/>
            <w:tcBorders>
              <w:top w:val="nil"/>
              <w:left w:val="nil"/>
              <w:bottom w:val="nil"/>
              <w:right w:val="single" w:sz="4" w:space="0" w:color="auto"/>
            </w:tcBorders>
            <w:shd w:val="clear" w:color="000000" w:fill="FFFFFF"/>
            <w:vAlign w:val="center"/>
            <w:hideMark/>
          </w:tcPr>
          <w:p w14:paraId="393051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15.12</w:t>
            </w:r>
          </w:p>
        </w:tc>
        <w:tc>
          <w:tcPr>
            <w:tcW w:w="922" w:type="dxa"/>
            <w:tcBorders>
              <w:top w:val="nil"/>
              <w:left w:val="nil"/>
              <w:bottom w:val="nil"/>
              <w:right w:val="nil"/>
            </w:tcBorders>
            <w:shd w:val="clear" w:color="000000" w:fill="FFFFFF"/>
            <w:vAlign w:val="center"/>
            <w:hideMark/>
          </w:tcPr>
          <w:p w14:paraId="0DBD37E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15.04</w:t>
            </w:r>
          </w:p>
        </w:tc>
        <w:tc>
          <w:tcPr>
            <w:tcW w:w="1009" w:type="dxa"/>
            <w:tcBorders>
              <w:top w:val="nil"/>
              <w:left w:val="single" w:sz="4" w:space="0" w:color="auto"/>
              <w:bottom w:val="nil"/>
              <w:right w:val="single" w:sz="4" w:space="0" w:color="auto"/>
            </w:tcBorders>
            <w:shd w:val="clear" w:color="000000" w:fill="FFFFFF"/>
            <w:vAlign w:val="center"/>
            <w:hideMark/>
          </w:tcPr>
          <w:p w14:paraId="2F1643C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15.67</w:t>
            </w:r>
          </w:p>
        </w:tc>
        <w:tc>
          <w:tcPr>
            <w:tcW w:w="888" w:type="dxa"/>
            <w:tcBorders>
              <w:top w:val="nil"/>
              <w:left w:val="nil"/>
              <w:bottom w:val="nil"/>
              <w:right w:val="single" w:sz="4" w:space="0" w:color="auto"/>
            </w:tcBorders>
            <w:shd w:val="clear" w:color="000000" w:fill="FFFFFF"/>
            <w:vAlign w:val="center"/>
            <w:hideMark/>
          </w:tcPr>
          <w:p w14:paraId="0432FF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w:t>
            </w:r>
          </w:p>
        </w:tc>
        <w:tc>
          <w:tcPr>
            <w:tcW w:w="811" w:type="dxa"/>
            <w:tcBorders>
              <w:top w:val="nil"/>
              <w:left w:val="nil"/>
              <w:bottom w:val="nil"/>
              <w:right w:val="single" w:sz="4" w:space="0" w:color="auto"/>
            </w:tcBorders>
            <w:shd w:val="clear" w:color="000000" w:fill="FFFFFF"/>
            <w:vAlign w:val="center"/>
            <w:hideMark/>
          </w:tcPr>
          <w:p w14:paraId="337687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0.668</w:t>
            </w:r>
          </w:p>
        </w:tc>
        <w:tc>
          <w:tcPr>
            <w:tcW w:w="888" w:type="dxa"/>
            <w:tcBorders>
              <w:top w:val="nil"/>
              <w:left w:val="nil"/>
              <w:bottom w:val="nil"/>
              <w:right w:val="single" w:sz="4" w:space="0" w:color="auto"/>
            </w:tcBorders>
            <w:shd w:val="clear" w:color="000000" w:fill="FFFFFF"/>
            <w:vAlign w:val="center"/>
            <w:hideMark/>
          </w:tcPr>
          <w:p w14:paraId="65429A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0.63</w:t>
            </w:r>
          </w:p>
        </w:tc>
        <w:tc>
          <w:tcPr>
            <w:tcW w:w="811" w:type="dxa"/>
            <w:tcBorders>
              <w:top w:val="nil"/>
              <w:left w:val="nil"/>
              <w:bottom w:val="nil"/>
              <w:right w:val="single" w:sz="4" w:space="0" w:color="auto"/>
            </w:tcBorders>
            <w:shd w:val="clear" w:color="000000" w:fill="FFFFFF"/>
            <w:vAlign w:val="center"/>
            <w:hideMark/>
          </w:tcPr>
          <w:p w14:paraId="472490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0D0CC4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0.55</w:t>
            </w:r>
          </w:p>
        </w:tc>
        <w:tc>
          <w:tcPr>
            <w:tcW w:w="811" w:type="dxa"/>
            <w:tcBorders>
              <w:top w:val="nil"/>
              <w:left w:val="nil"/>
              <w:bottom w:val="nil"/>
              <w:right w:val="single" w:sz="4" w:space="0" w:color="auto"/>
            </w:tcBorders>
            <w:shd w:val="clear" w:color="000000" w:fill="FFFFFF"/>
            <w:vAlign w:val="center"/>
            <w:hideMark/>
          </w:tcPr>
          <w:p w14:paraId="45393C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r>
      <w:tr w:rsidR="00D5600B" w:rsidRPr="003D7162" w14:paraId="782279F7"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3E7CD3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 months)</w:t>
            </w:r>
          </w:p>
        </w:tc>
        <w:tc>
          <w:tcPr>
            <w:tcW w:w="922" w:type="dxa"/>
            <w:tcBorders>
              <w:top w:val="nil"/>
              <w:left w:val="nil"/>
              <w:bottom w:val="nil"/>
              <w:right w:val="single" w:sz="4" w:space="0" w:color="auto"/>
            </w:tcBorders>
            <w:shd w:val="clear" w:color="000000" w:fill="FFFFFF"/>
            <w:vAlign w:val="center"/>
            <w:hideMark/>
          </w:tcPr>
          <w:p w14:paraId="5EB7BF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A33838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54AC5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08628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5D6CC6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C6D81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FFB1C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F9037A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AB335C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888D319"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5DADE9C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3EF14B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5F9C5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A19F1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04712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19CFA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E442B4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83DA7B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05754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15157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C778156" w14:textId="77777777" w:rsidTr="001070CC">
        <w:trPr>
          <w:trHeight w:val="255"/>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441749D0"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Food insecurity</w:t>
            </w:r>
          </w:p>
        </w:tc>
      </w:tr>
      <w:tr w:rsidR="00D5600B" w:rsidRPr="003D7162" w14:paraId="71DB202E"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FA992BE"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Altitude</w:t>
            </w:r>
          </w:p>
          <w:p w14:paraId="476F35F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w:t>
            </w:r>
          </w:p>
        </w:tc>
        <w:tc>
          <w:tcPr>
            <w:tcW w:w="922" w:type="dxa"/>
            <w:tcBorders>
              <w:top w:val="nil"/>
              <w:left w:val="nil"/>
              <w:bottom w:val="nil"/>
              <w:right w:val="single" w:sz="4" w:space="0" w:color="auto"/>
            </w:tcBorders>
            <w:shd w:val="clear" w:color="000000" w:fill="FFFFFF"/>
            <w:vAlign w:val="center"/>
            <w:hideMark/>
          </w:tcPr>
          <w:p w14:paraId="10767F1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1389.84</w:t>
            </w:r>
          </w:p>
        </w:tc>
        <w:tc>
          <w:tcPr>
            <w:tcW w:w="922" w:type="dxa"/>
            <w:tcBorders>
              <w:top w:val="nil"/>
              <w:left w:val="nil"/>
              <w:bottom w:val="nil"/>
              <w:right w:val="nil"/>
            </w:tcBorders>
            <w:shd w:val="clear" w:color="000000" w:fill="FFFFFF"/>
            <w:vAlign w:val="center"/>
            <w:hideMark/>
          </w:tcPr>
          <w:p w14:paraId="2CF5F2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1406.35</w:t>
            </w:r>
          </w:p>
        </w:tc>
        <w:tc>
          <w:tcPr>
            <w:tcW w:w="1009" w:type="dxa"/>
            <w:tcBorders>
              <w:top w:val="nil"/>
              <w:left w:val="single" w:sz="4" w:space="0" w:color="auto"/>
              <w:bottom w:val="nil"/>
              <w:right w:val="single" w:sz="4" w:space="0" w:color="auto"/>
            </w:tcBorders>
            <w:shd w:val="clear" w:color="000000" w:fill="FFFFFF"/>
            <w:vAlign w:val="center"/>
            <w:hideMark/>
          </w:tcPr>
          <w:p w14:paraId="72571A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1080.14</w:t>
            </w:r>
          </w:p>
        </w:tc>
        <w:tc>
          <w:tcPr>
            <w:tcW w:w="888" w:type="dxa"/>
            <w:tcBorders>
              <w:top w:val="nil"/>
              <w:left w:val="nil"/>
              <w:bottom w:val="nil"/>
              <w:right w:val="single" w:sz="4" w:space="0" w:color="auto"/>
            </w:tcBorders>
            <w:shd w:val="clear" w:color="000000" w:fill="FFFFFF"/>
            <w:vAlign w:val="center"/>
            <w:hideMark/>
          </w:tcPr>
          <w:p w14:paraId="12A769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16.51</w:t>
            </w:r>
          </w:p>
        </w:tc>
        <w:tc>
          <w:tcPr>
            <w:tcW w:w="811" w:type="dxa"/>
            <w:tcBorders>
              <w:top w:val="nil"/>
              <w:left w:val="nil"/>
              <w:bottom w:val="nil"/>
              <w:right w:val="single" w:sz="4" w:space="0" w:color="auto"/>
            </w:tcBorders>
            <w:shd w:val="clear" w:color="000000" w:fill="FFFFFF"/>
            <w:vAlign w:val="center"/>
            <w:hideMark/>
          </w:tcPr>
          <w:p w14:paraId="3B8B95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0.760</w:t>
            </w:r>
          </w:p>
        </w:tc>
        <w:tc>
          <w:tcPr>
            <w:tcW w:w="888" w:type="dxa"/>
            <w:tcBorders>
              <w:top w:val="nil"/>
              <w:left w:val="nil"/>
              <w:bottom w:val="nil"/>
              <w:right w:val="single" w:sz="4" w:space="0" w:color="auto"/>
            </w:tcBorders>
            <w:shd w:val="clear" w:color="000000" w:fill="FFFFFF"/>
            <w:vAlign w:val="center"/>
            <w:hideMark/>
          </w:tcPr>
          <w:p w14:paraId="74E619A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-326.21</w:t>
            </w:r>
          </w:p>
        </w:tc>
        <w:tc>
          <w:tcPr>
            <w:tcW w:w="811" w:type="dxa"/>
            <w:tcBorders>
              <w:top w:val="nil"/>
              <w:left w:val="nil"/>
              <w:bottom w:val="nil"/>
              <w:right w:val="single" w:sz="4" w:space="0" w:color="auto"/>
            </w:tcBorders>
            <w:shd w:val="clear" w:color="000000" w:fill="FFFFFF"/>
            <w:vAlign w:val="center"/>
            <w:hideMark/>
          </w:tcPr>
          <w:p w14:paraId="3A736B7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8EDC2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-309.70</w:t>
            </w:r>
          </w:p>
        </w:tc>
        <w:tc>
          <w:tcPr>
            <w:tcW w:w="811" w:type="dxa"/>
            <w:tcBorders>
              <w:top w:val="nil"/>
              <w:left w:val="nil"/>
              <w:bottom w:val="nil"/>
              <w:right w:val="single" w:sz="4" w:space="0" w:color="auto"/>
            </w:tcBorders>
            <w:shd w:val="clear" w:color="000000" w:fill="FFFFFF"/>
            <w:vAlign w:val="center"/>
            <w:hideMark/>
          </w:tcPr>
          <w:p w14:paraId="544839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10235021"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E6E8AD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71D0EC9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71217C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C2717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2CD582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ABAC7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A95869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55892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1F1E9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8A6C0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79B05D8"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5C5B07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C0ED09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F642B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0EAC1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90DB7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E53A93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A8FC6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8CF36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059ADB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B69742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3725915"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013BEFFC"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Childhood vaccines</w:t>
            </w:r>
          </w:p>
        </w:tc>
      </w:tr>
      <w:tr w:rsidR="00D5600B" w:rsidRPr="003D7162" w14:paraId="02157EAE"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4D05FD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DPT vaccine</w:t>
            </w:r>
          </w:p>
        </w:tc>
        <w:tc>
          <w:tcPr>
            <w:tcW w:w="922" w:type="dxa"/>
            <w:tcBorders>
              <w:top w:val="nil"/>
              <w:left w:val="nil"/>
              <w:bottom w:val="nil"/>
              <w:right w:val="single" w:sz="4" w:space="0" w:color="auto"/>
            </w:tcBorders>
            <w:shd w:val="clear" w:color="000000" w:fill="FFFFFF"/>
            <w:vAlign w:val="center"/>
            <w:hideMark/>
          </w:tcPr>
          <w:p w14:paraId="48FA493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91.98</w:t>
            </w:r>
          </w:p>
        </w:tc>
        <w:tc>
          <w:tcPr>
            <w:tcW w:w="922" w:type="dxa"/>
            <w:tcBorders>
              <w:top w:val="nil"/>
              <w:left w:val="nil"/>
              <w:bottom w:val="nil"/>
              <w:right w:val="nil"/>
            </w:tcBorders>
            <w:shd w:val="clear" w:color="000000" w:fill="FFFFFF"/>
            <w:vAlign w:val="center"/>
            <w:hideMark/>
          </w:tcPr>
          <w:p w14:paraId="44D7E2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93.04</w:t>
            </w:r>
          </w:p>
        </w:tc>
        <w:tc>
          <w:tcPr>
            <w:tcW w:w="1009" w:type="dxa"/>
            <w:tcBorders>
              <w:top w:val="nil"/>
              <w:left w:val="single" w:sz="4" w:space="0" w:color="auto"/>
              <w:bottom w:val="nil"/>
              <w:right w:val="single" w:sz="4" w:space="0" w:color="auto"/>
            </w:tcBorders>
            <w:shd w:val="clear" w:color="000000" w:fill="FFFFFF"/>
            <w:vAlign w:val="center"/>
            <w:hideMark/>
          </w:tcPr>
          <w:p w14:paraId="29165D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92.80</w:t>
            </w:r>
          </w:p>
        </w:tc>
        <w:tc>
          <w:tcPr>
            <w:tcW w:w="888" w:type="dxa"/>
            <w:tcBorders>
              <w:top w:val="nil"/>
              <w:left w:val="nil"/>
              <w:bottom w:val="nil"/>
              <w:right w:val="single" w:sz="4" w:space="0" w:color="auto"/>
            </w:tcBorders>
            <w:shd w:val="clear" w:color="000000" w:fill="FFFFFF"/>
            <w:vAlign w:val="center"/>
            <w:hideMark/>
          </w:tcPr>
          <w:p w14:paraId="5A19FC2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1.06</w:t>
            </w:r>
          </w:p>
        </w:tc>
        <w:tc>
          <w:tcPr>
            <w:tcW w:w="811" w:type="dxa"/>
            <w:tcBorders>
              <w:top w:val="nil"/>
              <w:left w:val="nil"/>
              <w:bottom w:val="nil"/>
              <w:right w:val="single" w:sz="4" w:space="0" w:color="auto"/>
            </w:tcBorders>
            <w:shd w:val="clear" w:color="000000" w:fill="FFFFFF"/>
            <w:vAlign w:val="center"/>
            <w:hideMark/>
          </w:tcPr>
          <w:p w14:paraId="31EC68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0.060</w:t>
            </w:r>
          </w:p>
        </w:tc>
        <w:tc>
          <w:tcPr>
            <w:tcW w:w="888" w:type="dxa"/>
            <w:tcBorders>
              <w:top w:val="nil"/>
              <w:left w:val="nil"/>
              <w:bottom w:val="nil"/>
              <w:right w:val="single" w:sz="4" w:space="0" w:color="auto"/>
            </w:tcBorders>
            <w:shd w:val="clear" w:color="000000" w:fill="FFFFFF"/>
            <w:vAlign w:val="center"/>
            <w:hideMark/>
          </w:tcPr>
          <w:p w14:paraId="556161F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-0.26</w:t>
            </w:r>
          </w:p>
        </w:tc>
        <w:tc>
          <w:tcPr>
            <w:tcW w:w="811" w:type="dxa"/>
            <w:tcBorders>
              <w:top w:val="nil"/>
              <w:left w:val="nil"/>
              <w:bottom w:val="nil"/>
              <w:right w:val="single" w:sz="4" w:space="0" w:color="auto"/>
            </w:tcBorders>
            <w:shd w:val="clear" w:color="000000" w:fill="FFFFFF"/>
            <w:vAlign w:val="center"/>
            <w:hideMark/>
          </w:tcPr>
          <w:p w14:paraId="13F727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0.61</w:t>
            </w:r>
          </w:p>
        </w:tc>
        <w:tc>
          <w:tcPr>
            <w:tcW w:w="888" w:type="dxa"/>
            <w:tcBorders>
              <w:top w:val="nil"/>
              <w:left w:val="nil"/>
              <w:bottom w:val="nil"/>
              <w:right w:val="single" w:sz="4" w:space="0" w:color="auto"/>
            </w:tcBorders>
            <w:shd w:val="clear" w:color="000000" w:fill="FFFFFF"/>
            <w:vAlign w:val="center"/>
            <w:hideMark/>
          </w:tcPr>
          <w:p w14:paraId="0BB348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0.80</w:t>
            </w:r>
          </w:p>
        </w:tc>
        <w:tc>
          <w:tcPr>
            <w:tcW w:w="811" w:type="dxa"/>
            <w:tcBorders>
              <w:top w:val="nil"/>
              <w:left w:val="nil"/>
              <w:bottom w:val="nil"/>
              <w:right w:val="single" w:sz="4" w:space="0" w:color="auto"/>
            </w:tcBorders>
            <w:shd w:val="clear" w:color="000000" w:fill="FFFFFF"/>
            <w:vAlign w:val="center"/>
            <w:hideMark/>
          </w:tcPr>
          <w:p w14:paraId="77E75E3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0.097</w:t>
            </w:r>
          </w:p>
        </w:tc>
      </w:tr>
      <w:tr w:rsidR="00D5600B" w:rsidRPr="003D7162" w14:paraId="201ABEEC"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0DA99CE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3 doses)</w:t>
            </w:r>
          </w:p>
          <w:p w14:paraId="3EF3F1A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922" w:type="dxa"/>
            <w:tcBorders>
              <w:top w:val="nil"/>
              <w:left w:val="nil"/>
              <w:bottom w:val="nil"/>
              <w:right w:val="single" w:sz="4" w:space="0" w:color="auto"/>
            </w:tcBorders>
            <w:shd w:val="clear" w:color="000000" w:fill="FFFFFF"/>
            <w:vAlign w:val="center"/>
            <w:hideMark/>
          </w:tcPr>
          <w:p w14:paraId="2F8B62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14C9F2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381AE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11115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7852D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B1F2B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5D512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A416C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AF97C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7AF668E"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D1B368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807CE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E7F8A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DF3D4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E28A4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82958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543ED1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9EB18B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B1F24E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4D698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500B851"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EFE16C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Measles vaccine</w:t>
            </w:r>
          </w:p>
        </w:tc>
        <w:tc>
          <w:tcPr>
            <w:tcW w:w="922" w:type="dxa"/>
            <w:tcBorders>
              <w:top w:val="nil"/>
              <w:left w:val="nil"/>
              <w:bottom w:val="nil"/>
              <w:right w:val="single" w:sz="4" w:space="0" w:color="auto"/>
            </w:tcBorders>
            <w:shd w:val="clear" w:color="000000" w:fill="FFFFFF"/>
            <w:vAlign w:val="center"/>
            <w:hideMark/>
          </w:tcPr>
          <w:p w14:paraId="24BC84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67.32</w:t>
            </w:r>
          </w:p>
        </w:tc>
        <w:tc>
          <w:tcPr>
            <w:tcW w:w="922" w:type="dxa"/>
            <w:tcBorders>
              <w:top w:val="nil"/>
              <w:left w:val="nil"/>
              <w:bottom w:val="nil"/>
              <w:right w:val="nil"/>
            </w:tcBorders>
            <w:shd w:val="clear" w:color="000000" w:fill="FFFFFF"/>
            <w:vAlign w:val="center"/>
            <w:hideMark/>
          </w:tcPr>
          <w:p w14:paraId="6F402C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65.33</w:t>
            </w:r>
          </w:p>
        </w:tc>
        <w:tc>
          <w:tcPr>
            <w:tcW w:w="1009" w:type="dxa"/>
            <w:tcBorders>
              <w:top w:val="nil"/>
              <w:left w:val="single" w:sz="4" w:space="0" w:color="auto"/>
              <w:bottom w:val="nil"/>
              <w:right w:val="single" w:sz="4" w:space="0" w:color="auto"/>
            </w:tcBorders>
            <w:shd w:val="clear" w:color="000000" w:fill="FFFFFF"/>
            <w:vAlign w:val="center"/>
            <w:hideMark/>
          </w:tcPr>
          <w:p w14:paraId="0BF81D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70.50</w:t>
            </w:r>
          </w:p>
        </w:tc>
        <w:tc>
          <w:tcPr>
            <w:tcW w:w="888" w:type="dxa"/>
            <w:tcBorders>
              <w:top w:val="nil"/>
              <w:left w:val="nil"/>
              <w:bottom w:val="nil"/>
              <w:right w:val="single" w:sz="4" w:space="0" w:color="auto"/>
            </w:tcBorders>
            <w:shd w:val="clear" w:color="000000" w:fill="FFFFFF"/>
            <w:vAlign w:val="center"/>
            <w:hideMark/>
          </w:tcPr>
          <w:p w14:paraId="489F83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-1.99</w:t>
            </w:r>
          </w:p>
        </w:tc>
        <w:tc>
          <w:tcPr>
            <w:tcW w:w="811" w:type="dxa"/>
            <w:tcBorders>
              <w:top w:val="nil"/>
              <w:left w:val="nil"/>
              <w:bottom w:val="nil"/>
              <w:right w:val="single" w:sz="4" w:space="0" w:color="auto"/>
            </w:tcBorders>
            <w:shd w:val="clear" w:color="000000" w:fill="FFFFFF"/>
            <w:vAlign w:val="center"/>
            <w:hideMark/>
          </w:tcPr>
          <w:p w14:paraId="2A783CE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0.042</w:t>
            </w:r>
          </w:p>
        </w:tc>
        <w:tc>
          <w:tcPr>
            <w:tcW w:w="888" w:type="dxa"/>
            <w:tcBorders>
              <w:top w:val="nil"/>
              <w:left w:val="nil"/>
              <w:bottom w:val="nil"/>
              <w:right w:val="single" w:sz="4" w:space="0" w:color="auto"/>
            </w:tcBorders>
            <w:shd w:val="clear" w:color="000000" w:fill="FFFFFF"/>
            <w:vAlign w:val="center"/>
            <w:hideMark/>
          </w:tcPr>
          <w:p w14:paraId="61C51E7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5.17</w:t>
            </w:r>
          </w:p>
        </w:tc>
        <w:tc>
          <w:tcPr>
            <w:tcW w:w="811" w:type="dxa"/>
            <w:tcBorders>
              <w:top w:val="nil"/>
              <w:left w:val="nil"/>
              <w:bottom w:val="nil"/>
              <w:right w:val="single" w:sz="4" w:space="0" w:color="auto"/>
            </w:tcBorders>
            <w:shd w:val="clear" w:color="000000" w:fill="FFFFFF"/>
            <w:vAlign w:val="center"/>
            <w:hideMark/>
          </w:tcPr>
          <w:p w14:paraId="622DBB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F80FCA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3.19</w:t>
            </w:r>
          </w:p>
        </w:tc>
        <w:tc>
          <w:tcPr>
            <w:tcW w:w="811" w:type="dxa"/>
            <w:tcBorders>
              <w:top w:val="nil"/>
              <w:left w:val="nil"/>
              <w:bottom w:val="nil"/>
              <w:right w:val="single" w:sz="4" w:space="0" w:color="auto"/>
            </w:tcBorders>
            <w:shd w:val="clear" w:color="000000" w:fill="FFFFFF"/>
            <w:vAlign w:val="center"/>
            <w:hideMark/>
          </w:tcPr>
          <w:p w14:paraId="626919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4C06B4F9"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7AC003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w:t>
            </w:r>
          </w:p>
          <w:p w14:paraId="5C90794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922" w:type="dxa"/>
            <w:tcBorders>
              <w:top w:val="nil"/>
              <w:left w:val="nil"/>
              <w:bottom w:val="nil"/>
              <w:right w:val="single" w:sz="4" w:space="0" w:color="auto"/>
            </w:tcBorders>
            <w:shd w:val="clear" w:color="000000" w:fill="FFFFFF"/>
            <w:vAlign w:val="center"/>
            <w:hideMark/>
          </w:tcPr>
          <w:p w14:paraId="2D8936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4010A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6EDD5A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D2A16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2A8346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9EEB4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59F9E5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78A83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7DB88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EED7DC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859975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0109B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82F6F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ECE4B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B37DA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8C500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8C0EA4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BE759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562D72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BE3D8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5DE831D"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07FF0E8B"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Pneumococcal vaccine</w:t>
            </w:r>
          </w:p>
        </w:tc>
        <w:tc>
          <w:tcPr>
            <w:tcW w:w="922" w:type="dxa"/>
            <w:tcBorders>
              <w:top w:val="nil"/>
              <w:left w:val="nil"/>
              <w:bottom w:val="nil"/>
              <w:right w:val="single" w:sz="4" w:space="0" w:color="auto"/>
            </w:tcBorders>
            <w:shd w:val="clear" w:color="000000" w:fill="FFFFFF"/>
            <w:vAlign w:val="center"/>
            <w:hideMark/>
          </w:tcPr>
          <w:p w14:paraId="5EDD96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75DFD83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1009" w:type="dxa"/>
            <w:tcBorders>
              <w:top w:val="nil"/>
              <w:left w:val="single" w:sz="4" w:space="0" w:color="auto"/>
              <w:bottom w:val="nil"/>
              <w:right w:val="single" w:sz="4" w:space="0" w:color="auto"/>
            </w:tcBorders>
            <w:shd w:val="clear" w:color="000000" w:fill="FFFFFF"/>
            <w:vAlign w:val="center"/>
            <w:hideMark/>
          </w:tcPr>
          <w:p w14:paraId="2775A3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82.90</w:t>
            </w:r>
          </w:p>
        </w:tc>
        <w:tc>
          <w:tcPr>
            <w:tcW w:w="888" w:type="dxa"/>
            <w:tcBorders>
              <w:top w:val="nil"/>
              <w:left w:val="nil"/>
              <w:bottom w:val="nil"/>
              <w:right w:val="single" w:sz="4" w:space="0" w:color="auto"/>
            </w:tcBorders>
            <w:shd w:val="clear" w:color="000000" w:fill="FFFFFF"/>
            <w:vAlign w:val="center"/>
            <w:hideMark/>
          </w:tcPr>
          <w:p w14:paraId="670B34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811" w:type="dxa"/>
            <w:tcBorders>
              <w:top w:val="nil"/>
              <w:left w:val="nil"/>
              <w:bottom w:val="nil"/>
              <w:right w:val="single" w:sz="4" w:space="0" w:color="auto"/>
            </w:tcBorders>
            <w:shd w:val="clear" w:color="000000" w:fill="FFFFFF"/>
            <w:vAlign w:val="center"/>
            <w:hideMark/>
          </w:tcPr>
          <w:p w14:paraId="33FC7D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86FAAF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82.90</w:t>
            </w:r>
          </w:p>
        </w:tc>
        <w:tc>
          <w:tcPr>
            <w:tcW w:w="811" w:type="dxa"/>
            <w:tcBorders>
              <w:top w:val="nil"/>
              <w:left w:val="nil"/>
              <w:bottom w:val="nil"/>
              <w:right w:val="single" w:sz="4" w:space="0" w:color="auto"/>
            </w:tcBorders>
            <w:shd w:val="clear" w:color="000000" w:fill="FFFFFF"/>
            <w:vAlign w:val="center"/>
            <w:hideMark/>
          </w:tcPr>
          <w:p w14:paraId="6EFEF5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62EC09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82.90</w:t>
            </w:r>
          </w:p>
        </w:tc>
        <w:tc>
          <w:tcPr>
            <w:tcW w:w="811" w:type="dxa"/>
            <w:tcBorders>
              <w:top w:val="nil"/>
              <w:left w:val="nil"/>
              <w:bottom w:val="nil"/>
              <w:right w:val="single" w:sz="4" w:space="0" w:color="auto"/>
            </w:tcBorders>
            <w:shd w:val="clear" w:color="000000" w:fill="FFFFFF"/>
            <w:vAlign w:val="center"/>
            <w:hideMark/>
          </w:tcPr>
          <w:p w14:paraId="0A9F8C8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C6FAABD"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6458BD3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vaccine during first 1 year)</w:t>
            </w:r>
          </w:p>
        </w:tc>
        <w:tc>
          <w:tcPr>
            <w:tcW w:w="922" w:type="dxa"/>
            <w:tcBorders>
              <w:top w:val="nil"/>
              <w:left w:val="nil"/>
              <w:bottom w:val="nil"/>
              <w:right w:val="single" w:sz="4" w:space="0" w:color="auto"/>
            </w:tcBorders>
            <w:shd w:val="clear" w:color="000000" w:fill="FFFFFF"/>
            <w:vAlign w:val="center"/>
            <w:hideMark/>
          </w:tcPr>
          <w:p w14:paraId="3B608E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24786F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D1169A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00E0C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5FAA3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B4D35F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C1BDF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467A4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73021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323B2A8"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2F5DA0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CBAB97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26A633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66D5C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C8BD9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C2268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EFE68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0FED5E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B60B4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7EABB6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9890B14"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B89D43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Rotavirus vaccine</w:t>
            </w:r>
          </w:p>
        </w:tc>
        <w:tc>
          <w:tcPr>
            <w:tcW w:w="922" w:type="dxa"/>
            <w:tcBorders>
              <w:top w:val="nil"/>
              <w:left w:val="nil"/>
              <w:bottom w:val="nil"/>
              <w:right w:val="single" w:sz="4" w:space="0" w:color="auto"/>
            </w:tcBorders>
            <w:shd w:val="clear" w:color="000000" w:fill="FFFFFF"/>
            <w:vAlign w:val="center"/>
            <w:hideMark/>
          </w:tcPr>
          <w:p w14:paraId="319FEF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5FBC2B3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1009" w:type="dxa"/>
            <w:tcBorders>
              <w:top w:val="nil"/>
              <w:left w:val="single" w:sz="4" w:space="0" w:color="auto"/>
              <w:bottom w:val="nil"/>
              <w:right w:val="single" w:sz="4" w:space="0" w:color="auto"/>
            </w:tcBorders>
            <w:shd w:val="clear" w:color="000000" w:fill="FFFFFF"/>
            <w:vAlign w:val="center"/>
            <w:hideMark/>
          </w:tcPr>
          <w:p w14:paraId="50D331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81.27</w:t>
            </w:r>
          </w:p>
        </w:tc>
        <w:tc>
          <w:tcPr>
            <w:tcW w:w="888" w:type="dxa"/>
            <w:tcBorders>
              <w:top w:val="nil"/>
              <w:left w:val="nil"/>
              <w:bottom w:val="nil"/>
              <w:right w:val="single" w:sz="4" w:space="0" w:color="auto"/>
            </w:tcBorders>
            <w:shd w:val="clear" w:color="000000" w:fill="FFFFFF"/>
            <w:vAlign w:val="center"/>
            <w:hideMark/>
          </w:tcPr>
          <w:p w14:paraId="5120D42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811" w:type="dxa"/>
            <w:tcBorders>
              <w:top w:val="nil"/>
              <w:left w:val="nil"/>
              <w:bottom w:val="nil"/>
              <w:right w:val="single" w:sz="4" w:space="0" w:color="auto"/>
            </w:tcBorders>
            <w:shd w:val="clear" w:color="000000" w:fill="FFFFFF"/>
            <w:vAlign w:val="center"/>
            <w:hideMark/>
          </w:tcPr>
          <w:p w14:paraId="7376AAA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A7E09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81.27</w:t>
            </w:r>
          </w:p>
        </w:tc>
        <w:tc>
          <w:tcPr>
            <w:tcW w:w="811" w:type="dxa"/>
            <w:tcBorders>
              <w:top w:val="nil"/>
              <w:left w:val="nil"/>
              <w:bottom w:val="nil"/>
              <w:right w:val="single" w:sz="4" w:space="0" w:color="auto"/>
            </w:tcBorders>
            <w:shd w:val="clear" w:color="000000" w:fill="FFFFFF"/>
            <w:vAlign w:val="center"/>
            <w:hideMark/>
          </w:tcPr>
          <w:p w14:paraId="404C14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1C345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81.27</w:t>
            </w:r>
          </w:p>
        </w:tc>
        <w:tc>
          <w:tcPr>
            <w:tcW w:w="811" w:type="dxa"/>
            <w:tcBorders>
              <w:top w:val="nil"/>
              <w:left w:val="nil"/>
              <w:bottom w:val="nil"/>
              <w:right w:val="single" w:sz="4" w:space="0" w:color="auto"/>
            </w:tcBorders>
            <w:shd w:val="clear" w:color="000000" w:fill="FFFFFF"/>
            <w:vAlign w:val="center"/>
            <w:hideMark/>
          </w:tcPr>
          <w:p w14:paraId="7B5DD3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1F4BB9EA"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797AF61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vaccine during first 1 year)</w:t>
            </w:r>
          </w:p>
        </w:tc>
        <w:tc>
          <w:tcPr>
            <w:tcW w:w="922" w:type="dxa"/>
            <w:tcBorders>
              <w:top w:val="nil"/>
              <w:left w:val="nil"/>
              <w:bottom w:val="nil"/>
              <w:right w:val="single" w:sz="4" w:space="0" w:color="auto"/>
            </w:tcBorders>
            <w:shd w:val="clear" w:color="000000" w:fill="FFFFFF"/>
            <w:vAlign w:val="center"/>
            <w:hideMark/>
          </w:tcPr>
          <w:p w14:paraId="7D3F21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9FE9D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7EC9D0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B51D1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CCE4EB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1AFB9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D6C1B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75E1F1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0DCBD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B8F799E"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72804B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154A08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42E06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4C8F97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D1612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2C830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503BC8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B643B0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F39F11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CE295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A51A27A"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3A397BDD"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Reproductive and maternal care</w:t>
            </w:r>
          </w:p>
        </w:tc>
      </w:tr>
      <w:tr w:rsidR="00D5600B" w:rsidRPr="003D7162" w14:paraId="2175B028" w14:textId="77777777" w:rsidTr="001070CC">
        <w:trPr>
          <w:trHeight w:val="285"/>
        </w:trPr>
        <w:tc>
          <w:tcPr>
            <w:tcW w:w="1928" w:type="dxa"/>
            <w:tcBorders>
              <w:top w:val="nil"/>
              <w:left w:val="single" w:sz="4" w:space="0" w:color="auto"/>
              <w:bottom w:val="nil"/>
              <w:right w:val="single" w:sz="4" w:space="0" w:color="auto"/>
            </w:tcBorders>
            <w:shd w:val="clear" w:color="000000" w:fill="FFFFFF"/>
            <w:vAlign w:val="center"/>
            <w:hideMark/>
          </w:tcPr>
          <w:p w14:paraId="38D3105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Skilled attendant at birth</w:t>
            </w:r>
          </w:p>
        </w:tc>
        <w:tc>
          <w:tcPr>
            <w:tcW w:w="922" w:type="dxa"/>
            <w:tcBorders>
              <w:top w:val="nil"/>
              <w:left w:val="nil"/>
              <w:bottom w:val="nil"/>
              <w:right w:val="single" w:sz="4" w:space="0" w:color="auto"/>
            </w:tcBorders>
            <w:shd w:val="clear" w:color="000000" w:fill="FFFFFF"/>
            <w:vAlign w:val="center"/>
            <w:hideMark/>
          </w:tcPr>
          <w:p w14:paraId="1425BF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51.45</w:t>
            </w:r>
          </w:p>
        </w:tc>
        <w:tc>
          <w:tcPr>
            <w:tcW w:w="922" w:type="dxa"/>
            <w:tcBorders>
              <w:top w:val="nil"/>
              <w:left w:val="nil"/>
              <w:bottom w:val="nil"/>
              <w:right w:val="nil"/>
            </w:tcBorders>
            <w:shd w:val="clear" w:color="000000" w:fill="FFFFFF"/>
            <w:vAlign w:val="center"/>
            <w:hideMark/>
          </w:tcPr>
          <w:p w14:paraId="073B12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80.35</w:t>
            </w:r>
          </w:p>
        </w:tc>
        <w:tc>
          <w:tcPr>
            <w:tcW w:w="1009" w:type="dxa"/>
            <w:tcBorders>
              <w:top w:val="nil"/>
              <w:left w:val="single" w:sz="4" w:space="0" w:color="auto"/>
              <w:bottom w:val="nil"/>
              <w:right w:val="single" w:sz="4" w:space="0" w:color="auto"/>
            </w:tcBorders>
            <w:shd w:val="clear" w:color="000000" w:fill="FFFFFF"/>
            <w:vAlign w:val="center"/>
            <w:hideMark/>
          </w:tcPr>
          <w:p w14:paraId="004776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93.80</w:t>
            </w:r>
          </w:p>
        </w:tc>
        <w:tc>
          <w:tcPr>
            <w:tcW w:w="888" w:type="dxa"/>
            <w:tcBorders>
              <w:top w:val="nil"/>
              <w:left w:val="nil"/>
              <w:bottom w:val="nil"/>
              <w:right w:val="single" w:sz="4" w:space="0" w:color="auto"/>
            </w:tcBorders>
            <w:shd w:val="clear" w:color="000000" w:fill="FFFFFF"/>
            <w:vAlign w:val="center"/>
            <w:hideMark/>
          </w:tcPr>
          <w:p w14:paraId="50AAF9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28.90</w:t>
            </w:r>
          </w:p>
        </w:tc>
        <w:tc>
          <w:tcPr>
            <w:tcW w:w="811" w:type="dxa"/>
            <w:tcBorders>
              <w:top w:val="nil"/>
              <w:left w:val="nil"/>
              <w:bottom w:val="nil"/>
              <w:right w:val="single" w:sz="4" w:space="0" w:color="auto"/>
            </w:tcBorders>
            <w:shd w:val="clear" w:color="000000" w:fill="FFFFFF"/>
            <w:vAlign w:val="center"/>
            <w:hideMark/>
          </w:tcPr>
          <w:p w14:paraId="4A2FD0C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769F03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13.49</w:t>
            </w:r>
          </w:p>
        </w:tc>
        <w:tc>
          <w:tcPr>
            <w:tcW w:w="811" w:type="dxa"/>
            <w:tcBorders>
              <w:top w:val="nil"/>
              <w:left w:val="nil"/>
              <w:bottom w:val="nil"/>
              <w:right w:val="single" w:sz="4" w:space="0" w:color="auto"/>
            </w:tcBorders>
            <w:shd w:val="clear" w:color="000000" w:fill="FFFFFF"/>
            <w:vAlign w:val="center"/>
            <w:hideMark/>
          </w:tcPr>
          <w:p w14:paraId="26301F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F2BD4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42.39</w:t>
            </w:r>
          </w:p>
        </w:tc>
        <w:tc>
          <w:tcPr>
            <w:tcW w:w="811" w:type="dxa"/>
            <w:tcBorders>
              <w:top w:val="nil"/>
              <w:left w:val="nil"/>
              <w:bottom w:val="nil"/>
              <w:right w:val="single" w:sz="4" w:space="0" w:color="auto"/>
            </w:tcBorders>
            <w:shd w:val="clear" w:color="000000" w:fill="FFFFFF"/>
            <w:vAlign w:val="center"/>
            <w:hideMark/>
          </w:tcPr>
          <w:p w14:paraId="6F90CF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A3BB9B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AF3A0C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922" w:type="dxa"/>
            <w:tcBorders>
              <w:top w:val="nil"/>
              <w:left w:val="nil"/>
              <w:bottom w:val="nil"/>
              <w:right w:val="single" w:sz="4" w:space="0" w:color="auto"/>
            </w:tcBorders>
            <w:shd w:val="clear" w:color="000000" w:fill="FFFFFF"/>
            <w:vAlign w:val="center"/>
            <w:hideMark/>
          </w:tcPr>
          <w:p w14:paraId="2F6CFA7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2D19C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E61F2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E9CEA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4DA51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66FF04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F6143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15D29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E03FE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7E0B3E3"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050EE3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5BCE643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7E704A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14A9FB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810AB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288FF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CBE60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E771C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A839B1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5E0B0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02841B3"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2261CF9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 antenatal care visits</w:t>
            </w:r>
          </w:p>
        </w:tc>
        <w:tc>
          <w:tcPr>
            <w:tcW w:w="922" w:type="dxa"/>
            <w:tcBorders>
              <w:top w:val="nil"/>
              <w:left w:val="nil"/>
              <w:bottom w:val="nil"/>
              <w:right w:val="single" w:sz="4" w:space="0" w:color="auto"/>
            </w:tcBorders>
            <w:shd w:val="clear" w:color="000000" w:fill="FFFFFF"/>
            <w:vAlign w:val="center"/>
            <w:hideMark/>
          </w:tcPr>
          <w:p w14:paraId="1D6518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69.67</w:t>
            </w:r>
          </w:p>
        </w:tc>
        <w:tc>
          <w:tcPr>
            <w:tcW w:w="922" w:type="dxa"/>
            <w:tcBorders>
              <w:top w:val="nil"/>
              <w:left w:val="nil"/>
              <w:bottom w:val="nil"/>
              <w:right w:val="nil"/>
            </w:tcBorders>
            <w:shd w:val="clear" w:color="000000" w:fill="FFFFFF"/>
            <w:vAlign w:val="center"/>
            <w:hideMark/>
          </w:tcPr>
          <w:p w14:paraId="4A6A38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91.28</w:t>
            </w:r>
          </w:p>
        </w:tc>
        <w:tc>
          <w:tcPr>
            <w:tcW w:w="1009" w:type="dxa"/>
            <w:tcBorders>
              <w:top w:val="nil"/>
              <w:left w:val="single" w:sz="4" w:space="0" w:color="auto"/>
              <w:bottom w:val="nil"/>
              <w:right w:val="single" w:sz="4" w:space="0" w:color="auto"/>
            </w:tcBorders>
            <w:shd w:val="clear" w:color="000000" w:fill="FFFFFF"/>
            <w:vAlign w:val="center"/>
            <w:hideMark/>
          </w:tcPr>
          <w:p w14:paraId="6812CB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96.50</w:t>
            </w:r>
          </w:p>
        </w:tc>
        <w:tc>
          <w:tcPr>
            <w:tcW w:w="888" w:type="dxa"/>
            <w:tcBorders>
              <w:top w:val="nil"/>
              <w:left w:val="nil"/>
              <w:bottom w:val="nil"/>
              <w:right w:val="single" w:sz="4" w:space="0" w:color="auto"/>
            </w:tcBorders>
            <w:shd w:val="clear" w:color="000000" w:fill="FFFFFF"/>
            <w:vAlign w:val="center"/>
            <w:hideMark/>
          </w:tcPr>
          <w:p w14:paraId="340EEC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21.61</w:t>
            </w:r>
          </w:p>
        </w:tc>
        <w:tc>
          <w:tcPr>
            <w:tcW w:w="811" w:type="dxa"/>
            <w:tcBorders>
              <w:top w:val="nil"/>
              <w:left w:val="nil"/>
              <w:bottom w:val="nil"/>
              <w:right w:val="single" w:sz="4" w:space="0" w:color="auto"/>
            </w:tcBorders>
            <w:shd w:val="clear" w:color="000000" w:fill="FFFFFF"/>
            <w:vAlign w:val="center"/>
            <w:hideMark/>
          </w:tcPr>
          <w:p w14:paraId="3B8EBB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DB6201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5.18</w:t>
            </w:r>
          </w:p>
        </w:tc>
        <w:tc>
          <w:tcPr>
            <w:tcW w:w="811" w:type="dxa"/>
            <w:tcBorders>
              <w:top w:val="nil"/>
              <w:left w:val="nil"/>
              <w:bottom w:val="nil"/>
              <w:right w:val="single" w:sz="4" w:space="0" w:color="auto"/>
            </w:tcBorders>
            <w:shd w:val="clear" w:color="000000" w:fill="FFFFFF"/>
            <w:vAlign w:val="center"/>
            <w:hideMark/>
          </w:tcPr>
          <w:p w14:paraId="7EF92B1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7F7794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26.79</w:t>
            </w:r>
          </w:p>
        </w:tc>
        <w:tc>
          <w:tcPr>
            <w:tcW w:w="811" w:type="dxa"/>
            <w:tcBorders>
              <w:top w:val="nil"/>
              <w:left w:val="nil"/>
              <w:bottom w:val="nil"/>
              <w:right w:val="single" w:sz="4" w:space="0" w:color="auto"/>
            </w:tcBorders>
            <w:shd w:val="clear" w:color="000000" w:fill="FFFFFF"/>
            <w:vAlign w:val="center"/>
            <w:hideMark/>
          </w:tcPr>
          <w:p w14:paraId="2BF3B9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6D8F2E09"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636D4DE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922" w:type="dxa"/>
            <w:tcBorders>
              <w:top w:val="nil"/>
              <w:left w:val="nil"/>
              <w:bottom w:val="nil"/>
              <w:right w:val="single" w:sz="4" w:space="0" w:color="auto"/>
            </w:tcBorders>
            <w:shd w:val="clear" w:color="000000" w:fill="FFFFFF"/>
            <w:vAlign w:val="center"/>
            <w:hideMark/>
          </w:tcPr>
          <w:p w14:paraId="7352D4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BA8C8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51807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5F63CB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284E65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F8677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4A20F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84645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AD5F7C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98B9594"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8E5F79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19576F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A6C14C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F6520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59440C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385C4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DDE69C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88D4E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0173E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6B2EF1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7EC9913" w14:textId="77777777" w:rsidTr="001070CC">
        <w:trPr>
          <w:trHeight w:val="765"/>
        </w:trPr>
        <w:tc>
          <w:tcPr>
            <w:tcW w:w="1928" w:type="dxa"/>
            <w:tcBorders>
              <w:top w:val="nil"/>
              <w:left w:val="single" w:sz="4" w:space="0" w:color="auto"/>
              <w:bottom w:val="nil"/>
              <w:right w:val="single" w:sz="4" w:space="0" w:color="auto"/>
            </w:tcBorders>
            <w:shd w:val="clear" w:color="auto" w:fill="auto"/>
            <w:vAlign w:val="center"/>
            <w:hideMark/>
          </w:tcPr>
          <w:p w14:paraId="5AF6468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Family planning services</w:t>
            </w:r>
          </w:p>
        </w:tc>
        <w:tc>
          <w:tcPr>
            <w:tcW w:w="922" w:type="dxa"/>
            <w:tcBorders>
              <w:top w:val="nil"/>
              <w:left w:val="nil"/>
              <w:bottom w:val="nil"/>
              <w:right w:val="single" w:sz="4" w:space="0" w:color="auto"/>
            </w:tcBorders>
            <w:shd w:val="clear" w:color="000000" w:fill="FFFFFF"/>
            <w:vAlign w:val="center"/>
            <w:hideMark/>
          </w:tcPr>
          <w:p w14:paraId="34FB80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87.06</w:t>
            </w:r>
          </w:p>
        </w:tc>
        <w:tc>
          <w:tcPr>
            <w:tcW w:w="922" w:type="dxa"/>
            <w:tcBorders>
              <w:top w:val="nil"/>
              <w:left w:val="nil"/>
              <w:bottom w:val="nil"/>
              <w:right w:val="nil"/>
            </w:tcBorders>
            <w:shd w:val="clear" w:color="000000" w:fill="FFFFFF"/>
            <w:vAlign w:val="center"/>
            <w:hideMark/>
          </w:tcPr>
          <w:p w14:paraId="2F78E7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89.65</w:t>
            </w:r>
          </w:p>
        </w:tc>
        <w:tc>
          <w:tcPr>
            <w:tcW w:w="1009" w:type="dxa"/>
            <w:tcBorders>
              <w:top w:val="nil"/>
              <w:left w:val="single" w:sz="4" w:space="0" w:color="auto"/>
              <w:bottom w:val="nil"/>
              <w:right w:val="single" w:sz="4" w:space="0" w:color="auto"/>
            </w:tcBorders>
            <w:shd w:val="clear" w:color="000000" w:fill="FFFFFF"/>
            <w:vAlign w:val="center"/>
            <w:hideMark/>
          </w:tcPr>
          <w:p w14:paraId="4C671F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92.38</w:t>
            </w:r>
          </w:p>
        </w:tc>
        <w:tc>
          <w:tcPr>
            <w:tcW w:w="888" w:type="dxa"/>
            <w:tcBorders>
              <w:top w:val="nil"/>
              <w:left w:val="nil"/>
              <w:bottom w:val="nil"/>
              <w:right w:val="single" w:sz="4" w:space="0" w:color="auto"/>
            </w:tcBorders>
            <w:shd w:val="clear" w:color="000000" w:fill="FFFFFF"/>
            <w:vAlign w:val="center"/>
            <w:hideMark/>
          </w:tcPr>
          <w:p w14:paraId="2B317E7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2.59</w:t>
            </w:r>
          </w:p>
        </w:tc>
        <w:tc>
          <w:tcPr>
            <w:tcW w:w="811" w:type="dxa"/>
            <w:tcBorders>
              <w:top w:val="nil"/>
              <w:left w:val="nil"/>
              <w:bottom w:val="nil"/>
              <w:right w:val="single" w:sz="4" w:space="0" w:color="auto"/>
            </w:tcBorders>
            <w:shd w:val="clear" w:color="000000" w:fill="FFFFFF"/>
            <w:vAlign w:val="center"/>
            <w:hideMark/>
          </w:tcPr>
          <w:p w14:paraId="24CDA82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0B96D0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2.73</w:t>
            </w:r>
          </w:p>
        </w:tc>
        <w:tc>
          <w:tcPr>
            <w:tcW w:w="811" w:type="dxa"/>
            <w:tcBorders>
              <w:top w:val="nil"/>
              <w:left w:val="nil"/>
              <w:bottom w:val="nil"/>
              <w:right w:val="single" w:sz="4" w:space="0" w:color="auto"/>
            </w:tcBorders>
            <w:shd w:val="clear" w:color="000000" w:fill="FFFFFF"/>
            <w:vAlign w:val="center"/>
            <w:hideMark/>
          </w:tcPr>
          <w:p w14:paraId="6497DB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0CA3F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5.32</w:t>
            </w:r>
          </w:p>
        </w:tc>
        <w:tc>
          <w:tcPr>
            <w:tcW w:w="811" w:type="dxa"/>
            <w:tcBorders>
              <w:top w:val="nil"/>
              <w:left w:val="nil"/>
              <w:bottom w:val="nil"/>
              <w:right w:val="single" w:sz="4" w:space="0" w:color="auto"/>
            </w:tcBorders>
            <w:shd w:val="clear" w:color="000000" w:fill="FFFFFF"/>
            <w:vAlign w:val="center"/>
            <w:hideMark/>
          </w:tcPr>
          <w:p w14:paraId="59E8ED8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08EC300"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2AB9499E"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women with demand for FP satisfied)</w:t>
            </w:r>
          </w:p>
        </w:tc>
        <w:tc>
          <w:tcPr>
            <w:tcW w:w="922" w:type="dxa"/>
            <w:tcBorders>
              <w:top w:val="nil"/>
              <w:left w:val="nil"/>
              <w:bottom w:val="nil"/>
              <w:right w:val="single" w:sz="4" w:space="0" w:color="auto"/>
            </w:tcBorders>
            <w:shd w:val="clear" w:color="000000" w:fill="FFFFFF"/>
            <w:vAlign w:val="center"/>
            <w:hideMark/>
          </w:tcPr>
          <w:p w14:paraId="2149F2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2CE77E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7E5E7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9EA5B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EB3709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4F22D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9CE95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539A3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F5024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CB7954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FDB7C9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224873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093DE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3CBD66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DEDEC1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B86F5B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38C37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544BB2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8CC12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7EE51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9B7BFB5"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79E678DD"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Human resources for health</w:t>
            </w:r>
          </w:p>
        </w:tc>
      </w:tr>
      <w:tr w:rsidR="00D5600B" w:rsidRPr="003D7162" w14:paraId="7BF40E52"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39423B5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Density of human resources for health</w:t>
            </w:r>
          </w:p>
        </w:tc>
        <w:tc>
          <w:tcPr>
            <w:tcW w:w="922" w:type="dxa"/>
            <w:tcBorders>
              <w:top w:val="nil"/>
              <w:left w:val="nil"/>
              <w:bottom w:val="nil"/>
              <w:right w:val="single" w:sz="4" w:space="0" w:color="auto"/>
            </w:tcBorders>
            <w:shd w:val="clear" w:color="000000" w:fill="FFFFFF"/>
            <w:vAlign w:val="center"/>
            <w:hideMark/>
          </w:tcPr>
          <w:p w14:paraId="3CEABE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9.04</w:t>
            </w:r>
          </w:p>
        </w:tc>
        <w:tc>
          <w:tcPr>
            <w:tcW w:w="922" w:type="dxa"/>
            <w:tcBorders>
              <w:top w:val="nil"/>
              <w:left w:val="nil"/>
              <w:bottom w:val="nil"/>
              <w:right w:val="nil"/>
            </w:tcBorders>
            <w:shd w:val="clear" w:color="000000" w:fill="FFFFFF"/>
            <w:vAlign w:val="center"/>
            <w:hideMark/>
          </w:tcPr>
          <w:p w14:paraId="1493D0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11.78</w:t>
            </w:r>
          </w:p>
        </w:tc>
        <w:tc>
          <w:tcPr>
            <w:tcW w:w="1009" w:type="dxa"/>
            <w:tcBorders>
              <w:top w:val="nil"/>
              <w:left w:val="single" w:sz="4" w:space="0" w:color="auto"/>
              <w:bottom w:val="nil"/>
              <w:right w:val="single" w:sz="4" w:space="0" w:color="auto"/>
            </w:tcBorders>
            <w:shd w:val="clear" w:color="000000" w:fill="FFFFFF"/>
            <w:vAlign w:val="center"/>
            <w:hideMark/>
          </w:tcPr>
          <w:p w14:paraId="05BCB08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28.23</w:t>
            </w:r>
          </w:p>
        </w:tc>
        <w:tc>
          <w:tcPr>
            <w:tcW w:w="888" w:type="dxa"/>
            <w:tcBorders>
              <w:top w:val="nil"/>
              <w:left w:val="nil"/>
              <w:bottom w:val="nil"/>
              <w:right w:val="single" w:sz="4" w:space="0" w:color="auto"/>
            </w:tcBorders>
            <w:shd w:val="clear" w:color="000000" w:fill="FFFFFF"/>
            <w:vAlign w:val="center"/>
            <w:hideMark/>
          </w:tcPr>
          <w:p w14:paraId="32CD86F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2.74</w:t>
            </w:r>
          </w:p>
        </w:tc>
        <w:tc>
          <w:tcPr>
            <w:tcW w:w="811" w:type="dxa"/>
            <w:tcBorders>
              <w:top w:val="nil"/>
              <w:left w:val="nil"/>
              <w:bottom w:val="nil"/>
              <w:right w:val="single" w:sz="4" w:space="0" w:color="auto"/>
            </w:tcBorders>
            <w:shd w:val="clear" w:color="000000" w:fill="FFFFFF"/>
            <w:vAlign w:val="center"/>
            <w:hideMark/>
          </w:tcPr>
          <w:p w14:paraId="11BF434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1844E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16.45</w:t>
            </w:r>
          </w:p>
        </w:tc>
        <w:tc>
          <w:tcPr>
            <w:tcW w:w="811" w:type="dxa"/>
            <w:tcBorders>
              <w:top w:val="nil"/>
              <w:left w:val="nil"/>
              <w:bottom w:val="nil"/>
              <w:right w:val="single" w:sz="4" w:space="0" w:color="auto"/>
            </w:tcBorders>
            <w:shd w:val="clear" w:color="000000" w:fill="FFFFFF"/>
            <w:vAlign w:val="center"/>
            <w:hideMark/>
          </w:tcPr>
          <w:p w14:paraId="7BC4C4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6A0B1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19.19</w:t>
            </w:r>
          </w:p>
        </w:tc>
        <w:tc>
          <w:tcPr>
            <w:tcW w:w="811" w:type="dxa"/>
            <w:tcBorders>
              <w:top w:val="nil"/>
              <w:left w:val="nil"/>
              <w:bottom w:val="nil"/>
              <w:right w:val="single" w:sz="4" w:space="0" w:color="auto"/>
            </w:tcBorders>
            <w:shd w:val="clear" w:color="000000" w:fill="FFFFFF"/>
            <w:vAlign w:val="center"/>
            <w:hideMark/>
          </w:tcPr>
          <w:p w14:paraId="1DD127E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4A91C1E0"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5CD65E5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(Doctors, nurses and midwives per 10,000 </w:t>
            </w:r>
          </w:p>
        </w:tc>
        <w:tc>
          <w:tcPr>
            <w:tcW w:w="922" w:type="dxa"/>
            <w:tcBorders>
              <w:top w:val="nil"/>
              <w:left w:val="nil"/>
              <w:bottom w:val="nil"/>
              <w:right w:val="single" w:sz="4" w:space="0" w:color="auto"/>
            </w:tcBorders>
            <w:shd w:val="clear" w:color="000000" w:fill="FFFFFF"/>
            <w:vAlign w:val="center"/>
            <w:hideMark/>
          </w:tcPr>
          <w:p w14:paraId="26EE27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97C37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D6D10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C31AD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8CC72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65487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3E432F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483CA6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EF9A7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2800B1F"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54C78BC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population)</w:t>
            </w:r>
          </w:p>
        </w:tc>
        <w:tc>
          <w:tcPr>
            <w:tcW w:w="922" w:type="dxa"/>
            <w:tcBorders>
              <w:top w:val="nil"/>
              <w:left w:val="nil"/>
              <w:bottom w:val="single" w:sz="4" w:space="0" w:color="auto"/>
              <w:right w:val="single" w:sz="4" w:space="0" w:color="auto"/>
            </w:tcBorders>
            <w:shd w:val="clear" w:color="000000" w:fill="FFFFFF"/>
            <w:vAlign w:val="center"/>
            <w:hideMark/>
          </w:tcPr>
          <w:p w14:paraId="064B71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74BF5D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821E66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79106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1ABFF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E730D0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EC7BF3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00004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BB24EA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079D441"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153795C8"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Care seeking interventions for childhood illness &amp; child micronutrient intake</w:t>
            </w:r>
          </w:p>
        </w:tc>
      </w:tr>
      <w:tr w:rsidR="00D5600B" w:rsidRPr="003D7162" w14:paraId="4163C68D"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2CD076B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Oral rehydration therapy</w:t>
            </w:r>
          </w:p>
        </w:tc>
        <w:tc>
          <w:tcPr>
            <w:tcW w:w="922" w:type="dxa"/>
            <w:tcBorders>
              <w:top w:val="nil"/>
              <w:left w:val="nil"/>
              <w:bottom w:val="nil"/>
              <w:right w:val="single" w:sz="4" w:space="0" w:color="auto"/>
            </w:tcBorders>
            <w:shd w:val="clear" w:color="000000" w:fill="FFFFFF"/>
            <w:vAlign w:val="center"/>
            <w:hideMark/>
          </w:tcPr>
          <w:p w14:paraId="5468022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46.18</w:t>
            </w:r>
          </w:p>
        </w:tc>
        <w:tc>
          <w:tcPr>
            <w:tcW w:w="922" w:type="dxa"/>
            <w:tcBorders>
              <w:top w:val="nil"/>
              <w:left w:val="nil"/>
              <w:bottom w:val="nil"/>
              <w:right w:val="nil"/>
            </w:tcBorders>
            <w:shd w:val="clear" w:color="000000" w:fill="FFFFFF"/>
            <w:vAlign w:val="center"/>
            <w:hideMark/>
          </w:tcPr>
          <w:p w14:paraId="3528908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60.14</w:t>
            </w:r>
          </w:p>
        </w:tc>
        <w:tc>
          <w:tcPr>
            <w:tcW w:w="1009" w:type="dxa"/>
            <w:tcBorders>
              <w:top w:val="nil"/>
              <w:left w:val="single" w:sz="4" w:space="0" w:color="auto"/>
              <w:bottom w:val="nil"/>
              <w:right w:val="single" w:sz="4" w:space="0" w:color="auto"/>
            </w:tcBorders>
            <w:shd w:val="clear" w:color="000000" w:fill="FFFFFF"/>
            <w:vAlign w:val="center"/>
            <w:hideMark/>
          </w:tcPr>
          <w:p w14:paraId="703D61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61.64</w:t>
            </w:r>
          </w:p>
        </w:tc>
        <w:tc>
          <w:tcPr>
            <w:tcW w:w="888" w:type="dxa"/>
            <w:tcBorders>
              <w:top w:val="nil"/>
              <w:left w:val="nil"/>
              <w:bottom w:val="nil"/>
              <w:right w:val="single" w:sz="4" w:space="0" w:color="auto"/>
            </w:tcBorders>
            <w:shd w:val="clear" w:color="000000" w:fill="FFFFFF"/>
            <w:vAlign w:val="center"/>
            <w:hideMark/>
          </w:tcPr>
          <w:p w14:paraId="7DD2A9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13.95</w:t>
            </w:r>
          </w:p>
        </w:tc>
        <w:tc>
          <w:tcPr>
            <w:tcW w:w="811" w:type="dxa"/>
            <w:tcBorders>
              <w:top w:val="nil"/>
              <w:left w:val="nil"/>
              <w:bottom w:val="nil"/>
              <w:right w:val="single" w:sz="4" w:space="0" w:color="auto"/>
            </w:tcBorders>
            <w:shd w:val="clear" w:color="000000" w:fill="FFFFFF"/>
            <w:vAlign w:val="center"/>
            <w:hideMark/>
          </w:tcPr>
          <w:p w14:paraId="15C0FF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80F8A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1.50</w:t>
            </w:r>
          </w:p>
        </w:tc>
        <w:tc>
          <w:tcPr>
            <w:tcW w:w="811" w:type="dxa"/>
            <w:tcBorders>
              <w:top w:val="nil"/>
              <w:left w:val="nil"/>
              <w:bottom w:val="nil"/>
              <w:right w:val="single" w:sz="4" w:space="0" w:color="auto"/>
            </w:tcBorders>
            <w:shd w:val="clear" w:color="000000" w:fill="FFFFFF"/>
            <w:vAlign w:val="center"/>
            <w:hideMark/>
          </w:tcPr>
          <w:p w14:paraId="774E07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77D49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15.45</w:t>
            </w:r>
          </w:p>
        </w:tc>
        <w:tc>
          <w:tcPr>
            <w:tcW w:w="811" w:type="dxa"/>
            <w:tcBorders>
              <w:top w:val="nil"/>
              <w:left w:val="nil"/>
              <w:bottom w:val="nil"/>
              <w:right w:val="single" w:sz="4" w:space="0" w:color="auto"/>
            </w:tcBorders>
            <w:shd w:val="clear" w:color="000000" w:fill="FFFFFF"/>
            <w:vAlign w:val="center"/>
            <w:hideMark/>
          </w:tcPr>
          <w:p w14:paraId="6C7AE3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1ABCF12"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2BC4EEC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 with diarrhea receiving ORT)</w:t>
            </w:r>
          </w:p>
        </w:tc>
        <w:tc>
          <w:tcPr>
            <w:tcW w:w="922" w:type="dxa"/>
            <w:tcBorders>
              <w:top w:val="nil"/>
              <w:left w:val="nil"/>
              <w:bottom w:val="nil"/>
              <w:right w:val="single" w:sz="4" w:space="0" w:color="auto"/>
            </w:tcBorders>
            <w:shd w:val="clear" w:color="000000" w:fill="FFFFFF"/>
            <w:vAlign w:val="center"/>
            <w:hideMark/>
          </w:tcPr>
          <w:p w14:paraId="3D0852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357CA2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9F218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79BF4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50B55B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EE3D68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5AA91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BADEF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ADCBF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E629739"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733AE4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4B25B6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9691D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60AF524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0F3C3C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2A9C72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64965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8C7CC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40C4E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72D42A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7C33529"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750331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Care seeking for pneumonia</w:t>
            </w:r>
          </w:p>
        </w:tc>
        <w:tc>
          <w:tcPr>
            <w:tcW w:w="922" w:type="dxa"/>
            <w:tcBorders>
              <w:top w:val="nil"/>
              <w:left w:val="nil"/>
              <w:bottom w:val="nil"/>
              <w:right w:val="single" w:sz="4" w:space="0" w:color="auto"/>
            </w:tcBorders>
            <w:shd w:val="clear" w:color="000000" w:fill="FFFFFF"/>
            <w:vAlign w:val="center"/>
            <w:hideMark/>
          </w:tcPr>
          <w:p w14:paraId="6AC584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58.01</w:t>
            </w:r>
          </w:p>
        </w:tc>
        <w:tc>
          <w:tcPr>
            <w:tcW w:w="922" w:type="dxa"/>
            <w:tcBorders>
              <w:top w:val="nil"/>
              <w:left w:val="nil"/>
              <w:bottom w:val="nil"/>
              <w:right w:val="nil"/>
            </w:tcBorders>
            <w:shd w:val="clear" w:color="000000" w:fill="FFFFFF"/>
            <w:vAlign w:val="center"/>
            <w:hideMark/>
          </w:tcPr>
          <w:p w14:paraId="368C23F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73.22</w:t>
            </w:r>
          </w:p>
        </w:tc>
        <w:tc>
          <w:tcPr>
            <w:tcW w:w="1009" w:type="dxa"/>
            <w:tcBorders>
              <w:top w:val="nil"/>
              <w:left w:val="single" w:sz="4" w:space="0" w:color="auto"/>
              <w:bottom w:val="nil"/>
              <w:right w:val="single" w:sz="4" w:space="0" w:color="auto"/>
            </w:tcBorders>
            <w:shd w:val="clear" w:color="000000" w:fill="FFFFFF"/>
            <w:vAlign w:val="center"/>
            <w:hideMark/>
          </w:tcPr>
          <w:p w14:paraId="394BD7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68.12</w:t>
            </w:r>
          </w:p>
        </w:tc>
        <w:tc>
          <w:tcPr>
            <w:tcW w:w="888" w:type="dxa"/>
            <w:tcBorders>
              <w:top w:val="nil"/>
              <w:left w:val="nil"/>
              <w:bottom w:val="nil"/>
              <w:right w:val="single" w:sz="4" w:space="0" w:color="auto"/>
            </w:tcBorders>
            <w:shd w:val="clear" w:color="000000" w:fill="FFFFFF"/>
            <w:vAlign w:val="center"/>
            <w:hideMark/>
          </w:tcPr>
          <w:p w14:paraId="2DA0BC9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15.21</w:t>
            </w:r>
          </w:p>
        </w:tc>
        <w:tc>
          <w:tcPr>
            <w:tcW w:w="811" w:type="dxa"/>
            <w:tcBorders>
              <w:top w:val="nil"/>
              <w:left w:val="nil"/>
              <w:bottom w:val="nil"/>
              <w:right w:val="single" w:sz="4" w:space="0" w:color="auto"/>
            </w:tcBorders>
            <w:shd w:val="clear" w:color="000000" w:fill="FFFFFF"/>
            <w:vAlign w:val="center"/>
            <w:hideMark/>
          </w:tcPr>
          <w:p w14:paraId="0A70A1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DDEB3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-5.10</w:t>
            </w:r>
          </w:p>
        </w:tc>
        <w:tc>
          <w:tcPr>
            <w:tcW w:w="811" w:type="dxa"/>
            <w:tcBorders>
              <w:top w:val="nil"/>
              <w:left w:val="nil"/>
              <w:bottom w:val="nil"/>
              <w:right w:val="single" w:sz="4" w:space="0" w:color="auto"/>
            </w:tcBorders>
            <w:shd w:val="clear" w:color="000000" w:fill="FFFFFF"/>
            <w:vAlign w:val="center"/>
            <w:hideMark/>
          </w:tcPr>
          <w:p w14:paraId="03984E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4F61BF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10.11</w:t>
            </w:r>
          </w:p>
        </w:tc>
        <w:tc>
          <w:tcPr>
            <w:tcW w:w="811" w:type="dxa"/>
            <w:tcBorders>
              <w:top w:val="nil"/>
              <w:left w:val="nil"/>
              <w:bottom w:val="nil"/>
              <w:right w:val="single" w:sz="4" w:space="0" w:color="auto"/>
            </w:tcBorders>
            <w:shd w:val="clear" w:color="000000" w:fill="FFFFFF"/>
            <w:vAlign w:val="center"/>
            <w:hideMark/>
          </w:tcPr>
          <w:p w14:paraId="709AA5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209B00A2"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16DB51B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 with pneumonia seeking care)</w:t>
            </w:r>
          </w:p>
        </w:tc>
        <w:tc>
          <w:tcPr>
            <w:tcW w:w="922" w:type="dxa"/>
            <w:tcBorders>
              <w:top w:val="nil"/>
              <w:left w:val="nil"/>
              <w:bottom w:val="nil"/>
              <w:right w:val="single" w:sz="4" w:space="0" w:color="auto"/>
            </w:tcBorders>
            <w:shd w:val="clear" w:color="000000" w:fill="FFFFFF"/>
            <w:vAlign w:val="center"/>
            <w:hideMark/>
          </w:tcPr>
          <w:p w14:paraId="76DAC20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15189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7005F4F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F93F3B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9F86A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A29C9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02CCC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19CBC4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4EFDA6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D27655A"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573FE7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DF553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780DC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5A6DA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D1308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E337E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8912A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418E3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9D6753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35ACA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C82EC3F" w14:textId="77777777" w:rsidTr="001070CC">
        <w:trPr>
          <w:trHeight w:val="285"/>
        </w:trPr>
        <w:tc>
          <w:tcPr>
            <w:tcW w:w="1928" w:type="dxa"/>
            <w:tcBorders>
              <w:top w:val="nil"/>
              <w:left w:val="single" w:sz="4" w:space="0" w:color="auto"/>
              <w:bottom w:val="nil"/>
              <w:right w:val="single" w:sz="4" w:space="0" w:color="auto"/>
            </w:tcBorders>
            <w:shd w:val="clear" w:color="auto" w:fill="auto"/>
            <w:vAlign w:val="center"/>
            <w:hideMark/>
          </w:tcPr>
          <w:p w14:paraId="0B67E83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Vitamin A supplementation</w:t>
            </w:r>
          </w:p>
        </w:tc>
        <w:tc>
          <w:tcPr>
            <w:tcW w:w="922" w:type="dxa"/>
            <w:tcBorders>
              <w:top w:val="nil"/>
              <w:left w:val="nil"/>
              <w:bottom w:val="nil"/>
              <w:right w:val="single" w:sz="4" w:space="0" w:color="auto"/>
            </w:tcBorders>
            <w:shd w:val="clear" w:color="000000" w:fill="FFFFFF"/>
            <w:vAlign w:val="center"/>
            <w:hideMark/>
          </w:tcPr>
          <w:p w14:paraId="2C445A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3.65</w:t>
            </w:r>
          </w:p>
        </w:tc>
        <w:tc>
          <w:tcPr>
            <w:tcW w:w="922" w:type="dxa"/>
            <w:tcBorders>
              <w:top w:val="nil"/>
              <w:left w:val="nil"/>
              <w:bottom w:val="nil"/>
              <w:right w:val="nil"/>
            </w:tcBorders>
            <w:shd w:val="clear" w:color="000000" w:fill="FFFFFF"/>
            <w:vAlign w:val="center"/>
            <w:hideMark/>
          </w:tcPr>
          <w:p w14:paraId="5550B6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5.25</w:t>
            </w:r>
          </w:p>
        </w:tc>
        <w:tc>
          <w:tcPr>
            <w:tcW w:w="1009" w:type="dxa"/>
            <w:tcBorders>
              <w:top w:val="nil"/>
              <w:left w:val="single" w:sz="4" w:space="0" w:color="auto"/>
              <w:bottom w:val="nil"/>
              <w:right w:val="single" w:sz="4" w:space="0" w:color="auto"/>
            </w:tcBorders>
            <w:shd w:val="clear" w:color="000000" w:fill="FFFFFF"/>
            <w:vAlign w:val="center"/>
            <w:hideMark/>
          </w:tcPr>
          <w:p w14:paraId="146874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4.98</w:t>
            </w:r>
          </w:p>
        </w:tc>
        <w:tc>
          <w:tcPr>
            <w:tcW w:w="888" w:type="dxa"/>
            <w:tcBorders>
              <w:top w:val="nil"/>
              <w:left w:val="nil"/>
              <w:bottom w:val="nil"/>
              <w:right w:val="single" w:sz="4" w:space="0" w:color="auto"/>
            </w:tcBorders>
            <w:shd w:val="clear" w:color="000000" w:fill="FFFFFF"/>
            <w:vAlign w:val="center"/>
            <w:hideMark/>
          </w:tcPr>
          <w:p w14:paraId="064AEC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1.60</w:t>
            </w:r>
          </w:p>
        </w:tc>
        <w:tc>
          <w:tcPr>
            <w:tcW w:w="811" w:type="dxa"/>
            <w:tcBorders>
              <w:top w:val="nil"/>
              <w:left w:val="nil"/>
              <w:bottom w:val="nil"/>
              <w:right w:val="single" w:sz="4" w:space="0" w:color="auto"/>
            </w:tcBorders>
            <w:shd w:val="clear" w:color="000000" w:fill="FFFFFF"/>
            <w:vAlign w:val="center"/>
            <w:hideMark/>
          </w:tcPr>
          <w:p w14:paraId="03584B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D6654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-0.27</w:t>
            </w:r>
          </w:p>
        </w:tc>
        <w:tc>
          <w:tcPr>
            <w:tcW w:w="811" w:type="dxa"/>
            <w:tcBorders>
              <w:top w:val="nil"/>
              <w:left w:val="nil"/>
              <w:bottom w:val="nil"/>
              <w:right w:val="single" w:sz="4" w:space="0" w:color="auto"/>
            </w:tcBorders>
            <w:shd w:val="clear" w:color="000000" w:fill="FFFFFF"/>
            <w:vAlign w:val="center"/>
            <w:hideMark/>
          </w:tcPr>
          <w:p w14:paraId="09B3B8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w:t>
            </w:r>
          </w:p>
        </w:tc>
        <w:tc>
          <w:tcPr>
            <w:tcW w:w="888" w:type="dxa"/>
            <w:tcBorders>
              <w:top w:val="nil"/>
              <w:left w:val="nil"/>
              <w:bottom w:val="nil"/>
              <w:right w:val="single" w:sz="4" w:space="0" w:color="auto"/>
            </w:tcBorders>
            <w:shd w:val="clear" w:color="000000" w:fill="FFFFFF"/>
            <w:vAlign w:val="center"/>
            <w:hideMark/>
          </w:tcPr>
          <w:p w14:paraId="4EC4E2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1.33</w:t>
            </w:r>
          </w:p>
        </w:tc>
        <w:tc>
          <w:tcPr>
            <w:tcW w:w="811" w:type="dxa"/>
            <w:tcBorders>
              <w:top w:val="nil"/>
              <w:left w:val="nil"/>
              <w:bottom w:val="nil"/>
              <w:right w:val="single" w:sz="4" w:space="0" w:color="auto"/>
            </w:tcBorders>
            <w:shd w:val="clear" w:color="000000" w:fill="FFFFFF"/>
            <w:vAlign w:val="center"/>
            <w:hideMark/>
          </w:tcPr>
          <w:p w14:paraId="72283B9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D8855DF"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5ADDF0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922" w:type="dxa"/>
            <w:tcBorders>
              <w:top w:val="nil"/>
              <w:left w:val="nil"/>
              <w:bottom w:val="nil"/>
              <w:right w:val="single" w:sz="4" w:space="0" w:color="auto"/>
            </w:tcBorders>
            <w:shd w:val="clear" w:color="000000" w:fill="FFFFFF"/>
            <w:vAlign w:val="center"/>
            <w:hideMark/>
          </w:tcPr>
          <w:p w14:paraId="4A5163C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2F6DEC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724A1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35EC0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51E42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4F4FE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5D61F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2802E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A86B9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61C7212"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253201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3A0297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0875D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41929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450244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18BF8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1B70EA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6B98B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71E64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3F2D6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F668FBC"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3C5120DD"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Unhealthy household environment</w:t>
            </w:r>
          </w:p>
        </w:tc>
      </w:tr>
      <w:tr w:rsidR="00D5600B" w:rsidRPr="003D7162" w14:paraId="6AC4823D"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CA4E3C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Urban locality</w:t>
            </w:r>
          </w:p>
        </w:tc>
        <w:tc>
          <w:tcPr>
            <w:tcW w:w="922" w:type="dxa"/>
            <w:tcBorders>
              <w:top w:val="nil"/>
              <w:left w:val="nil"/>
              <w:bottom w:val="nil"/>
              <w:right w:val="single" w:sz="4" w:space="0" w:color="auto"/>
            </w:tcBorders>
            <w:shd w:val="clear" w:color="000000" w:fill="FFFFFF"/>
            <w:vAlign w:val="center"/>
            <w:hideMark/>
          </w:tcPr>
          <w:p w14:paraId="0CC34A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57.92</w:t>
            </w:r>
          </w:p>
        </w:tc>
        <w:tc>
          <w:tcPr>
            <w:tcW w:w="922" w:type="dxa"/>
            <w:tcBorders>
              <w:top w:val="nil"/>
              <w:left w:val="nil"/>
              <w:bottom w:val="nil"/>
              <w:right w:val="nil"/>
            </w:tcBorders>
            <w:shd w:val="clear" w:color="000000" w:fill="FFFFFF"/>
            <w:vAlign w:val="center"/>
            <w:hideMark/>
          </w:tcPr>
          <w:p w14:paraId="3B041D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60.59</w:t>
            </w:r>
          </w:p>
        </w:tc>
        <w:tc>
          <w:tcPr>
            <w:tcW w:w="1009" w:type="dxa"/>
            <w:tcBorders>
              <w:top w:val="nil"/>
              <w:left w:val="single" w:sz="4" w:space="0" w:color="auto"/>
              <w:bottom w:val="nil"/>
              <w:right w:val="single" w:sz="4" w:space="0" w:color="auto"/>
            </w:tcBorders>
            <w:shd w:val="clear" w:color="000000" w:fill="FFFFFF"/>
            <w:vAlign w:val="center"/>
            <w:hideMark/>
          </w:tcPr>
          <w:p w14:paraId="27F0075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73.60</w:t>
            </w:r>
          </w:p>
        </w:tc>
        <w:tc>
          <w:tcPr>
            <w:tcW w:w="888" w:type="dxa"/>
            <w:tcBorders>
              <w:top w:val="nil"/>
              <w:left w:val="nil"/>
              <w:bottom w:val="nil"/>
              <w:right w:val="single" w:sz="4" w:space="0" w:color="auto"/>
            </w:tcBorders>
            <w:shd w:val="clear" w:color="000000" w:fill="FFFFFF"/>
            <w:vAlign w:val="center"/>
            <w:hideMark/>
          </w:tcPr>
          <w:p w14:paraId="3E576F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2.67</w:t>
            </w:r>
          </w:p>
        </w:tc>
        <w:tc>
          <w:tcPr>
            <w:tcW w:w="811" w:type="dxa"/>
            <w:tcBorders>
              <w:top w:val="nil"/>
              <w:left w:val="nil"/>
              <w:bottom w:val="nil"/>
              <w:right w:val="single" w:sz="4" w:space="0" w:color="auto"/>
            </w:tcBorders>
            <w:shd w:val="clear" w:color="000000" w:fill="FFFFFF"/>
            <w:vAlign w:val="center"/>
            <w:hideMark/>
          </w:tcPr>
          <w:p w14:paraId="3B4A22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0.055</w:t>
            </w:r>
          </w:p>
        </w:tc>
        <w:tc>
          <w:tcPr>
            <w:tcW w:w="888" w:type="dxa"/>
            <w:tcBorders>
              <w:top w:val="nil"/>
              <w:left w:val="nil"/>
              <w:bottom w:val="nil"/>
              <w:right w:val="single" w:sz="4" w:space="0" w:color="auto"/>
            </w:tcBorders>
            <w:shd w:val="clear" w:color="000000" w:fill="FFFFFF"/>
            <w:vAlign w:val="center"/>
            <w:hideMark/>
          </w:tcPr>
          <w:p w14:paraId="2611B80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13.05</w:t>
            </w:r>
          </w:p>
        </w:tc>
        <w:tc>
          <w:tcPr>
            <w:tcW w:w="811" w:type="dxa"/>
            <w:tcBorders>
              <w:top w:val="nil"/>
              <w:left w:val="nil"/>
              <w:bottom w:val="nil"/>
              <w:right w:val="single" w:sz="4" w:space="0" w:color="auto"/>
            </w:tcBorders>
            <w:shd w:val="clear" w:color="000000" w:fill="FFFFFF"/>
            <w:vAlign w:val="center"/>
            <w:hideMark/>
          </w:tcPr>
          <w:p w14:paraId="10CD2A1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9D4E73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15.73</w:t>
            </w:r>
          </w:p>
        </w:tc>
        <w:tc>
          <w:tcPr>
            <w:tcW w:w="811" w:type="dxa"/>
            <w:tcBorders>
              <w:top w:val="nil"/>
              <w:left w:val="nil"/>
              <w:bottom w:val="nil"/>
              <w:right w:val="single" w:sz="4" w:space="0" w:color="auto"/>
            </w:tcBorders>
            <w:shd w:val="clear" w:color="000000" w:fill="FFFFFF"/>
            <w:vAlign w:val="center"/>
            <w:hideMark/>
          </w:tcPr>
          <w:p w14:paraId="67B6CC3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901B10F"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0FC5437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(index household) </w:t>
            </w:r>
          </w:p>
        </w:tc>
        <w:tc>
          <w:tcPr>
            <w:tcW w:w="922" w:type="dxa"/>
            <w:tcBorders>
              <w:top w:val="nil"/>
              <w:left w:val="nil"/>
              <w:bottom w:val="nil"/>
              <w:right w:val="single" w:sz="4" w:space="0" w:color="auto"/>
            </w:tcBorders>
            <w:shd w:val="clear" w:color="000000" w:fill="FFFFFF"/>
            <w:vAlign w:val="center"/>
            <w:hideMark/>
          </w:tcPr>
          <w:p w14:paraId="1DB9F5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21ACE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963429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FFFBE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12EE0B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E6ED0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C351B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C5C81B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3EA27B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64E961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0F2345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6CDAC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B6B99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09FC13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69073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EBEAC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3FC7E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88BDB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87ACDD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A3675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77732F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FE0DB6E"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Open defecation</w:t>
            </w:r>
          </w:p>
        </w:tc>
        <w:tc>
          <w:tcPr>
            <w:tcW w:w="922" w:type="dxa"/>
            <w:tcBorders>
              <w:top w:val="nil"/>
              <w:left w:val="nil"/>
              <w:bottom w:val="nil"/>
              <w:right w:val="single" w:sz="4" w:space="0" w:color="auto"/>
            </w:tcBorders>
            <w:shd w:val="clear" w:color="000000" w:fill="FFFFFF"/>
            <w:vAlign w:val="center"/>
            <w:hideMark/>
          </w:tcPr>
          <w:p w14:paraId="304ED4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25.55</w:t>
            </w:r>
          </w:p>
        </w:tc>
        <w:tc>
          <w:tcPr>
            <w:tcW w:w="922" w:type="dxa"/>
            <w:tcBorders>
              <w:top w:val="nil"/>
              <w:left w:val="nil"/>
              <w:bottom w:val="nil"/>
              <w:right w:val="nil"/>
            </w:tcBorders>
            <w:shd w:val="clear" w:color="000000" w:fill="FFFFFF"/>
            <w:vAlign w:val="center"/>
            <w:hideMark/>
          </w:tcPr>
          <w:p w14:paraId="5B2E3AD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14.98</w:t>
            </w:r>
          </w:p>
        </w:tc>
        <w:tc>
          <w:tcPr>
            <w:tcW w:w="1009" w:type="dxa"/>
            <w:tcBorders>
              <w:top w:val="nil"/>
              <w:left w:val="single" w:sz="4" w:space="0" w:color="auto"/>
              <w:bottom w:val="nil"/>
              <w:right w:val="single" w:sz="4" w:space="0" w:color="auto"/>
            </w:tcBorders>
            <w:shd w:val="clear" w:color="000000" w:fill="FFFFFF"/>
            <w:vAlign w:val="center"/>
            <w:hideMark/>
          </w:tcPr>
          <w:p w14:paraId="1794B7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8.10</w:t>
            </w:r>
          </w:p>
        </w:tc>
        <w:tc>
          <w:tcPr>
            <w:tcW w:w="888" w:type="dxa"/>
            <w:tcBorders>
              <w:top w:val="nil"/>
              <w:left w:val="nil"/>
              <w:bottom w:val="nil"/>
              <w:right w:val="single" w:sz="4" w:space="0" w:color="auto"/>
            </w:tcBorders>
            <w:shd w:val="clear" w:color="000000" w:fill="FFFFFF"/>
            <w:vAlign w:val="center"/>
            <w:hideMark/>
          </w:tcPr>
          <w:p w14:paraId="3F414E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-10.57</w:t>
            </w:r>
          </w:p>
        </w:tc>
        <w:tc>
          <w:tcPr>
            <w:tcW w:w="811" w:type="dxa"/>
            <w:tcBorders>
              <w:top w:val="nil"/>
              <w:left w:val="nil"/>
              <w:bottom w:val="nil"/>
              <w:right w:val="single" w:sz="4" w:space="0" w:color="auto"/>
            </w:tcBorders>
            <w:shd w:val="clear" w:color="000000" w:fill="FFFFFF"/>
            <w:vAlign w:val="center"/>
            <w:hideMark/>
          </w:tcPr>
          <w:p w14:paraId="4770D12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E144D8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-6.85</w:t>
            </w:r>
          </w:p>
        </w:tc>
        <w:tc>
          <w:tcPr>
            <w:tcW w:w="811" w:type="dxa"/>
            <w:tcBorders>
              <w:top w:val="nil"/>
              <w:left w:val="nil"/>
              <w:bottom w:val="nil"/>
              <w:right w:val="single" w:sz="4" w:space="0" w:color="auto"/>
            </w:tcBorders>
            <w:shd w:val="clear" w:color="000000" w:fill="FFFFFF"/>
            <w:vAlign w:val="center"/>
            <w:hideMark/>
          </w:tcPr>
          <w:p w14:paraId="7BF04DF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CEC404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-17.42</w:t>
            </w:r>
          </w:p>
        </w:tc>
        <w:tc>
          <w:tcPr>
            <w:tcW w:w="811" w:type="dxa"/>
            <w:tcBorders>
              <w:top w:val="nil"/>
              <w:left w:val="nil"/>
              <w:bottom w:val="nil"/>
              <w:right w:val="single" w:sz="4" w:space="0" w:color="auto"/>
            </w:tcBorders>
            <w:shd w:val="clear" w:color="000000" w:fill="FFFFFF"/>
            <w:vAlign w:val="center"/>
            <w:hideMark/>
          </w:tcPr>
          <w:p w14:paraId="1E6B5A6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2979E909"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52EB5E5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922" w:type="dxa"/>
            <w:tcBorders>
              <w:top w:val="nil"/>
              <w:left w:val="nil"/>
              <w:bottom w:val="nil"/>
              <w:right w:val="single" w:sz="4" w:space="0" w:color="auto"/>
            </w:tcBorders>
            <w:shd w:val="clear" w:color="000000" w:fill="FFFFFF"/>
            <w:vAlign w:val="center"/>
            <w:hideMark/>
          </w:tcPr>
          <w:p w14:paraId="2A8EE7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76545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13373C4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90F703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04FD4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1A4985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2760F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63A11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CAB0F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DEA5ACA"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44EDCE3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20D0C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9B54D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B62F97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F08D4C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0D861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80F88B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6FB89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AD6CA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D31788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88A47AC"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32A9DF9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Access to improved drinking water sources</w:t>
            </w:r>
          </w:p>
        </w:tc>
        <w:tc>
          <w:tcPr>
            <w:tcW w:w="922" w:type="dxa"/>
            <w:tcBorders>
              <w:top w:val="nil"/>
              <w:left w:val="nil"/>
              <w:bottom w:val="nil"/>
              <w:right w:val="single" w:sz="4" w:space="0" w:color="auto"/>
            </w:tcBorders>
            <w:shd w:val="clear" w:color="000000" w:fill="FFFFFF"/>
            <w:vAlign w:val="center"/>
            <w:hideMark/>
          </w:tcPr>
          <w:p w14:paraId="39F430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82.02</w:t>
            </w:r>
          </w:p>
        </w:tc>
        <w:tc>
          <w:tcPr>
            <w:tcW w:w="922" w:type="dxa"/>
            <w:tcBorders>
              <w:top w:val="nil"/>
              <w:left w:val="nil"/>
              <w:bottom w:val="nil"/>
              <w:right w:val="nil"/>
            </w:tcBorders>
            <w:shd w:val="clear" w:color="000000" w:fill="FFFFFF"/>
            <w:vAlign w:val="center"/>
            <w:hideMark/>
          </w:tcPr>
          <w:p w14:paraId="67F752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83.52</w:t>
            </w:r>
          </w:p>
        </w:tc>
        <w:tc>
          <w:tcPr>
            <w:tcW w:w="1009" w:type="dxa"/>
            <w:tcBorders>
              <w:top w:val="nil"/>
              <w:left w:val="single" w:sz="4" w:space="0" w:color="auto"/>
              <w:bottom w:val="nil"/>
              <w:right w:val="single" w:sz="4" w:space="0" w:color="auto"/>
            </w:tcBorders>
            <w:shd w:val="clear" w:color="000000" w:fill="FFFFFF"/>
            <w:vAlign w:val="center"/>
            <w:hideMark/>
          </w:tcPr>
          <w:p w14:paraId="162A00A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89.70</w:t>
            </w:r>
          </w:p>
        </w:tc>
        <w:tc>
          <w:tcPr>
            <w:tcW w:w="888" w:type="dxa"/>
            <w:tcBorders>
              <w:top w:val="nil"/>
              <w:left w:val="nil"/>
              <w:bottom w:val="nil"/>
              <w:right w:val="single" w:sz="4" w:space="0" w:color="auto"/>
            </w:tcBorders>
            <w:shd w:val="clear" w:color="000000" w:fill="FFFFFF"/>
            <w:vAlign w:val="center"/>
            <w:hideMark/>
          </w:tcPr>
          <w:p w14:paraId="646794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1.50</w:t>
            </w:r>
          </w:p>
        </w:tc>
        <w:tc>
          <w:tcPr>
            <w:tcW w:w="811" w:type="dxa"/>
            <w:tcBorders>
              <w:top w:val="nil"/>
              <w:left w:val="nil"/>
              <w:bottom w:val="nil"/>
              <w:right w:val="single" w:sz="4" w:space="0" w:color="auto"/>
            </w:tcBorders>
            <w:shd w:val="clear" w:color="000000" w:fill="FFFFFF"/>
            <w:vAlign w:val="center"/>
            <w:hideMark/>
          </w:tcPr>
          <w:p w14:paraId="74A8B0C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0.251</w:t>
            </w:r>
          </w:p>
        </w:tc>
        <w:tc>
          <w:tcPr>
            <w:tcW w:w="888" w:type="dxa"/>
            <w:tcBorders>
              <w:top w:val="nil"/>
              <w:left w:val="nil"/>
              <w:bottom w:val="nil"/>
              <w:right w:val="single" w:sz="4" w:space="0" w:color="auto"/>
            </w:tcBorders>
            <w:shd w:val="clear" w:color="000000" w:fill="FFFFFF"/>
            <w:vAlign w:val="center"/>
            <w:hideMark/>
          </w:tcPr>
          <w:p w14:paraId="0693E47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6.18</w:t>
            </w:r>
          </w:p>
        </w:tc>
        <w:tc>
          <w:tcPr>
            <w:tcW w:w="811" w:type="dxa"/>
            <w:tcBorders>
              <w:top w:val="nil"/>
              <w:left w:val="nil"/>
              <w:bottom w:val="nil"/>
              <w:right w:val="single" w:sz="4" w:space="0" w:color="auto"/>
            </w:tcBorders>
            <w:shd w:val="clear" w:color="000000" w:fill="FFFFFF"/>
            <w:vAlign w:val="center"/>
            <w:hideMark/>
          </w:tcPr>
          <w:p w14:paraId="72B09F6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CDFAA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7.67</w:t>
            </w:r>
          </w:p>
        </w:tc>
        <w:tc>
          <w:tcPr>
            <w:tcW w:w="811" w:type="dxa"/>
            <w:tcBorders>
              <w:top w:val="nil"/>
              <w:left w:val="nil"/>
              <w:bottom w:val="nil"/>
              <w:right w:val="single" w:sz="4" w:space="0" w:color="auto"/>
            </w:tcBorders>
            <w:shd w:val="clear" w:color="000000" w:fill="FFFFFF"/>
            <w:vAlign w:val="center"/>
            <w:hideMark/>
          </w:tcPr>
          <w:p w14:paraId="2B961A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596EEB3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2BEC6FB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922" w:type="dxa"/>
            <w:tcBorders>
              <w:top w:val="nil"/>
              <w:left w:val="nil"/>
              <w:bottom w:val="nil"/>
              <w:right w:val="single" w:sz="4" w:space="0" w:color="auto"/>
            </w:tcBorders>
            <w:shd w:val="clear" w:color="000000" w:fill="FFFFFF"/>
            <w:vAlign w:val="center"/>
            <w:hideMark/>
          </w:tcPr>
          <w:p w14:paraId="2887B93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9D87F9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1A3A83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E77F5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B0A903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F4AB1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F976EF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F88CC3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E0FA66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B2DC57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0F42B99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DD654B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27D6E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0FEC25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87363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DCFEA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C7476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AE9E5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A0F53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90BF7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96EE703"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35FD523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Number of household members</w:t>
            </w:r>
          </w:p>
          <w:p w14:paraId="524764E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922" w:type="dxa"/>
            <w:tcBorders>
              <w:top w:val="nil"/>
              <w:left w:val="nil"/>
              <w:bottom w:val="nil"/>
              <w:right w:val="single" w:sz="4" w:space="0" w:color="auto"/>
            </w:tcBorders>
            <w:shd w:val="clear" w:color="000000" w:fill="FFFFFF"/>
            <w:vAlign w:val="center"/>
            <w:hideMark/>
          </w:tcPr>
          <w:p w14:paraId="17F73E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5.94</w:t>
            </w:r>
          </w:p>
        </w:tc>
        <w:tc>
          <w:tcPr>
            <w:tcW w:w="922" w:type="dxa"/>
            <w:tcBorders>
              <w:top w:val="nil"/>
              <w:left w:val="nil"/>
              <w:bottom w:val="nil"/>
              <w:right w:val="nil"/>
            </w:tcBorders>
            <w:shd w:val="clear" w:color="000000" w:fill="FFFFFF"/>
            <w:vAlign w:val="center"/>
            <w:hideMark/>
          </w:tcPr>
          <w:p w14:paraId="03275D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5.50</w:t>
            </w:r>
          </w:p>
        </w:tc>
        <w:tc>
          <w:tcPr>
            <w:tcW w:w="1009" w:type="dxa"/>
            <w:tcBorders>
              <w:top w:val="nil"/>
              <w:left w:val="single" w:sz="4" w:space="0" w:color="auto"/>
              <w:bottom w:val="nil"/>
              <w:right w:val="single" w:sz="4" w:space="0" w:color="auto"/>
            </w:tcBorders>
            <w:shd w:val="clear" w:color="000000" w:fill="FFFFFF"/>
            <w:vAlign w:val="center"/>
            <w:hideMark/>
          </w:tcPr>
          <w:p w14:paraId="182872B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5.07</w:t>
            </w:r>
          </w:p>
        </w:tc>
        <w:tc>
          <w:tcPr>
            <w:tcW w:w="888" w:type="dxa"/>
            <w:tcBorders>
              <w:top w:val="nil"/>
              <w:left w:val="nil"/>
              <w:bottom w:val="nil"/>
              <w:right w:val="single" w:sz="4" w:space="0" w:color="auto"/>
            </w:tcBorders>
            <w:shd w:val="clear" w:color="000000" w:fill="FFFFFF"/>
            <w:vAlign w:val="center"/>
            <w:hideMark/>
          </w:tcPr>
          <w:p w14:paraId="62C4BD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-0.44</w:t>
            </w:r>
          </w:p>
        </w:tc>
        <w:tc>
          <w:tcPr>
            <w:tcW w:w="811" w:type="dxa"/>
            <w:tcBorders>
              <w:top w:val="nil"/>
              <w:left w:val="nil"/>
              <w:bottom w:val="nil"/>
              <w:right w:val="single" w:sz="4" w:space="0" w:color="auto"/>
            </w:tcBorders>
            <w:shd w:val="clear" w:color="000000" w:fill="FFFFFF"/>
            <w:vAlign w:val="center"/>
            <w:hideMark/>
          </w:tcPr>
          <w:p w14:paraId="3094A66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51BFEC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-0.43</w:t>
            </w:r>
          </w:p>
        </w:tc>
        <w:tc>
          <w:tcPr>
            <w:tcW w:w="811" w:type="dxa"/>
            <w:tcBorders>
              <w:top w:val="nil"/>
              <w:left w:val="nil"/>
              <w:bottom w:val="nil"/>
              <w:right w:val="single" w:sz="4" w:space="0" w:color="auto"/>
            </w:tcBorders>
            <w:shd w:val="clear" w:color="000000" w:fill="FFFFFF"/>
            <w:vAlign w:val="center"/>
            <w:hideMark/>
          </w:tcPr>
          <w:p w14:paraId="4AE377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362C6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-0.87</w:t>
            </w:r>
          </w:p>
        </w:tc>
        <w:tc>
          <w:tcPr>
            <w:tcW w:w="811" w:type="dxa"/>
            <w:tcBorders>
              <w:top w:val="nil"/>
              <w:left w:val="nil"/>
              <w:bottom w:val="nil"/>
              <w:right w:val="single" w:sz="4" w:space="0" w:color="auto"/>
            </w:tcBorders>
            <w:shd w:val="clear" w:color="000000" w:fill="FFFFFF"/>
            <w:vAlign w:val="center"/>
            <w:hideMark/>
          </w:tcPr>
          <w:p w14:paraId="4F7011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2EEE02E1"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EA1183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152B8D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2ED34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116BD7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06FDC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E7AF6E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E5F5D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B8586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C95D8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BAC60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C15CBBF"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BF14CF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7323DB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1BB04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E9829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E74D4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3014E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42714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A41DC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BAAA79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CED06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A59F7C4" w14:textId="77777777" w:rsidTr="001070CC">
        <w:trPr>
          <w:trHeight w:val="439"/>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2B3639F3" w14:textId="77777777" w:rsidR="00D5600B" w:rsidRPr="003D7162" w:rsidRDefault="00D5600B" w:rsidP="000C7ADC">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Proximal level</w:t>
            </w:r>
          </w:p>
        </w:tc>
      </w:tr>
      <w:tr w:rsidR="00D5600B" w:rsidRPr="003D7162" w14:paraId="65D2D965"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488307E6"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Infections</w:t>
            </w:r>
          </w:p>
        </w:tc>
      </w:tr>
      <w:tr w:rsidR="00D5600B" w:rsidRPr="003D7162" w14:paraId="243CC849"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4EAE58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ARI infection</w:t>
            </w:r>
          </w:p>
        </w:tc>
        <w:tc>
          <w:tcPr>
            <w:tcW w:w="922" w:type="dxa"/>
            <w:tcBorders>
              <w:top w:val="nil"/>
              <w:left w:val="nil"/>
              <w:bottom w:val="nil"/>
              <w:right w:val="single" w:sz="4" w:space="0" w:color="auto"/>
            </w:tcBorders>
            <w:shd w:val="clear" w:color="000000" w:fill="FFFFFF"/>
            <w:vAlign w:val="center"/>
            <w:hideMark/>
          </w:tcPr>
          <w:p w14:paraId="22749D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45.56</w:t>
            </w:r>
          </w:p>
        </w:tc>
        <w:tc>
          <w:tcPr>
            <w:tcW w:w="922" w:type="dxa"/>
            <w:tcBorders>
              <w:top w:val="nil"/>
              <w:left w:val="nil"/>
              <w:bottom w:val="nil"/>
              <w:right w:val="nil"/>
            </w:tcBorders>
            <w:shd w:val="clear" w:color="000000" w:fill="FFFFFF"/>
            <w:vAlign w:val="center"/>
            <w:hideMark/>
          </w:tcPr>
          <w:p w14:paraId="6ECCE9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42.80</w:t>
            </w:r>
          </w:p>
        </w:tc>
        <w:tc>
          <w:tcPr>
            <w:tcW w:w="1009" w:type="dxa"/>
            <w:tcBorders>
              <w:top w:val="nil"/>
              <w:left w:val="single" w:sz="4" w:space="0" w:color="auto"/>
              <w:bottom w:val="nil"/>
              <w:right w:val="single" w:sz="4" w:space="0" w:color="auto"/>
            </w:tcBorders>
            <w:shd w:val="clear" w:color="000000" w:fill="FFFFFF"/>
            <w:vAlign w:val="center"/>
            <w:hideMark/>
          </w:tcPr>
          <w:p w14:paraId="462539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36.40</w:t>
            </w:r>
          </w:p>
        </w:tc>
        <w:tc>
          <w:tcPr>
            <w:tcW w:w="888" w:type="dxa"/>
            <w:tcBorders>
              <w:top w:val="nil"/>
              <w:left w:val="nil"/>
              <w:bottom w:val="nil"/>
              <w:right w:val="single" w:sz="4" w:space="0" w:color="auto"/>
            </w:tcBorders>
            <w:shd w:val="clear" w:color="000000" w:fill="FFFFFF"/>
            <w:vAlign w:val="center"/>
            <w:hideMark/>
          </w:tcPr>
          <w:p w14:paraId="1D17B65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-2.75</w:t>
            </w:r>
          </w:p>
        </w:tc>
        <w:tc>
          <w:tcPr>
            <w:tcW w:w="811" w:type="dxa"/>
            <w:tcBorders>
              <w:top w:val="nil"/>
              <w:left w:val="nil"/>
              <w:bottom w:val="nil"/>
              <w:right w:val="single" w:sz="4" w:space="0" w:color="auto"/>
            </w:tcBorders>
            <w:shd w:val="clear" w:color="000000" w:fill="FFFFFF"/>
            <w:vAlign w:val="center"/>
            <w:hideMark/>
          </w:tcPr>
          <w:p w14:paraId="31BA77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0.016</w:t>
            </w:r>
          </w:p>
        </w:tc>
        <w:tc>
          <w:tcPr>
            <w:tcW w:w="888" w:type="dxa"/>
            <w:tcBorders>
              <w:top w:val="nil"/>
              <w:left w:val="nil"/>
              <w:bottom w:val="nil"/>
              <w:right w:val="single" w:sz="4" w:space="0" w:color="auto"/>
            </w:tcBorders>
            <w:shd w:val="clear" w:color="000000" w:fill="FFFFFF"/>
            <w:vAlign w:val="center"/>
            <w:hideMark/>
          </w:tcPr>
          <w:p w14:paraId="5992D1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-6.43</w:t>
            </w:r>
          </w:p>
        </w:tc>
        <w:tc>
          <w:tcPr>
            <w:tcW w:w="811" w:type="dxa"/>
            <w:tcBorders>
              <w:top w:val="nil"/>
              <w:left w:val="nil"/>
              <w:bottom w:val="nil"/>
              <w:right w:val="single" w:sz="4" w:space="0" w:color="auto"/>
            </w:tcBorders>
            <w:shd w:val="clear" w:color="000000" w:fill="FFFFFF"/>
            <w:vAlign w:val="center"/>
            <w:hideMark/>
          </w:tcPr>
          <w:p w14:paraId="708200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64FCE5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-9.18</w:t>
            </w:r>
          </w:p>
        </w:tc>
        <w:tc>
          <w:tcPr>
            <w:tcW w:w="811" w:type="dxa"/>
            <w:tcBorders>
              <w:top w:val="nil"/>
              <w:left w:val="nil"/>
              <w:bottom w:val="nil"/>
              <w:right w:val="single" w:sz="4" w:space="0" w:color="auto"/>
            </w:tcBorders>
            <w:shd w:val="clear" w:color="000000" w:fill="FFFFFF"/>
            <w:vAlign w:val="center"/>
            <w:hideMark/>
          </w:tcPr>
          <w:p w14:paraId="7EABE9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2BC180D"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4ADC5AAE"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 within last 2 weeks)</w:t>
            </w:r>
          </w:p>
        </w:tc>
        <w:tc>
          <w:tcPr>
            <w:tcW w:w="922" w:type="dxa"/>
            <w:tcBorders>
              <w:top w:val="nil"/>
              <w:left w:val="nil"/>
              <w:bottom w:val="nil"/>
              <w:right w:val="single" w:sz="4" w:space="0" w:color="auto"/>
            </w:tcBorders>
            <w:shd w:val="clear" w:color="000000" w:fill="FFFFFF"/>
            <w:vAlign w:val="center"/>
            <w:hideMark/>
          </w:tcPr>
          <w:p w14:paraId="028FADF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D118D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574575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B46EE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B2D46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2E4BE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C7AAD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95EEE7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9EEA1A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3A08E0E"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4F36DC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39C781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5B833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7695D48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D068B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F309B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6C05A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C4AF4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285FA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8F53FE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29778F9"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176777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Diarrhea infection</w:t>
            </w:r>
          </w:p>
        </w:tc>
        <w:tc>
          <w:tcPr>
            <w:tcW w:w="922" w:type="dxa"/>
            <w:tcBorders>
              <w:top w:val="nil"/>
              <w:left w:val="nil"/>
              <w:bottom w:val="nil"/>
              <w:right w:val="single" w:sz="4" w:space="0" w:color="auto"/>
            </w:tcBorders>
            <w:shd w:val="clear" w:color="000000" w:fill="FFFFFF"/>
            <w:vAlign w:val="center"/>
            <w:hideMark/>
          </w:tcPr>
          <w:p w14:paraId="08D1FB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16.87</w:t>
            </w:r>
          </w:p>
        </w:tc>
        <w:tc>
          <w:tcPr>
            <w:tcW w:w="922" w:type="dxa"/>
            <w:tcBorders>
              <w:top w:val="nil"/>
              <w:left w:val="nil"/>
              <w:bottom w:val="nil"/>
              <w:right w:val="nil"/>
            </w:tcBorders>
            <w:shd w:val="clear" w:color="000000" w:fill="FFFFFF"/>
            <w:vAlign w:val="center"/>
            <w:hideMark/>
          </w:tcPr>
          <w:p w14:paraId="7AB9A7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15.53</w:t>
            </w:r>
          </w:p>
        </w:tc>
        <w:tc>
          <w:tcPr>
            <w:tcW w:w="1009" w:type="dxa"/>
            <w:tcBorders>
              <w:top w:val="nil"/>
              <w:left w:val="single" w:sz="4" w:space="0" w:color="auto"/>
              <w:bottom w:val="nil"/>
              <w:right w:val="single" w:sz="4" w:space="0" w:color="auto"/>
            </w:tcBorders>
            <w:shd w:val="clear" w:color="000000" w:fill="FFFFFF"/>
            <w:vAlign w:val="center"/>
            <w:hideMark/>
          </w:tcPr>
          <w:p w14:paraId="3F5910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12.20</w:t>
            </w:r>
          </w:p>
        </w:tc>
        <w:tc>
          <w:tcPr>
            <w:tcW w:w="888" w:type="dxa"/>
            <w:tcBorders>
              <w:top w:val="nil"/>
              <w:left w:val="nil"/>
              <w:bottom w:val="nil"/>
              <w:right w:val="single" w:sz="4" w:space="0" w:color="auto"/>
            </w:tcBorders>
            <w:shd w:val="clear" w:color="000000" w:fill="FFFFFF"/>
            <w:vAlign w:val="center"/>
            <w:hideMark/>
          </w:tcPr>
          <w:p w14:paraId="56ED6E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-1.34</w:t>
            </w:r>
          </w:p>
        </w:tc>
        <w:tc>
          <w:tcPr>
            <w:tcW w:w="811" w:type="dxa"/>
            <w:tcBorders>
              <w:top w:val="nil"/>
              <w:left w:val="nil"/>
              <w:bottom w:val="nil"/>
              <w:right w:val="single" w:sz="4" w:space="0" w:color="auto"/>
            </w:tcBorders>
            <w:shd w:val="clear" w:color="000000" w:fill="FFFFFF"/>
            <w:vAlign w:val="center"/>
            <w:hideMark/>
          </w:tcPr>
          <w:p w14:paraId="6DACBF1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0.088</w:t>
            </w:r>
          </w:p>
        </w:tc>
        <w:tc>
          <w:tcPr>
            <w:tcW w:w="888" w:type="dxa"/>
            <w:tcBorders>
              <w:top w:val="nil"/>
              <w:left w:val="nil"/>
              <w:bottom w:val="nil"/>
              <w:right w:val="single" w:sz="4" w:space="0" w:color="auto"/>
            </w:tcBorders>
            <w:shd w:val="clear" w:color="000000" w:fill="FFFFFF"/>
            <w:vAlign w:val="center"/>
            <w:hideMark/>
          </w:tcPr>
          <w:p w14:paraId="172B7D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-3.30</w:t>
            </w:r>
          </w:p>
        </w:tc>
        <w:tc>
          <w:tcPr>
            <w:tcW w:w="811" w:type="dxa"/>
            <w:tcBorders>
              <w:top w:val="nil"/>
              <w:left w:val="nil"/>
              <w:bottom w:val="nil"/>
              <w:right w:val="single" w:sz="4" w:space="0" w:color="auto"/>
            </w:tcBorders>
            <w:shd w:val="clear" w:color="000000" w:fill="FFFFFF"/>
            <w:vAlign w:val="center"/>
            <w:hideMark/>
          </w:tcPr>
          <w:p w14:paraId="7A7279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49A69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-4.64</w:t>
            </w:r>
          </w:p>
        </w:tc>
        <w:tc>
          <w:tcPr>
            <w:tcW w:w="811" w:type="dxa"/>
            <w:tcBorders>
              <w:top w:val="nil"/>
              <w:left w:val="nil"/>
              <w:bottom w:val="nil"/>
              <w:right w:val="single" w:sz="4" w:space="0" w:color="auto"/>
            </w:tcBorders>
            <w:shd w:val="clear" w:color="000000" w:fill="FFFFFF"/>
            <w:vAlign w:val="center"/>
            <w:hideMark/>
          </w:tcPr>
          <w:p w14:paraId="02DA7A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6D45388"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5808A5F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 within last 2 weeks)</w:t>
            </w:r>
          </w:p>
        </w:tc>
        <w:tc>
          <w:tcPr>
            <w:tcW w:w="922" w:type="dxa"/>
            <w:tcBorders>
              <w:top w:val="nil"/>
              <w:left w:val="nil"/>
              <w:bottom w:val="nil"/>
              <w:right w:val="single" w:sz="4" w:space="0" w:color="auto"/>
            </w:tcBorders>
            <w:shd w:val="clear" w:color="000000" w:fill="FFFFFF"/>
            <w:vAlign w:val="center"/>
            <w:hideMark/>
          </w:tcPr>
          <w:p w14:paraId="5ED437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E5554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7A8AF6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02DAF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3B321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A06438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D5AAC2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A8A26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0E4DB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DE46C21"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1A95478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BE4AA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E7688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645A867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FE486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D04DF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F07D9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B2967F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E8689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A6849C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72D26EA"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4F151756"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Child characteristics</w:t>
            </w:r>
          </w:p>
        </w:tc>
      </w:tr>
      <w:tr w:rsidR="00D5600B" w:rsidRPr="003D7162" w14:paraId="267D5C9B"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A3AD5B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Low birthweight</w:t>
            </w:r>
          </w:p>
        </w:tc>
        <w:tc>
          <w:tcPr>
            <w:tcW w:w="922" w:type="dxa"/>
            <w:tcBorders>
              <w:top w:val="nil"/>
              <w:left w:val="nil"/>
              <w:bottom w:val="nil"/>
              <w:right w:val="single" w:sz="4" w:space="0" w:color="auto"/>
            </w:tcBorders>
            <w:shd w:val="clear" w:color="000000" w:fill="FFFFFF"/>
            <w:vAlign w:val="center"/>
            <w:hideMark/>
          </w:tcPr>
          <w:p w14:paraId="5E24DC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8.20</w:t>
            </w:r>
          </w:p>
        </w:tc>
        <w:tc>
          <w:tcPr>
            <w:tcW w:w="922" w:type="dxa"/>
            <w:tcBorders>
              <w:top w:val="nil"/>
              <w:left w:val="nil"/>
              <w:bottom w:val="nil"/>
              <w:right w:val="nil"/>
            </w:tcBorders>
            <w:shd w:val="clear" w:color="000000" w:fill="FFFFFF"/>
            <w:vAlign w:val="center"/>
            <w:hideMark/>
          </w:tcPr>
          <w:p w14:paraId="473424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6.93</w:t>
            </w:r>
          </w:p>
        </w:tc>
        <w:tc>
          <w:tcPr>
            <w:tcW w:w="1009" w:type="dxa"/>
            <w:tcBorders>
              <w:top w:val="nil"/>
              <w:left w:val="single" w:sz="4" w:space="0" w:color="auto"/>
              <w:bottom w:val="nil"/>
              <w:right w:val="single" w:sz="4" w:space="0" w:color="auto"/>
            </w:tcBorders>
            <w:shd w:val="clear" w:color="000000" w:fill="FFFFFF"/>
            <w:vAlign w:val="center"/>
            <w:hideMark/>
          </w:tcPr>
          <w:p w14:paraId="365BFD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6.30</w:t>
            </w:r>
          </w:p>
        </w:tc>
        <w:tc>
          <w:tcPr>
            <w:tcW w:w="888" w:type="dxa"/>
            <w:tcBorders>
              <w:top w:val="nil"/>
              <w:left w:val="nil"/>
              <w:bottom w:val="nil"/>
              <w:right w:val="single" w:sz="4" w:space="0" w:color="auto"/>
            </w:tcBorders>
            <w:shd w:val="clear" w:color="000000" w:fill="FFFFFF"/>
            <w:vAlign w:val="center"/>
            <w:hideMark/>
          </w:tcPr>
          <w:p w14:paraId="02286B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-1.27</w:t>
            </w:r>
          </w:p>
        </w:tc>
        <w:tc>
          <w:tcPr>
            <w:tcW w:w="811" w:type="dxa"/>
            <w:tcBorders>
              <w:top w:val="nil"/>
              <w:left w:val="nil"/>
              <w:bottom w:val="nil"/>
              <w:right w:val="single" w:sz="4" w:space="0" w:color="auto"/>
            </w:tcBorders>
            <w:shd w:val="clear" w:color="000000" w:fill="FFFFFF"/>
            <w:vAlign w:val="center"/>
            <w:hideMark/>
          </w:tcPr>
          <w:p w14:paraId="63C110E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0.036</w:t>
            </w:r>
          </w:p>
        </w:tc>
        <w:tc>
          <w:tcPr>
            <w:tcW w:w="888" w:type="dxa"/>
            <w:tcBorders>
              <w:top w:val="nil"/>
              <w:left w:val="nil"/>
              <w:bottom w:val="nil"/>
              <w:right w:val="single" w:sz="4" w:space="0" w:color="auto"/>
            </w:tcBorders>
            <w:shd w:val="clear" w:color="000000" w:fill="FFFFFF"/>
            <w:vAlign w:val="center"/>
            <w:hideMark/>
          </w:tcPr>
          <w:p w14:paraId="00B160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-0.63</w:t>
            </w:r>
          </w:p>
        </w:tc>
        <w:tc>
          <w:tcPr>
            <w:tcW w:w="811" w:type="dxa"/>
            <w:tcBorders>
              <w:top w:val="nil"/>
              <w:left w:val="nil"/>
              <w:bottom w:val="nil"/>
              <w:right w:val="single" w:sz="4" w:space="0" w:color="auto"/>
            </w:tcBorders>
            <w:shd w:val="clear" w:color="000000" w:fill="FFFFFF"/>
            <w:vAlign w:val="center"/>
            <w:hideMark/>
          </w:tcPr>
          <w:p w14:paraId="2FDF749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0.192</w:t>
            </w:r>
          </w:p>
        </w:tc>
        <w:tc>
          <w:tcPr>
            <w:tcW w:w="888" w:type="dxa"/>
            <w:tcBorders>
              <w:top w:val="nil"/>
              <w:left w:val="nil"/>
              <w:bottom w:val="nil"/>
              <w:right w:val="single" w:sz="4" w:space="0" w:color="auto"/>
            </w:tcBorders>
            <w:shd w:val="clear" w:color="000000" w:fill="FFFFFF"/>
            <w:vAlign w:val="center"/>
            <w:hideMark/>
          </w:tcPr>
          <w:p w14:paraId="2A892D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-1.90</w:t>
            </w:r>
          </w:p>
        </w:tc>
        <w:tc>
          <w:tcPr>
            <w:tcW w:w="811" w:type="dxa"/>
            <w:tcBorders>
              <w:top w:val="nil"/>
              <w:left w:val="nil"/>
              <w:bottom w:val="nil"/>
              <w:right w:val="single" w:sz="4" w:space="0" w:color="auto"/>
            </w:tcBorders>
            <w:shd w:val="clear" w:color="000000" w:fill="FFFFFF"/>
            <w:vAlign w:val="center"/>
            <w:hideMark/>
          </w:tcPr>
          <w:p w14:paraId="6B9DF99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682EB4D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256657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922" w:type="dxa"/>
            <w:tcBorders>
              <w:top w:val="nil"/>
              <w:left w:val="nil"/>
              <w:bottom w:val="nil"/>
              <w:right w:val="single" w:sz="4" w:space="0" w:color="auto"/>
            </w:tcBorders>
            <w:shd w:val="clear" w:color="000000" w:fill="FFFFFF"/>
            <w:vAlign w:val="center"/>
            <w:hideMark/>
          </w:tcPr>
          <w:p w14:paraId="377FB1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38C9F7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72DE4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696B85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F2B75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147351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3CDB1A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524B0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B83BE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645812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62DCA59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5C9C4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687DE4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0ADDA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89C05F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49D16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9768F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45D23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42209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8C19A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00DD430"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03787ADB"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Maternal characteristics</w:t>
            </w:r>
          </w:p>
        </w:tc>
      </w:tr>
      <w:tr w:rsidR="00D5600B" w:rsidRPr="003D7162" w14:paraId="54BB5664"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D920AD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Maternal age</w:t>
            </w:r>
          </w:p>
        </w:tc>
        <w:tc>
          <w:tcPr>
            <w:tcW w:w="922" w:type="dxa"/>
            <w:tcBorders>
              <w:top w:val="nil"/>
              <w:left w:val="nil"/>
              <w:bottom w:val="nil"/>
              <w:right w:val="single" w:sz="4" w:space="0" w:color="auto"/>
            </w:tcBorders>
            <w:shd w:val="clear" w:color="000000" w:fill="FFFFFF"/>
            <w:vAlign w:val="center"/>
            <w:hideMark/>
          </w:tcPr>
          <w:p w14:paraId="16B750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29.39</w:t>
            </w:r>
          </w:p>
        </w:tc>
        <w:tc>
          <w:tcPr>
            <w:tcW w:w="922" w:type="dxa"/>
            <w:tcBorders>
              <w:top w:val="nil"/>
              <w:left w:val="nil"/>
              <w:bottom w:val="nil"/>
              <w:right w:val="nil"/>
            </w:tcBorders>
            <w:shd w:val="clear" w:color="000000" w:fill="FFFFFF"/>
            <w:vAlign w:val="center"/>
            <w:hideMark/>
          </w:tcPr>
          <w:p w14:paraId="11888F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29.52</w:t>
            </w:r>
          </w:p>
        </w:tc>
        <w:tc>
          <w:tcPr>
            <w:tcW w:w="1009" w:type="dxa"/>
            <w:tcBorders>
              <w:top w:val="nil"/>
              <w:left w:val="single" w:sz="4" w:space="0" w:color="auto"/>
              <w:bottom w:val="nil"/>
              <w:right w:val="single" w:sz="4" w:space="0" w:color="auto"/>
            </w:tcBorders>
            <w:shd w:val="clear" w:color="000000" w:fill="FFFFFF"/>
            <w:vAlign w:val="center"/>
            <w:hideMark/>
          </w:tcPr>
          <w:p w14:paraId="3EE863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30.19</w:t>
            </w:r>
          </w:p>
        </w:tc>
        <w:tc>
          <w:tcPr>
            <w:tcW w:w="888" w:type="dxa"/>
            <w:tcBorders>
              <w:top w:val="nil"/>
              <w:left w:val="nil"/>
              <w:bottom w:val="nil"/>
              <w:right w:val="single" w:sz="4" w:space="0" w:color="auto"/>
            </w:tcBorders>
            <w:shd w:val="clear" w:color="000000" w:fill="FFFFFF"/>
            <w:vAlign w:val="center"/>
            <w:hideMark/>
          </w:tcPr>
          <w:p w14:paraId="744D1F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w:t>
            </w:r>
          </w:p>
        </w:tc>
        <w:tc>
          <w:tcPr>
            <w:tcW w:w="811" w:type="dxa"/>
            <w:tcBorders>
              <w:top w:val="nil"/>
              <w:left w:val="nil"/>
              <w:bottom w:val="nil"/>
              <w:right w:val="single" w:sz="4" w:space="0" w:color="auto"/>
            </w:tcBorders>
            <w:shd w:val="clear" w:color="000000" w:fill="FFFFFF"/>
            <w:vAlign w:val="center"/>
            <w:hideMark/>
          </w:tcPr>
          <w:p w14:paraId="4DC9227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0.415</w:t>
            </w:r>
          </w:p>
        </w:tc>
        <w:tc>
          <w:tcPr>
            <w:tcW w:w="888" w:type="dxa"/>
            <w:tcBorders>
              <w:top w:val="nil"/>
              <w:left w:val="nil"/>
              <w:bottom w:val="nil"/>
              <w:right w:val="single" w:sz="4" w:space="0" w:color="auto"/>
            </w:tcBorders>
            <w:shd w:val="clear" w:color="000000" w:fill="FFFFFF"/>
            <w:vAlign w:val="center"/>
            <w:hideMark/>
          </w:tcPr>
          <w:p w14:paraId="383BC4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0.67</w:t>
            </w:r>
          </w:p>
        </w:tc>
        <w:tc>
          <w:tcPr>
            <w:tcW w:w="811" w:type="dxa"/>
            <w:tcBorders>
              <w:top w:val="nil"/>
              <w:left w:val="nil"/>
              <w:bottom w:val="nil"/>
              <w:right w:val="single" w:sz="4" w:space="0" w:color="auto"/>
            </w:tcBorders>
            <w:shd w:val="clear" w:color="000000" w:fill="FFFFFF"/>
            <w:vAlign w:val="center"/>
            <w:hideMark/>
          </w:tcPr>
          <w:p w14:paraId="67EBBFA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5A2512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0.80</w:t>
            </w:r>
          </w:p>
        </w:tc>
        <w:tc>
          <w:tcPr>
            <w:tcW w:w="811" w:type="dxa"/>
            <w:tcBorders>
              <w:top w:val="nil"/>
              <w:left w:val="nil"/>
              <w:bottom w:val="nil"/>
              <w:right w:val="single" w:sz="4" w:space="0" w:color="auto"/>
            </w:tcBorders>
            <w:shd w:val="clear" w:color="000000" w:fill="FFFFFF"/>
            <w:vAlign w:val="center"/>
            <w:hideMark/>
          </w:tcPr>
          <w:p w14:paraId="5B367F3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0BFAE76"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31EE2C5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(years)</w:t>
            </w:r>
          </w:p>
        </w:tc>
        <w:tc>
          <w:tcPr>
            <w:tcW w:w="922" w:type="dxa"/>
            <w:tcBorders>
              <w:top w:val="nil"/>
              <w:left w:val="nil"/>
              <w:bottom w:val="nil"/>
              <w:right w:val="single" w:sz="4" w:space="0" w:color="auto"/>
            </w:tcBorders>
            <w:shd w:val="clear" w:color="000000" w:fill="FFFFFF"/>
            <w:vAlign w:val="center"/>
            <w:hideMark/>
          </w:tcPr>
          <w:p w14:paraId="1928FD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492BC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1C4F69F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D9FCE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6D49F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5FB62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7F848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AF2AC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AC3B3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76FC2DE"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5494980B"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399BA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B8785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92780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B8202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5A081E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9A31F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2031D9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C9414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7DAFE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9EF6712"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7593980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Adolescent birth (&lt;18 years of age)</w:t>
            </w:r>
          </w:p>
        </w:tc>
        <w:tc>
          <w:tcPr>
            <w:tcW w:w="922" w:type="dxa"/>
            <w:tcBorders>
              <w:top w:val="nil"/>
              <w:left w:val="nil"/>
              <w:bottom w:val="nil"/>
              <w:right w:val="single" w:sz="4" w:space="0" w:color="auto"/>
            </w:tcBorders>
            <w:shd w:val="clear" w:color="000000" w:fill="FFFFFF"/>
            <w:vAlign w:val="center"/>
            <w:hideMark/>
          </w:tcPr>
          <w:p w14:paraId="3A3C85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5.52</w:t>
            </w:r>
          </w:p>
        </w:tc>
        <w:tc>
          <w:tcPr>
            <w:tcW w:w="922" w:type="dxa"/>
            <w:tcBorders>
              <w:top w:val="nil"/>
              <w:left w:val="nil"/>
              <w:bottom w:val="nil"/>
              <w:right w:val="nil"/>
            </w:tcBorders>
            <w:shd w:val="clear" w:color="000000" w:fill="FFFFFF"/>
            <w:vAlign w:val="center"/>
            <w:hideMark/>
          </w:tcPr>
          <w:p w14:paraId="3EE814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6.11</w:t>
            </w:r>
          </w:p>
        </w:tc>
        <w:tc>
          <w:tcPr>
            <w:tcW w:w="1009" w:type="dxa"/>
            <w:tcBorders>
              <w:top w:val="nil"/>
              <w:left w:val="single" w:sz="4" w:space="0" w:color="auto"/>
              <w:bottom w:val="nil"/>
              <w:right w:val="single" w:sz="4" w:space="0" w:color="auto"/>
            </w:tcBorders>
            <w:shd w:val="clear" w:color="000000" w:fill="FFFFFF"/>
            <w:vAlign w:val="center"/>
            <w:hideMark/>
          </w:tcPr>
          <w:p w14:paraId="686DFC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5.20</w:t>
            </w:r>
          </w:p>
        </w:tc>
        <w:tc>
          <w:tcPr>
            <w:tcW w:w="888" w:type="dxa"/>
            <w:tcBorders>
              <w:top w:val="nil"/>
              <w:left w:val="nil"/>
              <w:bottom w:val="nil"/>
              <w:right w:val="single" w:sz="4" w:space="0" w:color="auto"/>
            </w:tcBorders>
            <w:shd w:val="clear" w:color="000000" w:fill="FFFFFF"/>
            <w:vAlign w:val="center"/>
            <w:hideMark/>
          </w:tcPr>
          <w:p w14:paraId="5E890B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0.59</w:t>
            </w:r>
          </w:p>
        </w:tc>
        <w:tc>
          <w:tcPr>
            <w:tcW w:w="811" w:type="dxa"/>
            <w:tcBorders>
              <w:top w:val="nil"/>
              <w:left w:val="nil"/>
              <w:bottom w:val="nil"/>
              <w:right w:val="single" w:sz="4" w:space="0" w:color="auto"/>
            </w:tcBorders>
            <w:shd w:val="clear" w:color="000000" w:fill="FFFFFF"/>
            <w:vAlign w:val="center"/>
            <w:hideMark/>
          </w:tcPr>
          <w:p w14:paraId="4A8C5B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0.212</w:t>
            </w:r>
          </w:p>
        </w:tc>
        <w:tc>
          <w:tcPr>
            <w:tcW w:w="888" w:type="dxa"/>
            <w:tcBorders>
              <w:top w:val="nil"/>
              <w:left w:val="nil"/>
              <w:bottom w:val="nil"/>
              <w:right w:val="single" w:sz="4" w:space="0" w:color="auto"/>
            </w:tcBorders>
            <w:shd w:val="clear" w:color="000000" w:fill="FFFFFF"/>
            <w:vAlign w:val="center"/>
            <w:hideMark/>
          </w:tcPr>
          <w:p w14:paraId="0596FB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-0.92</w:t>
            </w:r>
          </w:p>
        </w:tc>
        <w:tc>
          <w:tcPr>
            <w:tcW w:w="811" w:type="dxa"/>
            <w:tcBorders>
              <w:top w:val="nil"/>
              <w:left w:val="nil"/>
              <w:bottom w:val="nil"/>
              <w:right w:val="single" w:sz="4" w:space="0" w:color="auto"/>
            </w:tcBorders>
            <w:shd w:val="clear" w:color="000000" w:fill="FFFFFF"/>
            <w:vAlign w:val="center"/>
            <w:hideMark/>
          </w:tcPr>
          <w:p w14:paraId="0C3C352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0.040</w:t>
            </w:r>
          </w:p>
        </w:tc>
        <w:tc>
          <w:tcPr>
            <w:tcW w:w="888" w:type="dxa"/>
            <w:tcBorders>
              <w:top w:val="nil"/>
              <w:left w:val="nil"/>
              <w:bottom w:val="nil"/>
              <w:right w:val="single" w:sz="4" w:space="0" w:color="auto"/>
            </w:tcBorders>
            <w:shd w:val="clear" w:color="000000" w:fill="FFFFFF"/>
            <w:vAlign w:val="center"/>
            <w:hideMark/>
          </w:tcPr>
          <w:p w14:paraId="7CCEC0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-0.33</w:t>
            </w:r>
          </w:p>
        </w:tc>
        <w:tc>
          <w:tcPr>
            <w:tcW w:w="811" w:type="dxa"/>
            <w:tcBorders>
              <w:top w:val="nil"/>
              <w:left w:val="nil"/>
              <w:bottom w:val="nil"/>
              <w:right w:val="single" w:sz="4" w:space="0" w:color="auto"/>
            </w:tcBorders>
            <w:shd w:val="clear" w:color="000000" w:fill="FFFFFF"/>
            <w:vAlign w:val="center"/>
            <w:hideMark/>
          </w:tcPr>
          <w:p w14:paraId="22B236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0.343</w:t>
            </w:r>
          </w:p>
        </w:tc>
      </w:tr>
      <w:tr w:rsidR="00D5600B" w:rsidRPr="003D7162" w14:paraId="2EF67B17"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6051EC8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922" w:type="dxa"/>
            <w:tcBorders>
              <w:top w:val="nil"/>
              <w:left w:val="nil"/>
              <w:bottom w:val="nil"/>
              <w:right w:val="single" w:sz="4" w:space="0" w:color="auto"/>
            </w:tcBorders>
            <w:shd w:val="clear" w:color="000000" w:fill="FFFFFF"/>
            <w:vAlign w:val="center"/>
            <w:hideMark/>
          </w:tcPr>
          <w:p w14:paraId="41EB48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A4F6AE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3C46B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14D4F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DEE30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5BD943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4EBC5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40FBE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B1E92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38D0214"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40DCECA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66FD7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BBB725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11E6C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72E2A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12CF0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40CE25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D5502C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1590C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054780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7B0842B"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3957DD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Older mother birth (≥35 years)</w:t>
            </w:r>
          </w:p>
        </w:tc>
        <w:tc>
          <w:tcPr>
            <w:tcW w:w="922" w:type="dxa"/>
            <w:tcBorders>
              <w:top w:val="nil"/>
              <w:left w:val="nil"/>
              <w:bottom w:val="nil"/>
              <w:right w:val="single" w:sz="4" w:space="0" w:color="auto"/>
            </w:tcBorders>
            <w:shd w:val="clear" w:color="000000" w:fill="FFFFFF"/>
            <w:vAlign w:val="center"/>
            <w:hideMark/>
          </w:tcPr>
          <w:p w14:paraId="5908E9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16.34</w:t>
            </w:r>
          </w:p>
        </w:tc>
        <w:tc>
          <w:tcPr>
            <w:tcW w:w="922" w:type="dxa"/>
            <w:tcBorders>
              <w:top w:val="nil"/>
              <w:left w:val="nil"/>
              <w:bottom w:val="nil"/>
              <w:right w:val="nil"/>
            </w:tcBorders>
            <w:shd w:val="clear" w:color="000000" w:fill="FFFFFF"/>
            <w:vAlign w:val="center"/>
            <w:hideMark/>
          </w:tcPr>
          <w:p w14:paraId="45E7832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17.44</w:t>
            </w:r>
          </w:p>
        </w:tc>
        <w:tc>
          <w:tcPr>
            <w:tcW w:w="1009" w:type="dxa"/>
            <w:tcBorders>
              <w:top w:val="nil"/>
              <w:left w:val="single" w:sz="4" w:space="0" w:color="auto"/>
              <w:bottom w:val="nil"/>
              <w:right w:val="single" w:sz="4" w:space="0" w:color="auto"/>
            </w:tcBorders>
            <w:shd w:val="clear" w:color="000000" w:fill="FFFFFF"/>
            <w:vAlign w:val="center"/>
            <w:hideMark/>
          </w:tcPr>
          <w:p w14:paraId="5D9E39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19.00</w:t>
            </w:r>
          </w:p>
        </w:tc>
        <w:tc>
          <w:tcPr>
            <w:tcW w:w="888" w:type="dxa"/>
            <w:tcBorders>
              <w:top w:val="nil"/>
              <w:left w:val="nil"/>
              <w:bottom w:val="nil"/>
              <w:right w:val="single" w:sz="4" w:space="0" w:color="auto"/>
            </w:tcBorders>
            <w:shd w:val="clear" w:color="000000" w:fill="FFFFFF"/>
            <w:vAlign w:val="center"/>
            <w:hideMark/>
          </w:tcPr>
          <w:p w14:paraId="1A1257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1.10</w:t>
            </w:r>
          </w:p>
        </w:tc>
        <w:tc>
          <w:tcPr>
            <w:tcW w:w="811" w:type="dxa"/>
            <w:tcBorders>
              <w:top w:val="nil"/>
              <w:left w:val="nil"/>
              <w:bottom w:val="nil"/>
              <w:right w:val="single" w:sz="4" w:space="0" w:color="auto"/>
            </w:tcBorders>
            <w:shd w:val="clear" w:color="000000" w:fill="FFFFFF"/>
            <w:vAlign w:val="center"/>
            <w:hideMark/>
          </w:tcPr>
          <w:p w14:paraId="4CC4BF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0.171</w:t>
            </w:r>
          </w:p>
        </w:tc>
        <w:tc>
          <w:tcPr>
            <w:tcW w:w="888" w:type="dxa"/>
            <w:tcBorders>
              <w:top w:val="nil"/>
              <w:left w:val="nil"/>
              <w:bottom w:val="nil"/>
              <w:right w:val="single" w:sz="4" w:space="0" w:color="auto"/>
            </w:tcBorders>
            <w:shd w:val="clear" w:color="000000" w:fill="FFFFFF"/>
            <w:vAlign w:val="center"/>
            <w:hideMark/>
          </w:tcPr>
          <w:p w14:paraId="32F62A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1.60</w:t>
            </w:r>
          </w:p>
        </w:tc>
        <w:tc>
          <w:tcPr>
            <w:tcW w:w="811" w:type="dxa"/>
            <w:tcBorders>
              <w:top w:val="nil"/>
              <w:left w:val="nil"/>
              <w:bottom w:val="nil"/>
              <w:right w:val="single" w:sz="4" w:space="0" w:color="auto"/>
            </w:tcBorders>
            <w:shd w:val="clear" w:color="000000" w:fill="FFFFFF"/>
            <w:vAlign w:val="center"/>
            <w:hideMark/>
          </w:tcPr>
          <w:p w14:paraId="28B6BD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0.032</w:t>
            </w:r>
          </w:p>
        </w:tc>
        <w:tc>
          <w:tcPr>
            <w:tcW w:w="888" w:type="dxa"/>
            <w:tcBorders>
              <w:top w:val="nil"/>
              <w:left w:val="nil"/>
              <w:bottom w:val="nil"/>
              <w:right w:val="single" w:sz="4" w:space="0" w:color="auto"/>
            </w:tcBorders>
            <w:shd w:val="clear" w:color="000000" w:fill="FFFFFF"/>
            <w:vAlign w:val="center"/>
            <w:hideMark/>
          </w:tcPr>
          <w:p w14:paraId="058F21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2.69</w:t>
            </w:r>
          </w:p>
        </w:tc>
        <w:tc>
          <w:tcPr>
            <w:tcW w:w="811" w:type="dxa"/>
            <w:tcBorders>
              <w:top w:val="nil"/>
              <w:left w:val="nil"/>
              <w:bottom w:val="nil"/>
              <w:right w:val="single" w:sz="4" w:space="0" w:color="auto"/>
            </w:tcBorders>
            <w:shd w:val="clear" w:color="000000" w:fill="FFFFFF"/>
            <w:vAlign w:val="center"/>
            <w:hideMark/>
          </w:tcPr>
          <w:p w14:paraId="5F1159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1212AC38"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09CB312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922" w:type="dxa"/>
            <w:tcBorders>
              <w:top w:val="nil"/>
              <w:left w:val="nil"/>
              <w:bottom w:val="nil"/>
              <w:right w:val="single" w:sz="4" w:space="0" w:color="auto"/>
            </w:tcBorders>
            <w:shd w:val="clear" w:color="000000" w:fill="FFFFFF"/>
            <w:vAlign w:val="center"/>
            <w:hideMark/>
          </w:tcPr>
          <w:p w14:paraId="53295C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4C47D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10BD2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D8AE8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50B51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E5527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3CC17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7C0A1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40515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E9457FD"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165A2B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320B73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921F7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71066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B494F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67A59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EB54D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C78CA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0F34D6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0EDD1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A5FA230"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5C00695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Anemia during pregnancy</w:t>
            </w:r>
          </w:p>
        </w:tc>
        <w:tc>
          <w:tcPr>
            <w:tcW w:w="922" w:type="dxa"/>
            <w:tcBorders>
              <w:top w:val="nil"/>
              <w:left w:val="nil"/>
              <w:bottom w:val="nil"/>
              <w:right w:val="single" w:sz="4" w:space="0" w:color="auto"/>
            </w:tcBorders>
            <w:shd w:val="clear" w:color="000000" w:fill="FFFFFF"/>
            <w:vAlign w:val="center"/>
            <w:hideMark/>
          </w:tcPr>
          <w:p w14:paraId="16D516A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35.07</w:t>
            </w:r>
          </w:p>
        </w:tc>
        <w:tc>
          <w:tcPr>
            <w:tcW w:w="922" w:type="dxa"/>
            <w:tcBorders>
              <w:top w:val="nil"/>
              <w:left w:val="nil"/>
              <w:bottom w:val="nil"/>
              <w:right w:val="nil"/>
            </w:tcBorders>
            <w:shd w:val="clear" w:color="000000" w:fill="FFFFFF"/>
            <w:vAlign w:val="center"/>
            <w:hideMark/>
          </w:tcPr>
          <w:p w14:paraId="07D2D06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26.55</w:t>
            </w:r>
          </w:p>
        </w:tc>
        <w:tc>
          <w:tcPr>
            <w:tcW w:w="1009" w:type="dxa"/>
            <w:tcBorders>
              <w:top w:val="nil"/>
              <w:left w:val="single" w:sz="4" w:space="0" w:color="auto"/>
              <w:bottom w:val="nil"/>
              <w:right w:val="single" w:sz="4" w:space="0" w:color="auto"/>
            </w:tcBorders>
            <w:shd w:val="clear" w:color="000000" w:fill="FFFFFF"/>
            <w:vAlign w:val="center"/>
            <w:hideMark/>
          </w:tcPr>
          <w:p w14:paraId="3D928B3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21.50</w:t>
            </w:r>
          </w:p>
        </w:tc>
        <w:tc>
          <w:tcPr>
            <w:tcW w:w="888" w:type="dxa"/>
            <w:tcBorders>
              <w:top w:val="nil"/>
              <w:left w:val="nil"/>
              <w:bottom w:val="nil"/>
              <w:right w:val="single" w:sz="4" w:space="0" w:color="auto"/>
            </w:tcBorders>
            <w:shd w:val="clear" w:color="000000" w:fill="FFFFFF"/>
            <w:vAlign w:val="center"/>
            <w:hideMark/>
          </w:tcPr>
          <w:p w14:paraId="39F377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-8.52</w:t>
            </w:r>
          </w:p>
        </w:tc>
        <w:tc>
          <w:tcPr>
            <w:tcW w:w="811" w:type="dxa"/>
            <w:tcBorders>
              <w:top w:val="nil"/>
              <w:left w:val="nil"/>
              <w:bottom w:val="nil"/>
              <w:right w:val="single" w:sz="4" w:space="0" w:color="auto"/>
            </w:tcBorders>
            <w:shd w:val="clear" w:color="000000" w:fill="FFFFFF"/>
            <w:vAlign w:val="center"/>
            <w:hideMark/>
          </w:tcPr>
          <w:p w14:paraId="4C3C3E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E241B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-5.02</w:t>
            </w:r>
          </w:p>
        </w:tc>
        <w:tc>
          <w:tcPr>
            <w:tcW w:w="811" w:type="dxa"/>
            <w:tcBorders>
              <w:top w:val="nil"/>
              <w:left w:val="nil"/>
              <w:bottom w:val="nil"/>
              <w:right w:val="single" w:sz="4" w:space="0" w:color="auto"/>
            </w:tcBorders>
            <w:shd w:val="clear" w:color="000000" w:fill="FFFFFF"/>
            <w:vAlign w:val="center"/>
            <w:hideMark/>
          </w:tcPr>
          <w:p w14:paraId="0A3E48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28145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-13.54</w:t>
            </w:r>
          </w:p>
        </w:tc>
        <w:tc>
          <w:tcPr>
            <w:tcW w:w="811" w:type="dxa"/>
            <w:tcBorders>
              <w:top w:val="nil"/>
              <w:left w:val="nil"/>
              <w:bottom w:val="nil"/>
              <w:right w:val="single" w:sz="4" w:space="0" w:color="auto"/>
            </w:tcBorders>
            <w:shd w:val="clear" w:color="000000" w:fill="FFFFFF"/>
            <w:vAlign w:val="center"/>
            <w:hideMark/>
          </w:tcPr>
          <w:p w14:paraId="04638E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74E44615"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1DE00C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922" w:type="dxa"/>
            <w:tcBorders>
              <w:top w:val="nil"/>
              <w:left w:val="nil"/>
              <w:bottom w:val="nil"/>
              <w:right w:val="single" w:sz="4" w:space="0" w:color="auto"/>
            </w:tcBorders>
            <w:shd w:val="clear" w:color="000000" w:fill="FFFFFF"/>
            <w:vAlign w:val="center"/>
            <w:hideMark/>
          </w:tcPr>
          <w:p w14:paraId="7CD097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9438A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F1AFC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94F2F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DD3C8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0CFBB1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C48FB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6D42D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4E3DE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A6FE11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4617C8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5AF32C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DF63C3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A6FF7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47978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31945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B8BEF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26B38B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66B0A6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37B40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10D2602"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11AF2F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Body mass index (kg/m</w:t>
            </w:r>
            <w:r w:rsidRPr="003D7162">
              <w:rPr>
                <w:rFonts w:ascii="Helvetica" w:eastAsia="Times New Roman" w:hAnsi="Helvetica" w:cs="Helvetica"/>
                <w:color w:val="000000"/>
                <w:sz w:val="20"/>
                <w:szCs w:val="20"/>
                <w:vertAlign w:val="superscript"/>
                <w:lang w:eastAsia="en-US"/>
              </w:rPr>
              <w:t>2</w:t>
            </w:r>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31E6DB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25.48</w:t>
            </w:r>
          </w:p>
        </w:tc>
        <w:tc>
          <w:tcPr>
            <w:tcW w:w="922" w:type="dxa"/>
            <w:tcBorders>
              <w:top w:val="nil"/>
              <w:left w:val="nil"/>
              <w:bottom w:val="nil"/>
              <w:right w:val="nil"/>
            </w:tcBorders>
            <w:shd w:val="clear" w:color="000000" w:fill="FFFFFF"/>
            <w:vAlign w:val="center"/>
            <w:hideMark/>
          </w:tcPr>
          <w:p w14:paraId="0075D5A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25.57</w:t>
            </w:r>
          </w:p>
        </w:tc>
        <w:tc>
          <w:tcPr>
            <w:tcW w:w="1009" w:type="dxa"/>
            <w:tcBorders>
              <w:top w:val="nil"/>
              <w:left w:val="single" w:sz="4" w:space="0" w:color="auto"/>
              <w:bottom w:val="nil"/>
              <w:right w:val="single" w:sz="4" w:space="0" w:color="auto"/>
            </w:tcBorders>
            <w:shd w:val="clear" w:color="000000" w:fill="FFFFFF"/>
            <w:vAlign w:val="center"/>
            <w:hideMark/>
          </w:tcPr>
          <w:p w14:paraId="43934D3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26.98</w:t>
            </w:r>
          </w:p>
        </w:tc>
        <w:tc>
          <w:tcPr>
            <w:tcW w:w="888" w:type="dxa"/>
            <w:tcBorders>
              <w:top w:val="nil"/>
              <w:left w:val="nil"/>
              <w:bottom w:val="nil"/>
              <w:right w:val="single" w:sz="4" w:space="0" w:color="auto"/>
            </w:tcBorders>
            <w:shd w:val="clear" w:color="000000" w:fill="FFFFFF"/>
            <w:vAlign w:val="center"/>
            <w:hideMark/>
          </w:tcPr>
          <w:p w14:paraId="05067B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w:t>
            </w:r>
          </w:p>
        </w:tc>
        <w:tc>
          <w:tcPr>
            <w:tcW w:w="811" w:type="dxa"/>
            <w:tcBorders>
              <w:top w:val="nil"/>
              <w:left w:val="nil"/>
              <w:bottom w:val="nil"/>
              <w:right w:val="single" w:sz="4" w:space="0" w:color="auto"/>
            </w:tcBorders>
            <w:shd w:val="clear" w:color="000000" w:fill="FFFFFF"/>
            <w:vAlign w:val="center"/>
            <w:hideMark/>
          </w:tcPr>
          <w:p w14:paraId="64C8EC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0.336</w:t>
            </w:r>
          </w:p>
        </w:tc>
        <w:tc>
          <w:tcPr>
            <w:tcW w:w="888" w:type="dxa"/>
            <w:tcBorders>
              <w:top w:val="nil"/>
              <w:left w:val="nil"/>
              <w:bottom w:val="nil"/>
              <w:right w:val="single" w:sz="4" w:space="0" w:color="auto"/>
            </w:tcBorders>
            <w:shd w:val="clear" w:color="000000" w:fill="FFFFFF"/>
            <w:vAlign w:val="center"/>
            <w:hideMark/>
          </w:tcPr>
          <w:p w14:paraId="0B2F43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1.41</w:t>
            </w:r>
          </w:p>
        </w:tc>
        <w:tc>
          <w:tcPr>
            <w:tcW w:w="811" w:type="dxa"/>
            <w:tcBorders>
              <w:top w:val="nil"/>
              <w:left w:val="nil"/>
              <w:bottom w:val="nil"/>
              <w:right w:val="single" w:sz="4" w:space="0" w:color="auto"/>
            </w:tcBorders>
            <w:shd w:val="clear" w:color="000000" w:fill="FFFFFF"/>
            <w:vAlign w:val="center"/>
            <w:hideMark/>
          </w:tcPr>
          <w:p w14:paraId="2F4A4A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5019D21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1.51</w:t>
            </w:r>
          </w:p>
        </w:tc>
        <w:tc>
          <w:tcPr>
            <w:tcW w:w="811" w:type="dxa"/>
            <w:tcBorders>
              <w:top w:val="nil"/>
              <w:left w:val="nil"/>
              <w:bottom w:val="nil"/>
              <w:right w:val="single" w:sz="4" w:space="0" w:color="auto"/>
            </w:tcBorders>
            <w:shd w:val="clear" w:color="000000" w:fill="FFFFFF"/>
            <w:vAlign w:val="center"/>
            <w:hideMark/>
          </w:tcPr>
          <w:p w14:paraId="099DAD4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61F13BC2"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7077CA7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922" w:type="dxa"/>
            <w:tcBorders>
              <w:top w:val="nil"/>
              <w:left w:val="nil"/>
              <w:bottom w:val="nil"/>
              <w:right w:val="single" w:sz="4" w:space="0" w:color="auto"/>
            </w:tcBorders>
            <w:shd w:val="clear" w:color="000000" w:fill="FFFFFF"/>
            <w:vAlign w:val="center"/>
            <w:hideMark/>
          </w:tcPr>
          <w:p w14:paraId="3E9EB90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A2D34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634BE48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18C35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AFB390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2C872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EE05C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056DC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F61B1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68833A3B"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E8E5E9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36D07E6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78E3FC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732D4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41C4A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C75DB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0604C7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96288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42A38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2C707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213BCC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D5DE5D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Height (cm)</w:t>
            </w:r>
          </w:p>
        </w:tc>
        <w:tc>
          <w:tcPr>
            <w:tcW w:w="922" w:type="dxa"/>
            <w:tcBorders>
              <w:top w:val="nil"/>
              <w:left w:val="nil"/>
              <w:bottom w:val="nil"/>
              <w:right w:val="single" w:sz="4" w:space="0" w:color="auto"/>
            </w:tcBorders>
            <w:shd w:val="clear" w:color="000000" w:fill="FFFFFF"/>
            <w:vAlign w:val="center"/>
            <w:hideMark/>
          </w:tcPr>
          <w:p w14:paraId="66464A7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150.47</w:t>
            </w:r>
          </w:p>
        </w:tc>
        <w:tc>
          <w:tcPr>
            <w:tcW w:w="922" w:type="dxa"/>
            <w:tcBorders>
              <w:top w:val="nil"/>
              <w:left w:val="nil"/>
              <w:bottom w:val="nil"/>
              <w:right w:val="nil"/>
            </w:tcBorders>
            <w:shd w:val="clear" w:color="000000" w:fill="FFFFFF"/>
            <w:vAlign w:val="center"/>
            <w:hideMark/>
          </w:tcPr>
          <w:p w14:paraId="31A43C6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151.18</w:t>
            </w:r>
          </w:p>
        </w:tc>
        <w:tc>
          <w:tcPr>
            <w:tcW w:w="1009" w:type="dxa"/>
            <w:tcBorders>
              <w:top w:val="nil"/>
              <w:left w:val="single" w:sz="4" w:space="0" w:color="auto"/>
              <w:bottom w:val="nil"/>
              <w:right w:val="single" w:sz="4" w:space="0" w:color="auto"/>
            </w:tcBorders>
            <w:shd w:val="clear" w:color="000000" w:fill="FFFFFF"/>
            <w:vAlign w:val="center"/>
            <w:hideMark/>
          </w:tcPr>
          <w:p w14:paraId="04AF297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152.26</w:t>
            </w:r>
          </w:p>
        </w:tc>
        <w:tc>
          <w:tcPr>
            <w:tcW w:w="888" w:type="dxa"/>
            <w:tcBorders>
              <w:top w:val="nil"/>
              <w:left w:val="nil"/>
              <w:bottom w:val="nil"/>
              <w:right w:val="single" w:sz="4" w:space="0" w:color="auto"/>
            </w:tcBorders>
            <w:shd w:val="clear" w:color="000000" w:fill="FFFFFF"/>
            <w:vAlign w:val="center"/>
            <w:hideMark/>
          </w:tcPr>
          <w:p w14:paraId="4ED5B9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0.72</w:t>
            </w:r>
          </w:p>
        </w:tc>
        <w:tc>
          <w:tcPr>
            <w:tcW w:w="811" w:type="dxa"/>
            <w:tcBorders>
              <w:top w:val="nil"/>
              <w:left w:val="nil"/>
              <w:bottom w:val="nil"/>
              <w:right w:val="single" w:sz="4" w:space="0" w:color="auto"/>
            </w:tcBorders>
            <w:shd w:val="clear" w:color="000000" w:fill="FFFFFF"/>
            <w:vAlign w:val="center"/>
            <w:hideMark/>
          </w:tcPr>
          <w:p w14:paraId="784BA0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86001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1.08</w:t>
            </w:r>
          </w:p>
        </w:tc>
        <w:tc>
          <w:tcPr>
            <w:tcW w:w="811" w:type="dxa"/>
            <w:tcBorders>
              <w:top w:val="nil"/>
              <w:left w:val="nil"/>
              <w:bottom w:val="nil"/>
              <w:right w:val="single" w:sz="4" w:space="0" w:color="auto"/>
            </w:tcBorders>
            <w:shd w:val="clear" w:color="000000" w:fill="FFFFFF"/>
            <w:vAlign w:val="center"/>
            <w:hideMark/>
          </w:tcPr>
          <w:p w14:paraId="661E31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F6B33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1.79</w:t>
            </w:r>
          </w:p>
        </w:tc>
        <w:tc>
          <w:tcPr>
            <w:tcW w:w="811" w:type="dxa"/>
            <w:tcBorders>
              <w:top w:val="nil"/>
              <w:left w:val="nil"/>
              <w:bottom w:val="nil"/>
              <w:right w:val="single" w:sz="4" w:space="0" w:color="auto"/>
            </w:tcBorders>
            <w:shd w:val="clear" w:color="000000" w:fill="FFFFFF"/>
            <w:vAlign w:val="center"/>
            <w:hideMark/>
          </w:tcPr>
          <w:p w14:paraId="3EB648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20526191"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7A3E3C7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922" w:type="dxa"/>
            <w:tcBorders>
              <w:top w:val="nil"/>
              <w:left w:val="nil"/>
              <w:bottom w:val="nil"/>
              <w:right w:val="single" w:sz="4" w:space="0" w:color="auto"/>
            </w:tcBorders>
            <w:shd w:val="clear" w:color="000000" w:fill="FFFFFF"/>
            <w:vAlign w:val="center"/>
            <w:hideMark/>
          </w:tcPr>
          <w:p w14:paraId="40A28C2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36E795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6D6AA6F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F938B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A4B26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01C6A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D317D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E95E6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7C088F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ED8DC19"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1375AD4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2484453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01604E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66ADD1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53948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1AD68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4A03F9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2B473E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FCE21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1D6F7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DC633DD"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080703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Parity (No. children)</w:t>
            </w:r>
          </w:p>
        </w:tc>
        <w:tc>
          <w:tcPr>
            <w:tcW w:w="922" w:type="dxa"/>
            <w:tcBorders>
              <w:top w:val="nil"/>
              <w:left w:val="nil"/>
              <w:bottom w:val="nil"/>
              <w:right w:val="single" w:sz="4" w:space="0" w:color="auto"/>
            </w:tcBorders>
            <w:shd w:val="clear" w:color="000000" w:fill="FFFFFF"/>
            <w:vAlign w:val="center"/>
            <w:hideMark/>
          </w:tcPr>
          <w:p w14:paraId="5A5EC7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3.04</w:t>
            </w:r>
          </w:p>
        </w:tc>
        <w:tc>
          <w:tcPr>
            <w:tcW w:w="922" w:type="dxa"/>
            <w:tcBorders>
              <w:top w:val="nil"/>
              <w:left w:val="nil"/>
              <w:bottom w:val="nil"/>
              <w:right w:val="nil"/>
            </w:tcBorders>
            <w:shd w:val="clear" w:color="000000" w:fill="FFFFFF"/>
            <w:vAlign w:val="center"/>
            <w:hideMark/>
          </w:tcPr>
          <w:p w14:paraId="0108FC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2.73</w:t>
            </w:r>
          </w:p>
        </w:tc>
        <w:tc>
          <w:tcPr>
            <w:tcW w:w="1009" w:type="dxa"/>
            <w:tcBorders>
              <w:top w:val="nil"/>
              <w:left w:val="single" w:sz="4" w:space="0" w:color="auto"/>
              <w:bottom w:val="nil"/>
              <w:right w:val="single" w:sz="4" w:space="0" w:color="auto"/>
            </w:tcBorders>
            <w:shd w:val="clear" w:color="000000" w:fill="FFFFFF"/>
            <w:vAlign w:val="center"/>
            <w:hideMark/>
          </w:tcPr>
          <w:p w14:paraId="50C5C7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2.39</w:t>
            </w:r>
          </w:p>
        </w:tc>
        <w:tc>
          <w:tcPr>
            <w:tcW w:w="888" w:type="dxa"/>
            <w:tcBorders>
              <w:top w:val="nil"/>
              <w:left w:val="nil"/>
              <w:bottom w:val="nil"/>
              <w:right w:val="single" w:sz="4" w:space="0" w:color="auto"/>
            </w:tcBorders>
            <w:shd w:val="clear" w:color="000000" w:fill="FFFFFF"/>
            <w:vAlign w:val="center"/>
            <w:hideMark/>
          </w:tcPr>
          <w:p w14:paraId="4E8B61B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-0.31</w:t>
            </w:r>
          </w:p>
        </w:tc>
        <w:tc>
          <w:tcPr>
            <w:tcW w:w="811" w:type="dxa"/>
            <w:tcBorders>
              <w:top w:val="nil"/>
              <w:left w:val="nil"/>
              <w:bottom w:val="nil"/>
              <w:right w:val="single" w:sz="4" w:space="0" w:color="auto"/>
            </w:tcBorders>
            <w:shd w:val="clear" w:color="000000" w:fill="FFFFFF"/>
            <w:vAlign w:val="center"/>
            <w:hideMark/>
          </w:tcPr>
          <w:p w14:paraId="543186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AF053E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-0.34</w:t>
            </w:r>
          </w:p>
        </w:tc>
        <w:tc>
          <w:tcPr>
            <w:tcW w:w="811" w:type="dxa"/>
            <w:tcBorders>
              <w:top w:val="nil"/>
              <w:left w:val="nil"/>
              <w:bottom w:val="nil"/>
              <w:right w:val="single" w:sz="4" w:space="0" w:color="auto"/>
            </w:tcBorders>
            <w:shd w:val="clear" w:color="000000" w:fill="FFFFFF"/>
            <w:vAlign w:val="center"/>
            <w:hideMark/>
          </w:tcPr>
          <w:p w14:paraId="40CF7A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2A3A8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-0.65</w:t>
            </w:r>
          </w:p>
        </w:tc>
        <w:tc>
          <w:tcPr>
            <w:tcW w:w="811" w:type="dxa"/>
            <w:tcBorders>
              <w:top w:val="nil"/>
              <w:left w:val="nil"/>
              <w:bottom w:val="nil"/>
              <w:right w:val="single" w:sz="4" w:space="0" w:color="auto"/>
            </w:tcBorders>
            <w:shd w:val="clear" w:color="000000" w:fill="FFFFFF"/>
            <w:vAlign w:val="center"/>
            <w:hideMark/>
          </w:tcPr>
          <w:p w14:paraId="0B7E77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5956226C"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7C0509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922" w:type="dxa"/>
            <w:tcBorders>
              <w:top w:val="nil"/>
              <w:left w:val="nil"/>
              <w:bottom w:val="nil"/>
              <w:right w:val="single" w:sz="4" w:space="0" w:color="auto"/>
            </w:tcBorders>
            <w:shd w:val="clear" w:color="000000" w:fill="FFFFFF"/>
            <w:vAlign w:val="center"/>
            <w:hideMark/>
          </w:tcPr>
          <w:p w14:paraId="77E0B09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1E41EE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78229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77787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F9CEF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2A5CA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D5FFE3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6A875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7AAAA5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2BCA7C5"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5873805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2108F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04B190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C0C82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6EDC77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B0AD2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927A1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06B47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EB216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10F4A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7D0DA28"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A7D251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Interpregnancy interval (months)</w:t>
            </w:r>
          </w:p>
        </w:tc>
        <w:tc>
          <w:tcPr>
            <w:tcW w:w="922" w:type="dxa"/>
            <w:tcBorders>
              <w:top w:val="nil"/>
              <w:left w:val="nil"/>
              <w:bottom w:val="nil"/>
              <w:right w:val="single" w:sz="4" w:space="0" w:color="auto"/>
            </w:tcBorders>
            <w:shd w:val="clear" w:color="000000" w:fill="FFFFFF"/>
            <w:vAlign w:val="center"/>
            <w:hideMark/>
          </w:tcPr>
          <w:p w14:paraId="3E045B7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50.18</w:t>
            </w:r>
          </w:p>
        </w:tc>
        <w:tc>
          <w:tcPr>
            <w:tcW w:w="922" w:type="dxa"/>
            <w:tcBorders>
              <w:top w:val="nil"/>
              <w:left w:val="nil"/>
              <w:bottom w:val="nil"/>
              <w:right w:val="nil"/>
            </w:tcBorders>
            <w:shd w:val="clear" w:color="000000" w:fill="FFFFFF"/>
            <w:vAlign w:val="center"/>
            <w:hideMark/>
          </w:tcPr>
          <w:p w14:paraId="4836A17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58.49</w:t>
            </w:r>
          </w:p>
        </w:tc>
        <w:tc>
          <w:tcPr>
            <w:tcW w:w="1009" w:type="dxa"/>
            <w:tcBorders>
              <w:top w:val="nil"/>
              <w:left w:val="single" w:sz="4" w:space="0" w:color="auto"/>
              <w:bottom w:val="nil"/>
              <w:right w:val="single" w:sz="4" w:space="0" w:color="auto"/>
            </w:tcBorders>
            <w:shd w:val="clear" w:color="000000" w:fill="FFFFFF"/>
            <w:vAlign w:val="center"/>
            <w:hideMark/>
          </w:tcPr>
          <w:p w14:paraId="72DDA1B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67.99</w:t>
            </w:r>
          </w:p>
        </w:tc>
        <w:tc>
          <w:tcPr>
            <w:tcW w:w="888" w:type="dxa"/>
            <w:tcBorders>
              <w:top w:val="nil"/>
              <w:left w:val="nil"/>
              <w:bottom w:val="nil"/>
              <w:right w:val="single" w:sz="4" w:space="0" w:color="auto"/>
            </w:tcBorders>
            <w:shd w:val="clear" w:color="000000" w:fill="FFFFFF"/>
            <w:vAlign w:val="center"/>
            <w:hideMark/>
          </w:tcPr>
          <w:p w14:paraId="3B9175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8.31</w:t>
            </w:r>
          </w:p>
        </w:tc>
        <w:tc>
          <w:tcPr>
            <w:tcW w:w="811" w:type="dxa"/>
            <w:tcBorders>
              <w:top w:val="nil"/>
              <w:left w:val="nil"/>
              <w:bottom w:val="nil"/>
              <w:right w:val="single" w:sz="4" w:space="0" w:color="auto"/>
            </w:tcBorders>
            <w:shd w:val="clear" w:color="000000" w:fill="FFFFFF"/>
            <w:vAlign w:val="center"/>
            <w:hideMark/>
          </w:tcPr>
          <w:p w14:paraId="5648D9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3C706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9.50</w:t>
            </w:r>
          </w:p>
        </w:tc>
        <w:tc>
          <w:tcPr>
            <w:tcW w:w="811" w:type="dxa"/>
            <w:tcBorders>
              <w:top w:val="nil"/>
              <w:left w:val="nil"/>
              <w:bottom w:val="nil"/>
              <w:right w:val="single" w:sz="4" w:space="0" w:color="auto"/>
            </w:tcBorders>
            <w:shd w:val="clear" w:color="000000" w:fill="FFFFFF"/>
            <w:vAlign w:val="center"/>
            <w:hideMark/>
          </w:tcPr>
          <w:p w14:paraId="454958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9DD4C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17.81</w:t>
            </w:r>
          </w:p>
        </w:tc>
        <w:tc>
          <w:tcPr>
            <w:tcW w:w="811" w:type="dxa"/>
            <w:tcBorders>
              <w:top w:val="nil"/>
              <w:left w:val="nil"/>
              <w:bottom w:val="nil"/>
              <w:right w:val="single" w:sz="4" w:space="0" w:color="auto"/>
            </w:tcBorders>
            <w:shd w:val="clear" w:color="000000" w:fill="FFFFFF"/>
            <w:vAlign w:val="center"/>
            <w:hideMark/>
          </w:tcPr>
          <w:p w14:paraId="29D768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0A9D5C8" w14:textId="77777777" w:rsidTr="001070CC">
        <w:trPr>
          <w:trHeight w:val="74"/>
        </w:trPr>
        <w:tc>
          <w:tcPr>
            <w:tcW w:w="1928" w:type="dxa"/>
            <w:tcBorders>
              <w:top w:val="nil"/>
              <w:left w:val="single" w:sz="4" w:space="0" w:color="auto"/>
              <w:bottom w:val="nil"/>
              <w:right w:val="single" w:sz="4" w:space="0" w:color="auto"/>
            </w:tcBorders>
            <w:shd w:val="clear" w:color="000000" w:fill="FFFFFF"/>
            <w:vAlign w:val="center"/>
            <w:hideMark/>
          </w:tcPr>
          <w:p w14:paraId="324DFA5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922" w:type="dxa"/>
            <w:tcBorders>
              <w:top w:val="nil"/>
              <w:left w:val="nil"/>
              <w:bottom w:val="nil"/>
              <w:right w:val="single" w:sz="4" w:space="0" w:color="auto"/>
            </w:tcBorders>
            <w:shd w:val="clear" w:color="000000" w:fill="FFFFFF"/>
            <w:vAlign w:val="center"/>
            <w:hideMark/>
          </w:tcPr>
          <w:p w14:paraId="74898B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BC74F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84F9C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125D6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395CE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52DEA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D9381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EEB06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95AEF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BB32DB2"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E7B1EF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545FC4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8F8688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6CCF9D8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3DAEF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120090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50749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38A6D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086C3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D07B4E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bl>
    <w:p w14:paraId="03ECFF94" w14:textId="77777777" w:rsidR="00D5600B" w:rsidRPr="003D7162" w:rsidRDefault="00D5600B" w:rsidP="000C7ADC">
      <w:pPr>
        <w:rPr>
          <w:rFonts w:ascii="Helvetica" w:hAnsi="Helvetica" w:cs="Helvetica"/>
        </w:rPr>
      </w:pPr>
    </w:p>
    <w:p w14:paraId="6FCA4F5C" w14:textId="50F9F4B7" w:rsidR="00D5600B" w:rsidRDefault="00D5600B" w:rsidP="000C7ADC">
      <w:pPr>
        <w:rPr>
          <w:rFonts w:ascii="Helvetica" w:hAnsi="Helvetica" w:cs="Helvetica"/>
        </w:rPr>
      </w:pPr>
    </w:p>
    <w:p w14:paraId="202DF749" w14:textId="0A4B1249" w:rsidR="00265001" w:rsidRDefault="00265001" w:rsidP="000C7ADC">
      <w:pPr>
        <w:rPr>
          <w:rFonts w:ascii="Helvetica" w:hAnsi="Helvetica" w:cs="Helvetica"/>
        </w:rPr>
      </w:pPr>
    </w:p>
    <w:p w14:paraId="7D09248D" w14:textId="30E7E009" w:rsidR="00265001" w:rsidRDefault="00265001" w:rsidP="000C7ADC">
      <w:pPr>
        <w:rPr>
          <w:rFonts w:ascii="Helvetica" w:hAnsi="Helvetica" w:cs="Helvetica"/>
        </w:rPr>
      </w:pPr>
    </w:p>
    <w:p w14:paraId="4A8A7463" w14:textId="55AB8803" w:rsidR="00265001" w:rsidRDefault="00265001" w:rsidP="000C7ADC">
      <w:pPr>
        <w:rPr>
          <w:rFonts w:ascii="Helvetica" w:hAnsi="Helvetica" w:cs="Helvetica"/>
        </w:rPr>
      </w:pPr>
    </w:p>
    <w:p w14:paraId="308DBF45" w14:textId="0D98F03C" w:rsidR="00265001" w:rsidRDefault="00265001" w:rsidP="000C7ADC">
      <w:pPr>
        <w:rPr>
          <w:rFonts w:ascii="Helvetica" w:hAnsi="Helvetica" w:cs="Helvetica"/>
        </w:rPr>
      </w:pPr>
    </w:p>
    <w:p w14:paraId="3F44DFED" w14:textId="1BD8AE52" w:rsidR="00265001" w:rsidRDefault="00265001" w:rsidP="000C7ADC">
      <w:pPr>
        <w:rPr>
          <w:rFonts w:ascii="Helvetica" w:hAnsi="Helvetica" w:cs="Helvetica"/>
        </w:rPr>
      </w:pPr>
    </w:p>
    <w:p w14:paraId="62A43E34" w14:textId="5E011988" w:rsidR="00265001" w:rsidRDefault="00265001" w:rsidP="000C7ADC">
      <w:pPr>
        <w:rPr>
          <w:rFonts w:ascii="Helvetica" w:hAnsi="Helvetica" w:cs="Helvetica"/>
        </w:rPr>
      </w:pPr>
    </w:p>
    <w:p w14:paraId="6B3D593C" w14:textId="78C95CE7" w:rsidR="00265001" w:rsidRDefault="00265001" w:rsidP="000C7ADC">
      <w:pPr>
        <w:rPr>
          <w:rFonts w:ascii="Helvetica" w:hAnsi="Helvetica" w:cs="Helvetica"/>
        </w:rPr>
      </w:pPr>
    </w:p>
    <w:p w14:paraId="5FFDF331" w14:textId="76A7320C" w:rsidR="00265001" w:rsidRDefault="00265001" w:rsidP="000C7ADC">
      <w:pPr>
        <w:rPr>
          <w:rFonts w:ascii="Helvetica" w:hAnsi="Helvetica" w:cs="Helvetica"/>
        </w:rPr>
      </w:pPr>
    </w:p>
    <w:p w14:paraId="0737EC4D" w14:textId="444B746A" w:rsidR="00265001" w:rsidRDefault="00265001" w:rsidP="000C7ADC">
      <w:pPr>
        <w:rPr>
          <w:rFonts w:ascii="Helvetica" w:hAnsi="Helvetica" w:cs="Helvetica"/>
        </w:rPr>
      </w:pPr>
    </w:p>
    <w:p w14:paraId="1DBDE91E" w14:textId="5963CD10" w:rsidR="00265001" w:rsidRDefault="00265001" w:rsidP="000C7ADC">
      <w:pPr>
        <w:rPr>
          <w:rFonts w:ascii="Helvetica" w:hAnsi="Helvetica" w:cs="Helvetica"/>
        </w:rPr>
      </w:pPr>
    </w:p>
    <w:p w14:paraId="64BEB487" w14:textId="1E6913B7" w:rsidR="00265001" w:rsidRDefault="00265001" w:rsidP="000C7ADC">
      <w:pPr>
        <w:rPr>
          <w:rFonts w:ascii="Helvetica" w:hAnsi="Helvetica" w:cs="Helvetica"/>
        </w:rPr>
      </w:pPr>
    </w:p>
    <w:p w14:paraId="402611BF" w14:textId="5F36E395" w:rsidR="00265001" w:rsidRDefault="00265001" w:rsidP="000C7ADC">
      <w:pPr>
        <w:rPr>
          <w:rFonts w:ascii="Helvetica" w:hAnsi="Helvetica" w:cs="Helvetica"/>
        </w:rPr>
      </w:pPr>
    </w:p>
    <w:p w14:paraId="57C5B4DA" w14:textId="49859F6E" w:rsidR="00265001" w:rsidRDefault="00265001" w:rsidP="000C7ADC">
      <w:pPr>
        <w:rPr>
          <w:rFonts w:ascii="Helvetica" w:hAnsi="Helvetica" w:cs="Helvetica"/>
        </w:rPr>
      </w:pPr>
    </w:p>
    <w:p w14:paraId="26421F65" w14:textId="680A7172" w:rsidR="00265001" w:rsidRDefault="00265001" w:rsidP="000C7ADC">
      <w:pPr>
        <w:rPr>
          <w:rFonts w:ascii="Helvetica" w:hAnsi="Helvetica" w:cs="Helvetica"/>
        </w:rPr>
      </w:pPr>
    </w:p>
    <w:p w14:paraId="73AF1188" w14:textId="6BECAA32" w:rsidR="00265001" w:rsidRDefault="00265001" w:rsidP="000C7ADC">
      <w:pPr>
        <w:rPr>
          <w:rFonts w:ascii="Helvetica" w:hAnsi="Helvetica" w:cs="Helvetica"/>
        </w:rPr>
      </w:pPr>
    </w:p>
    <w:p w14:paraId="714A2756" w14:textId="251C937A" w:rsidR="00265001" w:rsidRDefault="00265001" w:rsidP="000C7ADC">
      <w:pPr>
        <w:rPr>
          <w:rFonts w:ascii="Helvetica" w:hAnsi="Helvetica" w:cs="Helvetica"/>
        </w:rPr>
      </w:pPr>
    </w:p>
    <w:p w14:paraId="54526A4A" w14:textId="20EBDDF0" w:rsidR="00265001" w:rsidRDefault="00265001" w:rsidP="000C7ADC">
      <w:pPr>
        <w:rPr>
          <w:rFonts w:ascii="Helvetica" w:hAnsi="Helvetica" w:cs="Helvetica"/>
        </w:rPr>
      </w:pPr>
    </w:p>
    <w:p w14:paraId="13AE0C05" w14:textId="1BEF9FD2" w:rsidR="00265001" w:rsidRDefault="00265001" w:rsidP="000C7ADC">
      <w:pPr>
        <w:rPr>
          <w:rFonts w:ascii="Helvetica" w:hAnsi="Helvetica" w:cs="Helvetica"/>
        </w:rPr>
      </w:pPr>
    </w:p>
    <w:p w14:paraId="52D30D69" w14:textId="7F4D285B" w:rsidR="00265001" w:rsidRDefault="00265001" w:rsidP="000C7ADC">
      <w:pPr>
        <w:rPr>
          <w:rFonts w:ascii="Helvetica" w:hAnsi="Helvetica" w:cs="Helvetica"/>
        </w:rPr>
      </w:pPr>
    </w:p>
    <w:p w14:paraId="4E122EA2" w14:textId="6EF78508" w:rsidR="00265001" w:rsidRDefault="00265001" w:rsidP="000C7ADC">
      <w:pPr>
        <w:rPr>
          <w:rFonts w:ascii="Helvetica" w:hAnsi="Helvetica" w:cs="Helvetica"/>
        </w:rPr>
      </w:pPr>
    </w:p>
    <w:p w14:paraId="28B77101" w14:textId="6B08CC70" w:rsidR="00265001" w:rsidRDefault="00265001" w:rsidP="000C7ADC">
      <w:pPr>
        <w:rPr>
          <w:rFonts w:ascii="Helvetica" w:hAnsi="Helvetica" w:cs="Helvetica"/>
        </w:rPr>
      </w:pPr>
    </w:p>
    <w:p w14:paraId="4B97E677" w14:textId="18256850" w:rsidR="00265001" w:rsidRDefault="00265001" w:rsidP="000C7ADC">
      <w:pPr>
        <w:rPr>
          <w:rFonts w:ascii="Helvetica" w:hAnsi="Helvetica" w:cs="Helvetica"/>
        </w:rPr>
      </w:pPr>
    </w:p>
    <w:p w14:paraId="6E1F9396" w14:textId="0B545F5E" w:rsidR="00265001" w:rsidRDefault="00265001" w:rsidP="000C7ADC">
      <w:pPr>
        <w:rPr>
          <w:rFonts w:ascii="Helvetica" w:hAnsi="Helvetica" w:cs="Helvetica"/>
        </w:rPr>
      </w:pPr>
    </w:p>
    <w:p w14:paraId="3EDB5B76" w14:textId="1938C2E1" w:rsidR="00265001" w:rsidRDefault="00265001" w:rsidP="000C7ADC">
      <w:pPr>
        <w:rPr>
          <w:rFonts w:ascii="Helvetica" w:hAnsi="Helvetica" w:cs="Helvetica"/>
        </w:rPr>
      </w:pPr>
    </w:p>
    <w:p w14:paraId="3198DEC5" w14:textId="25EEBC3D" w:rsidR="00265001" w:rsidRDefault="00265001" w:rsidP="000C7ADC">
      <w:pPr>
        <w:rPr>
          <w:rFonts w:ascii="Helvetica" w:hAnsi="Helvetica" w:cs="Helvetica"/>
        </w:rPr>
      </w:pPr>
    </w:p>
    <w:p w14:paraId="52B837DE" w14:textId="77777777" w:rsidR="00265001" w:rsidRPr="003D7162" w:rsidRDefault="00265001" w:rsidP="000C7ADC">
      <w:pPr>
        <w:rPr>
          <w:rFonts w:ascii="Helvetica" w:hAnsi="Helvetica" w:cs="Helvetica"/>
        </w:rPr>
      </w:pPr>
    </w:p>
    <w:p w14:paraId="20C6821A" w14:textId="6B3AB6C0" w:rsidR="000C7ADC" w:rsidRPr="003D7162" w:rsidRDefault="00D91F4C" w:rsidP="000C7ADC">
      <w:pPr>
        <w:pStyle w:val="Heading2"/>
        <w:rPr>
          <w:rFonts w:cs="Helvetica"/>
          <w:szCs w:val="24"/>
        </w:rPr>
      </w:pPr>
      <w:bookmarkStart w:id="27" w:name="_Toc40953318"/>
      <w:r>
        <w:rPr>
          <w:rFonts w:cs="Helvetica"/>
          <w:b/>
          <w:szCs w:val="24"/>
        </w:rPr>
        <w:t xml:space="preserve">Supplementary </w:t>
      </w:r>
      <w:r w:rsidR="000C7ADC"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4</w:t>
      </w:r>
      <w:r w:rsidR="000C7ADC" w:rsidRPr="003D7162">
        <w:rPr>
          <w:rFonts w:cs="Helvetica"/>
          <w:b/>
          <w:szCs w:val="24"/>
        </w:rPr>
        <w:t>:</w:t>
      </w:r>
      <w:r w:rsidR="000C7ADC" w:rsidRPr="003D7162">
        <w:rPr>
          <w:rFonts w:cs="Helvetica"/>
          <w:szCs w:val="24"/>
        </w:rPr>
        <w:t xml:space="preserve"> Decomposition analysis for children &lt;5 months from 2000-2016</w:t>
      </w:r>
      <w:bookmarkEnd w:id="27"/>
    </w:p>
    <w:tbl>
      <w:tblPr>
        <w:tblpPr w:leftFromText="180" w:rightFromText="180" w:vertAnchor="text" w:horzAnchor="margin" w:tblpY="141"/>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1260"/>
        <w:gridCol w:w="1800"/>
        <w:gridCol w:w="1620"/>
        <w:gridCol w:w="1710"/>
      </w:tblGrid>
      <w:tr w:rsidR="00C14D61" w:rsidRPr="003D7162" w14:paraId="0B31CB5D" w14:textId="77777777" w:rsidTr="00C14D61">
        <w:trPr>
          <w:trHeight w:val="705"/>
        </w:trPr>
        <w:tc>
          <w:tcPr>
            <w:tcW w:w="3325" w:type="dxa"/>
            <w:shd w:val="clear" w:color="auto" w:fill="auto"/>
            <w:noWrap/>
            <w:vAlign w:val="center"/>
            <w:hideMark/>
          </w:tcPr>
          <w:p w14:paraId="2A09B80B" w14:textId="77777777" w:rsidR="00C14D61" w:rsidRPr="003D7162" w:rsidRDefault="00C14D61" w:rsidP="00C14D61">
            <w:pPr>
              <w:rPr>
                <w:rFonts w:ascii="Helvetica" w:eastAsia="Times New Roman" w:hAnsi="Helvetica" w:cs="Helvetica"/>
                <w:b/>
                <w:bCs/>
                <w:color w:val="000000"/>
                <w:sz w:val="20"/>
                <w:szCs w:val="20"/>
                <w:u w:val="single"/>
              </w:rPr>
            </w:pPr>
            <w:r w:rsidRPr="003D7162">
              <w:rPr>
                <w:rFonts w:ascii="Helvetica" w:eastAsia="Times New Roman" w:hAnsi="Helvetica" w:cs="Helvetica"/>
                <w:b/>
                <w:bCs/>
                <w:color w:val="000000"/>
                <w:sz w:val="20"/>
                <w:szCs w:val="20"/>
                <w:u w:val="single"/>
              </w:rPr>
              <w:t>Factors</w:t>
            </w:r>
          </w:p>
        </w:tc>
        <w:tc>
          <w:tcPr>
            <w:tcW w:w="1260" w:type="dxa"/>
            <w:vAlign w:val="center"/>
          </w:tcPr>
          <w:p w14:paraId="51E653A3"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Estimated</w:t>
            </w:r>
          </w:p>
          <w:p w14:paraId="0C2385A9"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coefficient</w:t>
            </w:r>
          </w:p>
        </w:tc>
        <w:tc>
          <w:tcPr>
            <w:tcW w:w="1800" w:type="dxa"/>
            <w:vAlign w:val="bottom"/>
          </w:tcPr>
          <w:p w14:paraId="49CB5805"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Mean difference  (2016-2000)</w:t>
            </w:r>
          </w:p>
        </w:tc>
        <w:tc>
          <w:tcPr>
            <w:tcW w:w="1620" w:type="dxa"/>
            <w:shd w:val="clear" w:color="auto" w:fill="auto"/>
            <w:noWrap/>
            <w:vAlign w:val="center"/>
            <w:hideMark/>
          </w:tcPr>
          <w:p w14:paraId="18FC976D"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Predicted change in HAZ</w:t>
            </w:r>
          </w:p>
        </w:tc>
        <w:tc>
          <w:tcPr>
            <w:tcW w:w="1710" w:type="dxa"/>
            <w:shd w:val="clear" w:color="auto" w:fill="auto"/>
            <w:noWrap/>
            <w:vAlign w:val="center"/>
            <w:hideMark/>
          </w:tcPr>
          <w:p w14:paraId="2D4A01BF"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Share of predicted change in (%)</w:t>
            </w:r>
          </w:p>
        </w:tc>
      </w:tr>
      <w:tr w:rsidR="00C14D61" w:rsidRPr="003D7162" w14:paraId="7D67A767" w14:textId="77777777" w:rsidTr="00C14D61">
        <w:trPr>
          <w:trHeight w:val="390"/>
        </w:trPr>
        <w:tc>
          <w:tcPr>
            <w:tcW w:w="3325" w:type="dxa"/>
            <w:shd w:val="clear" w:color="auto" w:fill="auto"/>
            <w:noWrap/>
            <w:vAlign w:val="bottom"/>
            <w:hideMark/>
          </w:tcPr>
          <w:p w14:paraId="1053737F"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260" w:type="dxa"/>
            <w:vAlign w:val="bottom"/>
          </w:tcPr>
          <w:p w14:paraId="6C829844" w14:textId="77777777" w:rsidR="00C14D61" w:rsidRPr="003D7162" w:rsidRDefault="00C14D61" w:rsidP="00C14D61">
            <w:pPr>
              <w:jc w:val="center"/>
              <w:rPr>
                <w:rFonts w:ascii="Helvetica" w:eastAsia="Times New Roman" w:hAnsi="Helvetica" w:cs="Helvetica"/>
                <w:color w:val="000000"/>
              </w:rPr>
            </w:pPr>
          </w:p>
        </w:tc>
        <w:tc>
          <w:tcPr>
            <w:tcW w:w="1800" w:type="dxa"/>
            <w:vAlign w:val="bottom"/>
          </w:tcPr>
          <w:p w14:paraId="69184D5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0.400</w:t>
            </w:r>
          </w:p>
        </w:tc>
        <w:tc>
          <w:tcPr>
            <w:tcW w:w="1620" w:type="dxa"/>
            <w:shd w:val="clear" w:color="auto" w:fill="auto"/>
            <w:noWrap/>
            <w:vAlign w:val="bottom"/>
            <w:hideMark/>
          </w:tcPr>
          <w:p w14:paraId="645B8D9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0.435</w:t>
            </w:r>
          </w:p>
        </w:tc>
        <w:tc>
          <w:tcPr>
            <w:tcW w:w="1710" w:type="dxa"/>
            <w:shd w:val="clear" w:color="auto" w:fill="auto"/>
            <w:noWrap/>
            <w:vAlign w:val="bottom"/>
            <w:hideMark/>
          </w:tcPr>
          <w:p w14:paraId="2754DB2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108.8%</w:t>
            </w:r>
          </w:p>
        </w:tc>
      </w:tr>
      <w:tr w:rsidR="00C14D61" w:rsidRPr="003D7162" w14:paraId="61B524AC" w14:textId="77777777" w:rsidTr="00C14D61">
        <w:trPr>
          <w:trHeight w:val="375"/>
        </w:trPr>
        <w:tc>
          <w:tcPr>
            <w:tcW w:w="3325" w:type="dxa"/>
            <w:shd w:val="clear" w:color="auto" w:fill="auto"/>
            <w:vAlign w:val="center"/>
            <w:hideMark/>
          </w:tcPr>
          <w:p w14:paraId="0C8E0485"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Wealth Index</w:t>
            </w:r>
          </w:p>
        </w:tc>
        <w:tc>
          <w:tcPr>
            <w:tcW w:w="1260" w:type="dxa"/>
            <w:vAlign w:val="center"/>
          </w:tcPr>
          <w:p w14:paraId="3F501D9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0.082</w:t>
            </w:r>
          </w:p>
        </w:tc>
        <w:tc>
          <w:tcPr>
            <w:tcW w:w="1800" w:type="dxa"/>
            <w:vAlign w:val="bottom"/>
          </w:tcPr>
          <w:p w14:paraId="7F8BD0F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-0.230</w:t>
            </w:r>
          </w:p>
        </w:tc>
        <w:tc>
          <w:tcPr>
            <w:tcW w:w="1620" w:type="dxa"/>
            <w:shd w:val="clear" w:color="auto" w:fill="auto"/>
            <w:noWrap/>
            <w:vAlign w:val="bottom"/>
            <w:hideMark/>
          </w:tcPr>
          <w:p w14:paraId="31DC8CE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-0.019</w:t>
            </w:r>
          </w:p>
        </w:tc>
        <w:tc>
          <w:tcPr>
            <w:tcW w:w="1710" w:type="dxa"/>
            <w:shd w:val="clear" w:color="auto" w:fill="auto"/>
            <w:noWrap/>
            <w:vAlign w:val="bottom"/>
            <w:hideMark/>
          </w:tcPr>
          <w:p w14:paraId="7515D5B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-4.3%</w:t>
            </w:r>
          </w:p>
        </w:tc>
      </w:tr>
      <w:tr w:rsidR="00C14D61" w:rsidRPr="003D7162" w14:paraId="25386211" w14:textId="77777777" w:rsidTr="00C14D61">
        <w:trPr>
          <w:trHeight w:val="375"/>
        </w:trPr>
        <w:tc>
          <w:tcPr>
            <w:tcW w:w="3325" w:type="dxa"/>
            <w:shd w:val="clear" w:color="auto" w:fill="auto"/>
            <w:vAlign w:val="center"/>
            <w:hideMark/>
          </w:tcPr>
          <w:p w14:paraId="7D4CCE18"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Mother years of schooling</w:t>
            </w:r>
          </w:p>
        </w:tc>
        <w:tc>
          <w:tcPr>
            <w:tcW w:w="1260" w:type="dxa"/>
            <w:vAlign w:val="center"/>
          </w:tcPr>
          <w:p w14:paraId="068B795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0.036</w:t>
            </w:r>
          </w:p>
        </w:tc>
        <w:tc>
          <w:tcPr>
            <w:tcW w:w="1800" w:type="dxa"/>
            <w:vAlign w:val="bottom"/>
          </w:tcPr>
          <w:p w14:paraId="2FBAB39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2.125</w:t>
            </w:r>
          </w:p>
        </w:tc>
        <w:tc>
          <w:tcPr>
            <w:tcW w:w="1620" w:type="dxa"/>
            <w:shd w:val="clear" w:color="auto" w:fill="auto"/>
            <w:noWrap/>
            <w:vAlign w:val="bottom"/>
            <w:hideMark/>
          </w:tcPr>
          <w:p w14:paraId="28881EB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0.077</w:t>
            </w:r>
          </w:p>
        </w:tc>
        <w:tc>
          <w:tcPr>
            <w:tcW w:w="1710" w:type="dxa"/>
            <w:shd w:val="clear" w:color="auto" w:fill="auto"/>
            <w:noWrap/>
            <w:vAlign w:val="bottom"/>
            <w:hideMark/>
          </w:tcPr>
          <w:p w14:paraId="090F262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17.8%</w:t>
            </w:r>
          </w:p>
        </w:tc>
      </w:tr>
      <w:tr w:rsidR="00C14D61" w:rsidRPr="003D7162" w14:paraId="0D6F5AD9" w14:textId="77777777" w:rsidTr="00C14D61">
        <w:trPr>
          <w:trHeight w:val="375"/>
        </w:trPr>
        <w:tc>
          <w:tcPr>
            <w:tcW w:w="3325" w:type="dxa"/>
            <w:shd w:val="clear" w:color="auto" w:fill="auto"/>
            <w:vAlign w:val="center"/>
            <w:hideMark/>
          </w:tcPr>
          <w:p w14:paraId="7F16F838"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Father years of schooling</w:t>
            </w:r>
          </w:p>
        </w:tc>
        <w:tc>
          <w:tcPr>
            <w:tcW w:w="1260" w:type="dxa"/>
            <w:vAlign w:val="center"/>
          </w:tcPr>
          <w:p w14:paraId="2F3D789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0.020</w:t>
            </w:r>
          </w:p>
        </w:tc>
        <w:tc>
          <w:tcPr>
            <w:tcW w:w="1800" w:type="dxa"/>
            <w:vAlign w:val="bottom"/>
          </w:tcPr>
          <w:p w14:paraId="64477F8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0.572</w:t>
            </w:r>
          </w:p>
        </w:tc>
        <w:tc>
          <w:tcPr>
            <w:tcW w:w="1620" w:type="dxa"/>
            <w:shd w:val="clear" w:color="auto" w:fill="auto"/>
            <w:noWrap/>
            <w:vAlign w:val="bottom"/>
            <w:hideMark/>
          </w:tcPr>
          <w:p w14:paraId="25F4865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0.012</w:t>
            </w:r>
          </w:p>
        </w:tc>
        <w:tc>
          <w:tcPr>
            <w:tcW w:w="1710" w:type="dxa"/>
            <w:shd w:val="clear" w:color="auto" w:fill="auto"/>
            <w:noWrap/>
            <w:vAlign w:val="bottom"/>
            <w:hideMark/>
          </w:tcPr>
          <w:p w14:paraId="30D2435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2.7%</w:t>
            </w:r>
          </w:p>
        </w:tc>
      </w:tr>
      <w:tr w:rsidR="00C14D61" w:rsidRPr="003D7162" w14:paraId="4B4A6FE2" w14:textId="77777777" w:rsidTr="00C14D61">
        <w:trPr>
          <w:trHeight w:val="375"/>
        </w:trPr>
        <w:tc>
          <w:tcPr>
            <w:tcW w:w="3325" w:type="dxa"/>
            <w:shd w:val="clear" w:color="auto" w:fill="auto"/>
            <w:vAlign w:val="center"/>
            <w:hideMark/>
          </w:tcPr>
          <w:p w14:paraId="03FCE751"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Duration of Breastfeed (months)</w:t>
            </w:r>
          </w:p>
        </w:tc>
        <w:tc>
          <w:tcPr>
            <w:tcW w:w="1260" w:type="dxa"/>
            <w:vAlign w:val="center"/>
          </w:tcPr>
          <w:p w14:paraId="1842AF8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-0.013</w:t>
            </w:r>
          </w:p>
        </w:tc>
        <w:tc>
          <w:tcPr>
            <w:tcW w:w="1800" w:type="dxa"/>
            <w:vAlign w:val="bottom"/>
          </w:tcPr>
          <w:p w14:paraId="51554C4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0.547</w:t>
            </w:r>
          </w:p>
        </w:tc>
        <w:tc>
          <w:tcPr>
            <w:tcW w:w="1620" w:type="dxa"/>
            <w:shd w:val="clear" w:color="auto" w:fill="auto"/>
            <w:noWrap/>
            <w:vAlign w:val="bottom"/>
            <w:hideMark/>
          </w:tcPr>
          <w:p w14:paraId="505BFF0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-0.007</w:t>
            </w:r>
          </w:p>
        </w:tc>
        <w:tc>
          <w:tcPr>
            <w:tcW w:w="1710" w:type="dxa"/>
            <w:shd w:val="clear" w:color="auto" w:fill="auto"/>
            <w:noWrap/>
            <w:vAlign w:val="bottom"/>
            <w:hideMark/>
          </w:tcPr>
          <w:p w14:paraId="7453BB6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-1.6%</w:t>
            </w:r>
          </w:p>
        </w:tc>
      </w:tr>
      <w:tr w:rsidR="00C14D61" w:rsidRPr="003D7162" w14:paraId="3B546B53" w14:textId="77777777" w:rsidTr="00C14D61">
        <w:trPr>
          <w:trHeight w:val="375"/>
        </w:trPr>
        <w:tc>
          <w:tcPr>
            <w:tcW w:w="3325" w:type="dxa"/>
            <w:shd w:val="clear" w:color="auto" w:fill="auto"/>
            <w:vAlign w:val="center"/>
            <w:hideMark/>
          </w:tcPr>
          <w:p w14:paraId="01B313F0"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Altitude</w:t>
            </w:r>
          </w:p>
        </w:tc>
        <w:tc>
          <w:tcPr>
            <w:tcW w:w="1260" w:type="dxa"/>
            <w:vAlign w:val="center"/>
          </w:tcPr>
          <w:p w14:paraId="4E1081B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800" w:type="dxa"/>
            <w:vAlign w:val="bottom"/>
          </w:tcPr>
          <w:p w14:paraId="6A4CB3F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-309.703</w:t>
            </w:r>
          </w:p>
        </w:tc>
        <w:tc>
          <w:tcPr>
            <w:tcW w:w="1620" w:type="dxa"/>
            <w:shd w:val="clear" w:color="auto" w:fill="auto"/>
            <w:noWrap/>
            <w:vAlign w:val="bottom"/>
            <w:hideMark/>
          </w:tcPr>
          <w:p w14:paraId="1BA169A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0.047</w:t>
            </w:r>
          </w:p>
        </w:tc>
        <w:tc>
          <w:tcPr>
            <w:tcW w:w="1710" w:type="dxa"/>
            <w:shd w:val="clear" w:color="auto" w:fill="auto"/>
            <w:noWrap/>
            <w:vAlign w:val="bottom"/>
            <w:hideMark/>
          </w:tcPr>
          <w:p w14:paraId="1A5EA10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10.8%</w:t>
            </w:r>
          </w:p>
        </w:tc>
      </w:tr>
      <w:tr w:rsidR="00C14D61" w:rsidRPr="003D7162" w14:paraId="14DEC0F9" w14:textId="77777777" w:rsidTr="00C14D61">
        <w:trPr>
          <w:trHeight w:val="375"/>
        </w:trPr>
        <w:tc>
          <w:tcPr>
            <w:tcW w:w="3325" w:type="dxa"/>
            <w:shd w:val="clear" w:color="auto" w:fill="auto"/>
            <w:vAlign w:val="center"/>
            <w:hideMark/>
          </w:tcPr>
          <w:p w14:paraId="30A62A91"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DPT vaccine</w:t>
            </w:r>
          </w:p>
        </w:tc>
        <w:tc>
          <w:tcPr>
            <w:tcW w:w="1260" w:type="dxa"/>
            <w:vAlign w:val="center"/>
          </w:tcPr>
          <w:p w14:paraId="71BBC73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-0.129</w:t>
            </w:r>
          </w:p>
        </w:tc>
        <w:tc>
          <w:tcPr>
            <w:tcW w:w="1800" w:type="dxa"/>
            <w:vAlign w:val="bottom"/>
          </w:tcPr>
          <w:p w14:paraId="4BD6F20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0.008</w:t>
            </w:r>
          </w:p>
        </w:tc>
        <w:tc>
          <w:tcPr>
            <w:tcW w:w="1620" w:type="dxa"/>
            <w:shd w:val="clear" w:color="auto" w:fill="auto"/>
            <w:noWrap/>
            <w:vAlign w:val="bottom"/>
            <w:hideMark/>
          </w:tcPr>
          <w:p w14:paraId="100F0CF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-0.001</w:t>
            </w:r>
          </w:p>
        </w:tc>
        <w:tc>
          <w:tcPr>
            <w:tcW w:w="1710" w:type="dxa"/>
            <w:shd w:val="clear" w:color="auto" w:fill="auto"/>
            <w:noWrap/>
            <w:vAlign w:val="bottom"/>
            <w:hideMark/>
          </w:tcPr>
          <w:p w14:paraId="2C71628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w:t>
            </w:r>
          </w:p>
        </w:tc>
      </w:tr>
      <w:tr w:rsidR="00C14D61" w:rsidRPr="003D7162" w14:paraId="7F343D88" w14:textId="77777777" w:rsidTr="00C14D61">
        <w:trPr>
          <w:trHeight w:val="375"/>
        </w:trPr>
        <w:tc>
          <w:tcPr>
            <w:tcW w:w="3325" w:type="dxa"/>
            <w:shd w:val="clear" w:color="auto" w:fill="auto"/>
            <w:vAlign w:val="center"/>
            <w:hideMark/>
          </w:tcPr>
          <w:p w14:paraId="409DCCB3"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Measles vaccine</w:t>
            </w:r>
          </w:p>
        </w:tc>
        <w:tc>
          <w:tcPr>
            <w:tcW w:w="1260" w:type="dxa"/>
            <w:vAlign w:val="center"/>
          </w:tcPr>
          <w:p w14:paraId="00C2CA5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-0.119</w:t>
            </w:r>
          </w:p>
        </w:tc>
        <w:tc>
          <w:tcPr>
            <w:tcW w:w="1800" w:type="dxa"/>
            <w:vAlign w:val="bottom"/>
          </w:tcPr>
          <w:p w14:paraId="4BDA3BB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0.032</w:t>
            </w:r>
          </w:p>
        </w:tc>
        <w:tc>
          <w:tcPr>
            <w:tcW w:w="1620" w:type="dxa"/>
            <w:shd w:val="clear" w:color="auto" w:fill="auto"/>
            <w:noWrap/>
            <w:vAlign w:val="bottom"/>
            <w:hideMark/>
          </w:tcPr>
          <w:p w14:paraId="0E326EF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-0.004</w:t>
            </w:r>
          </w:p>
        </w:tc>
        <w:tc>
          <w:tcPr>
            <w:tcW w:w="1710" w:type="dxa"/>
            <w:shd w:val="clear" w:color="auto" w:fill="auto"/>
            <w:noWrap/>
            <w:vAlign w:val="bottom"/>
            <w:hideMark/>
          </w:tcPr>
          <w:p w14:paraId="3FD8E77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-0.9%</w:t>
            </w:r>
          </w:p>
        </w:tc>
      </w:tr>
      <w:tr w:rsidR="00C14D61" w:rsidRPr="003D7162" w14:paraId="7A048C9D" w14:textId="77777777" w:rsidTr="00C14D61">
        <w:trPr>
          <w:trHeight w:val="375"/>
        </w:trPr>
        <w:tc>
          <w:tcPr>
            <w:tcW w:w="3325" w:type="dxa"/>
            <w:shd w:val="clear" w:color="auto" w:fill="auto"/>
            <w:vAlign w:val="center"/>
            <w:hideMark/>
          </w:tcPr>
          <w:p w14:paraId="122975EE"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Skilled birth attendants</w:t>
            </w:r>
          </w:p>
        </w:tc>
        <w:tc>
          <w:tcPr>
            <w:tcW w:w="1260" w:type="dxa"/>
            <w:vAlign w:val="center"/>
          </w:tcPr>
          <w:p w14:paraId="5B9DF81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0.197</w:t>
            </w:r>
          </w:p>
        </w:tc>
        <w:tc>
          <w:tcPr>
            <w:tcW w:w="1800" w:type="dxa"/>
            <w:vAlign w:val="bottom"/>
          </w:tcPr>
          <w:p w14:paraId="5644436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0.424</w:t>
            </w:r>
          </w:p>
        </w:tc>
        <w:tc>
          <w:tcPr>
            <w:tcW w:w="1620" w:type="dxa"/>
            <w:shd w:val="clear" w:color="auto" w:fill="auto"/>
            <w:noWrap/>
            <w:vAlign w:val="bottom"/>
            <w:hideMark/>
          </w:tcPr>
          <w:p w14:paraId="13DAC29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0.084</w:t>
            </w:r>
          </w:p>
        </w:tc>
        <w:tc>
          <w:tcPr>
            <w:tcW w:w="1710" w:type="dxa"/>
            <w:shd w:val="clear" w:color="auto" w:fill="auto"/>
            <w:noWrap/>
            <w:vAlign w:val="bottom"/>
            <w:hideMark/>
          </w:tcPr>
          <w:p w14:paraId="4A675A6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19.2%</w:t>
            </w:r>
          </w:p>
        </w:tc>
      </w:tr>
      <w:tr w:rsidR="00C14D61" w:rsidRPr="003D7162" w14:paraId="3BE13139" w14:textId="77777777" w:rsidTr="00C14D61">
        <w:trPr>
          <w:trHeight w:val="375"/>
        </w:trPr>
        <w:tc>
          <w:tcPr>
            <w:tcW w:w="3325" w:type="dxa"/>
            <w:shd w:val="clear" w:color="auto" w:fill="auto"/>
            <w:vAlign w:val="center"/>
            <w:hideMark/>
          </w:tcPr>
          <w:p w14:paraId="1B9369C2"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Antenatal care visit</w:t>
            </w:r>
          </w:p>
        </w:tc>
        <w:tc>
          <w:tcPr>
            <w:tcW w:w="1260" w:type="dxa"/>
            <w:vAlign w:val="center"/>
          </w:tcPr>
          <w:p w14:paraId="014D01B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0.147</w:t>
            </w:r>
          </w:p>
        </w:tc>
        <w:tc>
          <w:tcPr>
            <w:tcW w:w="1800" w:type="dxa"/>
            <w:vAlign w:val="bottom"/>
          </w:tcPr>
          <w:p w14:paraId="02483D0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0.268</w:t>
            </w:r>
          </w:p>
        </w:tc>
        <w:tc>
          <w:tcPr>
            <w:tcW w:w="1620" w:type="dxa"/>
            <w:shd w:val="clear" w:color="auto" w:fill="auto"/>
            <w:noWrap/>
            <w:vAlign w:val="bottom"/>
            <w:hideMark/>
          </w:tcPr>
          <w:p w14:paraId="2858E93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0.039</w:t>
            </w:r>
          </w:p>
        </w:tc>
        <w:tc>
          <w:tcPr>
            <w:tcW w:w="1710" w:type="dxa"/>
            <w:shd w:val="clear" w:color="auto" w:fill="auto"/>
            <w:noWrap/>
            <w:vAlign w:val="bottom"/>
            <w:hideMark/>
          </w:tcPr>
          <w:p w14:paraId="75F7BB8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9.0%</w:t>
            </w:r>
          </w:p>
        </w:tc>
      </w:tr>
      <w:tr w:rsidR="00C14D61" w:rsidRPr="003D7162" w14:paraId="1C8C4268" w14:textId="77777777" w:rsidTr="00C14D61">
        <w:trPr>
          <w:trHeight w:val="375"/>
        </w:trPr>
        <w:tc>
          <w:tcPr>
            <w:tcW w:w="3325" w:type="dxa"/>
            <w:shd w:val="clear" w:color="auto" w:fill="auto"/>
            <w:vAlign w:val="center"/>
            <w:hideMark/>
          </w:tcPr>
          <w:p w14:paraId="492A2269"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Number of household members</w:t>
            </w:r>
          </w:p>
        </w:tc>
        <w:tc>
          <w:tcPr>
            <w:tcW w:w="1260" w:type="dxa"/>
            <w:vAlign w:val="center"/>
          </w:tcPr>
          <w:p w14:paraId="7076F3A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-0.021</w:t>
            </w:r>
          </w:p>
        </w:tc>
        <w:tc>
          <w:tcPr>
            <w:tcW w:w="1800" w:type="dxa"/>
            <w:vAlign w:val="bottom"/>
          </w:tcPr>
          <w:p w14:paraId="1E6E41E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-0.871</w:t>
            </w:r>
          </w:p>
        </w:tc>
        <w:tc>
          <w:tcPr>
            <w:tcW w:w="1620" w:type="dxa"/>
            <w:shd w:val="clear" w:color="auto" w:fill="auto"/>
            <w:noWrap/>
            <w:vAlign w:val="bottom"/>
            <w:hideMark/>
          </w:tcPr>
          <w:p w14:paraId="06E24A7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0.018</w:t>
            </w:r>
          </w:p>
        </w:tc>
        <w:tc>
          <w:tcPr>
            <w:tcW w:w="1710" w:type="dxa"/>
            <w:shd w:val="clear" w:color="auto" w:fill="auto"/>
            <w:noWrap/>
            <w:vAlign w:val="bottom"/>
            <w:hideMark/>
          </w:tcPr>
          <w:p w14:paraId="324F055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4.2%</w:t>
            </w:r>
          </w:p>
        </w:tc>
      </w:tr>
      <w:tr w:rsidR="00C14D61" w:rsidRPr="003D7162" w14:paraId="1E08DC4C" w14:textId="77777777" w:rsidTr="00C14D61">
        <w:trPr>
          <w:trHeight w:val="375"/>
        </w:trPr>
        <w:tc>
          <w:tcPr>
            <w:tcW w:w="3325" w:type="dxa"/>
            <w:shd w:val="clear" w:color="auto" w:fill="auto"/>
            <w:vAlign w:val="center"/>
            <w:hideMark/>
          </w:tcPr>
          <w:p w14:paraId="4BDC4FEB"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Diarrhea</w:t>
            </w:r>
          </w:p>
        </w:tc>
        <w:tc>
          <w:tcPr>
            <w:tcW w:w="1260" w:type="dxa"/>
            <w:vAlign w:val="center"/>
          </w:tcPr>
          <w:p w14:paraId="5DF2D6C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-0.058</w:t>
            </w:r>
          </w:p>
        </w:tc>
        <w:tc>
          <w:tcPr>
            <w:tcW w:w="1800" w:type="dxa"/>
            <w:vAlign w:val="bottom"/>
          </w:tcPr>
          <w:p w14:paraId="4826FD3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-0.046</w:t>
            </w:r>
          </w:p>
        </w:tc>
        <w:tc>
          <w:tcPr>
            <w:tcW w:w="1620" w:type="dxa"/>
            <w:shd w:val="clear" w:color="auto" w:fill="auto"/>
            <w:noWrap/>
            <w:vAlign w:val="bottom"/>
            <w:hideMark/>
          </w:tcPr>
          <w:p w14:paraId="1ACD0E2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0.003</w:t>
            </w:r>
          </w:p>
        </w:tc>
        <w:tc>
          <w:tcPr>
            <w:tcW w:w="1710" w:type="dxa"/>
            <w:shd w:val="clear" w:color="auto" w:fill="auto"/>
            <w:noWrap/>
            <w:vAlign w:val="bottom"/>
            <w:hideMark/>
          </w:tcPr>
          <w:p w14:paraId="47A4F2F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0.6%</w:t>
            </w:r>
          </w:p>
        </w:tc>
      </w:tr>
      <w:tr w:rsidR="00C14D61" w:rsidRPr="003D7162" w14:paraId="69462060" w14:textId="77777777" w:rsidTr="00C14D61">
        <w:trPr>
          <w:trHeight w:val="375"/>
        </w:trPr>
        <w:tc>
          <w:tcPr>
            <w:tcW w:w="3325" w:type="dxa"/>
            <w:shd w:val="clear" w:color="auto" w:fill="auto"/>
            <w:vAlign w:val="center"/>
            <w:hideMark/>
          </w:tcPr>
          <w:p w14:paraId="54F813CB"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Low birthweight</w:t>
            </w:r>
          </w:p>
        </w:tc>
        <w:tc>
          <w:tcPr>
            <w:tcW w:w="1260" w:type="dxa"/>
            <w:vAlign w:val="center"/>
          </w:tcPr>
          <w:p w14:paraId="4C1C37D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-0.423</w:t>
            </w:r>
          </w:p>
        </w:tc>
        <w:tc>
          <w:tcPr>
            <w:tcW w:w="1800" w:type="dxa"/>
            <w:vAlign w:val="bottom"/>
          </w:tcPr>
          <w:p w14:paraId="719674C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-0.019</w:t>
            </w:r>
          </w:p>
        </w:tc>
        <w:tc>
          <w:tcPr>
            <w:tcW w:w="1620" w:type="dxa"/>
            <w:shd w:val="clear" w:color="auto" w:fill="auto"/>
            <w:noWrap/>
            <w:vAlign w:val="bottom"/>
            <w:hideMark/>
          </w:tcPr>
          <w:p w14:paraId="340A583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0.008</w:t>
            </w:r>
          </w:p>
        </w:tc>
        <w:tc>
          <w:tcPr>
            <w:tcW w:w="1710" w:type="dxa"/>
            <w:shd w:val="clear" w:color="auto" w:fill="auto"/>
            <w:noWrap/>
            <w:vAlign w:val="bottom"/>
            <w:hideMark/>
          </w:tcPr>
          <w:p w14:paraId="0BE8490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w:t>
            </w:r>
          </w:p>
        </w:tc>
      </w:tr>
      <w:tr w:rsidR="00C14D61" w:rsidRPr="003D7162" w14:paraId="48B9CA34" w14:textId="77777777" w:rsidTr="00C14D61">
        <w:trPr>
          <w:trHeight w:val="375"/>
        </w:trPr>
        <w:tc>
          <w:tcPr>
            <w:tcW w:w="3325" w:type="dxa"/>
            <w:shd w:val="clear" w:color="auto" w:fill="auto"/>
            <w:vAlign w:val="center"/>
            <w:hideMark/>
          </w:tcPr>
          <w:p w14:paraId="425501BB"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Older age pregnancy</w:t>
            </w:r>
          </w:p>
        </w:tc>
        <w:tc>
          <w:tcPr>
            <w:tcW w:w="1260" w:type="dxa"/>
            <w:vAlign w:val="center"/>
          </w:tcPr>
          <w:p w14:paraId="52302A4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0.082</w:t>
            </w:r>
          </w:p>
        </w:tc>
        <w:tc>
          <w:tcPr>
            <w:tcW w:w="1800" w:type="dxa"/>
            <w:vAlign w:val="bottom"/>
          </w:tcPr>
          <w:p w14:paraId="1CD2498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0.027</w:t>
            </w:r>
          </w:p>
        </w:tc>
        <w:tc>
          <w:tcPr>
            <w:tcW w:w="1620" w:type="dxa"/>
            <w:shd w:val="clear" w:color="auto" w:fill="auto"/>
            <w:noWrap/>
            <w:vAlign w:val="bottom"/>
            <w:hideMark/>
          </w:tcPr>
          <w:p w14:paraId="4A5C475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710" w:type="dxa"/>
            <w:shd w:val="clear" w:color="auto" w:fill="auto"/>
            <w:noWrap/>
            <w:vAlign w:val="bottom"/>
            <w:hideMark/>
          </w:tcPr>
          <w:p w14:paraId="5129B96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w:t>
            </w:r>
          </w:p>
        </w:tc>
      </w:tr>
      <w:tr w:rsidR="00C14D61" w:rsidRPr="003D7162" w14:paraId="1767B36D" w14:textId="77777777" w:rsidTr="00C14D61">
        <w:trPr>
          <w:trHeight w:val="375"/>
        </w:trPr>
        <w:tc>
          <w:tcPr>
            <w:tcW w:w="3325" w:type="dxa"/>
            <w:shd w:val="clear" w:color="auto" w:fill="auto"/>
            <w:vAlign w:val="center"/>
            <w:hideMark/>
          </w:tcPr>
          <w:p w14:paraId="1A8F126C"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BMI</w:t>
            </w:r>
          </w:p>
        </w:tc>
        <w:tc>
          <w:tcPr>
            <w:tcW w:w="1260" w:type="dxa"/>
            <w:vAlign w:val="center"/>
          </w:tcPr>
          <w:p w14:paraId="7DC2716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0.012</w:t>
            </w:r>
          </w:p>
        </w:tc>
        <w:tc>
          <w:tcPr>
            <w:tcW w:w="1800" w:type="dxa"/>
            <w:vAlign w:val="bottom"/>
          </w:tcPr>
          <w:p w14:paraId="27866BA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1.506</w:t>
            </w:r>
          </w:p>
        </w:tc>
        <w:tc>
          <w:tcPr>
            <w:tcW w:w="1620" w:type="dxa"/>
            <w:shd w:val="clear" w:color="auto" w:fill="auto"/>
            <w:noWrap/>
            <w:vAlign w:val="bottom"/>
            <w:hideMark/>
          </w:tcPr>
          <w:p w14:paraId="6ADC54F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0.018</w:t>
            </w:r>
          </w:p>
        </w:tc>
        <w:tc>
          <w:tcPr>
            <w:tcW w:w="1710" w:type="dxa"/>
            <w:shd w:val="clear" w:color="auto" w:fill="auto"/>
            <w:noWrap/>
            <w:vAlign w:val="bottom"/>
            <w:hideMark/>
          </w:tcPr>
          <w:p w14:paraId="21B427C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4.0%</w:t>
            </w:r>
          </w:p>
        </w:tc>
      </w:tr>
      <w:tr w:rsidR="00C14D61" w:rsidRPr="003D7162" w14:paraId="1774BB8D" w14:textId="77777777" w:rsidTr="00C14D61">
        <w:trPr>
          <w:trHeight w:val="375"/>
        </w:trPr>
        <w:tc>
          <w:tcPr>
            <w:tcW w:w="3325" w:type="dxa"/>
            <w:shd w:val="clear" w:color="auto" w:fill="auto"/>
            <w:vAlign w:val="center"/>
            <w:hideMark/>
          </w:tcPr>
          <w:p w14:paraId="005B08CF"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Height</w:t>
            </w:r>
          </w:p>
        </w:tc>
        <w:tc>
          <w:tcPr>
            <w:tcW w:w="1260" w:type="dxa"/>
            <w:vAlign w:val="center"/>
          </w:tcPr>
          <w:p w14:paraId="3F6DA71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0.054</w:t>
            </w:r>
          </w:p>
        </w:tc>
        <w:tc>
          <w:tcPr>
            <w:tcW w:w="1800" w:type="dxa"/>
            <w:vAlign w:val="bottom"/>
          </w:tcPr>
          <w:p w14:paraId="6CB1136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1.794</w:t>
            </w:r>
          </w:p>
        </w:tc>
        <w:tc>
          <w:tcPr>
            <w:tcW w:w="1620" w:type="dxa"/>
            <w:shd w:val="clear" w:color="auto" w:fill="auto"/>
            <w:noWrap/>
            <w:vAlign w:val="bottom"/>
            <w:hideMark/>
          </w:tcPr>
          <w:p w14:paraId="60420EB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0.098</w:t>
            </w:r>
          </w:p>
        </w:tc>
        <w:tc>
          <w:tcPr>
            <w:tcW w:w="1710" w:type="dxa"/>
            <w:shd w:val="clear" w:color="auto" w:fill="auto"/>
            <w:noWrap/>
            <w:vAlign w:val="bottom"/>
            <w:hideMark/>
          </w:tcPr>
          <w:p w14:paraId="613A5FA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22.4%</w:t>
            </w:r>
          </w:p>
        </w:tc>
      </w:tr>
      <w:tr w:rsidR="00C14D61" w:rsidRPr="003D7162" w14:paraId="3DD8152B" w14:textId="77777777" w:rsidTr="00C14D61">
        <w:trPr>
          <w:trHeight w:val="375"/>
        </w:trPr>
        <w:tc>
          <w:tcPr>
            <w:tcW w:w="3325" w:type="dxa"/>
            <w:shd w:val="clear" w:color="auto" w:fill="auto"/>
            <w:vAlign w:val="center"/>
            <w:hideMark/>
          </w:tcPr>
          <w:p w14:paraId="744BCBF0"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Parity</w:t>
            </w:r>
          </w:p>
        </w:tc>
        <w:tc>
          <w:tcPr>
            <w:tcW w:w="1260" w:type="dxa"/>
            <w:vAlign w:val="center"/>
          </w:tcPr>
          <w:p w14:paraId="1ADBAD7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-0.046</w:t>
            </w:r>
          </w:p>
        </w:tc>
        <w:tc>
          <w:tcPr>
            <w:tcW w:w="1800" w:type="dxa"/>
            <w:vAlign w:val="bottom"/>
          </w:tcPr>
          <w:p w14:paraId="789ADB6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-0.649</w:t>
            </w:r>
          </w:p>
        </w:tc>
        <w:tc>
          <w:tcPr>
            <w:tcW w:w="1620" w:type="dxa"/>
            <w:shd w:val="clear" w:color="auto" w:fill="auto"/>
            <w:noWrap/>
            <w:vAlign w:val="bottom"/>
            <w:hideMark/>
          </w:tcPr>
          <w:p w14:paraId="67DF5C6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0.030</w:t>
            </w:r>
          </w:p>
        </w:tc>
        <w:tc>
          <w:tcPr>
            <w:tcW w:w="1710" w:type="dxa"/>
            <w:shd w:val="clear" w:color="auto" w:fill="auto"/>
            <w:noWrap/>
            <w:vAlign w:val="bottom"/>
            <w:hideMark/>
          </w:tcPr>
          <w:p w14:paraId="7EE8A39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6.8%</w:t>
            </w:r>
          </w:p>
        </w:tc>
      </w:tr>
      <w:tr w:rsidR="00C14D61" w:rsidRPr="003D7162" w14:paraId="244F85DB" w14:textId="77777777" w:rsidTr="00C14D61">
        <w:trPr>
          <w:trHeight w:val="375"/>
        </w:trPr>
        <w:tc>
          <w:tcPr>
            <w:tcW w:w="3325" w:type="dxa"/>
            <w:shd w:val="clear" w:color="auto" w:fill="auto"/>
            <w:vAlign w:val="center"/>
            <w:hideMark/>
          </w:tcPr>
          <w:p w14:paraId="25B0F9A6"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Interpregnancy interval</w:t>
            </w:r>
          </w:p>
        </w:tc>
        <w:tc>
          <w:tcPr>
            <w:tcW w:w="1260" w:type="dxa"/>
            <w:vAlign w:val="center"/>
          </w:tcPr>
          <w:p w14:paraId="116625C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800" w:type="dxa"/>
            <w:vAlign w:val="bottom"/>
          </w:tcPr>
          <w:p w14:paraId="16C4204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17.814</w:t>
            </w:r>
          </w:p>
        </w:tc>
        <w:tc>
          <w:tcPr>
            <w:tcW w:w="1620" w:type="dxa"/>
            <w:shd w:val="clear" w:color="auto" w:fill="auto"/>
            <w:noWrap/>
            <w:vAlign w:val="bottom"/>
            <w:hideMark/>
          </w:tcPr>
          <w:p w14:paraId="7D172D9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0.036</w:t>
            </w:r>
          </w:p>
        </w:tc>
        <w:tc>
          <w:tcPr>
            <w:tcW w:w="1710" w:type="dxa"/>
            <w:shd w:val="clear" w:color="auto" w:fill="auto"/>
            <w:noWrap/>
            <w:vAlign w:val="bottom"/>
            <w:hideMark/>
          </w:tcPr>
          <w:p w14:paraId="7D3CE5F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8.3%</w:t>
            </w:r>
          </w:p>
        </w:tc>
      </w:tr>
      <w:tr w:rsidR="00C14D61" w:rsidRPr="003D7162" w14:paraId="0EAD4D4F" w14:textId="77777777" w:rsidTr="00C14D61">
        <w:trPr>
          <w:trHeight w:val="375"/>
        </w:trPr>
        <w:tc>
          <w:tcPr>
            <w:tcW w:w="3325" w:type="dxa"/>
            <w:shd w:val="clear" w:color="auto" w:fill="auto"/>
            <w:vAlign w:val="center"/>
            <w:hideMark/>
          </w:tcPr>
          <w:p w14:paraId="19CEFAE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Others</w:t>
            </w:r>
          </w:p>
        </w:tc>
        <w:tc>
          <w:tcPr>
            <w:tcW w:w="1260" w:type="dxa"/>
            <w:vAlign w:val="bottom"/>
          </w:tcPr>
          <w:p w14:paraId="347C2950" w14:textId="77777777" w:rsidR="00C14D61" w:rsidRPr="003D7162" w:rsidRDefault="00C14D61" w:rsidP="00C14D61">
            <w:pPr>
              <w:jc w:val="center"/>
              <w:rPr>
                <w:rFonts w:ascii="Helvetica" w:eastAsia="Times New Roman" w:hAnsi="Helvetica" w:cs="Helvetica"/>
                <w:color w:val="000000"/>
              </w:rPr>
            </w:pPr>
          </w:p>
        </w:tc>
        <w:tc>
          <w:tcPr>
            <w:tcW w:w="1800" w:type="dxa"/>
            <w:vAlign w:val="bottom"/>
          </w:tcPr>
          <w:p w14:paraId="1A49C126" w14:textId="77777777" w:rsidR="00C14D61" w:rsidRPr="003D7162" w:rsidRDefault="00C14D61" w:rsidP="00C14D61">
            <w:pPr>
              <w:jc w:val="center"/>
              <w:rPr>
                <w:rFonts w:ascii="Helvetica" w:eastAsia="Times New Roman" w:hAnsi="Helvetica" w:cs="Helvetica"/>
                <w:color w:val="000000"/>
              </w:rPr>
            </w:pPr>
          </w:p>
        </w:tc>
        <w:tc>
          <w:tcPr>
            <w:tcW w:w="1620" w:type="dxa"/>
            <w:shd w:val="clear" w:color="auto" w:fill="auto"/>
            <w:noWrap/>
            <w:vAlign w:val="bottom"/>
            <w:hideMark/>
          </w:tcPr>
          <w:p w14:paraId="1A8395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w:t>
            </w:r>
          </w:p>
        </w:tc>
        <w:tc>
          <w:tcPr>
            <w:tcW w:w="1710" w:type="dxa"/>
            <w:shd w:val="clear" w:color="auto" w:fill="auto"/>
            <w:noWrap/>
            <w:vAlign w:val="bottom"/>
            <w:hideMark/>
          </w:tcPr>
          <w:p w14:paraId="450C949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-1.2%</w:t>
            </w:r>
          </w:p>
        </w:tc>
      </w:tr>
    </w:tbl>
    <w:p w14:paraId="751CFB12" w14:textId="77777777" w:rsidR="00DC24D4" w:rsidRDefault="00DC24D4" w:rsidP="003E1E6C">
      <w:pPr>
        <w:pStyle w:val="Heading2"/>
        <w:rPr>
          <w:rFonts w:cs="Helvetica"/>
          <w:b/>
          <w:szCs w:val="24"/>
        </w:rPr>
      </w:pPr>
      <w:bookmarkStart w:id="28" w:name="_Hlk24317507"/>
    </w:p>
    <w:p w14:paraId="6A7B8DBF" w14:textId="02FB1338" w:rsidR="00C14D61" w:rsidRPr="00C14D61" w:rsidRDefault="00D91F4C" w:rsidP="003E1E6C">
      <w:pPr>
        <w:pStyle w:val="Heading2"/>
        <w:rPr>
          <w:b/>
        </w:rPr>
      </w:pPr>
      <w:bookmarkStart w:id="29" w:name="_Toc40953319"/>
      <w:r>
        <w:rPr>
          <w:rFonts w:cs="Helvetica"/>
          <w:b/>
          <w:szCs w:val="24"/>
        </w:rPr>
        <w:t xml:space="preserve">Supplementary </w:t>
      </w:r>
      <w:r w:rsidR="003E1E6C">
        <w:rPr>
          <w:b/>
        </w:rPr>
        <w:t xml:space="preserve">Appendix Figure 8: </w:t>
      </w:r>
      <w:r w:rsidR="00C14D61" w:rsidRPr="00C14D61">
        <w:t>Decomposing predicted changes in HAZ among children &lt;5 (i.e. relative ranking of product coefficients for determinant domains) from 2000-2016</w:t>
      </w:r>
      <w:bookmarkEnd w:id="28"/>
      <w:bookmarkEnd w:id="29"/>
    </w:p>
    <w:p w14:paraId="377B85F9" w14:textId="5235AAF1" w:rsidR="000C7ADC" w:rsidRPr="003D7162" w:rsidRDefault="000C7ADC" w:rsidP="000C7ADC">
      <w:pPr>
        <w:rPr>
          <w:rFonts w:ascii="Helvetica" w:hAnsi="Helvetica" w:cs="Helvetica"/>
        </w:rPr>
      </w:pPr>
      <w:r w:rsidRPr="003D7162">
        <w:rPr>
          <w:rFonts w:ascii="Helvetica" w:hAnsi="Helvetica" w:cs="Helvetica"/>
          <w:noProof/>
          <w:lang w:val="en-CA" w:eastAsia="en-CA"/>
        </w:rPr>
        <w:drawing>
          <wp:inline distT="0" distB="0" distL="0" distR="0" wp14:anchorId="68EDF8F9" wp14:editId="468F4FF4">
            <wp:extent cx="5396230" cy="2470067"/>
            <wp:effectExtent l="0" t="0" r="13970" b="6985"/>
            <wp:docPr id="87" name="Chart 8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98A035F" w14:textId="137A3E7C" w:rsidR="000C7ADC" w:rsidRPr="003D7162" w:rsidRDefault="00D91F4C" w:rsidP="000C7ADC">
      <w:pPr>
        <w:pStyle w:val="Heading2"/>
        <w:rPr>
          <w:rFonts w:cs="Helvetica"/>
          <w:szCs w:val="24"/>
        </w:rPr>
      </w:pPr>
      <w:bookmarkStart w:id="30" w:name="_Toc40953320"/>
      <w:r>
        <w:rPr>
          <w:rFonts w:cs="Helvetica"/>
          <w:b/>
          <w:szCs w:val="24"/>
        </w:rPr>
        <w:t xml:space="preserve">Supplementary </w:t>
      </w:r>
      <w:r w:rsidR="000C7ADC"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5</w:t>
      </w:r>
      <w:r w:rsidR="000C7ADC" w:rsidRPr="003D7162">
        <w:rPr>
          <w:rFonts w:cs="Helvetica"/>
          <w:b/>
          <w:szCs w:val="24"/>
        </w:rPr>
        <w:t>:</w:t>
      </w:r>
      <w:r w:rsidR="000C7ADC" w:rsidRPr="003D7162">
        <w:rPr>
          <w:rFonts w:cs="Helvetica"/>
          <w:szCs w:val="24"/>
        </w:rPr>
        <w:t xml:space="preserve"> Decomposition analysis for children 6-23 months from 2000-2016</w:t>
      </w:r>
      <w:bookmarkEnd w:id="30"/>
    </w:p>
    <w:p w14:paraId="72F4A8E7" w14:textId="0EF7C492" w:rsidR="000C7ADC" w:rsidRDefault="000C7ADC" w:rsidP="000C7ADC">
      <w:pPr>
        <w:rPr>
          <w:rFonts w:ascii="Helvetica" w:hAnsi="Helvetica" w:cs="Helvetica"/>
          <w:lang w:val="en-US" w:eastAsia="es-ES_tradnl"/>
        </w:rPr>
      </w:pPr>
    </w:p>
    <w:tbl>
      <w:tblPr>
        <w:tblpPr w:leftFromText="180" w:rightFromText="180" w:vertAnchor="text" w:horzAnchor="margin" w:tblpYSpec="cente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1217"/>
        <w:gridCol w:w="1843"/>
        <w:gridCol w:w="1620"/>
        <w:gridCol w:w="1705"/>
      </w:tblGrid>
      <w:tr w:rsidR="00C14D61" w:rsidRPr="003D7162" w14:paraId="55A0143A" w14:textId="77777777" w:rsidTr="00C14D61">
        <w:trPr>
          <w:trHeight w:val="705"/>
        </w:trPr>
        <w:tc>
          <w:tcPr>
            <w:tcW w:w="3325" w:type="dxa"/>
            <w:shd w:val="clear" w:color="auto" w:fill="auto"/>
            <w:noWrap/>
            <w:vAlign w:val="center"/>
            <w:hideMark/>
          </w:tcPr>
          <w:p w14:paraId="13210F28" w14:textId="77777777" w:rsidR="00C14D61" w:rsidRPr="003D7162" w:rsidRDefault="00C14D61" w:rsidP="00C14D61">
            <w:pPr>
              <w:rPr>
                <w:rFonts w:ascii="Helvetica" w:eastAsia="Times New Roman" w:hAnsi="Helvetica" w:cs="Helvetica"/>
                <w:b/>
                <w:bCs/>
                <w:color w:val="000000"/>
                <w:sz w:val="20"/>
                <w:szCs w:val="20"/>
                <w:u w:val="single"/>
              </w:rPr>
            </w:pPr>
            <w:r w:rsidRPr="003D7162">
              <w:rPr>
                <w:rFonts w:ascii="Helvetica" w:eastAsia="Times New Roman" w:hAnsi="Helvetica" w:cs="Helvetica"/>
                <w:b/>
                <w:bCs/>
                <w:color w:val="000000"/>
                <w:sz w:val="20"/>
                <w:szCs w:val="20"/>
                <w:u w:val="single"/>
              </w:rPr>
              <w:t>Factors</w:t>
            </w:r>
          </w:p>
        </w:tc>
        <w:tc>
          <w:tcPr>
            <w:tcW w:w="1217" w:type="dxa"/>
            <w:vAlign w:val="center"/>
          </w:tcPr>
          <w:p w14:paraId="764F2A79"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Estimated</w:t>
            </w:r>
          </w:p>
          <w:p w14:paraId="561D65F5"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coefficient</w:t>
            </w:r>
          </w:p>
        </w:tc>
        <w:tc>
          <w:tcPr>
            <w:tcW w:w="1843" w:type="dxa"/>
            <w:vAlign w:val="bottom"/>
          </w:tcPr>
          <w:p w14:paraId="40DD478A"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Mean difference  (2016-2000)</w:t>
            </w:r>
          </w:p>
        </w:tc>
        <w:tc>
          <w:tcPr>
            <w:tcW w:w="1620" w:type="dxa"/>
            <w:shd w:val="clear" w:color="auto" w:fill="auto"/>
            <w:noWrap/>
            <w:vAlign w:val="center"/>
            <w:hideMark/>
          </w:tcPr>
          <w:p w14:paraId="040E4351"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Predicted change in HAZ</w:t>
            </w:r>
          </w:p>
        </w:tc>
        <w:tc>
          <w:tcPr>
            <w:tcW w:w="1705" w:type="dxa"/>
            <w:shd w:val="clear" w:color="auto" w:fill="auto"/>
            <w:noWrap/>
            <w:vAlign w:val="center"/>
            <w:hideMark/>
          </w:tcPr>
          <w:p w14:paraId="32392729"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Share of predicted change in (%)</w:t>
            </w:r>
          </w:p>
        </w:tc>
      </w:tr>
      <w:tr w:rsidR="00C14D61" w:rsidRPr="003D7162" w14:paraId="21A77993" w14:textId="77777777" w:rsidTr="00C14D61">
        <w:trPr>
          <w:trHeight w:val="390"/>
        </w:trPr>
        <w:tc>
          <w:tcPr>
            <w:tcW w:w="3325" w:type="dxa"/>
            <w:shd w:val="clear" w:color="auto" w:fill="auto"/>
            <w:noWrap/>
            <w:vAlign w:val="bottom"/>
            <w:hideMark/>
          </w:tcPr>
          <w:p w14:paraId="7934E815"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217" w:type="dxa"/>
            <w:vAlign w:val="bottom"/>
          </w:tcPr>
          <w:p w14:paraId="7DB866DC" w14:textId="77777777" w:rsidR="00C14D61" w:rsidRPr="003D7162" w:rsidRDefault="00C14D61" w:rsidP="00C14D61">
            <w:pPr>
              <w:jc w:val="center"/>
              <w:rPr>
                <w:rFonts w:ascii="Helvetica" w:eastAsia="Times New Roman" w:hAnsi="Helvetica" w:cs="Helvetica"/>
                <w:color w:val="000000"/>
              </w:rPr>
            </w:pPr>
          </w:p>
        </w:tc>
        <w:tc>
          <w:tcPr>
            <w:tcW w:w="1843" w:type="dxa"/>
            <w:vAlign w:val="bottom"/>
          </w:tcPr>
          <w:p w14:paraId="264F023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0.267</w:t>
            </w:r>
          </w:p>
        </w:tc>
        <w:tc>
          <w:tcPr>
            <w:tcW w:w="1620" w:type="dxa"/>
            <w:shd w:val="clear" w:color="auto" w:fill="auto"/>
            <w:noWrap/>
            <w:vAlign w:val="bottom"/>
            <w:hideMark/>
          </w:tcPr>
          <w:p w14:paraId="4015521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0.500</w:t>
            </w:r>
          </w:p>
        </w:tc>
        <w:tc>
          <w:tcPr>
            <w:tcW w:w="1705" w:type="dxa"/>
            <w:shd w:val="clear" w:color="auto" w:fill="auto"/>
            <w:noWrap/>
            <w:vAlign w:val="bottom"/>
            <w:hideMark/>
          </w:tcPr>
          <w:p w14:paraId="0CFB598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187.3%</w:t>
            </w:r>
          </w:p>
        </w:tc>
      </w:tr>
      <w:tr w:rsidR="00C14D61" w:rsidRPr="003D7162" w14:paraId="75FB8328" w14:textId="77777777" w:rsidTr="00C14D61">
        <w:trPr>
          <w:trHeight w:val="375"/>
        </w:trPr>
        <w:tc>
          <w:tcPr>
            <w:tcW w:w="3325" w:type="dxa"/>
            <w:shd w:val="clear" w:color="auto" w:fill="auto"/>
            <w:vAlign w:val="center"/>
            <w:hideMark/>
          </w:tcPr>
          <w:p w14:paraId="30EFBFD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Wealth Index (0-10)</w:t>
            </w:r>
          </w:p>
        </w:tc>
        <w:tc>
          <w:tcPr>
            <w:tcW w:w="1217" w:type="dxa"/>
            <w:vAlign w:val="center"/>
          </w:tcPr>
          <w:p w14:paraId="789F60D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0.071</w:t>
            </w:r>
          </w:p>
        </w:tc>
        <w:tc>
          <w:tcPr>
            <w:tcW w:w="1843" w:type="dxa"/>
            <w:vAlign w:val="bottom"/>
          </w:tcPr>
          <w:p w14:paraId="1553DC4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0.022</w:t>
            </w:r>
          </w:p>
        </w:tc>
        <w:tc>
          <w:tcPr>
            <w:tcW w:w="1620" w:type="dxa"/>
            <w:shd w:val="clear" w:color="auto" w:fill="auto"/>
            <w:noWrap/>
            <w:vAlign w:val="bottom"/>
            <w:hideMark/>
          </w:tcPr>
          <w:p w14:paraId="4D352E5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705" w:type="dxa"/>
            <w:shd w:val="clear" w:color="auto" w:fill="auto"/>
            <w:noWrap/>
            <w:vAlign w:val="bottom"/>
            <w:hideMark/>
          </w:tcPr>
          <w:p w14:paraId="0C3F5DB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0.3%</w:t>
            </w:r>
          </w:p>
        </w:tc>
      </w:tr>
      <w:tr w:rsidR="00C14D61" w:rsidRPr="003D7162" w14:paraId="46B4960B" w14:textId="77777777" w:rsidTr="00C14D61">
        <w:trPr>
          <w:trHeight w:val="375"/>
        </w:trPr>
        <w:tc>
          <w:tcPr>
            <w:tcW w:w="3325" w:type="dxa"/>
            <w:shd w:val="clear" w:color="auto" w:fill="auto"/>
            <w:vAlign w:val="center"/>
            <w:hideMark/>
          </w:tcPr>
          <w:p w14:paraId="4CE38686"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Mother years of schooling</w:t>
            </w:r>
          </w:p>
        </w:tc>
        <w:tc>
          <w:tcPr>
            <w:tcW w:w="1217" w:type="dxa"/>
            <w:vAlign w:val="center"/>
          </w:tcPr>
          <w:p w14:paraId="4FAC993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0.037</w:t>
            </w:r>
          </w:p>
        </w:tc>
        <w:tc>
          <w:tcPr>
            <w:tcW w:w="1843" w:type="dxa"/>
            <w:vAlign w:val="bottom"/>
          </w:tcPr>
          <w:p w14:paraId="2B7EF1A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2.361</w:t>
            </w:r>
          </w:p>
        </w:tc>
        <w:tc>
          <w:tcPr>
            <w:tcW w:w="1620" w:type="dxa"/>
            <w:shd w:val="clear" w:color="auto" w:fill="auto"/>
            <w:noWrap/>
            <w:vAlign w:val="bottom"/>
            <w:hideMark/>
          </w:tcPr>
          <w:p w14:paraId="400A6F1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0.087</w:t>
            </w:r>
          </w:p>
        </w:tc>
        <w:tc>
          <w:tcPr>
            <w:tcW w:w="1705" w:type="dxa"/>
            <w:shd w:val="clear" w:color="auto" w:fill="auto"/>
            <w:noWrap/>
            <w:vAlign w:val="bottom"/>
            <w:hideMark/>
          </w:tcPr>
          <w:p w14:paraId="6B55694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17.5%</w:t>
            </w:r>
          </w:p>
        </w:tc>
      </w:tr>
      <w:tr w:rsidR="00C14D61" w:rsidRPr="003D7162" w14:paraId="708CB305" w14:textId="77777777" w:rsidTr="00C14D61">
        <w:trPr>
          <w:trHeight w:val="375"/>
        </w:trPr>
        <w:tc>
          <w:tcPr>
            <w:tcW w:w="3325" w:type="dxa"/>
            <w:shd w:val="clear" w:color="auto" w:fill="auto"/>
            <w:vAlign w:val="center"/>
            <w:hideMark/>
          </w:tcPr>
          <w:p w14:paraId="18ED0854"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Father years of schooling</w:t>
            </w:r>
          </w:p>
        </w:tc>
        <w:tc>
          <w:tcPr>
            <w:tcW w:w="1217" w:type="dxa"/>
            <w:vAlign w:val="center"/>
          </w:tcPr>
          <w:p w14:paraId="58653A4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0.015</w:t>
            </w:r>
          </w:p>
        </w:tc>
        <w:tc>
          <w:tcPr>
            <w:tcW w:w="1843" w:type="dxa"/>
            <w:vAlign w:val="bottom"/>
          </w:tcPr>
          <w:p w14:paraId="3E7AC09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0.770</w:t>
            </w:r>
          </w:p>
        </w:tc>
        <w:tc>
          <w:tcPr>
            <w:tcW w:w="1620" w:type="dxa"/>
            <w:shd w:val="clear" w:color="auto" w:fill="auto"/>
            <w:noWrap/>
            <w:vAlign w:val="bottom"/>
            <w:hideMark/>
          </w:tcPr>
          <w:p w14:paraId="063B3D2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0.011</w:t>
            </w:r>
          </w:p>
        </w:tc>
        <w:tc>
          <w:tcPr>
            <w:tcW w:w="1705" w:type="dxa"/>
            <w:shd w:val="clear" w:color="auto" w:fill="auto"/>
            <w:noWrap/>
            <w:vAlign w:val="bottom"/>
            <w:hideMark/>
          </w:tcPr>
          <w:p w14:paraId="29A66C1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2.2%</w:t>
            </w:r>
          </w:p>
        </w:tc>
      </w:tr>
      <w:tr w:rsidR="00C14D61" w:rsidRPr="003D7162" w14:paraId="734D5510" w14:textId="77777777" w:rsidTr="00C14D61">
        <w:trPr>
          <w:trHeight w:val="375"/>
        </w:trPr>
        <w:tc>
          <w:tcPr>
            <w:tcW w:w="3325" w:type="dxa"/>
            <w:shd w:val="clear" w:color="auto" w:fill="auto"/>
            <w:vAlign w:val="center"/>
            <w:hideMark/>
          </w:tcPr>
          <w:p w14:paraId="60BCC7C4"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Complementary feeding</w:t>
            </w:r>
          </w:p>
        </w:tc>
        <w:tc>
          <w:tcPr>
            <w:tcW w:w="1217" w:type="dxa"/>
            <w:vAlign w:val="center"/>
          </w:tcPr>
          <w:p w14:paraId="45489B4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-0.068</w:t>
            </w:r>
          </w:p>
        </w:tc>
        <w:tc>
          <w:tcPr>
            <w:tcW w:w="1843" w:type="dxa"/>
            <w:vAlign w:val="bottom"/>
          </w:tcPr>
          <w:p w14:paraId="0D79839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620" w:type="dxa"/>
            <w:shd w:val="clear" w:color="auto" w:fill="auto"/>
            <w:noWrap/>
            <w:vAlign w:val="bottom"/>
            <w:hideMark/>
          </w:tcPr>
          <w:p w14:paraId="09B9929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705" w:type="dxa"/>
            <w:shd w:val="clear" w:color="auto" w:fill="auto"/>
            <w:noWrap/>
            <w:vAlign w:val="bottom"/>
            <w:hideMark/>
          </w:tcPr>
          <w:p w14:paraId="2F3A86A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w:t>
            </w:r>
          </w:p>
        </w:tc>
      </w:tr>
      <w:tr w:rsidR="00C14D61" w:rsidRPr="003D7162" w14:paraId="5BB9FC87" w14:textId="77777777" w:rsidTr="00C14D61">
        <w:trPr>
          <w:trHeight w:val="375"/>
        </w:trPr>
        <w:tc>
          <w:tcPr>
            <w:tcW w:w="3325" w:type="dxa"/>
            <w:shd w:val="clear" w:color="auto" w:fill="auto"/>
            <w:vAlign w:val="center"/>
            <w:hideMark/>
          </w:tcPr>
          <w:p w14:paraId="78C54C2F"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Altitude</w:t>
            </w:r>
          </w:p>
        </w:tc>
        <w:tc>
          <w:tcPr>
            <w:tcW w:w="1217" w:type="dxa"/>
            <w:vAlign w:val="center"/>
          </w:tcPr>
          <w:p w14:paraId="44088D3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843" w:type="dxa"/>
            <w:vAlign w:val="bottom"/>
          </w:tcPr>
          <w:p w14:paraId="171DCD8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-396.760</w:t>
            </w:r>
          </w:p>
        </w:tc>
        <w:tc>
          <w:tcPr>
            <w:tcW w:w="1620" w:type="dxa"/>
            <w:shd w:val="clear" w:color="auto" w:fill="auto"/>
            <w:noWrap/>
            <w:vAlign w:val="bottom"/>
            <w:hideMark/>
          </w:tcPr>
          <w:p w14:paraId="6D633C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0.062</w:t>
            </w:r>
          </w:p>
        </w:tc>
        <w:tc>
          <w:tcPr>
            <w:tcW w:w="1705" w:type="dxa"/>
            <w:shd w:val="clear" w:color="auto" w:fill="auto"/>
            <w:noWrap/>
            <w:vAlign w:val="bottom"/>
            <w:hideMark/>
          </w:tcPr>
          <w:p w14:paraId="13165B5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12.3%</w:t>
            </w:r>
          </w:p>
        </w:tc>
      </w:tr>
      <w:tr w:rsidR="00C14D61" w:rsidRPr="003D7162" w14:paraId="6343DA73" w14:textId="77777777" w:rsidTr="00C14D61">
        <w:trPr>
          <w:trHeight w:val="375"/>
        </w:trPr>
        <w:tc>
          <w:tcPr>
            <w:tcW w:w="3325" w:type="dxa"/>
            <w:shd w:val="clear" w:color="auto" w:fill="auto"/>
            <w:vAlign w:val="center"/>
            <w:hideMark/>
          </w:tcPr>
          <w:p w14:paraId="0919B989"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Measles vaccine</w:t>
            </w:r>
          </w:p>
        </w:tc>
        <w:tc>
          <w:tcPr>
            <w:tcW w:w="1217" w:type="dxa"/>
            <w:vAlign w:val="center"/>
          </w:tcPr>
          <w:p w14:paraId="3AEF853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0.111</w:t>
            </w:r>
          </w:p>
        </w:tc>
        <w:tc>
          <w:tcPr>
            <w:tcW w:w="1843" w:type="dxa"/>
            <w:vAlign w:val="bottom"/>
          </w:tcPr>
          <w:p w14:paraId="11D6CE5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0.020</w:t>
            </w:r>
          </w:p>
        </w:tc>
        <w:tc>
          <w:tcPr>
            <w:tcW w:w="1620" w:type="dxa"/>
            <w:shd w:val="clear" w:color="auto" w:fill="auto"/>
            <w:noWrap/>
            <w:vAlign w:val="bottom"/>
            <w:hideMark/>
          </w:tcPr>
          <w:p w14:paraId="78B702B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705" w:type="dxa"/>
            <w:shd w:val="clear" w:color="auto" w:fill="auto"/>
            <w:noWrap/>
            <w:vAlign w:val="bottom"/>
            <w:hideMark/>
          </w:tcPr>
          <w:p w14:paraId="1FF05D9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w:t>
            </w:r>
          </w:p>
        </w:tc>
      </w:tr>
      <w:tr w:rsidR="00C14D61" w:rsidRPr="003D7162" w14:paraId="5EF57B65" w14:textId="77777777" w:rsidTr="00C14D61">
        <w:trPr>
          <w:trHeight w:val="375"/>
        </w:trPr>
        <w:tc>
          <w:tcPr>
            <w:tcW w:w="3325" w:type="dxa"/>
            <w:shd w:val="clear" w:color="auto" w:fill="auto"/>
            <w:vAlign w:val="center"/>
            <w:hideMark/>
          </w:tcPr>
          <w:p w14:paraId="3D205122"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Skilled birth attendants</w:t>
            </w:r>
          </w:p>
        </w:tc>
        <w:tc>
          <w:tcPr>
            <w:tcW w:w="1217" w:type="dxa"/>
            <w:vAlign w:val="center"/>
          </w:tcPr>
          <w:p w14:paraId="1BD559A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0.271</w:t>
            </w:r>
          </w:p>
        </w:tc>
        <w:tc>
          <w:tcPr>
            <w:tcW w:w="1843" w:type="dxa"/>
            <w:vAlign w:val="bottom"/>
          </w:tcPr>
          <w:p w14:paraId="62DCF60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0.438</w:t>
            </w:r>
          </w:p>
        </w:tc>
        <w:tc>
          <w:tcPr>
            <w:tcW w:w="1620" w:type="dxa"/>
            <w:shd w:val="clear" w:color="auto" w:fill="auto"/>
            <w:noWrap/>
            <w:vAlign w:val="bottom"/>
            <w:hideMark/>
          </w:tcPr>
          <w:p w14:paraId="51D7DB7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0.119</w:t>
            </w:r>
          </w:p>
        </w:tc>
        <w:tc>
          <w:tcPr>
            <w:tcW w:w="1705" w:type="dxa"/>
            <w:shd w:val="clear" w:color="auto" w:fill="auto"/>
            <w:noWrap/>
            <w:vAlign w:val="bottom"/>
            <w:hideMark/>
          </w:tcPr>
          <w:p w14:paraId="610A308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23.7%</w:t>
            </w:r>
          </w:p>
        </w:tc>
      </w:tr>
      <w:tr w:rsidR="00C14D61" w:rsidRPr="003D7162" w14:paraId="07C31E7C" w14:textId="77777777" w:rsidTr="00C14D61">
        <w:trPr>
          <w:trHeight w:val="375"/>
        </w:trPr>
        <w:tc>
          <w:tcPr>
            <w:tcW w:w="3325" w:type="dxa"/>
            <w:shd w:val="clear" w:color="auto" w:fill="auto"/>
            <w:vAlign w:val="center"/>
            <w:hideMark/>
          </w:tcPr>
          <w:p w14:paraId="0A8BBA4B"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Care seeking for pneumonia</w:t>
            </w:r>
          </w:p>
        </w:tc>
        <w:tc>
          <w:tcPr>
            <w:tcW w:w="1217" w:type="dxa"/>
            <w:vAlign w:val="center"/>
          </w:tcPr>
          <w:p w14:paraId="2D76989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-0.004</w:t>
            </w:r>
          </w:p>
        </w:tc>
        <w:tc>
          <w:tcPr>
            <w:tcW w:w="1843" w:type="dxa"/>
            <w:vAlign w:val="bottom"/>
          </w:tcPr>
          <w:p w14:paraId="39C91F1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0.103</w:t>
            </w:r>
          </w:p>
        </w:tc>
        <w:tc>
          <w:tcPr>
            <w:tcW w:w="1620" w:type="dxa"/>
            <w:shd w:val="clear" w:color="auto" w:fill="auto"/>
            <w:noWrap/>
            <w:vAlign w:val="bottom"/>
            <w:hideMark/>
          </w:tcPr>
          <w:p w14:paraId="73BB8D3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705" w:type="dxa"/>
            <w:shd w:val="clear" w:color="auto" w:fill="auto"/>
            <w:noWrap/>
            <w:vAlign w:val="bottom"/>
            <w:hideMark/>
          </w:tcPr>
          <w:p w14:paraId="7D24CC6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w:t>
            </w:r>
          </w:p>
        </w:tc>
      </w:tr>
      <w:tr w:rsidR="00C14D61" w:rsidRPr="003D7162" w14:paraId="5C244C6A" w14:textId="77777777" w:rsidTr="00C14D61">
        <w:trPr>
          <w:trHeight w:val="375"/>
        </w:trPr>
        <w:tc>
          <w:tcPr>
            <w:tcW w:w="3325" w:type="dxa"/>
            <w:shd w:val="clear" w:color="auto" w:fill="auto"/>
            <w:vAlign w:val="center"/>
            <w:hideMark/>
          </w:tcPr>
          <w:p w14:paraId="6375270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Number of household members</w:t>
            </w:r>
          </w:p>
        </w:tc>
        <w:tc>
          <w:tcPr>
            <w:tcW w:w="1217" w:type="dxa"/>
            <w:vAlign w:val="center"/>
          </w:tcPr>
          <w:p w14:paraId="2067294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-0.024</w:t>
            </w:r>
          </w:p>
        </w:tc>
        <w:tc>
          <w:tcPr>
            <w:tcW w:w="1843" w:type="dxa"/>
            <w:vAlign w:val="bottom"/>
          </w:tcPr>
          <w:p w14:paraId="30A7A50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-0.889</w:t>
            </w:r>
          </w:p>
        </w:tc>
        <w:tc>
          <w:tcPr>
            <w:tcW w:w="1620" w:type="dxa"/>
            <w:shd w:val="clear" w:color="auto" w:fill="auto"/>
            <w:noWrap/>
            <w:vAlign w:val="bottom"/>
            <w:hideMark/>
          </w:tcPr>
          <w:p w14:paraId="2A727FF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0.021</w:t>
            </w:r>
          </w:p>
        </w:tc>
        <w:tc>
          <w:tcPr>
            <w:tcW w:w="1705" w:type="dxa"/>
            <w:shd w:val="clear" w:color="auto" w:fill="auto"/>
            <w:noWrap/>
            <w:vAlign w:val="bottom"/>
            <w:hideMark/>
          </w:tcPr>
          <w:p w14:paraId="05A3133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4.2%</w:t>
            </w:r>
          </w:p>
        </w:tc>
      </w:tr>
      <w:tr w:rsidR="00C14D61" w:rsidRPr="003D7162" w14:paraId="35955AFE" w14:textId="77777777" w:rsidTr="00C14D61">
        <w:trPr>
          <w:trHeight w:val="375"/>
        </w:trPr>
        <w:tc>
          <w:tcPr>
            <w:tcW w:w="3325" w:type="dxa"/>
            <w:shd w:val="clear" w:color="auto" w:fill="auto"/>
            <w:vAlign w:val="center"/>
            <w:hideMark/>
          </w:tcPr>
          <w:p w14:paraId="779463E2"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Low birthweight</w:t>
            </w:r>
          </w:p>
        </w:tc>
        <w:tc>
          <w:tcPr>
            <w:tcW w:w="1217" w:type="dxa"/>
            <w:vAlign w:val="center"/>
          </w:tcPr>
          <w:p w14:paraId="12C8CC1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-0.400</w:t>
            </w:r>
          </w:p>
        </w:tc>
        <w:tc>
          <w:tcPr>
            <w:tcW w:w="1843" w:type="dxa"/>
            <w:vAlign w:val="bottom"/>
          </w:tcPr>
          <w:p w14:paraId="3C4A52E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-0.022</w:t>
            </w:r>
          </w:p>
        </w:tc>
        <w:tc>
          <w:tcPr>
            <w:tcW w:w="1620" w:type="dxa"/>
            <w:shd w:val="clear" w:color="auto" w:fill="auto"/>
            <w:noWrap/>
            <w:vAlign w:val="bottom"/>
            <w:hideMark/>
          </w:tcPr>
          <w:p w14:paraId="0A5BBC9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0.009</w:t>
            </w:r>
          </w:p>
        </w:tc>
        <w:tc>
          <w:tcPr>
            <w:tcW w:w="1705" w:type="dxa"/>
            <w:shd w:val="clear" w:color="auto" w:fill="auto"/>
            <w:noWrap/>
            <w:vAlign w:val="bottom"/>
            <w:hideMark/>
          </w:tcPr>
          <w:p w14:paraId="7C5DCD2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w:t>
            </w:r>
          </w:p>
        </w:tc>
      </w:tr>
      <w:tr w:rsidR="00C14D61" w:rsidRPr="003D7162" w14:paraId="46200E13" w14:textId="77777777" w:rsidTr="00C14D61">
        <w:trPr>
          <w:trHeight w:val="375"/>
        </w:trPr>
        <w:tc>
          <w:tcPr>
            <w:tcW w:w="3325" w:type="dxa"/>
            <w:shd w:val="clear" w:color="auto" w:fill="auto"/>
            <w:vAlign w:val="center"/>
            <w:hideMark/>
          </w:tcPr>
          <w:p w14:paraId="3DD090B9"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BMI (kg/m</w:t>
            </w:r>
            <w:r w:rsidRPr="003D7162">
              <w:rPr>
                <w:rFonts w:ascii="Helvetica" w:eastAsia="Times New Roman" w:hAnsi="Helvetica" w:cs="Helvetica"/>
                <w:color w:val="000000"/>
                <w:sz w:val="20"/>
                <w:szCs w:val="20"/>
                <w:vertAlign w:val="superscript"/>
              </w:rPr>
              <w:t>2</w:t>
            </w:r>
            <w:r w:rsidRPr="003D7162">
              <w:rPr>
                <w:rFonts w:ascii="Helvetica" w:eastAsia="Times New Roman" w:hAnsi="Helvetica" w:cs="Helvetica"/>
                <w:color w:val="000000"/>
                <w:sz w:val="20"/>
                <w:szCs w:val="20"/>
              </w:rPr>
              <w:t>)</w:t>
            </w:r>
          </w:p>
        </w:tc>
        <w:tc>
          <w:tcPr>
            <w:tcW w:w="1217" w:type="dxa"/>
            <w:vAlign w:val="center"/>
          </w:tcPr>
          <w:p w14:paraId="054CE9D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0.010</w:t>
            </w:r>
          </w:p>
        </w:tc>
        <w:tc>
          <w:tcPr>
            <w:tcW w:w="1843" w:type="dxa"/>
            <w:vAlign w:val="bottom"/>
          </w:tcPr>
          <w:p w14:paraId="72B4A94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1.339</w:t>
            </w:r>
          </w:p>
        </w:tc>
        <w:tc>
          <w:tcPr>
            <w:tcW w:w="1620" w:type="dxa"/>
            <w:shd w:val="clear" w:color="auto" w:fill="auto"/>
            <w:noWrap/>
            <w:vAlign w:val="bottom"/>
            <w:hideMark/>
          </w:tcPr>
          <w:p w14:paraId="17CE515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0.013</w:t>
            </w:r>
          </w:p>
        </w:tc>
        <w:tc>
          <w:tcPr>
            <w:tcW w:w="1705" w:type="dxa"/>
            <w:shd w:val="clear" w:color="auto" w:fill="auto"/>
            <w:noWrap/>
            <w:vAlign w:val="bottom"/>
            <w:hideMark/>
          </w:tcPr>
          <w:p w14:paraId="61138D4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2.6%</w:t>
            </w:r>
          </w:p>
        </w:tc>
      </w:tr>
      <w:tr w:rsidR="00C14D61" w:rsidRPr="003D7162" w14:paraId="4557DC35" w14:textId="77777777" w:rsidTr="00C14D61">
        <w:trPr>
          <w:trHeight w:val="375"/>
        </w:trPr>
        <w:tc>
          <w:tcPr>
            <w:tcW w:w="3325" w:type="dxa"/>
            <w:shd w:val="clear" w:color="auto" w:fill="auto"/>
            <w:vAlign w:val="center"/>
            <w:hideMark/>
          </w:tcPr>
          <w:p w14:paraId="56C8BF99"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Height (cm)</w:t>
            </w:r>
          </w:p>
        </w:tc>
        <w:tc>
          <w:tcPr>
            <w:tcW w:w="1217" w:type="dxa"/>
            <w:vAlign w:val="center"/>
          </w:tcPr>
          <w:p w14:paraId="6E6B427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0.058</w:t>
            </w:r>
          </w:p>
        </w:tc>
        <w:tc>
          <w:tcPr>
            <w:tcW w:w="1843" w:type="dxa"/>
            <w:vAlign w:val="bottom"/>
          </w:tcPr>
          <w:p w14:paraId="23E1F96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1.875</w:t>
            </w:r>
          </w:p>
        </w:tc>
        <w:tc>
          <w:tcPr>
            <w:tcW w:w="1620" w:type="dxa"/>
            <w:shd w:val="clear" w:color="auto" w:fill="auto"/>
            <w:noWrap/>
            <w:vAlign w:val="bottom"/>
            <w:hideMark/>
          </w:tcPr>
          <w:p w14:paraId="2F295EA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0.109</w:t>
            </w:r>
          </w:p>
        </w:tc>
        <w:tc>
          <w:tcPr>
            <w:tcW w:w="1705" w:type="dxa"/>
            <w:shd w:val="clear" w:color="auto" w:fill="auto"/>
            <w:noWrap/>
            <w:vAlign w:val="bottom"/>
            <w:hideMark/>
          </w:tcPr>
          <w:p w14:paraId="6120E0A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21.8%</w:t>
            </w:r>
          </w:p>
        </w:tc>
      </w:tr>
      <w:tr w:rsidR="00C14D61" w:rsidRPr="003D7162" w14:paraId="604889AF" w14:textId="77777777" w:rsidTr="00C14D61">
        <w:trPr>
          <w:trHeight w:val="375"/>
        </w:trPr>
        <w:tc>
          <w:tcPr>
            <w:tcW w:w="3325" w:type="dxa"/>
            <w:shd w:val="clear" w:color="auto" w:fill="auto"/>
            <w:vAlign w:val="center"/>
            <w:hideMark/>
          </w:tcPr>
          <w:p w14:paraId="56A7C028"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Parity</w:t>
            </w:r>
          </w:p>
        </w:tc>
        <w:tc>
          <w:tcPr>
            <w:tcW w:w="1217" w:type="dxa"/>
            <w:vAlign w:val="center"/>
          </w:tcPr>
          <w:p w14:paraId="7C83B5B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-0.041</w:t>
            </w:r>
          </w:p>
        </w:tc>
        <w:tc>
          <w:tcPr>
            <w:tcW w:w="1843" w:type="dxa"/>
            <w:vAlign w:val="bottom"/>
          </w:tcPr>
          <w:p w14:paraId="63E0137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-0.586</w:t>
            </w:r>
          </w:p>
        </w:tc>
        <w:tc>
          <w:tcPr>
            <w:tcW w:w="1620" w:type="dxa"/>
            <w:shd w:val="clear" w:color="auto" w:fill="auto"/>
            <w:noWrap/>
            <w:vAlign w:val="bottom"/>
            <w:hideMark/>
          </w:tcPr>
          <w:p w14:paraId="265877C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0.024</w:t>
            </w:r>
          </w:p>
        </w:tc>
        <w:tc>
          <w:tcPr>
            <w:tcW w:w="1705" w:type="dxa"/>
            <w:shd w:val="clear" w:color="auto" w:fill="auto"/>
            <w:noWrap/>
            <w:vAlign w:val="bottom"/>
            <w:hideMark/>
          </w:tcPr>
          <w:p w14:paraId="2AF6FCA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4.8%</w:t>
            </w:r>
          </w:p>
        </w:tc>
      </w:tr>
      <w:tr w:rsidR="00C14D61" w:rsidRPr="003D7162" w14:paraId="71010CCD" w14:textId="77777777" w:rsidTr="00C14D61">
        <w:trPr>
          <w:trHeight w:val="375"/>
        </w:trPr>
        <w:tc>
          <w:tcPr>
            <w:tcW w:w="3325" w:type="dxa"/>
            <w:shd w:val="clear" w:color="auto" w:fill="auto"/>
            <w:vAlign w:val="center"/>
            <w:hideMark/>
          </w:tcPr>
          <w:p w14:paraId="59D6DCAF"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Interpregnancy interval (months)</w:t>
            </w:r>
          </w:p>
        </w:tc>
        <w:tc>
          <w:tcPr>
            <w:tcW w:w="1217" w:type="dxa"/>
            <w:vAlign w:val="center"/>
          </w:tcPr>
          <w:p w14:paraId="22DD04C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843" w:type="dxa"/>
            <w:vAlign w:val="bottom"/>
          </w:tcPr>
          <w:p w14:paraId="140E4DD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19.160</w:t>
            </w:r>
          </w:p>
        </w:tc>
        <w:tc>
          <w:tcPr>
            <w:tcW w:w="1620" w:type="dxa"/>
            <w:shd w:val="clear" w:color="auto" w:fill="auto"/>
            <w:noWrap/>
            <w:vAlign w:val="bottom"/>
            <w:hideMark/>
          </w:tcPr>
          <w:p w14:paraId="03CE213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0.031</w:t>
            </w:r>
          </w:p>
        </w:tc>
        <w:tc>
          <w:tcPr>
            <w:tcW w:w="1705" w:type="dxa"/>
            <w:shd w:val="clear" w:color="auto" w:fill="auto"/>
            <w:noWrap/>
            <w:vAlign w:val="bottom"/>
            <w:hideMark/>
          </w:tcPr>
          <w:p w14:paraId="15DD974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6.2%</w:t>
            </w:r>
          </w:p>
        </w:tc>
      </w:tr>
      <w:tr w:rsidR="00C14D61" w:rsidRPr="003D7162" w14:paraId="4CE93646" w14:textId="77777777" w:rsidTr="00C14D61">
        <w:trPr>
          <w:trHeight w:val="375"/>
        </w:trPr>
        <w:tc>
          <w:tcPr>
            <w:tcW w:w="3325" w:type="dxa"/>
            <w:shd w:val="clear" w:color="auto" w:fill="auto"/>
            <w:vAlign w:val="center"/>
            <w:hideMark/>
          </w:tcPr>
          <w:p w14:paraId="5055136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Others</w:t>
            </w:r>
          </w:p>
        </w:tc>
        <w:tc>
          <w:tcPr>
            <w:tcW w:w="1217" w:type="dxa"/>
            <w:vAlign w:val="bottom"/>
          </w:tcPr>
          <w:p w14:paraId="6AD624DE" w14:textId="77777777" w:rsidR="00C14D61" w:rsidRPr="003D7162" w:rsidRDefault="00C14D61" w:rsidP="00C14D61">
            <w:pPr>
              <w:jc w:val="center"/>
              <w:rPr>
                <w:rFonts w:ascii="Helvetica" w:eastAsia="Times New Roman" w:hAnsi="Helvetica" w:cs="Helvetica"/>
                <w:color w:val="000000"/>
              </w:rPr>
            </w:pPr>
          </w:p>
        </w:tc>
        <w:tc>
          <w:tcPr>
            <w:tcW w:w="1843" w:type="dxa"/>
            <w:vAlign w:val="bottom"/>
          </w:tcPr>
          <w:p w14:paraId="3451394F" w14:textId="77777777" w:rsidR="00C14D61" w:rsidRPr="003D7162" w:rsidRDefault="00C14D61" w:rsidP="00C14D61">
            <w:pPr>
              <w:jc w:val="center"/>
              <w:rPr>
                <w:rFonts w:ascii="Helvetica" w:eastAsia="Times New Roman" w:hAnsi="Helvetica" w:cs="Helvetica"/>
                <w:color w:val="000000"/>
              </w:rPr>
            </w:pPr>
          </w:p>
        </w:tc>
        <w:tc>
          <w:tcPr>
            <w:tcW w:w="1620" w:type="dxa"/>
            <w:shd w:val="clear" w:color="auto" w:fill="auto"/>
            <w:noWrap/>
            <w:vAlign w:val="bottom"/>
            <w:hideMark/>
          </w:tcPr>
          <w:p w14:paraId="2B104B7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w:t>
            </w:r>
          </w:p>
        </w:tc>
        <w:tc>
          <w:tcPr>
            <w:tcW w:w="1705" w:type="dxa"/>
            <w:shd w:val="clear" w:color="auto" w:fill="auto"/>
            <w:noWrap/>
            <w:vAlign w:val="bottom"/>
            <w:hideMark/>
          </w:tcPr>
          <w:p w14:paraId="2B2BDDD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2.2%</w:t>
            </w:r>
          </w:p>
        </w:tc>
      </w:tr>
    </w:tbl>
    <w:p w14:paraId="3D5523FA" w14:textId="21752F08" w:rsidR="00C14D61" w:rsidRDefault="00C14D61" w:rsidP="00C14D61">
      <w:pPr>
        <w:rPr>
          <w:rFonts w:ascii="Helvetica" w:hAnsi="Helvetica" w:cs="Helvetica"/>
        </w:rPr>
      </w:pPr>
    </w:p>
    <w:p w14:paraId="01697BAE" w14:textId="0E43D62E" w:rsidR="00C14D61" w:rsidRPr="00C14D61" w:rsidRDefault="00D91F4C" w:rsidP="003E1E6C">
      <w:pPr>
        <w:pStyle w:val="Heading2"/>
        <w:rPr>
          <w:b/>
        </w:rPr>
      </w:pPr>
      <w:bookmarkStart w:id="31" w:name="_Toc40953321"/>
      <w:r>
        <w:rPr>
          <w:rFonts w:cs="Helvetica"/>
          <w:b/>
          <w:szCs w:val="24"/>
        </w:rPr>
        <w:t xml:space="preserve">Supplementary </w:t>
      </w:r>
      <w:r w:rsidR="003E1E6C">
        <w:rPr>
          <w:b/>
        </w:rPr>
        <w:t xml:space="preserve">Appendix Figure 9: </w:t>
      </w:r>
      <w:r w:rsidR="00C14D61" w:rsidRPr="00C14D61">
        <w:t>Decomposing predicted changes in HAZ among children 6-23 months (i.e. relative ranking of product coefficients for determinant domains) from 2000-2016</w:t>
      </w:r>
      <w:bookmarkEnd w:id="31"/>
    </w:p>
    <w:p w14:paraId="523CCBF6" w14:textId="77777777" w:rsidR="00C14D61" w:rsidRPr="003D7162" w:rsidRDefault="00C14D61" w:rsidP="000C7ADC">
      <w:pPr>
        <w:rPr>
          <w:rFonts w:ascii="Helvetica" w:hAnsi="Helvetica" w:cs="Helvetica"/>
          <w:lang w:val="en-US" w:eastAsia="es-ES_tradnl"/>
        </w:rPr>
      </w:pPr>
    </w:p>
    <w:p w14:paraId="29AF990B" w14:textId="508F034D" w:rsidR="000C7ADC" w:rsidRPr="003D7162" w:rsidRDefault="000C7ADC" w:rsidP="000C7ADC">
      <w:pPr>
        <w:rPr>
          <w:rFonts w:ascii="Helvetica" w:hAnsi="Helvetica" w:cs="Helvetica"/>
          <w:lang w:val="en-US" w:eastAsia="es-ES_tradnl"/>
        </w:rPr>
      </w:pPr>
      <w:r w:rsidRPr="003D7162">
        <w:rPr>
          <w:rFonts w:ascii="Helvetica" w:hAnsi="Helvetica" w:cs="Helvetica"/>
          <w:noProof/>
          <w:lang w:val="en-CA" w:eastAsia="en-CA"/>
        </w:rPr>
        <w:drawing>
          <wp:inline distT="0" distB="0" distL="0" distR="0" wp14:anchorId="197E85AE" wp14:editId="2ED87989">
            <wp:extent cx="5396230" cy="2398816"/>
            <wp:effectExtent l="0" t="0" r="0" b="1905"/>
            <wp:docPr id="95" name="Chart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6766BB9" w14:textId="59F43483" w:rsidR="00D5600B" w:rsidRPr="003D7162" w:rsidRDefault="00D5600B" w:rsidP="000C7ADC">
      <w:pPr>
        <w:rPr>
          <w:rFonts w:ascii="Helvetica" w:hAnsi="Helvetica" w:cs="Helvetica"/>
        </w:rPr>
      </w:pPr>
    </w:p>
    <w:p w14:paraId="088F77EF" w14:textId="7E4F0E74" w:rsidR="000F5AE4" w:rsidRDefault="000F5AE4" w:rsidP="000C7ADC">
      <w:pPr>
        <w:rPr>
          <w:rFonts w:ascii="Helvetica" w:hAnsi="Helvetica" w:cs="Helvetica"/>
        </w:rPr>
      </w:pPr>
    </w:p>
    <w:p w14:paraId="74880D31" w14:textId="1359B5FB" w:rsidR="000C7ADC" w:rsidRPr="003D7162" w:rsidRDefault="00D91F4C" w:rsidP="000C7ADC">
      <w:pPr>
        <w:pStyle w:val="Heading2"/>
        <w:rPr>
          <w:rFonts w:cs="Helvetica"/>
          <w:szCs w:val="24"/>
        </w:rPr>
      </w:pPr>
      <w:bookmarkStart w:id="32" w:name="_Toc40953322"/>
      <w:r>
        <w:rPr>
          <w:rFonts w:cs="Helvetica"/>
          <w:b/>
          <w:szCs w:val="24"/>
        </w:rPr>
        <w:t xml:space="preserve">Supplementary </w:t>
      </w:r>
      <w:r w:rsidR="000C7ADC"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6</w:t>
      </w:r>
      <w:r w:rsidR="000C7ADC" w:rsidRPr="003D7162">
        <w:rPr>
          <w:rFonts w:cs="Helvetica"/>
          <w:b/>
          <w:szCs w:val="24"/>
        </w:rPr>
        <w:t>:</w:t>
      </w:r>
      <w:r w:rsidR="000C7ADC" w:rsidRPr="003D7162">
        <w:rPr>
          <w:rFonts w:cs="Helvetica"/>
          <w:szCs w:val="24"/>
        </w:rPr>
        <w:t xml:space="preserve"> Decomposition analysis for children 24-59 months from 2000-2016</w:t>
      </w:r>
      <w:bookmarkEnd w:id="32"/>
    </w:p>
    <w:tbl>
      <w:tblPr>
        <w:tblpPr w:leftFromText="180" w:rightFromText="180" w:vertAnchor="text" w:horzAnchor="margin" w:tblpY="148"/>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260"/>
        <w:gridCol w:w="1890"/>
        <w:gridCol w:w="1710"/>
        <w:gridCol w:w="1620"/>
      </w:tblGrid>
      <w:tr w:rsidR="00C14D61" w:rsidRPr="003D7162" w14:paraId="6EC3F704" w14:textId="77777777" w:rsidTr="00C14D61">
        <w:trPr>
          <w:trHeight w:val="705"/>
        </w:trPr>
        <w:tc>
          <w:tcPr>
            <w:tcW w:w="3505" w:type="dxa"/>
            <w:shd w:val="clear" w:color="auto" w:fill="auto"/>
            <w:noWrap/>
            <w:vAlign w:val="center"/>
            <w:hideMark/>
          </w:tcPr>
          <w:p w14:paraId="7068F1D3" w14:textId="77777777" w:rsidR="00C14D61" w:rsidRPr="003D7162" w:rsidRDefault="00C14D61" w:rsidP="00C14D61">
            <w:pPr>
              <w:rPr>
                <w:rFonts w:ascii="Helvetica" w:eastAsia="Times New Roman" w:hAnsi="Helvetica" w:cs="Helvetica"/>
                <w:b/>
                <w:bCs/>
                <w:color w:val="000000"/>
                <w:sz w:val="20"/>
                <w:szCs w:val="20"/>
                <w:u w:val="single"/>
              </w:rPr>
            </w:pPr>
            <w:r w:rsidRPr="003D7162">
              <w:rPr>
                <w:rFonts w:ascii="Helvetica" w:eastAsia="Times New Roman" w:hAnsi="Helvetica" w:cs="Helvetica"/>
                <w:b/>
                <w:bCs/>
                <w:color w:val="000000"/>
                <w:sz w:val="20"/>
                <w:szCs w:val="20"/>
                <w:u w:val="single"/>
              </w:rPr>
              <w:t>Factors</w:t>
            </w:r>
          </w:p>
        </w:tc>
        <w:tc>
          <w:tcPr>
            <w:tcW w:w="1260" w:type="dxa"/>
            <w:vAlign w:val="center"/>
          </w:tcPr>
          <w:p w14:paraId="05121AA0"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Estimated</w:t>
            </w:r>
          </w:p>
          <w:p w14:paraId="2294200D"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coefficient</w:t>
            </w:r>
          </w:p>
        </w:tc>
        <w:tc>
          <w:tcPr>
            <w:tcW w:w="1890" w:type="dxa"/>
            <w:vAlign w:val="bottom"/>
          </w:tcPr>
          <w:p w14:paraId="279E67D8" w14:textId="74A7840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Mean difference (2016-2000)</w:t>
            </w:r>
          </w:p>
          <w:p w14:paraId="03028A23" w14:textId="77777777" w:rsidR="00C14D61" w:rsidRPr="003D7162" w:rsidRDefault="00C14D61" w:rsidP="00C14D61">
            <w:pPr>
              <w:jc w:val="center"/>
              <w:rPr>
                <w:rFonts w:ascii="Helvetica" w:eastAsia="Times New Roman" w:hAnsi="Helvetica" w:cs="Helvetica"/>
                <w:b/>
                <w:bCs/>
                <w:color w:val="000000"/>
                <w:sz w:val="20"/>
                <w:szCs w:val="20"/>
              </w:rPr>
            </w:pPr>
          </w:p>
        </w:tc>
        <w:tc>
          <w:tcPr>
            <w:tcW w:w="1710" w:type="dxa"/>
            <w:shd w:val="clear" w:color="auto" w:fill="auto"/>
            <w:noWrap/>
            <w:vAlign w:val="center"/>
            <w:hideMark/>
          </w:tcPr>
          <w:p w14:paraId="137A0AD4"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Predicted change in HAZ</w:t>
            </w:r>
          </w:p>
        </w:tc>
        <w:tc>
          <w:tcPr>
            <w:tcW w:w="1620" w:type="dxa"/>
            <w:shd w:val="clear" w:color="auto" w:fill="auto"/>
            <w:noWrap/>
            <w:vAlign w:val="center"/>
            <w:hideMark/>
          </w:tcPr>
          <w:p w14:paraId="4BFE1DA4"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Share of predicted change in (%)</w:t>
            </w:r>
          </w:p>
        </w:tc>
      </w:tr>
      <w:tr w:rsidR="00C14D61" w:rsidRPr="003D7162" w14:paraId="67F808DF" w14:textId="77777777" w:rsidTr="00C14D61">
        <w:trPr>
          <w:trHeight w:val="390"/>
        </w:trPr>
        <w:tc>
          <w:tcPr>
            <w:tcW w:w="3505" w:type="dxa"/>
            <w:shd w:val="clear" w:color="auto" w:fill="auto"/>
            <w:noWrap/>
            <w:vAlign w:val="bottom"/>
            <w:hideMark/>
          </w:tcPr>
          <w:p w14:paraId="6EE83781"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260" w:type="dxa"/>
            <w:vAlign w:val="bottom"/>
          </w:tcPr>
          <w:p w14:paraId="5DA65529" w14:textId="77777777" w:rsidR="00C14D61" w:rsidRPr="003D7162" w:rsidRDefault="00C14D61" w:rsidP="00C14D61">
            <w:pPr>
              <w:jc w:val="center"/>
              <w:rPr>
                <w:rFonts w:ascii="Helvetica" w:eastAsia="Times New Roman" w:hAnsi="Helvetica" w:cs="Helvetica"/>
                <w:color w:val="000000"/>
              </w:rPr>
            </w:pPr>
          </w:p>
        </w:tc>
        <w:tc>
          <w:tcPr>
            <w:tcW w:w="1890" w:type="dxa"/>
            <w:vAlign w:val="bottom"/>
          </w:tcPr>
          <w:p w14:paraId="511DE52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0.603</w:t>
            </w:r>
          </w:p>
        </w:tc>
        <w:tc>
          <w:tcPr>
            <w:tcW w:w="1710" w:type="dxa"/>
            <w:shd w:val="clear" w:color="auto" w:fill="auto"/>
            <w:noWrap/>
            <w:vAlign w:val="bottom"/>
            <w:hideMark/>
          </w:tcPr>
          <w:p w14:paraId="02EBF7A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0.480</w:t>
            </w:r>
          </w:p>
        </w:tc>
        <w:tc>
          <w:tcPr>
            <w:tcW w:w="1620" w:type="dxa"/>
            <w:shd w:val="clear" w:color="auto" w:fill="auto"/>
            <w:noWrap/>
            <w:vAlign w:val="bottom"/>
            <w:hideMark/>
          </w:tcPr>
          <w:p w14:paraId="3188CB9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79.6%</w:t>
            </w:r>
          </w:p>
        </w:tc>
      </w:tr>
      <w:tr w:rsidR="00C14D61" w:rsidRPr="003D7162" w14:paraId="3513F1FB" w14:textId="77777777" w:rsidTr="00C14D61">
        <w:trPr>
          <w:trHeight w:val="375"/>
        </w:trPr>
        <w:tc>
          <w:tcPr>
            <w:tcW w:w="3505" w:type="dxa"/>
            <w:shd w:val="clear" w:color="auto" w:fill="auto"/>
            <w:vAlign w:val="center"/>
            <w:hideMark/>
          </w:tcPr>
          <w:p w14:paraId="317944C1"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Wealth Index (0-10)</w:t>
            </w:r>
          </w:p>
        </w:tc>
        <w:tc>
          <w:tcPr>
            <w:tcW w:w="1260" w:type="dxa"/>
            <w:vAlign w:val="center"/>
          </w:tcPr>
          <w:p w14:paraId="144F6F9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0.094</w:t>
            </w:r>
          </w:p>
        </w:tc>
        <w:tc>
          <w:tcPr>
            <w:tcW w:w="1890" w:type="dxa"/>
            <w:vAlign w:val="bottom"/>
          </w:tcPr>
          <w:p w14:paraId="4679A92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-0.415</w:t>
            </w:r>
          </w:p>
        </w:tc>
        <w:tc>
          <w:tcPr>
            <w:tcW w:w="1710" w:type="dxa"/>
            <w:shd w:val="clear" w:color="auto" w:fill="auto"/>
            <w:noWrap/>
            <w:vAlign w:val="bottom"/>
            <w:hideMark/>
          </w:tcPr>
          <w:p w14:paraId="445B5C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-0.039</w:t>
            </w:r>
          </w:p>
        </w:tc>
        <w:tc>
          <w:tcPr>
            <w:tcW w:w="1620" w:type="dxa"/>
            <w:shd w:val="clear" w:color="auto" w:fill="auto"/>
            <w:noWrap/>
            <w:vAlign w:val="bottom"/>
            <w:hideMark/>
          </w:tcPr>
          <w:p w14:paraId="7FFA016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-8.1%</w:t>
            </w:r>
          </w:p>
        </w:tc>
      </w:tr>
      <w:tr w:rsidR="00C14D61" w:rsidRPr="003D7162" w14:paraId="1D9733FA" w14:textId="77777777" w:rsidTr="00C14D61">
        <w:trPr>
          <w:trHeight w:val="375"/>
        </w:trPr>
        <w:tc>
          <w:tcPr>
            <w:tcW w:w="3505" w:type="dxa"/>
            <w:shd w:val="clear" w:color="auto" w:fill="auto"/>
            <w:vAlign w:val="center"/>
            <w:hideMark/>
          </w:tcPr>
          <w:p w14:paraId="5936FAE1"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Mother years of schooling</w:t>
            </w:r>
          </w:p>
        </w:tc>
        <w:tc>
          <w:tcPr>
            <w:tcW w:w="1260" w:type="dxa"/>
            <w:vAlign w:val="center"/>
          </w:tcPr>
          <w:p w14:paraId="2D437BA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0.040</w:t>
            </w:r>
          </w:p>
        </w:tc>
        <w:tc>
          <w:tcPr>
            <w:tcW w:w="1890" w:type="dxa"/>
            <w:vAlign w:val="bottom"/>
          </w:tcPr>
          <w:p w14:paraId="10EAACE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1.956</w:t>
            </w:r>
          </w:p>
        </w:tc>
        <w:tc>
          <w:tcPr>
            <w:tcW w:w="1710" w:type="dxa"/>
            <w:shd w:val="clear" w:color="auto" w:fill="auto"/>
            <w:noWrap/>
            <w:vAlign w:val="bottom"/>
            <w:hideMark/>
          </w:tcPr>
          <w:p w14:paraId="15F8C6F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0.079</w:t>
            </w:r>
          </w:p>
        </w:tc>
        <w:tc>
          <w:tcPr>
            <w:tcW w:w="1620" w:type="dxa"/>
            <w:shd w:val="clear" w:color="auto" w:fill="auto"/>
            <w:noWrap/>
            <w:vAlign w:val="bottom"/>
            <w:hideMark/>
          </w:tcPr>
          <w:p w14:paraId="03F65E9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16.5%</w:t>
            </w:r>
          </w:p>
        </w:tc>
      </w:tr>
      <w:tr w:rsidR="00C14D61" w:rsidRPr="003D7162" w14:paraId="780F3982" w14:textId="77777777" w:rsidTr="00C14D61">
        <w:trPr>
          <w:trHeight w:val="375"/>
        </w:trPr>
        <w:tc>
          <w:tcPr>
            <w:tcW w:w="3505" w:type="dxa"/>
            <w:shd w:val="clear" w:color="auto" w:fill="auto"/>
            <w:vAlign w:val="center"/>
            <w:hideMark/>
          </w:tcPr>
          <w:p w14:paraId="4CB1B9FD"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Father years of schooling</w:t>
            </w:r>
          </w:p>
        </w:tc>
        <w:tc>
          <w:tcPr>
            <w:tcW w:w="1260" w:type="dxa"/>
            <w:vAlign w:val="center"/>
          </w:tcPr>
          <w:p w14:paraId="5938F34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0.026</w:t>
            </w:r>
          </w:p>
        </w:tc>
        <w:tc>
          <w:tcPr>
            <w:tcW w:w="1890" w:type="dxa"/>
            <w:vAlign w:val="bottom"/>
          </w:tcPr>
          <w:p w14:paraId="78D9D8D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0.455</w:t>
            </w:r>
          </w:p>
        </w:tc>
        <w:tc>
          <w:tcPr>
            <w:tcW w:w="1710" w:type="dxa"/>
            <w:shd w:val="clear" w:color="auto" w:fill="auto"/>
            <w:noWrap/>
            <w:vAlign w:val="bottom"/>
            <w:hideMark/>
          </w:tcPr>
          <w:p w14:paraId="5861699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0.012</w:t>
            </w:r>
          </w:p>
        </w:tc>
        <w:tc>
          <w:tcPr>
            <w:tcW w:w="1620" w:type="dxa"/>
            <w:shd w:val="clear" w:color="auto" w:fill="auto"/>
            <w:noWrap/>
            <w:vAlign w:val="bottom"/>
            <w:hideMark/>
          </w:tcPr>
          <w:p w14:paraId="2C1D388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2.4%</w:t>
            </w:r>
          </w:p>
        </w:tc>
      </w:tr>
      <w:tr w:rsidR="00C14D61" w:rsidRPr="003D7162" w14:paraId="576857B5" w14:textId="77777777" w:rsidTr="00C14D61">
        <w:trPr>
          <w:trHeight w:val="375"/>
        </w:trPr>
        <w:tc>
          <w:tcPr>
            <w:tcW w:w="3505" w:type="dxa"/>
            <w:shd w:val="clear" w:color="auto" w:fill="auto"/>
            <w:vAlign w:val="center"/>
            <w:hideMark/>
          </w:tcPr>
          <w:p w14:paraId="7B1E2A95"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Conditional Cash Transfer Program</w:t>
            </w:r>
          </w:p>
        </w:tc>
        <w:tc>
          <w:tcPr>
            <w:tcW w:w="1260" w:type="dxa"/>
            <w:vAlign w:val="center"/>
          </w:tcPr>
          <w:p w14:paraId="4F5487C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0.001</w:t>
            </w:r>
          </w:p>
        </w:tc>
        <w:tc>
          <w:tcPr>
            <w:tcW w:w="1890" w:type="dxa"/>
            <w:vAlign w:val="bottom"/>
          </w:tcPr>
          <w:p w14:paraId="78EA65B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60.061</w:t>
            </w:r>
          </w:p>
        </w:tc>
        <w:tc>
          <w:tcPr>
            <w:tcW w:w="1710" w:type="dxa"/>
            <w:shd w:val="clear" w:color="auto" w:fill="auto"/>
            <w:noWrap/>
            <w:vAlign w:val="bottom"/>
            <w:hideMark/>
          </w:tcPr>
          <w:p w14:paraId="534CF7B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0.074</w:t>
            </w:r>
          </w:p>
        </w:tc>
        <w:tc>
          <w:tcPr>
            <w:tcW w:w="1620" w:type="dxa"/>
            <w:shd w:val="clear" w:color="auto" w:fill="auto"/>
            <w:noWrap/>
            <w:vAlign w:val="bottom"/>
            <w:hideMark/>
          </w:tcPr>
          <w:p w14:paraId="4AC735D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15.4%</w:t>
            </w:r>
          </w:p>
        </w:tc>
      </w:tr>
      <w:tr w:rsidR="00C14D61" w:rsidRPr="003D7162" w14:paraId="13B865E1" w14:textId="77777777" w:rsidTr="00C14D61">
        <w:trPr>
          <w:trHeight w:val="375"/>
        </w:trPr>
        <w:tc>
          <w:tcPr>
            <w:tcW w:w="3505" w:type="dxa"/>
            <w:shd w:val="clear" w:color="auto" w:fill="auto"/>
            <w:vAlign w:val="center"/>
            <w:hideMark/>
          </w:tcPr>
          <w:p w14:paraId="58F9B13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Altitude</w:t>
            </w:r>
          </w:p>
        </w:tc>
        <w:tc>
          <w:tcPr>
            <w:tcW w:w="1260" w:type="dxa"/>
            <w:vAlign w:val="center"/>
          </w:tcPr>
          <w:p w14:paraId="7E106B7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890" w:type="dxa"/>
            <w:vAlign w:val="bottom"/>
          </w:tcPr>
          <w:p w14:paraId="56F8727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-237.110</w:t>
            </w:r>
          </w:p>
        </w:tc>
        <w:tc>
          <w:tcPr>
            <w:tcW w:w="1710" w:type="dxa"/>
            <w:shd w:val="clear" w:color="auto" w:fill="auto"/>
            <w:noWrap/>
            <w:vAlign w:val="bottom"/>
            <w:hideMark/>
          </w:tcPr>
          <w:p w14:paraId="144B901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0.033</w:t>
            </w:r>
          </w:p>
        </w:tc>
        <w:tc>
          <w:tcPr>
            <w:tcW w:w="1620" w:type="dxa"/>
            <w:shd w:val="clear" w:color="auto" w:fill="auto"/>
            <w:noWrap/>
            <w:vAlign w:val="bottom"/>
            <w:hideMark/>
          </w:tcPr>
          <w:p w14:paraId="31E4059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6.9%</w:t>
            </w:r>
          </w:p>
        </w:tc>
      </w:tr>
      <w:tr w:rsidR="00C14D61" w:rsidRPr="003D7162" w14:paraId="54F6D250" w14:textId="77777777" w:rsidTr="00C14D61">
        <w:trPr>
          <w:trHeight w:val="375"/>
        </w:trPr>
        <w:tc>
          <w:tcPr>
            <w:tcW w:w="3505" w:type="dxa"/>
            <w:shd w:val="clear" w:color="auto" w:fill="auto"/>
            <w:vAlign w:val="center"/>
            <w:hideMark/>
          </w:tcPr>
          <w:p w14:paraId="2429164C"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Skilled birth attendant</w:t>
            </w:r>
          </w:p>
        </w:tc>
        <w:tc>
          <w:tcPr>
            <w:tcW w:w="1260" w:type="dxa"/>
            <w:vAlign w:val="center"/>
          </w:tcPr>
          <w:p w14:paraId="574925D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0.171</w:t>
            </w:r>
          </w:p>
        </w:tc>
        <w:tc>
          <w:tcPr>
            <w:tcW w:w="1890" w:type="dxa"/>
            <w:vAlign w:val="bottom"/>
          </w:tcPr>
          <w:p w14:paraId="2C3EA1B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0.412</w:t>
            </w:r>
          </w:p>
        </w:tc>
        <w:tc>
          <w:tcPr>
            <w:tcW w:w="1710" w:type="dxa"/>
            <w:shd w:val="clear" w:color="auto" w:fill="auto"/>
            <w:noWrap/>
            <w:vAlign w:val="bottom"/>
            <w:hideMark/>
          </w:tcPr>
          <w:p w14:paraId="79CE00A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0.070</w:t>
            </w:r>
          </w:p>
        </w:tc>
        <w:tc>
          <w:tcPr>
            <w:tcW w:w="1620" w:type="dxa"/>
            <w:shd w:val="clear" w:color="auto" w:fill="auto"/>
            <w:noWrap/>
            <w:vAlign w:val="bottom"/>
            <w:hideMark/>
          </w:tcPr>
          <w:p w14:paraId="6EFC027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14.7%</w:t>
            </w:r>
          </w:p>
        </w:tc>
      </w:tr>
      <w:tr w:rsidR="00C14D61" w:rsidRPr="003D7162" w14:paraId="5D04F724" w14:textId="77777777" w:rsidTr="00C14D61">
        <w:trPr>
          <w:trHeight w:val="375"/>
        </w:trPr>
        <w:tc>
          <w:tcPr>
            <w:tcW w:w="3505" w:type="dxa"/>
            <w:shd w:val="clear" w:color="auto" w:fill="auto"/>
            <w:vAlign w:val="center"/>
            <w:hideMark/>
          </w:tcPr>
          <w:p w14:paraId="1BEF2D7E"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Antenatal care visit 4 and more</w:t>
            </w:r>
          </w:p>
        </w:tc>
        <w:tc>
          <w:tcPr>
            <w:tcW w:w="1260" w:type="dxa"/>
            <w:vAlign w:val="center"/>
          </w:tcPr>
          <w:p w14:paraId="41B0F9D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0.137</w:t>
            </w:r>
          </w:p>
        </w:tc>
        <w:tc>
          <w:tcPr>
            <w:tcW w:w="1890" w:type="dxa"/>
            <w:vAlign w:val="bottom"/>
          </w:tcPr>
          <w:p w14:paraId="3D6E6AE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0.284</w:t>
            </w:r>
          </w:p>
        </w:tc>
        <w:tc>
          <w:tcPr>
            <w:tcW w:w="1710" w:type="dxa"/>
            <w:shd w:val="clear" w:color="auto" w:fill="auto"/>
            <w:noWrap/>
            <w:vAlign w:val="bottom"/>
            <w:hideMark/>
          </w:tcPr>
          <w:p w14:paraId="5006FA2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0.039</w:t>
            </w:r>
          </w:p>
        </w:tc>
        <w:tc>
          <w:tcPr>
            <w:tcW w:w="1620" w:type="dxa"/>
            <w:shd w:val="clear" w:color="auto" w:fill="auto"/>
            <w:noWrap/>
            <w:vAlign w:val="bottom"/>
            <w:hideMark/>
          </w:tcPr>
          <w:p w14:paraId="36B8724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8.1%</w:t>
            </w:r>
          </w:p>
        </w:tc>
      </w:tr>
      <w:tr w:rsidR="00C14D61" w:rsidRPr="003D7162" w14:paraId="3272A70A" w14:textId="77777777" w:rsidTr="00C14D61">
        <w:trPr>
          <w:trHeight w:val="375"/>
        </w:trPr>
        <w:tc>
          <w:tcPr>
            <w:tcW w:w="3505" w:type="dxa"/>
            <w:shd w:val="clear" w:color="auto" w:fill="auto"/>
            <w:vAlign w:val="center"/>
            <w:hideMark/>
          </w:tcPr>
          <w:p w14:paraId="228A08C1"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Care seeking for pneumonia</w:t>
            </w:r>
          </w:p>
        </w:tc>
        <w:tc>
          <w:tcPr>
            <w:tcW w:w="1260" w:type="dxa"/>
            <w:vAlign w:val="center"/>
          </w:tcPr>
          <w:p w14:paraId="247EA47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-0.005</w:t>
            </w:r>
          </w:p>
        </w:tc>
        <w:tc>
          <w:tcPr>
            <w:tcW w:w="1890" w:type="dxa"/>
            <w:vAlign w:val="bottom"/>
          </w:tcPr>
          <w:p w14:paraId="29772BB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0.101</w:t>
            </w:r>
          </w:p>
        </w:tc>
        <w:tc>
          <w:tcPr>
            <w:tcW w:w="1710" w:type="dxa"/>
            <w:shd w:val="clear" w:color="auto" w:fill="auto"/>
            <w:noWrap/>
            <w:vAlign w:val="bottom"/>
            <w:hideMark/>
          </w:tcPr>
          <w:p w14:paraId="5BD5BD5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620" w:type="dxa"/>
            <w:shd w:val="clear" w:color="auto" w:fill="auto"/>
            <w:noWrap/>
            <w:vAlign w:val="bottom"/>
            <w:hideMark/>
          </w:tcPr>
          <w:p w14:paraId="31CD779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w:t>
            </w:r>
          </w:p>
        </w:tc>
      </w:tr>
      <w:tr w:rsidR="00C14D61" w:rsidRPr="003D7162" w14:paraId="5CB6B88A" w14:textId="77777777" w:rsidTr="00C14D61">
        <w:trPr>
          <w:trHeight w:val="375"/>
        </w:trPr>
        <w:tc>
          <w:tcPr>
            <w:tcW w:w="3505" w:type="dxa"/>
            <w:shd w:val="clear" w:color="auto" w:fill="auto"/>
            <w:vAlign w:val="center"/>
            <w:hideMark/>
          </w:tcPr>
          <w:p w14:paraId="737EFEC6"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Urban</w:t>
            </w:r>
          </w:p>
        </w:tc>
        <w:tc>
          <w:tcPr>
            <w:tcW w:w="1260" w:type="dxa"/>
            <w:vAlign w:val="center"/>
          </w:tcPr>
          <w:p w14:paraId="6A00F17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-0.059</w:t>
            </w:r>
          </w:p>
        </w:tc>
        <w:tc>
          <w:tcPr>
            <w:tcW w:w="1890" w:type="dxa"/>
            <w:vAlign w:val="bottom"/>
          </w:tcPr>
          <w:p w14:paraId="413BF55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0.135</w:t>
            </w:r>
          </w:p>
        </w:tc>
        <w:tc>
          <w:tcPr>
            <w:tcW w:w="1710" w:type="dxa"/>
            <w:shd w:val="clear" w:color="auto" w:fill="auto"/>
            <w:noWrap/>
            <w:vAlign w:val="bottom"/>
            <w:hideMark/>
          </w:tcPr>
          <w:p w14:paraId="343FCA4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-0.008</w:t>
            </w:r>
          </w:p>
        </w:tc>
        <w:tc>
          <w:tcPr>
            <w:tcW w:w="1620" w:type="dxa"/>
            <w:shd w:val="clear" w:color="auto" w:fill="auto"/>
            <w:noWrap/>
            <w:vAlign w:val="bottom"/>
            <w:hideMark/>
          </w:tcPr>
          <w:p w14:paraId="0E40883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w:t>
            </w:r>
          </w:p>
        </w:tc>
      </w:tr>
      <w:tr w:rsidR="00C14D61" w:rsidRPr="003D7162" w14:paraId="243CC292" w14:textId="77777777" w:rsidTr="00C14D61">
        <w:trPr>
          <w:trHeight w:val="375"/>
        </w:trPr>
        <w:tc>
          <w:tcPr>
            <w:tcW w:w="3505" w:type="dxa"/>
            <w:shd w:val="clear" w:color="auto" w:fill="auto"/>
            <w:vAlign w:val="center"/>
            <w:hideMark/>
          </w:tcPr>
          <w:p w14:paraId="68D26B0F"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Number of household member</w:t>
            </w:r>
          </w:p>
        </w:tc>
        <w:tc>
          <w:tcPr>
            <w:tcW w:w="1260" w:type="dxa"/>
            <w:vAlign w:val="center"/>
          </w:tcPr>
          <w:p w14:paraId="6B6211F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-0.027</w:t>
            </w:r>
          </w:p>
        </w:tc>
        <w:tc>
          <w:tcPr>
            <w:tcW w:w="1890" w:type="dxa"/>
            <w:vAlign w:val="bottom"/>
          </w:tcPr>
          <w:p w14:paraId="2C58F43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-0.836</w:t>
            </w:r>
          </w:p>
        </w:tc>
        <w:tc>
          <w:tcPr>
            <w:tcW w:w="1710" w:type="dxa"/>
            <w:shd w:val="clear" w:color="auto" w:fill="auto"/>
            <w:noWrap/>
            <w:vAlign w:val="bottom"/>
            <w:hideMark/>
          </w:tcPr>
          <w:p w14:paraId="6B9D018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0.023</w:t>
            </w:r>
          </w:p>
        </w:tc>
        <w:tc>
          <w:tcPr>
            <w:tcW w:w="1620" w:type="dxa"/>
            <w:shd w:val="clear" w:color="auto" w:fill="auto"/>
            <w:noWrap/>
            <w:vAlign w:val="bottom"/>
            <w:hideMark/>
          </w:tcPr>
          <w:p w14:paraId="01513A7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4.8%</w:t>
            </w:r>
          </w:p>
        </w:tc>
      </w:tr>
      <w:tr w:rsidR="00C14D61" w:rsidRPr="003D7162" w14:paraId="11B0D157" w14:textId="77777777" w:rsidTr="00C14D61">
        <w:trPr>
          <w:trHeight w:val="375"/>
        </w:trPr>
        <w:tc>
          <w:tcPr>
            <w:tcW w:w="3505" w:type="dxa"/>
            <w:shd w:val="clear" w:color="auto" w:fill="auto"/>
            <w:vAlign w:val="center"/>
            <w:hideMark/>
          </w:tcPr>
          <w:p w14:paraId="4A011EA0"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Low birthweight</w:t>
            </w:r>
          </w:p>
        </w:tc>
        <w:tc>
          <w:tcPr>
            <w:tcW w:w="1260" w:type="dxa"/>
            <w:vAlign w:val="center"/>
          </w:tcPr>
          <w:p w14:paraId="2800BF5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-0.305</w:t>
            </w:r>
          </w:p>
        </w:tc>
        <w:tc>
          <w:tcPr>
            <w:tcW w:w="1890" w:type="dxa"/>
            <w:vAlign w:val="bottom"/>
          </w:tcPr>
          <w:p w14:paraId="3FB8913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-0.017</w:t>
            </w:r>
          </w:p>
        </w:tc>
        <w:tc>
          <w:tcPr>
            <w:tcW w:w="1710" w:type="dxa"/>
            <w:shd w:val="clear" w:color="auto" w:fill="auto"/>
            <w:noWrap/>
            <w:vAlign w:val="bottom"/>
            <w:hideMark/>
          </w:tcPr>
          <w:p w14:paraId="26A6EDE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0.005</w:t>
            </w:r>
          </w:p>
        </w:tc>
        <w:tc>
          <w:tcPr>
            <w:tcW w:w="1620" w:type="dxa"/>
            <w:shd w:val="clear" w:color="auto" w:fill="auto"/>
            <w:noWrap/>
            <w:vAlign w:val="bottom"/>
            <w:hideMark/>
          </w:tcPr>
          <w:p w14:paraId="6D0270D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1.1%</w:t>
            </w:r>
          </w:p>
        </w:tc>
      </w:tr>
      <w:tr w:rsidR="00C14D61" w:rsidRPr="003D7162" w14:paraId="7E488B4D" w14:textId="77777777" w:rsidTr="00C14D61">
        <w:trPr>
          <w:trHeight w:val="375"/>
        </w:trPr>
        <w:tc>
          <w:tcPr>
            <w:tcW w:w="3505" w:type="dxa"/>
            <w:shd w:val="clear" w:color="auto" w:fill="auto"/>
            <w:vAlign w:val="center"/>
            <w:hideMark/>
          </w:tcPr>
          <w:p w14:paraId="475B9E3E"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Early pregnancy (&lt;18 years of age)</w:t>
            </w:r>
          </w:p>
        </w:tc>
        <w:tc>
          <w:tcPr>
            <w:tcW w:w="1260" w:type="dxa"/>
            <w:vAlign w:val="center"/>
          </w:tcPr>
          <w:p w14:paraId="20D28DB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-0.292</w:t>
            </w:r>
          </w:p>
        </w:tc>
        <w:tc>
          <w:tcPr>
            <w:tcW w:w="1890" w:type="dxa"/>
            <w:vAlign w:val="bottom"/>
          </w:tcPr>
          <w:p w14:paraId="48943DA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710" w:type="dxa"/>
            <w:shd w:val="clear" w:color="auto" w:fill="auto"/>
            <w:noWrap/>
            <w:vAlign w:val="bottom"/>
            <w:hideMark/>
          </w:tcPr>
          <w:p w14:paraId="7A0D75F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-0.001</w:t>
            </w:r>
          </w:p>
        </w:tc>
        <w:tc>
          <w:tcPr>
            <w:tcW w:w="1620" w:type="dxa"/>
            <w:shd w:val="clear" w:color="auto" w:fill="auto"/>
            <w:noWrap/>
            <w:vAlign w:val="bottom"/>
            <w:hideMark/>
          </w:tcPr>
          <w:p w14:paraId="7173B0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w:t>
            </w:r>
          </w:p>
        </w:tc>
      </w:tr>
      <w:tr w:rsidR="00C14D61" w:rsidRPr="003D7162" w14:paraId="7EB9FA26" w14:textId="77777777" w:rsidTr="00C14D61">
        <w:trPr>
          <w:trHeight w:val="375"/>
        </w:trPr>
        <w:tc>
          <w:tcPr>
            <w:tcW w:w="3505" w:type="dxa"/>
            <w:shd w:val="clear" w:color="auto" w:fill="auto"/>
            <w:vAlign w:val="center"/>
            <w:hideMark/>
          </w:tcPr>
          <w:p w14:paraId="4014FBD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BMI (kg/m</w:t>
            </w:r>
            <w:r w:rsidRPr="003D7162">
              <w:rPr>
                <w:rFonts w:ascii="Helvetica" w:eastAsia="Times New Roman" w:hAnsi="Helvetica" w:cs="Helvetica"/>
                <w:color w:val="000000"/>
                <w:sz w:val="20"/>
                <w:szCs w:val="20"/>
                <w:vertAlign w:val="superscript"/>
              </w:rPr>
              <w:t>2</w:t>
            </w:r>
            <w:r w:rsidRPr="003D7162">
              <w:rPr>
                <w:rFonts w:ascii="Helvetica" w:eastAsia="Times New Roman" w:hAnsi="Helvetica" w:cs="Helvetica"/>
                <w:color w:val="000000"/>
                <w:sz w:val="20"/>
                <w:szCs w:val="20"/>
              </w:rPr>
              <w:t>)</w:t>
            </w:r>
          </w:p>
        </w:tc>
        <w:tc>
          <w:tcPr>
            <w:tcW w:w="1260" w:type="dxa"/>
            <w:vAlign w:val="center"/>
          </w:tcPr>
          <w:p w14:paraId="000E2C1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0.012</w:t>
            </w:r>
          </w:p>
        </w:tc>
        <w:tc>
          <w:tcPr>
            <w:tcW w:w="1890" w:type="dxa"/>
            <w:vAlign w:val="bottom"/>
          </w:tcPr>
          <w:p w14:paraId="3ABF39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1.542</w:t>
            </w:r>
          </w:p>
        </w:tc>
        <w:tc>
          <w:tcPr>
            <w:tcW w:w="1710" w:type="dxa"/>
            <w:shd w:val="clear" w:color="auto" w:fill="auto"/>
            <w:noWrap/>
            <w:vAlign w:val="bottom"/>
            <w:hideMark/>
          </w:tcPr>
          <w:p w14:paraId="550F374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0.019</w:t>
            </w:r>
          </w:p>
        </w:tc>
        <w:tc>
          <w:tcPr>
            <w:tcW w:w="1620" w:type="dxa"/>
            <w:shd w:val="clear" w:color="auto" w:fill="auto"/>
            <w:noWrap/>
            <w:vAlign w:val="bottom"/>
            <w:hideMark/>
          </w:tcPr>
          <w:p w14:paraId="43C8859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3.9%</w:t>
            </w:r>
          </w:p>
        </w:tc>
      </w:tr>
      <w:tr w:rsidR="00C14D61" w:rsidRPr="003D7162" w14:paraId="50759B21" w14:textId="77777777" w:rsidTr="00C14D61">
        <w:trPr>
          <w:trHeight w:val="375"/>
        </w:trPr>
        <w:tc>
          <w:tcPr>
            <w:tcW w:w="3505" w:type="dxa"/>
            <w:shd w:val="clear" w:color="auto" w:fill="auto"/>
            <w:vAlign w:val="center"/>
            <w:hideMark/>
          </w:tcPr>
          <w:p w14:paraId="3FBE6D2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Height (cm)</w:t>
            </w:r>
          </w:p>
        </w:tc>
        <w:tc>
          <w:tcPr>
            <w:tcW w:w="1260" w:type="dxa"/>
            <w:vAlign w:val="center"/>
          </w:tcPr>
          <w:p w14:paraId="076E59F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0.055</w:t>
            </w:r>
          </w:p>
        </w:tc>
        <w:tc>
          <w:tcPr>
            <w:tcW w:w="1890" w:type="dxa"/>
            <w:vAlign w:val="bottom"/>
          </w:tcPr>
          <w:p w14:paraId="2F7F438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1.751</w:t>
            </w:r>
          </w:p>
        </w:tc>
        <w:tc>
          <w:tcPr>
            <w:tcW w:w="1710" w:type="dxa"/>
            <w:shd w:val="clear" w:color="auto" w:fill="auto"/>
            <w:noWrap/>
            <w:vAlign w:val="bottom"/>
            <w:hideMark/>
          </w:tcPr>
          <w:p w14:paraId="404EA59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0.096</w:t>
            </w:r>
          </w:p>
        </w:tc>
        <w:tc>
          <w:tcPr>
            <w:tcW w:w="1620" w:type="dxa"/>
            <w:shd w:val="clear" w:color="auto" w:fill="auto"/>
            <w:noWrap/>
            <w:vAlign w:val="bottom"/>
            <w:hideMark/>
          </w:tcPr>
          <w:p w14:paraId="2432EB3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19.9%</w:t>
            </w:r>
          </w:p>
        </w:tc>
      </w:tr>
      <w:tr w:rsidR="00C14D61" w:rsidRPr="003D7162" w14:paraId="31635DC2" w14:textId="77777777" w:rsidTr="00C14D61">
        <w:trPr>
          <w:trHeight w:val="375"/>
        </w:trPr>
        <w:tc>
          <w:tcPr>
            <w:tcW w:w="3505" w:type="dxa"/>
            <w:shd w:val="clear" w:color="auto" w:fill="auto"/>
            <w:vAlign w:val="center"/>
            <w:hideMark/>
          </w:tcPr>
          <w:p w14:paraId="4ACD2325"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Parity</w:t>
            </w:r>
          </w:p>
        </w:tc>
        <w:tc>
          <w:tcPr>
            <w:tcW w:w="1260" w:type="dxa"/>
            <w:vAlign w:val="center"/>
          </w:tcPr>
          <w:p w14:paraId="3ACA1A5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-0.029</w:t>
            </w:r>
          </w:p>
        </w:tc>
        <w:tc>
          <w:tcPr>
            <w:tcW w:w="1890" w:type="dxa"/>
            <w:vAlign w:val="bottom"/>
          </w:tcPr>
          <w:p w14:paraId="76610B3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-0.713</w:t>
            </w:r>
          </w:p>
        </w:tc>
        <w:tc>
          <w:tcPr>
            <w:tcW w:w="1710" w:type="dxa"/>
            <w:shd w:val="clear" w:color="auto" w:fill="auto"/>
            <w:noWrap/>
            <w:vAlign w:val="bottom"/>
            <w:hideMark/>
          </w:tcPr>
          <w:p w14:paraId="03F7284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0.020</w:t>
            </w:r>
          </w:p>
        </w:tc>
        <w:tc>
          <w:tcPr>
            <w:tcW w:w="1620" w:type="dxa"/>
            <w:shd w:val="clear" w:color="auto" w:fill="auto"/>
            <w:noWrap/>
            <w:vAlign w:val="bottom"/>
            <w:hideMark/>
          </w:tcPr>
          <w:p w14:paraId="3BCFE3C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4.3%</w:t>
            </w:r>
          </w:p>
        </w:tc>
      </w:tr>
      <w:tr w:rsidR="00C14D61" w:rsidRPr="003D7162" w14:paraId="64F9DF21" w14:textId="77777777" w:rsidTr="00C14D61">
        <w:trPr>
          <w:trHeight w:val="375"/>
        </w:trPr>
        <w:tc>
          <w:tcPr>
            <w:tcW w:w="3505" w:type="dxa"/>
            <w:shd w:val="clear" w:color="auto" w:fill="auto"/>
            <w:vAlign w:val="center"/>
            <w:hideMark/>
          </w:tcPr>
          <w:p w14:paraId="4C10A1FC"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Inter pregnancy interval (months)</w:t>
            </w:r>
          </w:p>
        </w:tc>
        <w:tc>
          <w:tcPr>
            <w:tcW w:w="1260" w:type="dxa"/>
            <w:vAlign w:val="center"/>
          </w:tcPr>
          <w:p w14:paraId="3523177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0.003</w:t>
            </w:r>
          </w:p>
        </w:tc>
        <w:tc>
          <w:tcPr>
            <w:tcW w:w="1890" w:type="dxa"/>
            <w:vAlign w:val="bottom"/>
          </w:tcPr>
          <w:p w14:paraId="1E47FEA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18.156</w:t>
            </w:r>
          </w:p>
        </w:tc>
        <w:tc>
          <w:tcPr>
            <w:tcW w:w="1710" w:type="dxa"/>
            <w:shd w:val="clear" w:color="auto" w:fill="auto"/>
            <w:noWrap/>
            <w:vAlign w:val="bottom"/>
            <w:hideMark/>
          </w:tcPr>
          <w:p w14:paraId="4B0239D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0.050</w:t>
            </w:r>
          </w:p>
        </w:tc>
        <w:tc>
          <w:tcPr>
            <w:tcW w:w="1620" w:type="dxa"/>
            <w:shd w:val="clear" w:color="auto" w:fill="auto"/>
            <w:noWrap/>
            <w:vAlign w:val="bottom"/>
            <w:hideMark/>
          </w:tcPr>
          <w:p w14:paraId="2F72DFA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10.5%</w:t>
            </w:r>
          </w:p>
        </w:tc>
      </w:tr>
      <w:tr w:rsidR="00C14D61" w:rsidRPr="003D7162" w14:paraId="710A8733" w14:textId="77777777" w:rsidTr="00C14D61">
        <w:trPr>
          <w:trHeight w:val="375"/>
        </w:trPr>
        <w:tc>
          <w:tcPr>
            <w:tcW w:w="3505" w:type="dxa"/>
            <w:shd w:val="clear" w:color="auto" w:fill="auto"/>
            <w:vAlign w:val="center"/>
            <w:hideMark/>
          </w:tcPr>
          <w:p w14:paraId="60F1E54E"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Others</w:t>
            </w:r>
          </w:p>
        </w:tc>
        <w:tc>
          <w:tcPr>
            <w:tcW w:w="1260" w:type="dxa"/>
            <w:vAlign w:val="bottom"/>
          </w:tcPr>
          <w:p w14:paraId="3AF6C5E4" w14:textId="77777777" w:rsidR="00C14D61" w:rsidRPr="003D7162" w:rsidRDefault="00C14D61" w:rsidP="00C14D61">
            <w:pPr>
              <w:jc w:val="center"/>
              <w:rPr>
                <w:rFonts w:ascii="Helvetica" w:eastAsia="Times New Roman" w:hAnsi="Helvetica" w:cs="Helvetica"/>
                <w:color w:val="000000"/>
              </w:rPr>
            </w:pPr>
          </w:p>
        </w:tc>
        <w:tc>
          <w:tcPr>
            <w:tcW w:w="1890" w:type="dxa"/>
            <w:vAlign w:val="bottom"/>
          </w:tcPr>
          <w:p w14:paraId="28128C87" w14:textId="77777777" w:rsidR="00C14D61" w:rsidRPr="003D7162" w:rsidRDefault="00C14D61" w:rsidP="00C14D61">
            <w:pPr>
              <w:jc w:val="center"/>
              <w:rPr>
                <w:rFonts w:ascii="Helvetica" w:eastAsia="Times New Roman" w:hAnsi="Helvetica" w:cs="Helvetica"/>
                <w:color w:val="000000"/>
              </w:rPr>
            </w:pPr>
          </w:p>
        </w:tc>
        <w:tc>
          <w:tcPr>
            <w:tcW w:w="1710" w:type="dxa"/>
            <w:shd w:val="clear" w:color="auto" w:fill="auto"/>
            <w:noWrap/>
            <w:vAlign w:val="bottom"/>
            <w:hideMark/>
          </w:tcPr>
          <w:p w14:paraId="6AA5E29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0.007</w:t>
            </w:r>
          </w:p>
        </w:tc>
        <w:tc>
          <w:tcPr>
            <w:tcW w:w="1620" w:type="dxa"/>
            <w:shd w:val="clear" w:color="auto" w:fill="auto"/>
            <w:noWrap/>
            <w:vAlign w:val="bottom"/>
            <w:hideMark/>
          </w:tcPr>
          <w:p w14:paraId="78F1D87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1.5%</w:t>
            </w:r>
          </w:p>
        </w:tc>
      </w:tr>
    </w:tbl>
    <w:p w14:paraId="5EFDEB90" w14:textId="40B8BCA4" w:rsidR="000C7ADC" w:rsidRPr="00C14D61" w:rsidRDefault="000C7ADC" w:rsidP="000C7ADC">
      <w:pPr>
        <w:rPr>
          <w:rFonts w:ascii="Helvetica" w:hAnsi="Helvetica" w:cs="Helvetica"/>
          <w:sz w:val="22"/>
          <w:szCs w:val="22"/>
          <w:lang w:val="en-US" w:eastAsia="es-ES_tradnl"/>
        </w:rPr>
      </w:pPr>
    </w:p>
    <w:p w14:paraId="7CC3DAA9" w14:textId="70C8CB0E" w:rsidR="00C14D61" w:rsidRPr="00C14D61" w:rsidRDefault="00D91F4C" w:rsidP="003E1E6C">
      <w:pPr>
        <w:pStyle w:val="Heading2"/>
        <w:rPr>
          <w:b/>
        </w:rPr>
      </w:pPr>
      <w:bookmarkStart w:id="33" w:name="_Toc40953323"/>
      <w:r>
        <w:rPr>
          <w:rFonts w:cs="Helvetica"/>
          <w:b/>
          <w:szCs w:val="24"/>
        </w:rPr>
        <w:t xml:space="preserve">Supplementary </w:t>
      </w:r>
      <w:r w:rsidR="003E1E6C">
        <w:rPr>
          <w:b/>
        </w:rPr>
        <w:t xml:space="preserve">Appendix Figure 10: </w:t>
      </w:r>
      <w:r w:rsidR="00C14D61" w:rsidRPr="00C14D61">
        <w:t>Decomposing predicted changes in HAZ among children 24-59 months (i.e. relative ranking of product coefficients for determinant domains) from 2000-2016</w:t>
      </w:r>
      <w:bookmarkEnd w:id="33"/>
    </w:p>
    <w:p w14:paraId="76B920D3" w14:textId="09931C6A" w:rsidR="000C7ADC" w:rsidRPr="003D7162" w:rsidRDefault="000C7ADC" w:rsidP="000C7ADC">
      <w:pPr>
        <w:rPr>
          <w:rFonts w:ascii="Helvetica" w:hAnsi="Helvetica" w:cs="Helvetica"/>
          <w:lang w:val="en-US" w:eastAsia="es-ES_tradnl"/>
        </w:rPr>
      </w:pPr>
      <w:r w:rsidRPr="003D7162">
        <w:rPr>
          <w:rFonts w:ascii="Helvetica" w:hAnsi="Helvetica" w:cs="Helvetica"/>
          <w:noProof/>
          <w:lang w:val="en-CA" w:eastAsia="en-CA"/>
        </w:rPr>
        <w:drawing>
          <wp:inline distT="0" distB="0" distL="0" distR="0" wp14:anchorId="4247B9C0" wp14:editId="1CE1A7FB">
            <wp:extent cx="5715000" cy="2752725"/>
            <wp:effectExtent l="0" t="0" r="0" b="9525"/>
            <wp:docPr id="303" name="Chart 303"/>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16C30BE" w14:textId="234B8248" w:rsidR="00D5600B" w:rsidRPr="003D7162" w:rsidRDefault="00D91F4C" w:rsidP="000F5AE4">
      <w:pPr>
        <w:pStyle w:val="Heading2"/>
        <w:rPr>
          <w:rFonts w:cs="Helvetica"/>
          <w:szCs w:val="24"/>
        </w:rPr>
      </w:pPr>
      <w:bookmarkStart w:id="34" w:name="_Toc40953324"/>
      <w:r>
        <w:rPr>
          <w:rFonts w:cs="Helvetica"/>
          <w:b/>
          <w:szCs w:val="24"/>
        </w:rPr>
        <w:t xml:space="preserve">Supplementary </w:t>
      </w:r>
      <w:r w:rsidR="000F5AE4"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7</w:t>
      </w:r>
      <w:r w:rsidR="000F5AE4" w:rsidRPr="003D7162">
        <w:rPr>
          <w:rFonts w:cs="Helvetica"/>
          <w:b/>
          <w:szCs w:val="24"/>
        </w:rPr>
        <w:t>:</w:t>
      </w:r>
      <w:r w:rsidR="000F5AE4" w:rsidRPr="003D7162">
        <w:rPr>
          <w:rFonts w:cs="Helvetica"/>
          <w:szCs w:val="24"/>
        </w:rPr>
        <w:t xml:space="preserve"> Decomposition analysis for children &lt;6 months from 2000-2016</w:t>
      </w:r>
      <w:bookmarkEnd w:id="34"/>
    </w:p>
    <w:tbl>
      <w:tblPr>
        <w:tblpPr w:leftFromText="180" w:rightFromText="180" w:vertAnchor="text" w:horzAnchor="margin" w:tblpY="111"/>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1260"/>
        <w:gridCol w:w="1980"/>
        <w:gridCol w:w="1530"/>
        <w:gridCol w:w="1530"/>
      </w:tblGrid>
      <w:tr w:rsidR="00C14D61" w:rsidRPr="003D7162" w14:paraId="75FFE6CC" w14:textId="77777777" w:rsidTr="00C14D61">
        <w:trPr>
          <w:trHeight w:val="705"/>
        </w:trPr>
        <w:tc>
          <w:tcPr>
            <w:tcW w:w="3230" w:type="dxa"/>
            <w:shd w:val="clear" w:color="auto" w:fill="auto"/>
            <w:noWrap/>
            <w:vAlign w:val="center"/>
            <w:hideMark/>
          </w:tcPr>
          <w:p w14:paraId="05F93C08" w14:textId="77777777" w:rsidR="00C14D61" w:rsidRPr="003D7162" w:rsidRDefault="00C14D61" w:rsidP="00C14D61">
            <w:pPr>
              <w:rPr>
                <w:rFonts w:ascii="Helvetica" w:eastAsia="Times New Roman" w:hAnsi="Helvetica" w:cs="Helvetica"/>
                <w:b/>
                <w:bCs/>
                <w:color w:val="000000"/>
                <w:sz w:val="20"/>
                <w:szCs w:val="20"/>
                <w:u w:val="single"/>
              </w:rPr>
            </w:pPr>
            <w:r w:rsidRPr="003D7162">
              <w:rPr>
                <w:rFonts w:ascii="Helvetica" w:eastAsia="Times New Roman" w:hAnsi="Helvetica" w:cs="Helvetica"/>
                <w:b/>
                <w:bCs/>
                <w:color w:val="000000"/>
                <w:sz w:val="20"/>
                <w:szCs w:val="20"/>
                <w:u w:val="single"/>
              </w:rPr>
              <w:t>Factors</w:t>
            </w:r>
          </w:p>
        </w:tc>
        <w:tc>
          <w:tcPr>
            <w:tcW w:w="1260" w:type="dxa"/>
            <w:shd w:val="clear" w:color="auto" w:fill="auto"/>
            <w:vAlign w:val="center"/>
          </w:tcPr>
          <w:p w14:paraId="4580B3BB"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Estimated</w:t>
            </w:r>
          </w:p>
          <w:p w14:paraId="757BE8F1"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coefficient</w:t>
            </w:r>
          </w:p>
        </w:tc>
        <w:tc>
          <w:tcPr>
            <w:tcW w:w="1980" w:type="dxa"/>
            <w:shd w:val="clear" w:color="auto" w:fill="auto"/>
            <w:vAlign w:val="bottom"/>
          </w:tcPr>
          <w:p w14:paraId="2DA467DA"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Mean difference (2016-2000)</w:t>
            </w:r>
          </w:p>
          <w:p w14:paraId="1730EB3E" w14:textId="77777777" w:rsidR="00C14D61" w:rsidRPr="003D7162" w:rsidRDefault="00C14D61" w:rsidP="00C14D61">
            <w:pPr>
              <w:jc w:val="center"/>
              <w:rPr>
                <w:rFonts w:ascii="Helvetica" w:eastAsia="Times New Roman" w:hAnsi="Helvetica" w:cs="Helvetica"/>
                <w:b/>
                <w:bCs/>
                <w:color w:val="000000"/>
                <w:sz w:val="20"/>
                <w:szCs w:val="20"/>
              </w:rPr>
            </w:pPr>
          </w:p>
        </w:tc>
        <w:tc>
          <w:tcPr>
            <w:tcW w:w="1530" w:type="dxa"/>
            <w:shd w:val="clear" w:color="auto" w:fill="auto"/>
            <w:noWrap/>
            <w:vAlign w:val="center"/>
            <w:hideMark/>
          </w:tcPr>
          <w:p w14:paraId="4ABD6338"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Predicted change in HAZ</w:t>
            </w:r>
          </w:p>
        </w:tc>
        <w:tc>
          <w:tcPr>
            <w:tcW w:w="1530" w:type="dxa"/>
            <w:shd w:val="clear" w:color="auto" w:fill="auto"/>
            <w:noWrap/>
            <w:vAlign w:val="center"/>
            <w:hideMark/>
          </w:tcPr>
          <w:p w14:paraId="5E942FF0"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Share of predicted change in (%)</w:t>
            </w:r>
          </w:p>
        </w:tc>
      </w:tr>
      <w:tr w:rsidR="00C14D61" w:rsidRPr="003D7162" w14:paraId="7AA5EA4A" w14:textId="77777777" w:rsidTr="00C14D61">
        <w:trPr>
          <w:trHeight w:val="390"/>
        </w:trPr>
        <w:tc>
          <w:tcPr>
            <w:tcW w:w="3230" w:type="dxa"/>
            <w:shd w:val="clear" w:color="auto" w:fill="auto"/>
            <w:noWrap/>
            <w:vAlign w:val="bottom"/>
            <w:hideMark/>
          </w:tcPr>
          <w:p w14:paraId="75460D6D"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260" w:type="dxa"/>
            <w:shd w:val="clear" w:color="auto" w:fill="auto"/>
            <w:vAlign w:val="bottom"/>
          </w:tcPr>
          <w:p w14:paraId="1B7E0F67"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980" w:type="dxa"/>
            <w:shd w:val="clear" w:color="auto" w:fill="auto"/>
            <w:vAlign w:val="bottom"/>
          </w:tcPr>
          <w:p w14:paraId="4E219F2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-0.102</w:t>
            </w:r>
          </w:p>
        </w:tc>
        <w:tc>
          <w:tcPr>
            <w:tcW w:w="1530" w:type="dxa"/>
            <w:shd w:val="clear" w:color="auto" w:fill="auto"/>
            <w:noWrap/>
            <w:vAlign w:val="bottom"/>
            <w:hideMark/>
          </w:tcPr>
          <w:p w14:paraId="7AE4B3D3"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0.090</w:t>
            </w:r>
          </w:p>
        </w:tc>
        <w:tc>
          <w:tcPr>
            <w:tcW w:w="1530" w:type="dxa"/>
            <w:shd w:val="clear" w:color="auto" w:fill="auto"/>
            <w:noWrap/>
            <w:vAlign w:val="bottom"/>
            <w:hideMark/>
          </w:tcPr>
          <w:p w14:paraId="32D3991E"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-88.3%</w:t>
            </w:r>
          </w:p>
        </w:tc>
      </w:tr>
      <w:tr w:rsidR="00C14D61" w:rsidRPr="003D7162" w14:paraId="78A74898" w14:textId="77777777" w:rsidTr="00C14D61">
        <w:trPr>
          <w:trHeight w:val="375"/>
        </w:trPr>
        <w:tc>
          <w:tcPr>
            <w:tcW w:w="3230" w:type="dxa"/>
            <w:shd w:val="clear" w:color="auto" w:fill="auto"/>
            <w:vAlign w:val="center"/>
            <w:hideMark/>
          </w:tcPr>
          <w:p w14:paraId="4A1A0348"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Wealth Index (0-10)</w:t>
            </w:r>
          </w:p>
        </w:tc>
        <w:tc>
          <w:tcPr>
            <w:tcW w:w="1260" w:type="dxa"/>
            <w:shd w:val="clear" w:color="auto" w:fill="auto"/>
            <w:vAlign w:val="center"/>
          </w:tcPr>
          <w:p w14:paraId="62FCB84C"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0.065</w:t>
            </w:r>
          </w:p>
        </w:tc>
        <w:tc>
          <w:tcPr>
            <w:tcW w:w="1980" w:type="dxa"/>
            <w:shd w:val="clear" w:color="auto" w:fill="auto"/>
            <w:vAlign w:val="bottom"/>
          </w:tcPr>
          <w:p w14:paraId="14371EF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-0.292</w:t>
            </w:r>
          </w:p>
        </w:tc>
        <w:tc>
          <w:tcPr>
            <w:tcW w:w="1530" w:type="dxa"/>
            <w:shd w:val="clear" w:color="auto" w:fill="auto"/>
            <w:noWrap/>
            <w:vAlign w:val="bottom"/>
            <w:hideMark/>
          </w:tcPr>
          <w:p w14:paraId="21ABBE07"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-0.019</w:t>
            </w:r>
          </w:p>
        </w:tc>
        <w:tc>
          <w:tcPr>
            <w:tcW w:w="1530" w:type="dxa"/>
            <w:shd w:val="clear" w:color="auto" w:fill="auto"/>
            <w:noWrap/>
            <w:vAlign w:val="bottom"/>
            <w:hideMark/>
          </w:tcPr>
          <w:p w14:paraId="54A5D348"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-21.2%</w:t>
            </w:r>
          </w:p>
        </w:tc>
      </w:tr>
      <w:tr w:rsidR="00C14D61" w:rsidRPr="003D7162" w14:paraId="363D34F2" w14:textId="77777777" w:rsidTr="00C14D61">
        <w:trPr>
          <w:trHeight w:val="375"/>
        </w:trPr>
        <w:tc>
          <w:tcPr>
            <w:tcW w:w="3230" w:type="dxa"/>
            <w:shd w:val="clear" w:color="auto" w:fill="auto"/>
            <w:vAlign w:val="center"/>
            <w:hideMark/>
          </w:tcPr>
          <w:p w14:paraId="4498EE72"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Mother years of schooling</w:t>
            </w:r>
          </w:p>
        </w:tc>
        <w:tc>
          <w:tcPr>
            <w:tcW w:w="1260" w:type="dxa"/>
            <w:shd w:val="clear" w:color="auto" w:fill="auto"/>
            <w:vAlign w:val="center"/>
          </w:tcPr>
          <w:p w14:paraId="3A0075BD"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0.022</w:t>
            </w:r>
          </w:p>
        </w:tc>
        <w:tc>
          <w:tcPr>
            <w:tcW w:w="1980" w:type="dxa"/>
            <w:shd w:val="clear" w:color="auto" w:fill="auto"/>
            <w:vAlign w:val="bottom"/>
          </w:tcPr>
          <w:p w14:paraId="3EB1A3D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2.149</w:t>
            </w:r>
          </w:p>
        </w:tc>
        <w:tc>
          <w:tcPr>
            <w:tcW w:w="1530" w:type="dxa"/>
            <w:shd w:val="clear" w:color="auto" w:fill="auto"/>
            <w:noWrap/>
            <w:vAlign w:val="bottom"/>
            <w:hideMark/>
          </w:tcPr>
          <w:p w14:paraId="3FE709DB"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0.048</w:t>
            </w:r>
          </w:p>
        </w:tc>
        <w:tc>
          <w:tcPr>
            <w:tcW w:w="1530" w:type="dxa"/>
            <w:shd w:val="clear" w:color="auto" w:fill="auto"/>
            <w:noWrap/>
            <w:vAlign w:val="bottom"/>
            <w:hideMark/>
          </w:tcPr>
          <w:p w14:paraId="1D71EA7B"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53.5%</w:t>
            </w:r>
          </w:p>
        </w:tc>
      </w:tr>
      <w:tr w:rsidR="00C14D61" w:rsidRPr="003D7162" w14:paraId="4CA202D9" w14:textId="77777777" w:rsidTr="00C14D61">
        <w:trPr>
          <w:trHeight w:val="375"/>
        </w:trPr>
        <w:tc>
          <w:tcPr>
            <w:tcW w:w="3230" w:type="dxa"/>
            <w:shd w:val="clear" w:color="auto" w:fill="auto"/>
            <w:vAlign w:val="center"/>
            <w:hideMark/>
          </w:tcPr>
          <w:p w14:paraId="6524ED98"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Altitude</w:t>
            </w:r>
          </w:p>
        </w:tc>
        <w:tc>
          <w:tcPr>
            <w:tcW w:w="1260" w:type="dxa"/>
            <w:shd w:val="clear" w:color="auto" w:fill="auto"/>
            <w:vAlign w:val="center"/>
          </w:tcPr>
          <w:p w14:paraId="54BBDD93"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-0.0002</w:t>
            </w:r>
          </w:p>
        </w:tc>
        <w:tc>
          <w:tcPr>
            <w:tcW w:w="1980" w:type="dxa"/>
            <w:shd w:val="clear" w:color="auto" w:fill="auto"/>
            <w:vAlign w:val="bottom"/>
          </w:tcPr>
          <w:p w14:paraId="463025D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18.992</w:t>
            </w:r>
          </w:p>
        </w:tc>
        <w:tc>
          <w:tcPr>
            <w:tcW w:w="1530" w:type="dxa"/>
            <w:shd w:val="clear" w:color="auto" w:fill="auto"/>
            <w:noWrap/>
            <w:vAlign w:val="bottom"/>
            <w:hideMark/>
          </w:tcPr>
          <w:p w14:paraId="4027C5D3"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-0.005</w:t>
            </w:r>
          </w:p>
        </w:tc>
        <w:tc>
          <w:tcPr>
            <w:tcW w:w="1530" w:type="dxa"/>
            <w:shd w:val="clear" w:color="auto" w:fill="auto"/>
            <w:noWrap/>
            <w:vAlign w:val="bottom"/>
            <w:hideMark/>
          </w:tcPr>
          <w:p w14:paraId="50DD1601"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-5.5%</w:t>
            </w:r>
          </w:p>
        </w:tc>
      </w:tr>
      <w:tr w:rsidR="00C14D61" w:rsidRPr="003D7162" w14:paraId="07CC5EFF" w14:textId="77777777" w:rsidTr="00C14D61">
        <w:trPr>
          <w:trHeight w:val="375"/>
        </w:trPr>
        <w:tc>
          <w:tcPr>
            <w:tcW w:w="3230" w:type="dxa"/>
            <w:shd w:val="clear" w:color="auto" w:fill="auto"/>
            <w:vAlign w:val="center"/>
            <w:hideMark/>
          </w:tcPr>
          <w:p w14:paraId="7E541A8A"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Open defecation</w:t>
            </w:r>
          </w:p>
        </w:tc>
        <w:tc>
          <w:tcPr>
            <w:tcW w:w="1260" w:type="dxa"/>
            <w:shd w:val="clear" w:color="auto" w:fill="auto"/>
            <w:vAlign w:val="center"/>
          </w:tcPr>
          <w:p w14:paraId="7B8B2CEB"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-0.157</w:t>
            </w:r>
          </w:p>
        </w:tc>
        <w:tc>
          <w:tcPr>
            <w:tcW w:w="1980" w:type="dxa"/>
            <w:shd w:val="clear" w:color="auto" w:fill="auto"/>
            <w:vAlign w:val="bottom"/>
          </w:tcPr>
          <w:p w14:paraId="25473F4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-0.148</w:t>
            </w:r>
          </w:p>
        </w:tc>
        <w:tc>
          <w:tcPr>
            <w:tcW w:w="1530" w:type="dxa"/>
            <w:shd w:val="clear" w:color="auto" w:fill="auto"/>
            <w:noWrap/>
            <w:vAlign w:val="bottom"/>
            <w:hideMark/>
          </w:tcPr>
          <w:p w14:paraId="3952CBFA"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0.023</w:t>
            </w:r>
          </w:p>
        </w:tc>
        <w:tc>
          <w:tcPr>
            <w:tcW w:w="1530" w:type="dxa"/>
            <w:shd w:val="clear" w:color="auto" w:fill="auto"/>
            <w:noWrap/>
            <w:vAlign w:val="bottom"/>
            <w:hideMark/>
          </w:tcPr>
          <w:p w14:paraId="3867F91B"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25.7%</w:t>
            </w:r>
          </w:p>
        </w:tc>
      </w:tr>
      <w:tr w:rsidR="00C14D61" w:rsidRPr="003D7162" w14:paraId="3B604B6A" w14:textId="77777777" w:rsidTr="00C14D61">
        <w:trPr>
          <w:trHeight w:val="375"/>
        </w:trPr>
        <w:tc>
          <w:tcPr>
            <w:tcW w:w="3230" w:type="dxa"/>
            <w:shd w:val="clear" w:color="auto" w:fill="auto"/>
            <w:vAlign w:val="center"/>
            <w:hideMark/>
          </w:tcPr>
          <w:p w14:paraId="46651C7A"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Low birthweight</w:t>
            </w:r>
          </w:p>
        </w:tc>
        <w:tc>
          <w:tcPr>
            <w:tcW w:w="1260" w:type="dxa"/>
            <w:shd w:val="clear" w:color="auto" w:fill="auto"/>
            <w:vAlign w:val="center"/>
          </w:tcPr>
          <w:p w14:paraId="300244DF"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-1.394</w:t>
            </w:r>
          </w:p>
        </w:tc>
        <w:tc>
          <w:tcPr>
            <w:tcW w:w="1980" w:type="dxa"/>
            <w:shd w:val="clear" w:color="auto" w:fill="auto"/>
            <w:vAlign w:val="bottom"/>
          </w:tcPr>
          <w:p w14:paraId="6218DC9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-0.017</w:t>
            </w:r>
          </w:p>
        </w:tc>
        <w:tc>
          <w:tcPr>
            <w:tcW w:w="1530" w:type="dxa"/>
            <w:shd w:val="clear" w:color="auto" w:fill="auto"/>
            <w:noWrap/>
            <w:vAlign w:val="bottom"/>
            <w:hideMark/>
          </w:tcPr>
          <w:p w14:paraId="6ED3E59F"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0.024</w:t>
            </w:r>
          </w:p>
        </w:tc>
        <w:tc>
          <w:tcPr>
            <w:tcW w:w="1530" w:type="dxa"/>
            <w:shd w:val="clear" w:color="auto" w:fill="auto"/>
            <w:noWrap/>
            <w:vAlign w:val="bottom"/>
            <w:hideMark/>
          </w:tcPr>
          <w:p w14:paraId="521CF142"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27.1%</w:t>
            </w:r>
          </w:p>
        </w:tc>
      </w:tr>
      <w:tr w:rsidR="00C14D61" w:rsidRPr="003D7162" w14:paraId="7B8B7817" w14:textId="77777777" w:rsidTr="00C14D61">
        <w:trPr>
          <w:trHeight w:val="375"/>
        </w:trPr>
        <w:tc>
          <w:tcPr>
            <w:tcW w:w="3230" w:type="dxa"/>
            <w:shd w:val="clear" w:color="auto" w:fill="auto"/>
            <w:vAlign w:val="center"/>
            <w:hideMark/>
          </w:tcPr>
          <w:p w14:paraId="783A048F"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Height (cm)</w:t>
            </w:r>
          </w:p>
        </w:tc>
        <w:tc>
          <w:tcPr>
            <w:tcW w:w="1260" w:type="dxa"/>
            <w:shd w:val="clear" w:color="auto" w:fill="auto"/>
            <w:vAlign w:val="center"/>
          </w:tcPr>
          <w:p w14:paraId="64CDE718"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0.0392</w:t>
            </w:r>
          </w:p>
        </w:tc>
        <w:tc>
          <w:tcPr>
            <w:tcW w:w="1980" w:type="dxa"/>
            <w:shd w:val="clear" w:color="auto" w:fill="auto"/>
            <w:vAlign w:val="bottom"/>
          </w:tcPr>
          <w:p w14:paraId="4A277B6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1.676</w:t>
            </w:r>
          </w:p>
        </w:tc>
        <w:tc>
          <w:tcPr>
            <w:tcW w:w="1530" w:type="dxa"/>
            <w:shd w:val="clear" w:color="auto" w:fill="auto"/>
            <w:noWrap/>
            <w:vAlign w:val="bottom"/>
            <w:hideMark/>
          </w:tcPr>
          <w:p w14:paraId="67B51526"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0.066</w:t>
            </w:r>
          </w:p>
        </w:tc>
        <w:tc>
          <w:tcPr>
            <w:tcW w:w="1530" w:type="dxa"/>
            <w:shd w:val="clear" w:color="auto" w:fill="auto"/>
            <w:noWrap/>
            <w:vAlign w:val="bottom"/>
            <w:hideMark/>
          </w:tcPr>
          <w:p w14:paraId="28F935A3"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72.9%</w:t>
            </w:r>
          </w:p>
        </w:tc>
      </w:tr>
      <w:tr w:rsidR="00C14D61" w:rsidRPr="003D7162" w14:paraId="10A1A816" w14:textId="77777777" w:rsidTr="00C14D61">
        <w:trPr>
          <w:trHeight w:val="375"/>
        </w:trPr>
        <w:tc>
          <w:tcPr>
            <w:tcW w:w="3230" w:type="dxa"/>
            <w:shd w:val="clear" w:color="auto" w:fill="auto"/>
            <w:vAlign w:val="center"/>
            <w:hideMark/>
          </w:tcPr>
          <w:p w14:paraId="308B0E4E"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Others</w:t>
            </w:r>
          </w:p>
        </w:tc>
        <w:tc>
          <w:tcPr>
            <w:tcW w:w="1260" w:type="dxa"/>
            <w:shd w:val="clear" w:color="auto" w:fill="auto"/>
            <w:vAlign w:val="bottom"/>
          </w:tcPr>
          <w:p w14:paraId="61B09B3A"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980" w:type="dxa"/>
            <w:shd w:val="clear" w:color="auto" w:fill="auto"/>
            <w:vAlign w:val="bottom"/>
          </w:tcPr>
          <w:p w14:paraId="4F3FF88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 </w:t>
            </w:r>
          </w:p>
        </w:tc>
        <w:tc>
          <w:tcPr>
            <w:tcW w:w="1530" w:type="dxa"/>
            <w:shd w:val="clear" w:color="auto" w:fill="auto"/>
            <w:noWrap/>
            <w:vAlign w:val="bottom"/>
            <w:hideMark/>
          </w:tcPr>
          <w:p w14:paraId="642F3C6C"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-0.05</w:t>
            </w:r>
          </w:p>
        </w:tc>
        <w:tc>
          <w:tcPr>
            <w:tcW w:w="1530" w:type="dxa"/>
            <w:shd w:val="clear" w:color="auto" w:fill="auto"/>
            <w:noWrap/>
            <w:vAlign w:val="bottom"/>
            <w:hideMark/>
          </w:tcPr>
          <w:p w14:paraId="032DD71A"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-52.4%</w:t>
            </w:r>
          </w:p>
        </w:tc>
      </w:tr>
    </w:tbl>
    <w:p w14:paraId="675C4AA8" w14:textId="078FF8D3" w:rsidR="000F5AE4" w:rsidRDefault="000F5AE4" w:rsidP="000F5AE4">
      <w:pPr>
        <w:rPr>
          <w:rFonts w:ascii="Helvetica" w:hAnsi="Helvetica" w:cs="Helvetica"/>
          <w:lang w:val="en-US" w:eastAsia="es-ES_tradnl"/>
        </w:rPr>
      </w:pPr>
    </w:p>
    <w:p w14:paraId="52E069FC" w14:textId="06EBC22B" w:rsidR="00C14D61" w:rsidRPr="00C14D61" w:rsidRDefault="00D91F4C" w:rsidP="003E1E6C">
      <w:pPr>
        <w:pStyle w:val="Heading2"/>
        <w:rPr>
          <w:b/>
        </w:rPr>
      </w:pPr>
      <w:bookmarkStart w:id="35" w:name="_Toc40953325"/>
      <w:r>
        <w:rPr>
          <w:rFonts w:cs="Helvetica"/>
          <w:b/>
          <w:szCs w:val="24"/>
        </w:rPr>
        <w:t xml:space="preserve">Supplementary </w:t>
      </w:r>
      <w:r w:rsidR="003E1E6C">
        <w:rPr>
          <w:b/>
        </w:rPr>
        <w:t xml:space="preserve">Appendix Figure 11: </w:t>
      </w:r>
      <w:r w:rsidR="00C14D61" w:rsidRPr="00C14D61">
        <w:t xml:space="preserve">Decomposing predicted changes in HAZ among children </w:t>
      </w:r>
      <w:r w:rsidR="00C14D61">
        <w:t>&lt;6</w:t>
      </w:r>
      <w:r w:rsidR="00C14D61" w:rsidRPr="00C14D61">
        <w:t xml:space="preserve"> months (i.e. relative ranking of product coefficients for determinant domains) from 2000-2016</w:t>
      </w:r>
      <w:bookmarkEnd w:id="35"/>
    </w:p>
    <w:p w14:paraId="39497A2A" w14:textId="77777777" w:rsidR="00C14D61" w:rsidRPr="003D7162" w:rsidRDefault="00C14D61" w:rsidP="000F5AE4">
      <w:pPr>
        <w:rPr>
          <w:rFonts w:ascii="Helvetica" w:hAnsi="Helvetica" w:cs="Helvetica"/>
          <w:lang w:val="en-US" w:eastAsia="es-ES_tradnl"/>
        </w:rPr>
      </w:pPr>
    </w:p>
    <w:p w14:paraId="20C3391A" w14:textId="3FEFCB24" w:rsidR="000F5AE4" w:rsidRPr="003D7162" w:rsidRDefault="000F5AE4" w:rsidP="000F5AE4">
      <w:pPr>
        <w:rPr>
          <w:rFonts w:ascii="Helvetica" w:hAnsi="Helvetica" w:cs="Helvetica"/>
          <w:lang w:val="en-US" w:eastAsia="es-ES_tradnl"/>
        </w:rPr>
      </w:pPr>
      <w:r w:rsidRPr="003D7162">
        <w:rPr>
          <w:rFonts w:ascii="Helvetica" w:hAnsi="Helvetica" w:cs="Helvetica"/>
          <w:noProof/>
          <w:lang w:val="en-CA" w:eastAsia="en-CA"/>
        </w:rPr>
        <w:drawing>
          <wp:inline distT="0" distB="0" distL="0" distR="0" wp14:anchorId="6D510AA7" wp14:editId="607209A8">
            <wp:extent cx="5396230" cy="3457969"/>
            <wp:effectExtent l="0" t="0" r="0" b="0"/>
            <wp:docPr id="98" name="Chart 9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2B90B34" w14:textId="77777777" w:rsidR="000F5AE4" w:rsidRPr="003D7162" w:rsidRDefault="000F5AE4" w:rsidP="000F5AE4">
      <w:pPr>
        <w:rPr>
          <w:rFonts w:ascii="Helvetica" w:hAnsi="Helvetica" w:cs="Helvetica"/>
          <w:lang w:val="en-US" w:eastAsia="es-ES_tradnl"/>
        </w:rPr>
      </w:pPr>
    </w:p>
    <w:p w14:paraId="4CAA944A" w14:textId="73D8D66D" w:rsidR="000F5AE4" w:rsidRDefault="000F5AE4" w:rsidP="000F5AE4">
      <w:pPr>
        <w:rPr>
          <w:rFonts w:ascii="Helvetica" w:hAnsi="Helvetica" w:cs="Helvetica"/>
          <w:lang w:val="en-US" w:eastAsia="es-ES_tradnl"/>
        </w:rPr>
      </w:pPr>
    </w:p>
    <w:p w14:paraId="60A7124D" w14:textId="5B2FEC70" w:rsidR="00DC24D4" w:rsidRDefault="00DC24D4" w:rsidP="000F5AE4">
      <w:pPr>
        <w:rPr>
          <w:rFonts w:ascii="Helvetica" w:hAnsi="Helvetica" w:cs="Helvetica"/>
          <w:lang w:val="en-US" w:eastAsia="es-ES_tradnl"/>
        </w:rPr>
      </w:pPr>
    </w:p>
    <w:p w14:paraId="588E70E2" w14:textId="6B8D7307" w:rsidR="00DC24D4" w:rsidRDefault="00DC24D4" w:rsidP="000F5AE4">
      <w:pPr>
        <w:rPr>
          <w:rFonts w:ascii="Helvetica" w:hAnsi="Helvetica" w:cs="Helvetica"/>
          <w:lang w:val="en-US" w:eastAsia="es-ES_tradnl"/>
        </w:rPr>
      </w:pPr>
    </w:p>
    <w:p w14:paraId="2C82C715" w14:textId="77777777" w:rsidR="00DC24D4" w:rsidRPr="003D7162" w:rsidRDefault="00DC24D4" w:rsidP="000F5AE4">
      <w:pPr>
        <w:rPr>
          <w:rFonts w:ascii="Helvetica" w:hAnsi="Helvetica" w:cs="Helvetica"/>
          <w:lang w:val="en-US" w:eastAsia="es-ES_tradnl"/>
        </w:rPr>
      </w:pPr>
    </w:p>
    <w:p w14:paraId="0D4BD3BC" w14:textId="77777777" w:rsidR="000F5AE4" w:rsidRPr="003D7162" w:rsidRDefault="000F5AE4" w:rsidP="000C7ADC">
      <w:pPr>
        <w:rPr>
          <w:rFonts w:ascii="Helvetica" w:hAnsi="Helvetica" w:cs="Helvetica"/>
        </w:rPr>
      </w:pPr>
    </w:p>
    <w:p w14:paraId="4E46FD23" w14:textId="7B5345D2" w:rsidR="000F5AE4" w:rsidRPr="003D7162" w:rsidRDefault="00D91F4C" w:rsidP="000F5AE4">
      <w:pPr>
        <w:pStyle w:val="Heading2"/>
        <w:rPr>
          <w:rFonts w:cs="Helvetica"/>
          <w:szCs w:val="24"/>
        </w:rPr>
      </w:pPr>
      <w:bookmarkStart w:id="36" w:name="_Toc40953326"/>
      <w:r>
        <w:rPr>
          <w:rFonts w:cs="Helvetica"/>
          <w:b/>
          <w:szCs w:val="24"/>
        </w:rPr>
        <w:t xml:space="preserve">Supplementary </w:t>
      </w:r>
      <w:r w:rsidR="000F5AE4" w:rsidRPr="003D7162">
        <w:rPr>
          <w:rFonts w:cs="Helvetica"/>
          <w:b/>
          <w:szCs w:val="24"/>
        </w:rPr>
        <w:t xml:space="preserve">Appendix </w:t>
      </w:r>
      <w:r>
        <w:rPr>
          <w:rFonts w:cs="Helvetica"/>
          <w:b/>
          <w:szCs w:val="24"/>
        </w:rPr>
        <w:t>Table</w:t>
      </w:r>
      <w:r w:rsidRPr="003D7162">
        <w:rPr>
          <w:rFonts w:cs="Helvetica"/>
          <w:b/>
          <w:szCs w:val="24"/>
        </w:rPr>
        <w:t xml:space="preserve"> </w:t>
      </w:r>
      <w:r w:rsidR="00265001">
        <w:rPr>
          <w:rFonts w:cs="Helvetica"/>
          <w:b/>
          <w:szCs w:val="24"/>
        </w:rPr>
        <w:t>8</w:t>
      </w:r>
      <w:r w:rsidR="000F5AE4" w:rsidRPr="003D7162">
        <w:rPr>
          <w:rFonts w:cs="Helvetica"/>
          <w:b/>
          <w:szCs w:val="24"/>
        </w:rPr>
        <w:t>:</w:t>
      </w:r>
      <w:r w:rsidR="000F5AE4" w:rsidRPr="003D7162">
        <w:rPr>
          <w:rFonts w:cs="Helvetica"/>
          <w:szCs w:val="24"/>
        </w:rPr>
        <w:t xml:space="preserve"> Hierarchical linear regression models for children &lt;6 months using individual DHS datasets, period 2000-2016</w:t>
      </w:r>
      <w:bookmarkEnd w:id="36"/>
    </w:p>
    <w:tbl>
      <w:tblPr>
        <w:tblW w:w="9490" w:type="dxa"/>
        <w:tblLook w:val="04A0" w:firstRow="1" w:lastRow="0" w:firstColumn="1" w:lastColumn="0" w:noHBand="0" w:noVBand="1"/>
      </w:tblPr>
      <w:tblGrid>
        <w:gridCol w:w="3008"/>
        <w:gridCol w:w="356"/>
        <w:gridCol w:w="2819"/>
        <w:gridCol w:w="356"/>
        <w:gridCol w:w="2951"/>
      </w:tblGrid>
      <w:tr w:rsidR="000F5AE4" w:rsidRPr="003D7162" w14:paraId="6BAB3C1C" w14:textId="77777777" w:rsidTr="001A5775">
        <w:trPr>
          <w:trHeight w:val="437"/>
        </w:trPr>
        <w:tc>
          <w:tcPr>
            <w:tcW w:w="3008" w:type="dxa"/>
            <w:vMerge w:val="restart"/>
            <w:tcBorders>
              <w:top w:val="single" w:sz="4" w:space="0" w:color="auto"/>
              <w:left w:val="single" w:sz="4" w:space="0" w:color="auto"/>
              <w:bottom w:val="single" w:sz="4" w:space="0" w:color="000000"/>
              <w:right w:val="single" w:sz="4" w:space="0" w:color="auto"/>
            </w:tcBorders>
            <w:shd w:val="clear" w:color="000000" w:fill="808080"/>
            <w:vAlign w:val="center"/>
            <w:hideMark/>
          </w:tcPr>
          <w:p w14:paraId="2DC62E5A" w14:textId="77777777" w:rsidR="000F5AE4" w:rsidRPr="003D7162" w:rsidRDefault="000F5AE4" w:rsidP="001A5775">
            <w:pPr>
              <w:jc w:val="cente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Domain/Indicator</w:t>
            </w:r>
          </w:p>
        </w:tc>
        <w:tc>
          <w:tcPr>
            <w:tcW w:w="6482" w:type="dxa"/>
            <w:gridSpan w:val="4"/>
            <w:tcBorders>
              <w:top w:val="nil"/>
              <w:left w:val="nil"/>
              <w:bottom w:val="nil"/>
              <w:right w:val="nil"/>
            </w:tcBorders>
            <w:shd w:val="clear" w:color="000000" w:fill="808080"/>
            <w:vAlign w:val="bottom"/>
            <w:hideMark/>
          </w:tcPr>
          <w:p w14:paraId="26ECF622"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Outcome = HAZ</w:t>
            </w:r>
          </w:p>
        </w:tc>
      </w:tr>
      <w:tr w:rsidR="000F5AE4" w:rsidRPr="003D7162" w14:paraId="37B0DDF5" w14:textId="77777777" w:rsidTr="001A5775">
        <w:trPr>
          <w:trHeight w:val="452"/>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232DDC22" w14:textId="77777777" w:rsidR="000F5AE4" w:rsidRPr="003D7162" w:rsidRDefault="000F5AE4" w:rsidP="001A5775">
            <w:pPr>
              <w:rPr>
                <w:rFonts w:ascii="Helvetica" w:eastAsia="Times New Roman" w:hAnsi="Helvetica" w:cs="Helvetica"/>
                <w:b/>
                <w:bCs/>
                <w:color w:val="FFFFFF"/>
                <w:szCs w:val="22"/>
                <w:lang w:eastAsia="en-US"/>
              </w:rPr>
            </w:pPr>
          </w:p>
        </w:tc>
        <w:tc>
          <w:tcPr>
            <w:tcW w:w="6482" w:type="dxa"/>
            <w:gridSpan w:val="4"/>
            <w:tcBorders>
              <w:top w:val="nil"/>
              <w:left w:val="nil"/>
              <w:bottom w:val="nil"/>
              <w:right w:val="nil"/>
            </w:tcBorders>
            <w:shd w:val="clear" w:color="000000" w:fill="808080"/>
            <w:hideMark/>
          </w:tcPr>
          <w:p w14:paraId="3162D5CD"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(Height for age z-score under 6 months children)</w:t>
            </w:r>
          </w:p>
        </w:tc>
      </w:tr>
      <w:tr w:rsidR="000F5AE4" w:rsidRPr="003D7162" w14:paraId="49B33260" w14:textId="77777777" w:rsidTr="001A5775">
        <w:trPr>
          <w:trHeight w:val="481"/>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173FDA98" w14:textId="77777777" w:rsidR="000F5AE4" w:rsidRPr="003D7162" w:rsidRDefault="000F5AE4" w:rsidP="001A5775">
            <w:pPr>
              <w:rPr>
                <w:rFonts w:ascii="Helvetica" w:eastAsia="Times New Roman" w:hAnsi="Helvetica" w:cs="Helvetica"/>
                <w:b/>
                <w:bCs/>
                <w:color w:val="FFFFFF"/>
                <w:szCs w:val="22"/>
                <w:lang w:eastAsia="en-US"/>
              </w:rPr>
            </w:pPr>
          </w:p>
        </w:tc>
        <w:tc>
          <w:tcPr>
            <w:tcW w:w="6482" w:type="dxa"/>
            <w:gridSpan w:val="4"/>
            <w:tcBorders>
              <w:top w:val="nil"/>
              <w:left w:val="nil"/>
              <w:bottom w:val="single" w:sz="4" w:space="0" w:color="auto"/>
              <w:right w:val="nil"/>
            </w:tcBorders>
            <w:shd w:val="clear" w:color="000000" w:fill="808080"/>
            <w:vAlign w:val="center"/>
            <w:hideMark/>
          </w:tcPr>
          <w:p w14:paraId="07B1C3DA"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Period 2000 and 2016</w:t>
            </w:r>
          </w:p>
        </w:tc>
      </w:tr>
      <w:tr w:rsidR="000F5AE4" w:rsidRPr="003D7162" w14:paraId="6E192FD4" w14:textId="77777777" w:rsidTr="001A5775">
        <w:trPr>
          <w:trHeight w:val="612"/>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7AA05ED8" w14:textId="77777777" w:rsidR="000F5AE4" w:rsidRPr="003D7162" w:rsidRDefault="000F5AE4" w:rsidP="001A5775">
            <w:pPr>
              <w:rPr>
                <w:rFonts w:ascii="Helvetica" w:eastAsia="Times New Roman" w:hAnsi="Helvetica" w:cs="Helvetica"/>
                <w:b/>
                <w:bCs/>
                <w:color w:val="FFFFFF"/>
                <w:szCs w:val="22"/>
                <w:lang w:eastAsia="en-US"/>
              </w:rPr>
            </w:pPr>
          </w:p>
        </w:tc>
        <w:tc>
          <w:tcPr>
            <w:tcW w:w="3175" w:type="dxa"/>
            <w:gridSpan w:val="2"/>
            <w:tcBorders>
              <w:top w:val="single" w:sz="4" w:space="0" w:color="auto"/>
              <w:left w:val="nil"/>
              <w:bottom w:val="single" w:sz="4" w:space="0" w:color="auto"/>
              <w:right w:val="single" w:sz="4" w:space="0" w:color="000000"/>
            </w:tcBorders>
            <w:shd w:val="clear" w:color="000000" w:fill="808080"/>
            <w:vAlign w:val="center"/>
            <w:hideMark/>
          </w:tcPr>
          <w:p w14:paraId="756379BB"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Time-adjusted regression coefficient</w:t>
            </w:r>
          </w:p>
        </w:tc>
        <w:tc>
          <w:tcPr>
            <w:tcW w:w="3307" w:type="dxa"/>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0441DF1E" w14:textId="77777777" w:rsidR="000F5AE4" w:rsidRPr="003D7162" w:rsidRDefault="000F5AE4" w:rsidP="001A5775">
            <w:pPr>
              <w:jc w:val="center"/>
              <w:rPr>
                <w:rFonts w:ascii="Helvetica" w:eastAsia="Times New Roman" w:hAnsi="Helvetica" w:cs="Helvetica"/>
                <w:b/>
                <w:bCs/>
                <w:color w:val="FFFFFF"/>
                <w:sz w:val="20"/>
                <w:szCs w:val="20"/>
                <w:vertAlign w:val="superscript"/>
                <w:lang w:eastAsia="en-US"/>
              </w:rPr>
            </w:pPr>
            <w:r w:rsidRPr="003D7162">
              <w:rPr>
                <w:rFonts w:ascii="Helvetica" w:eastAsia="Times New Roman" w:hAnsi="Helvetica" w:cs="Helvetica"/>
                <w:b/>
                <w:bCs/>
                <w:color w:val="FFFFFF"/>
                <w:sz w:val="20"/>
                <w:szCs w:val="20"/>
                <w:lang w:eastAsia="en-US"/>
              </w:rPr>
              <w:t xml:space="preserve">Time- and confounder-adjusted </w:t>
            </w:r>
            <w:r w:rsidRPr="003D7162">
              <w:rPr>
                <w:rFonts w:ascii="Helvetica" w:eastAsia="Times New Roman" w:hAnsi="Helvetica" w:cs="Helvetica"/>
                <w:b/>
                <w:bCs/>
                <w:color w:val="FFFFFF"/>
                <w:sz w:val="20"/>
                <w:szCs w:val="20"/>
                <w:lang w:eastAsia="en-US"/>
              </w:rPr>
              <w:br/>
              <w:t>regression coefficient</w:t>
            </w:r>
            <w:r w:rsidRPr="003D7162">
              <w:rPr>
                <w:rFonts w:ascii="Helvetica" w:eastAsia="Times New Roman" w:hAnsi="Helvetica" w:cs="Helvetica"/>
                <w:b/>
                <w:bCs/>
                <w:color w:val="FFFFFF"/>
                <w:sz w:val="20"/>
                <w:szCs w:val="20"/>
                <w:vertAlign w:val="superscript"/>
                <w:lang w:eastAsia="en-US"/>
              </w:rPr>
              <w:t>1</w:t>
            </w:r>
          </w:p>
        </w:tc>
      </w:tr>
      <w:tr w:rsidR="000F5AE4" w:rsidRPr="003D7162" w14:paraId="0E87B332" w14:textId="77777777" w:rsidTr="001A5775">
        <w:trPr>
          <w:trHeight w:val="524"/>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574CBF1E" w14:textId="77777777" w:rsidR="000F5AE4" w:rsidRPr="003D7162" w:rsidRDefault="000F5AE4" w:rsidP="001A5775">
            <w:pPr>
              <w:rPr>
                <w:rFonts w:ascii="Helvetica" w:eastAsia="Times New Roman" w:hAnsi="Helvetica" w:cs="Helvetica"/>
                <w:b/>
                <w:bCs/>
                <w:color w:val="FFFFFF"/>
                <w:szCs w:val="22"/>
                <w:lang w:eastAsia="en-US"/>
              </w:rPr>
            </w:pPr>
          </w:p>
        </w:tc>
        <w:tc>
          <w:tcPr>
            <w:tcW w:w="356" w:type="dxa"/>
            <w:vMerge w:val="restart"/>
            <w:tcBorders>
              <w:top w:val="nil"/>
              <w:left w:val="single" w:sz="4" w:space="0" w:color="auto"/>
              <w:bottom w:val="single" w:sz="4" w:space="0" w:color="000000"/>
              <w:right w:val="nil"/>
            </w:tcBorders>
            <w:shd w:val="clear" w:color="000000" w:fill="808080"/>
            <w:vAlign w:val="center"/>
            <w:hideMark/>
          </w:tcPr>
          <w:p w14:paraId="364CB957"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819" w:type="dxa"/>
            <w:tcBorders>
              <w:top w:val="nil"/>
              <w:left w:val="nil"/>
              <w:bottom w:val="nil"/>
              <w:right w:val="single" w:sz="4" w:space="0" w:color="auto"/>
            </w:tcBorders>
            <w:shd w:val="clear" w:color="000000" w:fill="808080"/>
            <w:vAlign w:val="center"/>
            <w:hideMark/>
          </w:tcPr>
          <w:p w14:paraId="386F1779"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b estimate (95% CI)</w:t>
            </w:r>
          </w:p>
        </w:tc>
        <w:tc>
          <w:tcPr>
            <w:tcW w:w="356" w:type="dxa"/>
            <w:vMerge w:val="restart"/>
            <w:tcBorders>
              <w:top w:val="single" w:sz="4" w:space="0" w:color="auto"/>
              <w:left w:val="single" w:sz="4" w:space="0" w:color="auto"/>
              <w:bottom w:val="single" w:sz="4" w:space="0" w:color="000000"/>
              <w:right w:val="nil"/>
            </w:tcBorders>
            <w:shd w:val="clear" w:color="000000" w:fill="808080"/>
            <w:vAlign w:val="center"/>
            <w:hideMark/>
          </w:tcPr>
          <w:p w14:paraId="18E440C5"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951" w:type="dxa"/>
            <w:tcBorders>
              <w:top w:val="single" w:sz="4" w:space="0" w:color="auto"/>
              <w:left w:val="nil"/>
              <w:bottom w:val="nil"/>
              <w:right w:val="single" w:sz="4" w:space="0" w:color="auto"/>
            </w:tcBorders>
            <w:shd w:val="clear" w:color="000000" w:fill="808080"/>
            <w:vAlign w:val="center"/>
            <w:hideMark/>
          </w:tcPr>
          <w:p w14:paraId="079587CF"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xml:space="preserve">b estimate (95% CI) </w:t>
            </w:r>
          </w:p>
        </w:tc>
      </w:tr>
      <w:tr w:rsidR="000F5AE4" w:rsidRPr="003D7162" w14:paraId="251D9250" w14:textId="77777777" w:rsidTr="001A5775">
        <w:trPr>
          <w:trHeight w:val="320"/>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06F231FA" w14:textId="77777777" w:rsidR="000F5AE4" w:rsidRPr="003D7162" w:rsidRDefault="000F5AE4" w:rsidP="001A5775">
            <w:pPr>
              <w:rPr>
                <w:rFonts w:ascii="Helvetica" w:eastAsia="Times New Roman" w:hAnsi="Helvetica" w:cs="Helvetica"/>
                <w:b/>
                <w:bCs/>
                <w:color w:val="FFFFFF"/>
                <w:szCs w:val="22"/>
                <w:lang w:eastAsia="en-US"/>
              </w:rPr>
            </w:pPr>
          </w:p>
        </w:tc>
        <w:tc>
          <w:tcPr>
            <w:tcW w:w="356" w:type="dxa"/>
            <w:vMerge/>
            <w:tcBorders>
              <w:top w:val="nil"/>
              <w:left w:val="single" w:sz="4" w:space="0" w:color="auto"/>
              <w:bottom w:val="single" w:sz="4" w:space="0" w:color="000000"/>
              <w:right w:val="nil"/>
            </w:tcBorders>
            <w:vAlign w:val="center"/>
            <w:hideMark/>
          </w:tcPr>
          <w:p w14:paraId="1473E8C3" w14:textId="77777777" w:rsidR="000F5AE4" w:rsidRPr="003D7162" w:rsidRDefault="000F5AE4" w:rsidP="001A5775">
            <w:pPr>
              <w:rPr>
                <w:rFonts w:ascii="Helvetica" w:eastAsia="Times New Roman" w:hAnsi="Helvetica" w:cs="Helvetica"/>
                <w:color w:val="FFFFFF"/>
                <w:sz w:val="20"/>
                <w:szCs w:val="20"/>
                <w:lang w:eastAsia="en-US"/>
              </w:rPr>
            </w:pPr>
          </w:p>
        </w:tc>
        <w:tc>
          <w:tcPr>
            <w:tcW w:w="2819" w:type="dxa"/>
            <w:tcBorders>
              <w:top w:val="nil"/>
              <w:left w:val="nil"/>
              <w:bottom w:val="nil"/>
              <w:right w:val="single" w:sz="4" w:space="0" w:color="auto"/>
            </w:tcBorders>
            <w:shd w:val="clear" w:color="000000" w:fill="808080"/>
            <w:hideMark/>
          </w:tcPr>
          <w:p w14:paraId="3DB5495F" w14:textId="77777777" w:rsidR="000F5AE4" w:rsidRPr="003D7162" w:rsidRDefault="000F5AE4" w:rsidP="001A57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-value</w:t>
            </w:r>
          </w:p>
        </w:tc>
        <w:tc>
          <w:tcPr>
            <w:tcW w:w="356" w:type="dxa"/>
            <w:vMerge/>
            <w:tcBorders>
              <w:top w:val="single" w:sz="4" w:space="0" w:color="auto"/>
              <w:left w:val="single" w:sz="4" w:space="0" w:color="auto"/>
              <w:bottom w:val="single" w:sz="4" w:space="0" w:color="000000"/>
              <w:right w:val="nil"/>
            </w:tcBorders>
            <w:vAlign w:val="center"/>
            <w:hideMark/>
          </w:tcPr>
          <w:p w14:paraId="6ECC94C1" w14:textId="77777777" w:rsidR="000F5AE4" w:rsidRPr="003D7162" w:rsidRDefault="000F5AE4" w:rsidP="001A5775">
            <w:pPr>
              <w:rPr>
                <w:rFonts w:ascii="Helvetica" w:eastAsia="Times New Roman" w:hAnsi="Helvetica" w:cs="Helvetica"/>
                <w:color w:val="FFFFFF"/>
                <w:sz w:val="20"/>
                <w:szCs w:val="20"/>
                <w:lang w:eastAsia="en-US"/>
              </w:rPr>
            </w:pPr>
          </w:p>
        </w:tc>
        <w:tc>
          <w:tcPr>
            <w:tcW w:w="2951" w:type="dxa"/>
            <w:tcBorders>
              <w:top w:val="nil"/>
              <w:left w:val="nil"/>
              <w:bottom w:val="nil"/>
              <w:right w:val="single" w:sz="4" w:space="0" w:color="auto"/>
            </w:tcBorders>
            <w:shd w:val="clear" w:color="000000" w:fill="808080"/>
            <w:hideMark/>
          </w:tcPr>
          <w:p w14:paraId="3973A8C0" w14:textId="77777777" w:rsidR="000F5AE4" w:rsidRPr="003D7162" w:rsidRDefault="000F5AE4" w:rsidP="001A57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-value</w:t>
            </w:r>
          </w:p>
        </w:tc>
      </w:tr>
      <w:tr w:rsidR="000F5AE4" w:rsidRPr="003D7162" w14:paraId="419D3A54" w14:textId="77777777" w:rsidTr="001A5775">
        <w:trPr>
          <w:trHeight w:val="335"/>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7A82C241" w14:textId="77777777" w:rsidR="000F5AE4" w:rsidRPr="003D7162" w:rsidRDefault="000F5AE4" w:rsidP="001A5775">
            <w:pPr>
              <w:rPr>
                <w:rFonts w:ascii="Helvetica" w:eastAsia="Times New Roman" w:hAnsi="Helvetica" w:cs="Helvetica"/>
                <w:b/>
                <w:bCs/>
                <w:color w:val="FFFFFF"/>
                <w:szCs w:val="22"/>
                <w:lang w:eastAsia="en-US"/>
              </w:rPr>
            </w:pPr>
          </w:p>
        </w:tc>
        <w:tc>
          <w:tcPr>
            <w:tcW w:w="356" w:type="dxa"/>
            <w:vMerge/>
            <w:tcBorders>
              <w:top w:val="nil"/>
              <w:left w:val="single" w:sz="4" w:space="0" w:color="auto"/>
              <w:bottom w:val="single" w:sz="4" w:space="0" w:color="000000"/>
              <w:right w:val="nil"/>
            </w:tcBorders>
            <w:vAlign w:val="center"/>
            <w:hideMark/>
          </w:tcPr>
          <w:p w14:paraId="0563247D" w14:textId="77777777" w:rsidR="000F5AE4" w:rsidRPr="003D7162" w:rsidRDefault="000F5AE4" w:rsidP="001A5775">
            <w:pPr>
              <w:rPr>
                <w:rFonts w:ascii="Helvetica" w:eastAsia="Times New Roman" w:hAnsi="Helvetica" w:cs="Helvetica"/>
                <w:color w:val="FFFFFF"/>
                <w:sz w:val="20"/>
                <w:szCs w:val="20"/>
                <w:lang w:eastAsia="en-US"/>
              </w:rPr>
            </w:pPr>
          </w:p>
        </w:tc>
        <w:tc>
          <w:tcPr>
            <w:tcW w:w="2819" w:type="dxa"/>
            <w:tcBorders>
              <w:top w:val="nil"/>
              <w:left w:val="nil"/>
              <w:bottom w:val="single" w:sz="4" w:space="0" w:color="auto"/>
              <w:right w:val="single" w:sz="4" w:space="0" w:color="auto"/>
            </w:tcBorders>
            <w:shd w:val="clear" w:color="000000" w:fill="808080"/>
            <w:hideMark/>
          </w:tcPr>
          <w:p w14:paraId="477B800A"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356" w:type="dxa"/>
            <w:vMerge/>
            <w:tcBorders>
              <w:top w:val="single" w:sz="4" w:space="0" w:color="auto"/>
              <w:left w:val="single" w:sz="4" w:space="0" w:color="auto"/>
              <w:bottom w:val="single" w:sz="4" w:space="0" w:color="000000"/>
              <w:right w:val="nil"/>
            </w:tcBorders>
            <w:vAlign w:val="center"/>
            <w:hideMark/>
          </w:tcPr>
          <w:p w14:paraId="67EBD50D" w14:textId="77777777" w:rsidR="000F5AE4" w:rsidRPr="003D7162" w:rsidRDefault="000F5AE4" w:rsidP="001A5775">
            <w:pPr>
              <w:rPr>
                <w:rFonts w:ascii="Helvetica" w:eastAsia="Times New Roman" w:hAnsi="Helvetica" w:cs="Helvetica"/>
                <w:color w:val="FFFFFF"/>
                <w:sz w:val="20"/>
                <w:szCs w:val="20"/>
                <w:lang w:eastAsia="en-US"/>
              </w:rPr>
            </w:pPr>
          </w:p>
        </w:tc>
        <w:tc>
          <w:tcPr>
            <w:tcW w:w="2951" w:type="dxa"/>
            <w:tcBorders>
              <w:top w:val="nil"/>
              <w:left w:val="nil"/>
              <w:bottom w:val="single" w:sz="4" w:space="0" w:color="auto"/>
              <w:right w:val="single" w:sz="4" w:space="0" w:color="auto"/>
            </w:tcBorders>
            <w:shd w:val="clear" w:color="000000" w:fill="808080"/>
            <w:hideMark/>
          </w:tcPr>
          <w:p w14:paraId="5D593042"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r>
      <w:tr w:rsidR="000F5AE4" w:rsidRPr="003D7162" w14:paraId="18EEE6B7" w14:textId="77777777" w:rsidTr="001A5775">
        <w:trPr>
          <w:trHeight w:val="422"/>
        </w:trPr>
        <w:tc>
          <w:tcPr>
            <w:tcW w:w="9490" w:type="dxa"/>
            <w:gridSpan w:val="5"/>
            <w:tcBorders>
              <w:top w:val="single" w:sz="4" w:space="0" w:color="auto"/>
              <w:left w:val="single" w:sz="4" w:space="0" w:color="auto"/>
              <w:bottom w:val="nil"/>
              <w:right w:val="nil"/>
            </w:tcBorders>
            <w:shd w:val="clear" w:color="000000" w:fill="808080"/>
            <w:vAlign w:val="center"/>
            <w:hideMark/>
          </w:tcPr>
          <w:p w14:paraId="47D38700"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Distal level</w:t>
            </w:r>
          </w:p>
        </w:tc>
      </w:tr>
      <w:tr w:rsidR="000F5AE4" w:rsidRPr="003D7162" w14:paraId="7CA24BF2" w14:textId="77777777" w:rsidTr="001A5775">
        <w:trPr>
          <w:trHeight w:val="364"/>
        </w:trPr>
        <w:tc>
          <w:tcPr>
            <w:tcW w:w="9490" w:type="dxa"/>
            <w:gridSpan w:val="5"/>
            <w:tcBorders>
              <w:top w:val="nil"/>
              <w:left w:val="single" w:sz="4" w:space="0" w:color="auto"/>
              <w:bottom w:val="single" w:sz="4" w:space="0" w:color="auto"/>
              <w:right w:val="nil"/>
            </w:tcBorders>
            <w:shd w:val="clear" w:color="000000" w:fill="D9D9D9"/>
            <w:vAlign w:val="center"/>
            <w:hideMark/>
          </w:tcPr>
          <w:p w14:paraId="2015BA8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Basic causes &amp; Income poverty</w:t>
            </w:r>
          </w:p>
        </w:tc>
      </w:tr>
      <w:tr w:rsidR="000F5AE4" w:rsidRPr="003D7162" w14:paraId="1E631A0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94880D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Wealth Index</w:t>
            </w:r>
          </w:p>
        </w:tc>
        <w:tc>
          <w:tcPr>
            <w:tcW w:w="356" w:type="dxa"/>
            <w:tcBorders>
              <w:top w:val="nil"/>
              <w:left w:val="nil"/>
              <w:bottom w:val="nil"/>
              <w:right w:val="nil"/>
            </w:tcBorders>
            <w:shd w:val="clear" w:color="000000" w:fill="FFFFFF"/>
            <w:vAlign w:val="center"/>
            <w:hideMark/>
          </w:tcPr>
          <w:p w14:paraId="6D84AB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5B51CA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0.092 (0.072; 0.112)</w:t>
            </w:r>
          </w:p>
        </w:tc>
        <w:tc>
          <w:tcPr>
            <w:tcW w:w="356" w:type="dxa"/>
            <w:tcBorders>
              <w:top w:val="nil"/>
              <w:left w:val="nil"/>
              <w:bottom w:val="nil"/>
              <w:right w:val="nil"/>
            </w:tcBorders>
            <w:shd w:val="clear" w:color="000000" w:fill="FFFFFF"/>
            <w:vAlign w:val="center"/>
            <w:hideMark/>
          </w:tcPr>
          <w:p w14:paraId="60191E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EC4C91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0.065 (0.039; 0.092)</w:t>
            </w:r>
          </w:p>
        </w:tc>
      </w:tr>
      <w:tr w:rsidR="000F5AE4" w:rsidRPr="003D7162" w14:paraId="00D02474"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AEB1C0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(0 - 10)</w:t>
            </w:r>
          </w:p>
        </w:tc>
        <w:tc>
          <w:tcPr>
            <w:tcW w:w="356" w:type="dxa"/>
            <w:tcBorders>
              <w:top w:val="nil"/>
              <w:left w:val="nil"/>
              <w:bottom w:val="nil"/>
              <w:right w:val="nil"/>
            </w:tcBorders>
            <w:shd w:val="clear" w:color="000000" w:fill="FFFFFF"/>
            <w:vAlign w:val="center"/>
            <w:hideMark/>
          </w:tcPr>
          <w:p w14:paraId="089EC79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4E5C4C5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45E986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AEA7D2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02F3CDE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4C131D1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45059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98CD7A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B39F60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9A0A55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9F0483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E2FD65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Log GDP, per capita</w:t>
            </w:r>
          </w:p>
        </w:tc>
        <w:tc>
          <w:tcPr>
            <w:tcW w:w="356" w:type="dxa"/>
            <w:tcBorders>
              <w:top w:val="nil"/>
              <w:left w:val="nil"/>
              <w:bottom w:val="nil"/>
              <w:right w:val="nil"/>
            </w:tcBorders>
            <w:shd w:val="clear" w:color="000000" w:fill="FFFFFF"/>
            <w:vAlign w:val="center"/>
            <w:hideMark/>
          </w:tcPr>
          <w:p w14:paraId="6C3E87E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5F0473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0.341 (0.192; 0.491)</w:t>
            </w:r>
          </w:p>
        </w:tc>
        <w:tc>
          <w:tcPr>
            <w:tcW w:w="356" w:type="dxa"/>
            <w:tcBorders>
              <w:top w:val="nil"/>
              <w:left w:val="nil"/>
              <w:bottom w:val="nil"/>
              <w:right w:val="nil"/>
            </w:tcBorders>
            <w:shd w:val="clear" w:color="000000" w:fill="FFFFFF"/>
            <w:vAlign w:val="center"/>
            <w:hideMark/>
          </w:tcPr>
          <w:p w14:paraId="5DE7E4F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4479A1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8735F7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20E4AB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356" w:type="dxa"/>
            <w:tcBorders>
              <w:top w:val="nil"/>
              <w:left w:val="nil"/>
              <w:bottom w:val="nil"/>
              <w:right w:val="nil"/>
            </w:tcBorders>
            <w:shd w:val="clear" w:color="000000" w:fill="FFFFFF"/>
            <w:vAlign w:val="center"/>
            <w:hideMark/>
          </w:tcPr>
          <w:p w14:paraId="3955B3F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7E6B26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5856C3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3950F2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266BDEB"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5D21AA8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F97B82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A80E2C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D89872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10128A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ED66704"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A90B49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Poverty line </w:t>
            </w:r>
          </w:p>
        </w:tc>
        <w:tc>
          <w:tcPr>
            <w:tcW w:w="356" w:type="dxa"/>
            <w:tcBorders>
              <w:top w:val="nil"/>
              <w:left w:val="nil"/>
              <w:bottom w:val="nil"/>
              <w:right w:val="nil"/>
            </w:tcBorders>
            <w:shd w:val="clear" w:color="000000" w:fill="FFFFFF"/>
            <w:vAlign w:val="center"/>
            <w:hideMark/>
          </w:tcPr>
          <w:p w14:paraId="0C6CE4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4899997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-0.012 (-0.017; -0.007)</w:t>
            </w:r>
          </w:p>
        </w:tc>
        <w:tc>
          <w:tcPr>
            <w:tcW w:w="356" w:type="dxa"/>
            <w:tcBorders>
              <w:top w:val="nil"/>
              <w:left w:val="nil"/>
              <w:bottom w:val="nil"/>
              <w:right w:val="nil"/>
            </w:tcBorders>
            <w:shd w:val="clear" w:color="000000" w:fill="FFFFFF"/>
            <w:vAlign w:val="center"/>
            <w:hideMark/>
          </w:tcPr>
          <w:p w14:paraId="47A18F7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C08F61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139AC3C"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23ACBF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families below)</w:t>
            </w:r>
          </w:p>
        </w:tc>
        <w:tc>
          <w:tcPr>
            <w:tcW w:w="356" w:type="dxa"/>
            <w:tcBorders>
              <w:top w:val="nil"/>
              <w:left w:val="nil"/>
              <w:bottom w:val="nil"/>
              <w:right w:val="nil"/>
            </w:tcBorders>
            <w:shd w:val="clear" w:color="000000" w:fill="FFFFFF"/>
            <w:vAlign w:val="center"/>
            <w:hideMark/>
          </w:tcPr>
          <w:p w14:paraId="44AE74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3BC1D8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12C6696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0C5D99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FC16F61"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C91319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92960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336BC47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85DF9B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8423A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00AC82C"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ADADD0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Gini coefficient for income</w:t>
            </w:r>
          </w:p>
        </w:tc>
        <w:tc>
          <w:tcPr>
            <w:tcW w:w="356" w:type="dxa"/>
            <w:tcBorders>
              <w:top w:val="nil"/>
              <w:left w:val="nil"/>
              <w:bottom w:val="nil"/>
              <w:right w:val="nil"/>
            </w:tcBorders>
            <w:shd w:val="clear" w:color="000000" w:fill="FFFFFF"/>
            <w:vAlign w:val="center"/>
            <w:hideMark/>
          </w:tcPr>
          <w:p w14:paraId="795EABC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FF03D9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-0.024 (-0.043; -0.004)</w:t>
            </w:r>
          </w:p>
        </w:tc>
        <w:tc>
          <w:tcPr>
            <w:tcW w:w="356" w:type="dxa"/>
            <w:tcBorders>
              <w:top w:val="nil"/>
              <w:left w:val="nil"/>
              <w:bottom w:val="nil"/>
              <w:right w:val="nil"/>
            </w:tcBorders>
            <w:shd w:val="clear" w:color="000000" w:fill="FFFFFF"/>
            <w:vAlign w:val="center"/>
            <w:hideMark/>
          </w:tcPr>
          <w:p w14:paraId="7E77BD7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2AC88D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693825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8AE039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(perfect equality) – 1 (perfect inequality)</w:t>
            </w:r>
          </w:p>
        </w:tc>
        <w:tc>
          <w:tcPr>
            <w:tcW w:w="356" w:type="dxa"/>
            <w:tcBorders>
              <w:top w:val="nil"/>
              <w:left w:val="nil"/>
              <w:bottom w:val="nil"/>
              <w:right w:val="nil"/>
            </w:tcBorders>
            <w:shd w:val="clear" w:color="000000" w:fill="FFFFFF"/>
            <w:vAlign w:val="center"/>
            <w:hideMark/>
          </w:tcPr>
          <w:p w14:paraId="46CBCBB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353C11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0.019</w:t>
            </w:r>
          </w:p>
        </w:tc>
        <w:tc>
          <w:tcPr>
            <w:tcW w:w="356" w:type="dxa"/>
            <w:tcBorders>
              <w:top w:val="nil"/>
              <w:left w:val="nil"/>
              <w:bottom w:val="nil"/>
              <w:right w:val="nil"/>
            </w:tcBorders>
            <w:shd w:val="clear" w:color="000000" w:fill="FFFFFF"/>
            <w:vAlign w:val="center"/>
            <w:hideMark/>
          </w:tcPr>
          <w:p w14:paraId="0F23686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C67D64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87BFCD5"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3FBE75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1E70D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77FC305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0D6AC6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6A1CE8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9C2EDAF"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79F6CA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Maternal years of schooling</w:t>
            </w:r>
          </w:p>
        </w:tc>
        <w:tc>
          <w:tcPr>
            <w:tcW w:w="356" w:type="dxa"/>
            <w:tcBorders>
              <w:top w:val="nil"/>
              <w:left w:val="nil"/>
              <w:bottom w:val="nil"/>
              <w:right w:val="nil"/>
            </w:tcBorders>
            <w:shd w:val="clear" w:color="000000" w:fill="FFFFFF"/>
            <w:vAlign w:val="center"/>
            <w:hideMark/>
          </w:tcPr>
          <w:p w14:paraId="3A17B3A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A550D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0.062 (0.042; 0.083)</w:t>
            </w:r>
          </w:p>
        </w:tc>
        <w:tc>
          <w:tcPr>
            <w:tcW w:w="356" w:type="dxa"/>
            <w:tcBorders>
              <w:top w:val="nil"/>
              <w:left w:val="nil"/>
              <w:bottom w:val="nil"/>
              <w:right w:val="nil"/>
            </w:tcBorders>
            <w:shd w:val="clear" w:color="000000" w:fill="FFFFFF"/>
            <w:vAlign w:val="center"/>
            <w:hideMark/>
          </w:tcPr>
          <w:p w14:paraId="6C003BE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0070E7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0.022 (-0.001; 0.046)</w:t>
            </w:r>
          </w:p>
        </w:tc>
      </w:tr>
      <w:tr w:rsidR="000F5AE4" w:rsidRPr="003D7162" w14:paraId="30429A97"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6250F1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26C1C2B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258F2D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59696A6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C23460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0.061</w:t>
            </w:r>
          </w:p>
        </w:tc>
      </w:tr>
      <w:tr w:rsidR="000F5AE4" w:rsidRPr="003D7162" w14:paraId="34BA368B"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06316C1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10CBB5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07CFF8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662E9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BA2EF1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2899A5B"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6CB448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Paternal years of schooling</w:t>
            </w:r>
          </w:p>
        </w:tc>
        <w:tc>
          <w:tcPr>
            <w:tcW w:w="356" w:type="dxa"/>
            <w:tcBorders>
              <w:top w:val="nil"/>
              <w:left w:val="nil"/>
              <w:bottom w:val="nil"/>
              <w:right w:val="nil"/>
            </w:tcBorders>
            <w:shd w:val="clear" w:color="000000" w:fill="FFFFFF"/>
            <w:vAlign w:val="center"/>
            <w:hideMark/>
          </w:tcPr>
          <w:p w14:paraId="1F115E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85DF5C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0.057 (0.032; 0.081)</w:t>
            </w:r>
          </w:p>
        </w:tc>
        <w:tc>
          <w:tcPr>
            <w:tcW w:w="356" w:type="dxa"/>
            <w:tcBorders>
              <w:top w:val="nil"/>
              <w:left w:val="nil"/>
              <w:bottom w:val="nil"/>
              <w:right w:val="nil"/>
            </w:tcBorders>
            <w:shd w:val="clear" w:color="000000" w:fill="FFFFFF"/>
            <w:vAlign w:val="center"/>
            <w:hideMark/>
          </w:tcPr>
          <w:p w14:paraId="47AA54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C6CBC8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99DC47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3F34CB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77D37A3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703CF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383539B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CF3A21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1FADC9F"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1487C68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7D8F29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18DEEC1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B12E28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E8A12A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46F118C" w14:textId="77777777" w:rsidTr="001A5775">
        <w:trPr>
          <w:trHeight w:val="349"/>
        </w:trPr>
        <w:tc>
          <w:tcPr>
            <w:tcW w:w="3008" w:type="dxa"/>
            <w:tcBorders>
              <w:top w:val="nil"/>
              <w:left w:val="single" w:sz="4" w:space="0" w:color="auto"/>
              <w:bottom w:val="single" w:sz="4" w:space="0" w:color="auto"/>
              <w:right w:val="nil"/>
            </w:tcBorders>
            <w:shd w:val="clear" w:color="000000" w:fill="D9D9D9"/>
            <w:vAlign w:val="center"/>
            <w:hideMark/>
          </w:tcPr>
          <w:p w14:paraId="3FEEA9E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356" w:type="dxa"/>
            <w:tcBorders>
              <w:top w:val="nil"/>
              <w:left w:val="nil"/>
              <w:bottom w:val="single" w:sz="4" w:space="0" w:color="auto"/>
              <w:right w:val="nil"/>
            </w:tcBorders>
            <w:shd w:val="clear" w:color="000000" w:fill="D9D9D9"/>
            <w:vAlign w:val="center"/>
            <w:hideMark/>
          </w:tcPr>
          <w:p w14:paraId="41FA1E8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D9D9D9"/>
            <w:vAlign w:val="center"/>
            <w:hideMark/>
          </w:tcPr>
          <w:p w14:paraId="3370E4D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0D0741B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D9D9D9"/>
            <w:vAlign w:val="center"/>
            <w:hideMark/>
          </w:tcPr>
          <w:p w14:paraId="6A706211"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9.6%</w:t>
            </w:r>
          </w:p>
        </w:tc>
      </w:tr>
      <w:tr w:rsidR="000F5AE4" w:rsidRPr="003D7162" w14:paraId="17574E6F" w14:textId="77777777" w:rsidTr="001A5775">
        <w:trPr>
          <w:trHeight w:val="408"/>
        </w:trPr>
        <w:tc>
          <w:tcPr>
            <w:tcW w:w="9490" w:type="dxa"/>
            <w:gridSpan w:val="5"/>
            <w:tcBorders>
              <w:top w:val="single" w:sz="4" w:space="0" w:color="auto"/>
              <w:left w:val="single" w:sz="4" w:space="0" w:color="auto"/>
              <w:bottom w:val="nil"/>
              <w:right w:val="nil"/>
            </w:tcBorders>
            <w:shd w:val="clear" w:color="000000" w:fill="808080"/>
            <w:vAlign w:val="center"/>
            <w:hideMark/>
          </w:tcPr>
          <w:p w14:paraId="64010CDC"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Intermediate level - I</w:t>
            </w:r>
          </w:p>
        </w:tc>
      </w:tr>
      <w:tr w:rsidR="000F5AE4" w:rsidRPr="003D7162" w14:paraId="4979CA4F" w14:textId="77777777" w:rsidTr="001A5775">
        <w:trPr>
          <w:trHeight w:val="349"/>
        </w:trPr>
        <w:tc>
          <w:tcPr>
            <w:tcW w:w="9490" w:type="dxa"/>
            <w:gridSpan w:val="5"/>
            <w:tcBorders>
              <w:top w:val="nil"/>
              <w:left w:val="single" w:sz="4" w:space="0" w:color="auto"/>
              <w:bottom w:val="single" w:sz="4" w:space="0" w:color="auto"/>
              <w:right w:val="nil"/>
            </w:tcBorders>
            <w:shd w:val="clear" w:color="000000" w:fill="D9D9D9"/>
            <w:vAlign w:val="center"/>
            <w:hideMark/>
          </w:tcPr>
          <w:p w14:paraId="0B68AB2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themeColor="text1"/>
                <w:sz w:val="20"/>
                <w:szCs w:val="20"/>
                <w:lang w:val="en-CA" w:eastAsia="en-CA"/>
              </w:rPr>
              <w:t>Nutrition sensitive and specific programs</w:t>
            </w:r>
          </w:p>
        </w:tc>
      </w:tr>
      <w:tr w:rsidR="000F5AE4" w:rsidRPr="003D7162" w14:paraId="0B0A47B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05310D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CCT “Juntos” program</w:t>
            </w:r>
          </w:p>
        </w:tc>
        <w:tc>
          <w:tcPr>
            <w:tcW w:w="356" w:type="dxa"/>
            <w:tcBorders>
              <w:top w:val="nil"/>
              <w:left w:val="nil"/>
              <w:bottom w:val="nil"/>
              <w:right w:val="nil"/>
            </w:tcBorders>
            <w:shd w:val="clear" w:color="000000" w:fill="FFFFFF"/>
            <w:vAlign w:val="center"/>
            <w:hideMark/>
          </w:tcPr>
          <w:p w14:paraId="6DB8ECC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A6079B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 (-0.004; -0.002)</w:t>
            </w:r>
          </w:p>
        </w:tc>
        <w:tc>
          <w:tcPr>
            <w:tcW w:w="356" w:type="dxa"/>
            <w:tcBorders>
              <w:top w:val="nil"/>
              <w:left w:val="nil"/>
              <w:bottom w:val="nil"/>
              <w:right w:val="nil"/>
            </w:tcBorders>
            <w:shd w:val="clear" w:color="000000" w:fill="FFFFFF"/>
            <w:vAlign w:val="center"/>
            <w:hideMark/>
          </w:tcPr>
          <w:p w14:paraId="122B33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E6E5D9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D79DC99"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46D549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(No. families/1000 rural population</w:t>
            </w:r>
          </w:p>
        </w:tc>
        <w:tc>
          <w:tcPr>
            <w:tcW w:w="356" w:type="dxa"/>
            <w:tcBorders>
              <w:top w:val="nil"/>
              <w:left w:val="nil"/>
              <w:bottom w:val="nil"/>
              <w:right w:val="nil"/>
            </w:tcBorders>
            <w:shd w:val="clear" w:color="000000" w:fill="FFFFFF"/>
            <w:vAlign w:val="center"/>
            <w:hideMark/>
          </w:tcPr>
          <w:p w14:paraId="11526E3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25BBDA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3488736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1C13E2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8431F5B"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710944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2143D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D90162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BAEC85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B495B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A67049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216C9C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Comprehensive Health Insurance (SIS coverage)</w:t>
            </w:r>
          </w:p>
        </w:tc>
        <w:tc>
          <w:tcPr>
            <w:tcW w:w="356" w:type="dxa"/>
            <w:tcBorders>
              <w:top w:val="nil"/>
              <w:left w:val="nil"/>
              <w:bottom w:val="nil"/>
              <w:right w:val="nil"/>
            </w:tcBorders>
            <w:shd w:val="clear" w:color="000000" w:fill="FFFFFF"/>
            <w:vAlign w:val="center"/>
            <w:hideMark/>
          </w:tcPr>
          <w:p w14:paraId="4F481B2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C46A00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-0.009 (-0.013; -0.005)</w:t>
            </w:r>
          </w:p>
        </w:tc>
        <w:tc>
          <w:tcPr>
            <w:tcW w:w="356" w:type="dxa"/>
            <w:tcBorders>
              <w:top w:val="nil"/>
              <w:left w:val="nil"/>
              <w:bottom w:val="nil"/>
              <w:right w:val="nil"/>
            </w:tcBorders>
            <w:shd w:val="clear" w:color="000000" w:fill="FFFFFF"/>
            <w:vAlign w:val="center"/>
            <w:hideMark/>
          </w:tcPr>
          <w:p w14:paraId="5C7605D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6CB902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52F2F7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D27BA1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(No. under-5 attendances/under-5 population)</w:t>
            </w:r>
          </w:p>
        </w:tc>
        <w:tc>
          <w:tcPr>
            <w:tcW w:w="356" w:type="dxa"/>
            <w:tcBorders>
              <w:top w:val="nil"/>
              <w:left w:val="nil"/>
              <w:bottom w:val="nil"/>
              <w:right w:val="nil"/>
            </w:tcBorders>
            <w:shd w:val="clear" w:color="000000" w:fill="FFFFFF"/>
            <w:vAlign w:val="center"/>
            <w:hideMark/>
          </w:tcPr>
          <w:p w14:paraId="181B0F2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120016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3E206B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12936F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A3BEC5A"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4E3D0B3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6E37F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30B1EC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4C2DB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279158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DCCDB59"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7E732C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Articulated Nutrition Program (PAN log expenditure, per capita)</w:t>
            </w:r>
          </w:p>
        </w:tc>
        <w:tc>
          <w:tcPr>
            <w:tcW w:w="356" w:type="dxa"/>
            <w:tcBorders>
              <w:top w:val="nil"/>
              <w:left w:val="nil"/>
              <w:bottom w:val="nil"/>
              <w:right w:val="nil"/>
            </w:tcBorders>
            <w:shd w:val="clear" w:color="000000" w:fill="FFFFFF"/>
            <w:vAlign w:val="center"/>
            <w:hideMark/>
          </w:tcPr>
          <w:p w14:paraId="1B92EBD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E6E1C6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-0.411 (-0.586; -0.236)</w:t>
            </w:r>
          </w:p>
        </w:tc>
        <w:tc>
          <w:tcPr>
            <w:tcW w:w="356" w:type="dxa"/>
            <w:tcBorders>
              <w:top w:val="nil"/>
              <w:left w:val="nil"/>
              <w:bottom w:val="nil"/>
              <w:right w:val="nil"/>
            </w:tcBorders>
            <w:shd w:val="clear" w:color="000000" w:fill="FFFFFF"/>
            <w:vAlign w:val="center"/>
            <w:hideMark/>
          </w:tcPr>
          <w:p w14:paraId="114557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C39505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2ECD63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707BDD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356" w:type="dxa"/>
            <w:tcBorders>
              <w:top w:val="nil"/>
              <w:left w:val="nil"/>
              <w:bottom w:val="nil"/>
              <w:right w:val="nil"/>
            </w:tcBorders>
            <w:shd w:val="clear" w:color="000000" w:fill="FFFFFF"/>
            <w:vAlign w:val="center"/>
            <w:hideMark/>
          </w:tcPr>
          <w:p w14:paraId="6F0A0E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FEDB06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0C94B3E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FC5D0E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B4753CC"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72E1AAD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6646EF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602110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8536FA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3EFA2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08708F5"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A66815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Strategic Program of Maternal and Newborn Health (PSMN log expenditure, per capita)</w:t>
            </w:r>
          </w:p>
        </w:tc>
        <w:tc>
          <w:tcPr>
            <w:tcW w:w="356" w:type="dxa"/>
            <w:tcBorders>
              <w:top w:val="nil"/>
              <w:left w:val="nil"/>
              <w:bottom w:val="nil"/>
              <w:right w:val="nil"/>
            </w:tcBorders>
            <w:shd w:val="clear" w:color="000000" w:fill="FFFFFF"/>
            <w:vAlign w:val="center"/>
            <w:hideMark/>
          </w:tcPr>
          <w:p w14:paraId="597CC45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285205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-0.373 (-0.568; -0.177)</w:t>
            </w:r>
          </w:p>
        </w:tc>
        <w:tc>
          <w:tcPr>
            <w:tcW w:w="356" w:type="dxa"/>
            <w:tcBorders>
              <w:top w:val="nil"/>
              <w:left w:val="nil"/>
              <w:bottom w:val="nil"/>
              <w:right w:val="nil"/>
            </w:tcBorders>
            <w:shd w:val="clear" w:color="000000" w:fill="FFFFFF"/>
            <w:vAlign w:val="center"/>
            <w:hideMark/>
          </w:tcPr>
          <w:p w14:paraId="683752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D6C585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39883E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76F6DA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356" w:type="dxa"/>
            <w:tcBorders>
              <w:top w:val="nil"/>
              <w:left w:val="nil"/>
              <w:bottom w:val="nil"/>
              <w:right w:val="nil"/>
            </w:tcBorders>
            <w:shd w:val="clear" w:color="000000" w:fill="FFFFFF"/>
            <w:vAlign w:val="center"/>
            <w:hideMark/>
          </w:tcPr>
          <w:p w14:paraId="18CF7B6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ABE44C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060A99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757851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BCEF864"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7D097E5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040199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622447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BA973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EB75F4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0197748" w14:textId="77777777" w:rsidTr="001A5775">
        <w:trPr>
          <w:trHeight w:val="349"/>
        </w:trPr>
        <w:tc>
          <w:tcPr>
            <w:tcW w:w="3008" w:type="dxa"/>
            <w:tcBorders>
              <w:top w:val="nil"/>
              <w:left w:val="single" w:sz="4" w:space="0" w:color="auto"/>
              <w:bottom w:val="single" w:sz="4" w:space="0" w:color="auto"/>
              <w:right w:val="nil"/>
            </w:tcBorders>
            <w:shd w:val="clear" w:color="000000" w:fill="D9D9D9"/>
            <w:vAlign w:val="center"/>
            <w:hideMark/>
          </w:tcPr>
          <w:p w14:paraId="6E1BE6B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356" w:type="dxa"/>
            <w:tcBorders>
              <w:top w:val="nil"/>
              <w:left w:val="nil"/>
              <w:bottom w:val="single" w:sz="4" w:space="0" w:color="auto"/>
              <w:right w:val="nil"/>
            </w:tcBorders>
            <w:shd w:val="clear" w:color="000000" w:fill="D9D9D9"/>
            <w:vAlign w:val="center"/>
            <w:hideMark/>
          </w:tcPr>
          <w:p w14:paraId="3F70261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D9D9D9"/>
            <w:vAlign w:val="center"/>
            <w:hideMark/>
          </w:tcPr>
          <w:p w14:paraId="4C72588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59BB563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D9D9D9"/>
            <w:vAlign w:val="center"/>
            <w:hideMark/>
          </w:tcPr>
          <w:p w14:paraId="02E82D2B"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9.6%</w:t>
            </w:r>
          </w:p>
        </w:tc>
      </w:tr>
      <w:tr w:rsidR="000F5AE4" w:rsidRPr="003D7162" w14:paraId="3A907675" w14:textId="77777777" w:rsidTr="001A5775">
        <w:trPr>
          <w:trHeight w:val="408"/>
        </w:trPr>
        <w:tc>
          <w:tcPr>
            <w:tcW w:w="9490" w:type="dxa"/>
            <w:gridSpan w:val="5"/>
            <w:tcBorders>
              <w:top w:val="single" w:sz="4" w:space="0" w:color="auto"/>
              <w:left w:val="single" w:sz="4" w:space="0" w:color="auto"/>
              <w:bottom w:val="nil"/>
              <w:right w:val="nil"/>
            </w:tcBorders>
            <w:shd w:val="clear" w:color="000000" w:fill="808080"/>
            <w:vAlign w:val="center"/>
            <w:hideMark/>
          </w:tcPr>
          <w:p w14:paraId="0C01C287"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Intermediate level - II</w:t>
            </w:r>
          </w:p>
        </w:tc>
      </w:tr>
      <w:tr w:rsidR="000F5AE4" w:rsidRPr="003D7162" w14:paraId="21C4BDF7" w14:textId="77777777" w:rsidTr="001A5775">
        <w:trPr>
          <w:trHeight w:val="349"/>
        </w:trPr>
        <w:tc>
          <w:tcPr>
            <w:tcW w:w="9490" w:type="dxa"/>
            <w:gridSpan w:val="5"/>
            <w:tcBorders>
              <w:top w:val="nil"/>
              <w:left w:val="single" w:sz="4" w:space="0" w:color="auto"/>
              <w:bottom w:val="single" w:sz="4" w:space="0" w:color="auto"/>
              <w:right w:val="nil"/>
            </w:tcBorders>
            <w:shd w:val="clear" w:color="000000" w:fill="D9D9D9"/>
            <w:vAlign w:val="center"/>
            <w:hideMark/>
          </w:tcPr>
          <w:p w14:paraId="531D2FE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Inadequate care and feeding practices</w:t>
            </w:r>
          </w:p>
        </w:tc>
      </w:tr>
      <w:tr w:rsidR="000F5AE4" w:rsidRPr="003D7162" w14:paraId="3FC8AE9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3B873E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Duration of breast feeding</w:t>
            </w:r>
          </w:p>
        </w:tc>
        <w:tc>
          <w:tcPr>
            <w:tcW w:w="356" w:type="dxa"/>
            <w:tcBorders>
              <w:top w:val="nil"/>
              <w:left w:val="nil"/>
              <w:bottom w:val="nil"/>
              <w:right w:val="nil"/>
            </w:tcBorders>
            <w:shd w:val="clear" w:color="000000" w:fill="FFFFFF"/>
            <w:vAlign w:val="center"/>
            <w:hideMark/>
          </w:tcPr>
          <w:p w14:paraId="2643A0E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B8100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0.018 (-0.024; 0.061)</w:t>
            </w:r>
          </w:p>
        </w:tc>
        <w:tc>
          <w:tcPr>
            <w:tcW w:w="356" w:type="dxa"/>
            <w:tcBorders>
              <w:top w:val="nil"/>
              <w:left w:val="nil"/>
              <w:bottom w:val="nil"/>
              <w:right w:val="nil"/>
            </w:tcBorders>
            <w:shd w:val="clear" w:color="000000" w:fill="FFFFFF"/>
            <w:vAlign w:val="center"/>
            <w:hideMark/>
          </w:tcPr>
          <w:p w14:paraId="6F05E9F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0ED6F0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2E524C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0DFA5C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 months)</w:t>
            </w:r>
          </w:p>
        </w:tc>
        <w:tc>
          <w:tcPr>
            <w:tcW w:w="356" w:type="dxa"/>
            <w:tcBorders>
              <w:top w:val="nil"/>
              <w:left w:val="nil"/>
              <w:bottom w:val="nil"/>
              <w:right w:val="nil"/>
            </w:tcBorders>
            <w:shd w:val="clear" w:color="000000" w:fill="FFFFFF"/>
            <w:vAlign w:val="center"/>
            <w:hideMark/>
          </w:tcPr>
          <w:p w14:paraId="6EE7E7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1A1B2F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0.402</w:t>
            </w:r>
          </w:p>
        </w:tc>
        <w:tc>
          <w:tcPr>
            <w:tcW w:w="356" w:type="dxa"/>
            <w:tcBorders>
              <w:top w:val="nil"/>
              <w:left w:val="nil"/>
              <w:bottom w:val="nil"/>
              <w:right w:val="nil"/>
            </w:tcBorders>
            <w:shd w:val="clear" w:color="000000" w:fill="FFFFFF"/>
            <w:vAlign w:val="center"/>
            <w:hideMark/>
          </w:tcPr>
          <w:p w14:paraId="435C865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F9A060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68C37DC"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0BC022D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506197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360C491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05BF2A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278FCE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B8C815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C47E75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Exclusively breastfeed</w:t>
            </w:r>
          </w:p>
        </w:tc>
        <w:tc>
          <w:tcPr>
            <w:tcW w:w="356" w:type="dxa"/>
            <w:tcBorders>
              <w:top w:val="nil"/>
              <w:left w:val="nil"/>
              <w:bottom w:val="nil"/>
              <w:right w:val="nil"/>
            </w:tcBorders>
            <w:shd w:val="clear" w:color="000000" w:fill="FFFFFF"/>
            <w:vAlign w:val="center"/>
            <w:hideMark/>
          </w:tcPr>
          <w:p w14:paraId="5D83989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C82202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-0.139 (-0.287; 0.01)</w:t>
            </w:r>
          </w:p>
        </w:tc>
        <w:tc>
          <w:tcPr>
            <w:tcW w:w="356" w:type="dxa"/>
            <w:tcBorders>
              <w:top w:val="nil"/>
              <w:left w:val="nil"/>
              <w:bottom w:val="nil"/>
              <w:right w:val="nil"/>
            </w:tcBorders>
            <w:shd w:val="clear" w:color="000000" w:fill="FFFFFF"/>
            <w:vAlign w:val="center"/>
            <w:hideMark/>
          </w:tcPr>
          <w:p w14:paraId="4718CB6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D3F96E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61B181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849EE1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w:t>
            </w:r>
          </w:p>
        </w:tc>
        <w:tc>
          <w:tcPr>
            <w:tcW w:w="356" w:type="dxa"/>
            <w:tcBorders>
              <w:top w:val="nil"/>
              <w:left w:val="nil"/>
              <w:bottom w:val="nil"/>
              <w:right w:val="nil"/>
            </w:tcBorders>
            <w:shd w:val="clear" w:color="000000" w:fill="FFFFFF"/>
            <w:vAlign w:val="center"/>
            <w:hideMark/>
          </w:tcPr>
          <w:p w14:paraId="5740F2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194BD4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0.068</w:t>
            </w:r>
          </w:p>
        </w:tc>
        <w:tc>
          <w:tcPr>
            <w:tcW w:w="356" w:type="dxa"/>
            <w:tcBorders>
              <w:top w:val="nil"/>
              <w:left w:val="nil"/>
              <w:bottom w:val="nil"/>
              <w:right w:val="nil"/>
            </w:tcBorders>
            <w:shd w:val="clear" w:color="000000" w:fill="FFFFFF"/>
            <w:vAlign w:val="center"/>
            <w:hideMark/>
          </w:tcPr>
          <w:p w14:paraId="722EA4A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26FCD1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5604B9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878CB9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D26E2B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17D3E97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7B1089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1DA2B0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3E6D74E" w14:textId="77777777" w:rsidTr="001A5775">
        <w:trPr>
          <w:trHeight w:val="364"/>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5A41A86A"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Food insecurity</w:t>
            </w:r>
          </w:p>
        </w:tc>
      </w:tr>
      <w:tr w:rsidR="000F5AE4" w:rsidRPr="003D7162" w14:paraId="1E73A541"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69DE9B4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Altitude</w:t>
            </w:r>
          </w:p>
          <w:p w14:paraId="1BF8121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w:t>
            </w:r>
          </w:p>
        </w:tc>
        <w:tc>
          <w:tcPr>
            <w:tcW w:w="356" w:type="dxa"/>
            <w:tcBorders>
              <w:top w:val="nil"/>
              <w:left w:val="nil"/>
              <w:bottom w:val="nil"/>
              <w:right w:val="nil"/>
            </w:tcBorders>
            <w:shd w:val="clear" w:color="000000" w:fill="FFFFFF"/>
            <w:vAlign w:val="center"/>
            <w:hideMark/>
          </w:tcPr>
          <w:p w14:paraId="16DADCA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54F42B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-0.00018 (-0.00022; -0.00013)</w:t>
            </w:r>
          </w:p>
        </w:tc>
        <w:tc>
          <w:tcPr>
            <w:tcW w:w="356" w:type="dxa"/>
            <w:tcBorders>
              <w:top w:val="nil"/>
              <w:left w:val="nil"/>
              <w:bottom w:val="nil"/>
              <w:right w:val="nil"/>
            </w:tcBorders>
            <w:shd w:val="clear" w:color="000000" w:fill="FFFFFF"/>
            <w:vAlign w:val="center"/>
            <w:hideMark/>
          </w:tcPr>
          <w:p w14:paraId="2CBF36B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EA36C0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-0.0003 (-0.0003; -0.0002)</w:t>
            </w:r>
          </w:p>
        </w:tc>
      </w:tr>
      <w:tr w:rsidR="000F5AE4" w:rsidRPr="003D7162" w14:paraId="0CA681E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597733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2E2D206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44144E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6FCDC7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DA34BF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0645FD6D"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AD12FD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62601A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B1B6C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624AAB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7B643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104A530"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4617FAF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Inadequate health services</w:t>
            </w:r>
          </w:p>
        </w:tc>
      </w:tr>
      <w:tr w:rsidR="000F5AE4" w:rsidRPr="003D7162" w14:paraId="766447D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A41DDC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DPT vaccine</w:t>
            </w:r>
          </w:p>
        </w:tc>
        <w:tc>
          <w:tcPr>
            <w:tcW w:w="356" w:type="dxa"/>
            <w:tcBorders>
              <w:top w:val="nil"/>
              <w:left w:val="nil"/>
              <w:bottom w:val="nil"/>
              <w:right w:val="nil"/>
            </w:tcBorders>
            <w:shd w:val="clear" w:color="000000" w:fill="FFFFFF"/>
            <w:vAlign w:val="center"/>
            <w:hideMark/>
          </w:tcPr>
          <w:p w14:paraId="5BE6161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4EAB21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 (-0.059; 0.219)</w:t>
            </w:r>
          </w:p>
        </w:tc>
        <w:tc>
          <w:tcPr>
            <w:tcW w:w="356" w:type="dxa"/>
            <w:tcBorders>
              <w:top w:val="nil"/>
              <w:left w:val="nil"/>
              <w:bottom w:val="nil"/>
              <w:right w:val="nil"/>
            </w:tcBorders>
            <w:shd w:val="clear" w:color="000000" w:fill="FFFFFF"/>
            <w:vAlign w:val="center"/>
            <w:hideMark/>
          </w:tcPr>
          <w:p w14:paraId="5AC01E7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75D6E7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226303B"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0023DC5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356" w:type="dxa"/>
            <w:tcBorders>
              <w:top w:val="nil"/>
              <w:left w:val="nil"/>
              <w:bottom w:val="nil"/>
              <w:right w:val="nil"/>
            </w:tcBorders>
            <w:shd w:val="clear" w:color="000000" w:fill="FFFFFF"/>
            <w:vAlign w:val="center"/>
            <w:hideMark/>
          </w:tcPr>
          <w:p w14:paraId="7AC7DC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069BD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0.260</w:t>
            </w:r>
          </w:p>
        </w:tc>
        <w:tc>
          <w:tcPr>
            <w:tcW w:w="356" w:type="dxa"/>
            <w:tcBorders>
              <w:top w:val="nil"/>
              <w:left w:val="nil"/>
              <w:bottom w:val="nil"/>
              <w:right w:val="nil"/>
            </w:tcBorders>
            <w:shd w:val="clear" w:color="000000" w:fill="FFFFFF"/>
            <w:vAlign w:val="center"/>
            <w:hideMark/>
          </w:tcPr>
          <w:p w14:paraId="538878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5712F0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3677408"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1E15179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A377C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DBAFEF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9D327C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4AB1C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91E9AB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2DB13E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Pneumococcal vaccine</w:t>
            </w:r>
          </w:p>
        </w:tc>
        <w:tc>
          <w:tcPr>
            <w:tcW w:w="356" w:type="dxa"/>
            <w:tcBorders>
              <w:top w:val="nil"/>
              <w:left w:val="nil"/>
              <w:bottom w:val="nil"/>
              <w:right w:val="nil"/>
            </w:tcBorders>
            <w:shd w:val="clear" w:color="000000" w:fill="FFFFFF"/>
            <w:vAlign w:val="center"/>
            <w:hideMark/>
          </w:tcPr>
          <w:p w14:paraId="399732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88695E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(-0.021; 0.001)</w:t>
            </w:r>
          </w:p>
        </w:tc>
        <w:tc>
          <w:tcPr>
            <w:tcW w:w="356" w:type="dxa"/>
            <w:tcBorders>
              <w:top w:val="nil"/>
              <w:left w:val="nil"/>
              <w:bottom w:val="nil"/>
              <w:right w:val="nil"/>
            </w:tcBorders>
            <w:shd w:val="clear" w:color="000000" w:fill="FFFFFF"/>
            <w:vAlign w:val="center"/>
            <w:hideMark/>
          </w:tcPr>
          <w:p w14:paraId="5E32C9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D600E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B66FD79"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3622695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vaccine during first 1 year)</w:t>
            </w:r>
          </w:p>
        </w:tc>
        <w:tc>
          <w:tcPr>
            <w:tcW w:w="356" w:type="dxa"/>
            <w:tcBorders>
              <w:top w:val="nil"/>
              <w:left w:val="nil"/>
              <w:bottom w:val="nil"/>
              <w:right w:val="nil"/>
            </w:tcBorders>
            <w:shd w:val="clear" w:color="000000" w:fill="FFFFFF"/>
            <w:vAlign w:val="center"/>
            <w:hideMark/>
          </w:tcPr>
          <w:p w14:paraId="612F5EE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157D3B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0.064</w:t>
            </w:r>
          </w:p>
        </w:tc>
        <w:tc>
          <w:tcPr>
            <w:tcW w:w="356" w:type="dxa"/>
            <w:tcBorders>
              <w:top w:val="nil"/>
              <w:left w:val="nil"/>
              <w:bottom w:val="nil"/>
              <w:right w:val="nil"/>
            </w:tcBorders>
            <w:shd w:val="clear" w:color="000000" w:fill="FFFFFF"/>
            <w:vAlign w:val="center"/>
            <w:hideMark/>
          </w:tcPr>
          <w:p w14:paraId="516349C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9137B1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088EE6F"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916E10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DC47E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62C1E8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59B69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62BFC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766CCC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02FE8A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Rotavirus vaccine</w:t>
            </w:r>
          </w:p>
        </w:tc>
        <w:tc>
          <w:tcPr>
            <w:tcW w:w="356" w:type="dxa"/>
            <w:tcBorders>
              <w:top w:val="nil"/>
              <w:left w:val="nil"/>
              <w:bottom w:val="nil"/>
              <w:right w:val="nil"/>
            </w:tcBorders>
            <w:shd w:val="clear" w:color="000000" w:fill="FFFFFF"/>
            <w:vAlign w:val="center"/>
            <w:hideMark/>
          </w:tcPr>
          <w:p w14:paraId="38FCF75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BAA29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-0.008 (-0.019; 0.003)</w:t>
            </w:r>
          </w:p>
        </w:tc>
        <w:tc>
          <w:tcPr>
            <w:tcW w:w="356" w:type="dxa"/>
            <w:tcBorders>
              <w:top w:val="nil"/>
              <w:left w:val="nil"/>
              <w:bottom w:val="nil"/>
              <w:right w:val="nil"/>
            </w:tcBorders>
            <w:shd w:val="clear" w:color="000000" w:fill="FFFFFF"/>
            <w:vAlign w:val="center"/>
            <w:hideMark/>
          </w:tcPr>
          <w:p w14:paraId="2A0FFC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25D112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1883A22"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0DCA7AB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vaccine during first 1 year)</w:t>
            </w:r>
          </w:p>
        </w:tc>
        <w:tc>
          <w:tcPr>
            <w:tcW w:w="356" w:type="dxa"/>
            <w:tcBorders>
              <w:top w:val="nil"/>
              <w:left w:val="nil"/>
              <w:bottom w:val="nil"/>
              <w:right w:val="nil"/>
            </w:tcBorders>
            <w:shd w:val="clear" w:color="000000" w:fill="FFFFFF"/>
            <w:vAlign w:val="center"/>
            <w:hideMark/>
          </w:tcPr>
          <w:p w14:paraId="2BD3379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10980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0.138</w:t>
            </w:r>
          </w:p>
        </w:tc>
        <w:tc>
          <w:tcPr>
            <w:tcW w:w="356" w:type="dxa"/>
            <w:tcBorders>
              <w:top w:val="nil"/>
              <w:left w:val="nil"/>
              <w:bottom w:val="nil"/>
              <w:right w:val="nil"/>
            </w:tcBorders>
            <w:shd w:val="clear" w:color="000000" w:fill="FFFFFF"/>
            <w:vAlign w:val="center"/>
            <w:hideMark/>
          </w:tcPr>
          <w:p w14:paraId="449412C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FA2544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01D086F"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22AD41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017308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4AC768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74C766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B6656C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1F2FBCA"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14D95DD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Reproductive and maternal care</w:t>
            </w:r>
          </w:p>
        </w:tc>
      </w:tr>
      <w:tr w:rsidR="000F5AE4" w:rsidRPr="003D7162" w14:paraId="5A2D548D"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11B2750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Skilled attendant at birth</w:t>
            </w:r>
          </w:p>
        </w:tc>
        <w:tc>
          <w:tcPr>
            <w:tcW w:w="356" w:type="dxa"/>
            <w:tcBorders>
              <w:top w:val="nil"/>
              <w:left w:val="nil"/>
              <w:bottom w:val="nil"/>
              <w:right w:val="nil"/>
            </w:tcBorders>
            <w:shd w:val="clear" w:color="000000" w:fill="FFFFFF"/>
            <w:vAlign w:val="center"/>
            <w:hideMark/>
          </w:tcPr>
          <w:p w14:paraId="0640AF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A982FD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0.461 (0.283; 0.64)</w:t>
            </w:r>
          </w:p>
        </w:tc>
        <w:tc>
          <w:tcPr>
            <w:tcW w:w="356" w:type="dxa"/>
            <w:tcBorders>
              <w:top w:val="nil"/>
              <w:left w:val="nil"/>
              <w:bottom w:val="nil"/>
              <w:right w:val="nil"/>
            </w:tcBorders>
            <w:shd w:val="clear" w:color="000000" w:fill="FFFFFF"/>
            <w:vAlign w:val="center"/>
            <w:hideMark/>
          </w:tcPr>
          <w:p w14:paraId="3B70FD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8BF33A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876CC9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81178C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356" w:type="dxa"/>
            <w:tcBorders>
              <w:top w:val="nil"/>
              <w:left w:val="nil"/>
              <w:bottom w:val="nil"/>
              <w:right w:val="nil"/>
            </w:tcBorders>
            <w:shd w:val="clear" w:color="000000" w:fill="FFFFFF"/>
            <w:vAlign w:val="center"/>
            <w:hideMark/>
          </w:tcPr>
          <w:p w14:paraId="7152E55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43561A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5EEEE5F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DF8AF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74897D0"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092B40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711A38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3ABC096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AC087B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272310C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9C27B2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06F4CC6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 antenatal care visits</w:t>
            </w:r>
          </w:p>
        </w:tc>
        <w:tc>
          <w:tcPr>
            <w:tcW w:w="356" w:type="dxa"/>
            <w:tcBorders>
              <w:top w:val="nil"/>
              <w:left w:val="nil"/>
              <w:bottom w:val="nil"/>
              <w:right w:val="nil"/>
            </w:tcBorders>
            <w:shd w:val="clear" w:color="000000" w:fill="FFFFFF"/>
            <w:vAlign w:val="center"/>
            <w:hideMark/>
          </w:tcPr>
          <w:p w14:paraId="7852239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22D57F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0.343 (0.134; 0.553)</w:t>
            </w:r>
          </w:p>
        </w:tc>
        <w:tc>
          <w:tcPr>
            <w:tcW w:w="356" w:type="dxa"/>
            <w:tcBorders>
              <w:top w:val="nil"/>
              <w:left w:val="nil"/>
              <w:bottom w:val="nil"/>
              <w:right w:val="nil"/>
            </w:tcBorders>
            <w:shd w:val="clear" w:color="000000" w:fill="FFFFFF"/>
            <w:vAlign w:val="center"/>
            <w:hideMark/>
          </w:tcPr>
          <w:p w14:paraId="20936F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32E140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0A4228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4FA51C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356" w:type="dxa"/>
            <w:tcBorders>
              <w:top w:val="nil"/>
              <w:left w:val="nil"/>
              <w:bottom w:val="nil"/>
              <w:right w:val="nil"/>
            </w:tcBorders>
            <w:shd w:val="clear" w:color="000000" w:fill="FFFFFF"/>
            <w:vAlign w:val="center"/>
            <w:hideMark/>
          </w:tcPr>
          <w:p w14:paraId="321FAF8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49ED53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c>
          <w:tcPr>
            <w:tcW w:w="356" w:type="dxa"/>
            <w:tcBorders>
              <w:top w:val="nil"/>
              <w:left w:val="nil"/>
              <w:bottom w:val="nil"/>
              <w:right w:val="nil"/>
            </w:tcBorders>
            <w:shd w:val="clear" w:color="000000" w:fill="FFFFFF"/>
            <w:vAlign w:val="center"/>
            <w:hideMark/>
          </w:tcPr>
          <w:p w14:paraId="5C6792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C70DB9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C3BFE20"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13CDF24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ED582E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00CFA8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CF479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9EC606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B68CF11"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04910B3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Human resources for health</w:t>
            </w:r>
          </w:p>
        </w:tc>
      </w:tr>
      <w:tr w:rsidR="000F5AE4" w:rsidRPr="003D7162" w14:paraId="0EF95E4F"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0EDCA9F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Density of human resources for health</w:t>
            </w:r>
          </w:p>
        </w:tc>
        <w:tc>
          <w:tcPr>
            <w:tcW w:w="356" w:type="dxa"/>
            <w:tcBorders>
              <w:top w:val="nil"/>
              <w:left w:val="nil"/>
              <w:bottom w:val="nil"/>
              <w:right w:val="nil"/>
            </w:tcBorders>
            <w:shd w:val="clear" w:color="000000" w:fill="FFFFFF"/>
            <w:vAlign w:val="center"/>
            <w:hideMark/>
          </w:tcPr>
          <w:p w14:paraId="4270A2E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626204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0.028 (0.017; 0.038)</w:t>
            </w:r>
          </w:p>
        </w:tc>
        <w:tc>
          <w:tcPr>
            <w:tcW w:w="356" w:type="dxa"/>
            <w:tcBorders>
              <w:top w:val="nil"/>
              <w:left w:val="nil"/>
              <w:bottom w:val="nil"/>
              <w:right w:val="nil"/>
            </w:tcBorders>
            <w:shd w:val="clear" w:color="000000" w:fill="FFFFFF"/>
            <w:vAlign w:val="center"/>
            <w:hideMark/>
          </w:tcPr>
          <w:p w14:paraId="2FB2268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07BF88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9A9A07A"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0FA3B05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(Doctors, nurses and midwives per 10,000 </w:t>
            </w:r>
          </w:p>
        </w:tc>
        <w:tc>
          <w:tcPr>
            <w:tcW w:w="356" w:type="dxa"/>
            <w:tcBorders>
              <w:top w:val="nil"/>
              <w:left w:val="nil"/>
              <w:bottom w:val="nil"/>
              <w:right w:val="nil"/>
            </w:tcBorders>
            <w:shd w:val="clear" w:color="000000" w:fill="FFFFFF"/>
            <w:vAlign w:val="center"/>
            <w:hideMark/>
          </w:tcPr>
          <w:p w14:paraId="15B03FC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58AECF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5DB274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23AED2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438F37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0B7E4CF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population)</w:t>
            </w:r>
          </w:p>
        </w:tc>
        <w:tc>
          <w:tcPr>
            <w:tcW w:w="356" w:type="dxa"/>
            <w:tcBorders>
              <w:top w:val="nil"/>
              <w:left w:val="nil"/>
              <w:bottom w:val="single" w:sz="4" w:space="0" w:color="auto"/>
              <w:right w:val="nil"/>
            </w:tcBorders>
            <w:shd w:val="clear" w:color="000000" w:fill="FFFFFF"/>
            <w:vAlign w:val="center"/>
            <w:hideMark/>
          </w:tcPr>
          <w:p w14:paraId="075ADDF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401545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20CAB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B1FF64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379FEFF"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27E1FB7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Care seeking interventions for childhood illness &amp; child micronutrient intake </w:t>
            </w:r>
          </w:p>
        </w:tc>
      </w:tr>
      <w:tr w:rsidR="000F5AE4" w:rsidRPr="003D7162" w14:paraId="76F7AB9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A38378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Oral rehydration therapy</w:t>
            </w:r>
          </w:p>
        </w:tc>
        <w:tc>
          <w:tcPr>
            <w:tcW w:w="356" w:type="dxa"/>
            <w:tcBorders>
              <w:top w:val="nil"/>
              <w:left w:val="nil"/>
              <w:bottom w:val="nil"/>
              <w:right w:val="nil"/>
            </w:tcBorders>
            <w:shd w:val="clear" w:color="000000" w:fill="FFFFFF"/>
            <w:vAlign w:val="center"/>
            <w:hideMark/>
          </w:tcPr>
          <w:p w14:paraId="79B72D6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355AF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 (-0.014; 0.007)</w:t>
            </w:r>
          </w:p>
        </w:tc>
        <w:tc>
          <w:tcPr>
            <w:tcW w:w="356" w:type="dxa"/>
            <w:tcBorders>
              <w:top w:val="nil"/>
              <w:left w:val="nil"/>
              <w:bottom w:val="nil"/>
              <w:right w:val="nil"/>
            </w:tcBorders>
            <w:shd w:val="clear" w:color="000000" w:fill="FFFFFF"/>
            <w:vAlign w:val="center"/>
            <w:hideMark/>
          </w:tcPr>
          <w:p w14:paraId="0946D83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DE28AE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D0D4B19"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167E9A7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 with diarrhea receiving ORT)</w:t>
            </w:r>
          </w:p>
        </w:tc>
        <w:tc>
          <w:tcPr>
            <w:tcW w:w="356" w:type="dxa"/>
            <w:tcBorders>
              <w:top w:val="nil"/>
              <w:left w:val="nil"/>
              <w:bottom w:val="nil"/>
              <w:right w:val="nil"/>
            </w:tcBorders>
            <w:shd w:val="clear" w:color="000000" w:fill="FFFFFF"/>
            <w:vAlign w:val="center"/>
            <w:hideMark/>
          </w:tcPr>
          <w:p w14:paraId="11F7D21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B44A6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0.543</w:t>
            </w:r>
          </w:p>
        </w:tc>
        <w:tc>
          <w:tcPr>
            <w:tcW w:w="356" w:type="dxa"/>
            <w:tcBorders>
              <w:top w:val="nil"/>
              <w:left w:val="nil"/>
              <w:bottom w:val="nil"/>
              <w:right w:val="nil"/>
            </w:tcBorders>
            <w:shd w:val="clear" w:color="000000" w:fill="FFFFFF"/>
            <w:vAlign w:val="center"/>
            <w:hideMark/>
          </w:tcPr>
          <w:p w14:paraId="43B0D7F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25B20F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FA7F966"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7206D91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BC4485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417EF9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54E963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2E4D40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EA87A7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A178F8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Care seeking for pneumonia</w:t>
            </w:r>
          </w:p>
        </w:tc>
        <w:tc>
          <w:tcPr>
            <w:tcW w:w="356" w:type="dxa"/>
            <w:tcBorders>
              <w:top w:val="nil"/>
              <w:left w:val="nil"/>
              <w:bottom w:val="nil"/>
              <w:right w:val="nil"/>
            </w:tcBorders>
            <w:shd w:val="clear" w:color="000000" w:fill="FFFFFF"/>
            <w:vAlign w:val="center"/>
            <w:hideMark/>
          </w:tcPr>
          <w:p w14:paraId="54E90C5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B8B8CE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0.018 (0.012; 0.024)</w:t>
            </w:r>
          </w:p>
        </w:tc>
        <w:tc>
          <w:tcPr>
            <w:tcW w:w="356" w:type="dxa"/>
            <w:tcBorders>
              <w:top w:val="nil"/>
              <w:left w:val="nil"/>
              <w:bottom w:val="nil"/>
              <w:right w:val="nil"/>
            </w:tcBorders>
            <w:shd w:val="clear" w:color="000000" w:fill="FFFFFF"/>
            <w:vAlign w:val="center"/>
            <w:hideMark/>
          </w:tcPr>
          <w:p w14:paraId="03AA04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C763A5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F5E2FE"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306FDC5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 with pneumonia seeking care)</w:t>
            </w:r>
          </w:p>
        </w:tc>
        <w:tc>
          <w:tcPr>
            <w:tcW w:w="356" w:type="dxa"/>
            <w:tcBorders>
              <w:top w:val="nil"/>
              <w:left w:val="nil"/>
              <w:bottom w:val="nil"/>
              <w:right w:val="nil"/>
            </w:tcBorders>
            <w:shd w:val="clear" w:color="000000" w:fill="FFFFFF"/>
            <w:vAlign w:val="center"/>
            <w:hideMark/>
          </w:tcPr>
          <w:p w14:paraId="4E63A6C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002FA1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6D41023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200061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6FB2DF4"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4511E6E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AD390A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160DF4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C62C91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4C93B7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1F303B3"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4D1ECEDE"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Unhealthy household environment</w:t>
            </w:r>
          </w:p>
        </w:tc>
      </w:tr>
      <w:tr w:rsidR="000F5AE4" w:rsidRPr="003D7162" w14:paraId="2D97D7E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2E1B6D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Urban locality</w:t>
            </w:r>
          </w:p>
        </w:tc>
        <w:tc>
          <w:tcPr>
            <w:tcW w:w="356" w:type="dxa"/>
            <w:tcBorders>
              <w:top w:val="nil"/>
              <w:left w:val="nil"/>
              <w:bottom w:val="nil"/>
              <w:right w:val="nil"/>
            </w:tcBorders>
            <w:shd w:val="clear" w:color="000000" w:fill="FFFFFF"/>
            <w:vAlign w:val="center"/>
            <w:hideMark/>
          </w:tcPr>
          <w:p w14:paraId="382FC3D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B78433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0.533 (0.391; 0.676)</w:t>
            </w:r>
          </w:p>
        </w:tc>
        <w:tc>
          <w:tcPr>
            <w:tcW w:w="356" w:type="dxa"/>
            <w:tcBorders>
              <w:top w:val="nil"/>
              <w:left w:val="nil"/>
              <w:bottom w:val="nil"/>
              <w:right w:val="nil"/>
            </w:tcBorders>
            <w:shd w:val="clear" w:color="000000" w:fill="FFFFFF"/>
            <w:vAlign w:val="center"/>
            <w:hideMark/>
          </w:tcPr>
          <w:p w14:paraId="6FB6FBA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9E126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042974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541CDE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(index household) </w:t>
            </w:r>
          </w:p>
        </w:tc>
        <w:tc>
          <w:tcPr>
            <w:tcW w:w="356" w:type="dxa"/>
            <w:tcBorders>
              <w:top w:val="nil"/>
              <w:left w:val="nil"/>
              <w:bottom w:val="nil"/>
              <w:right w:val="nil"/>
            </w:tcBorders>
            <w:shd w:val="clear" w:color="000000" w:fill="FFFFFF"/>
            <w:vAlign w:val="center"/>
            <w:hideMark/>
          </w:tcPr>
          <w:p w14:paraId="3885A1E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9A0626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18ECA4B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9781EC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46231B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5B1915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820E88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18578E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87C2B7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E9CE7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878C18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61B057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Open defecation</w:t>
            </w:r>
          </w:p>
        </w:tc>
        <w:tc>
          <w:tcPr>
            <w:tcW w:w="356" w:type="dxa"/>
            <w:tcBorders>
              <w:top w:val="nil"/>
              <w:left w:val="nil"/>
              <w:bottom w:val="nil"/>
              <w:right w:val="nil"/>
            </w:tcBorders>
            <w:shd w:val="clear" w:color="000000" w:fill="FFFFFF"/>
            <w:vAlign w:val="center"/>
            <w:hideMark/>
          </w:tcPr>
          <w:p w14:paraId="25AE60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DB820E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-0.529 (-0.708; -0.351)</w:t>
            </w:r>
          </w:p>
        </w:tc>
        <w:tc>
          <w:tcPr>
            <w:tcW w:w="356" w:type="dxa"/>
            <w:tcBorders>
              <w:top w:val="nil"/>
              <w:left w:val="nil"/>
              <w:bottom w:val="nil"/>
              <w:right w:val="nil"/>
            </w:tcBorders>
            <w:shd w:val="clear" w:color="000000" w:fill="FFFFFF"/>
            <w:vAlign w:val="center"/>
            <w:hideMark/>
          </w:tcPr>
          <w:p w14:paraId="0BD23B8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B431B3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-0.157 (-0.338; 0.024)</w:t>
            </w:r>
          </w:p>
        </w:tc>
      </w:tr>
      <w:tr w:rsidR="000F5AE4" w:rsidRPr="003D7162" w14:paraId="0E690CFC"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BA57E7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 )</w:t>
            </w:r>
          </w:p>
        </w:tc>
        <w:tc>
          <w:tcPr>
            <w:tcW w:w="356" w:type="dxa"/>
            <w:tcBorders>
              <w:top w:val="nil"/>
              <w:left w:val="nil"/>
              <w:bottom w:val="nil"/>
              <w:right w:val="nil"/>
            </w:tcBorders>
            <w:shd w:val="clear" w:color="000000" w:fill="FFFFFF"/>
            <w:vAlign w:val="center"/>
            <w:hideMark/>
          </w:tcPr>
          <w:p w14:paraId="26F138A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F182D7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D945E2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FEC118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0.089</w:t>
            </w:r>
          </w:p>
        </w:tc>
      </w:tr>
      <w:tr w:rsidR="000F5AE4" w:rsidRPr="003D7162" w14:paraId="001E7A7A"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F23E81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F8B1A8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684E5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375F39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F0DD12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599DAC7"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C4D469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Access to Improved drinking water sources</w:t>
            </w:r>
          </w:p>
        </w:tc>
        <w:tc>
          <w:tcPr>
            <w:tcW w:w="356" w:type="dxa"/>
            <w:tcBorders>
              <w:top w:val="nil"/>
              <w:left w:val="nil"/>
              <w:bottom w:val="nil"/>
              <w:right w:val="nil"/>
            </w:tcBorders>
            <w:shd w:val="clear" w:color="000000" w:fill="FFFFFF"/>
            <w:vAlign w:val="center"/>
            <w:hideMark/>
          </w:tcPr>
          <w:p w14:paraId="2B9A693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DC296E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0.117 (-0.078; 0.312)</w:t>
            </w:r>
          </w:p>
        </w:tc>
        <w:tc>
          <w:tcPr>
            <w:tcW w:w="356" w:type="dxa"/>
            <w:tcBorders>
              <w:top w:val="nil"/>
              <w:left w:val="nil"/>
              <w:bottom w:val="nil"/>
              <w:right w:val="nil"/>
            </w:tcBorders>
            <w:shd w:val="clear" w:color="000000" w:fill="FFFFFF"/>
            <w:vAlign w:val="center"/>
            <w:hideMark/>
          </w:tcPr>
          <w:p w14:paraId="0D24F44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DBC8DD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031126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A6AD93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356" w:type="dxa"/>
            <w:tcBorders>
              <w:top w:val="nil"/>
              <w:left w:val="nil"/>
              <w:bottom w:val="nil"/>
              <w:right w:val="nil"/>
            </w:tcBorders>
            <w:shd w:val="clear" w:color="000000" w:fill="FFFFFF"/>
            <w:vAlign w:val="center"/>
            <w:hideMark/>
          </w:tcPr>
          <w:p w14:paraId="101AD89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0F2C2C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0.239</w:t>
            </w:r>
          </w:p>
        </w:tc>
        <w:tc>
          <w:tcPr>
            <w:tcW w:w="356" w:type="dxa"/>
            <w:tcBorders>
              <w:top w:val="nil"/>
              <w:left w:val="nil"/>
              <w:bottom w:val="nil"/>
              <w:right w:val="nil"/>
            </w:tcBorders>
            <w:shd w:val="clear" w:color="000000" w:fill="FFFFFF"/>
            <w:vAlign w:val="center"/>
            <w:hideMark/>
          </w:tcPr>
          <w:p w14:paraId="2C2774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0BBD04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C4BEEC7"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59BA32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ECEFB2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58564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95E12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290B29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5B516C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81422F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Number of household members</w:t>
            </w:r>
          </w:p>
          <w:p w14:paraId="378DE29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356" w:type="dxa"/>
            <w:tcBorders>
              <w:top w:val="nil"/>
              <w:left w:val="nil"/>
              <w:bottom w:val="nil"/>
              <w:right w:val="nil"/>
            </w:tcBorders>
            <w:shd w:val="clear" w:color="000000" w:fill="FFFFFF"/>
            <w:vAlign w:val="center"/>
            <w:hideMark/>
          </w:tcPr>
          <w:p w14:paraId="593B007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478CC85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 (-0.042; 0.02)</w:t>
            </w:r>
          </w:p>
        </w:tc>
        <w:tc>
          <w:tcPr>
            <w:tcW w:w="356" w:type="dxa"/>
            <w:tcBorders>
              <w:top w:val="nil"/>
              <w:left w:val="nil"/>
              <w:bottom w:val="nil"/>
              <w:right w:val="nil"/>
            </w:tcBorders>
            <w:shd w:val="clear" w:color="000000" w:fill="FFFFFF"/>
            <w:vAlign w:val="center"/>
            <w:hideMark/>
          </w:tcPr>
          <w:p w14:paraId="7EEF856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5DDB6A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463053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F37E8F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4EF25F8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434745E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0.497</w:t>
            </w:r>
          </w:p>
        </w:tc>
        <w:tc>
          <w:tcPr>
            <w:tcW w:w="356" w:type="dxa"/>
            <w:tcBorders>
              <w:top w:val="nil"/>
              <w:left w:val="nil"/>
              <w:bottom w:val="nil"/>
              <w:right w:val="nil"/>
            </w:tcBorders>
            <w:shd w:val="clear" w:color="000000" w:fill="FFFFFF"/>
            <w:vAlign w:val="center"/>
            <w:hideMark/>
          </w:tcPr>
          <w:p w14:paraId="2051D84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EE222E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E3ECDA3"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5CADEA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2CD5D5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B82281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B4A078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4210815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DCE8E8F" w14:textId="77777777" w:rsidTr="001A5775">
        <w:trPr>
          <w:trHeight w:val="422"/>
        </w:trPr>
        <w:tc>
          <w:tcPr>
            <w:tcW w:w="3008" w:type="dxa"/>
            <w:tcBorders>
              <w:top w:val="nil"/>
              <w:left w:val="single" w:sz="4" w:space="0" w:color="auto"/>
              <w:right w:val="nil"/>
            </w:tcBorders>
            <w:shd w:val="clear" w:color="000000" w:fill="D9D9D9"/>
            <w:vAlign w:val="center"/>
            <w:hideMark/>
          </w:tcPr>
          <w:p w14:paraId="1A639054"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356" w:type="dxa"/>
            <w:tcBorders>
              <w:top w:val="nil"/>
              <w:left w:val="nil"/>
              <w:right w:val="nil"/>
            </w:tcBorders>
            <w:shd w:val="clear" w:color="000000" w:fill="D9D9D9"/>
            <w:vAlign w:val="center"/>
            <w:hideMark/>
          </w:tcPr>
          <w:p w14:paraId="78A49D2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right w:val="single" w:sz="4" w:space="0" w:color="auto"/>
            </w:tcBorders>
            <w:shd w:val="clear" w:color="000000" w:fill="D9D9D9"/>
            <w:vAlign w:val="center"/>
            <w:hideMark/>
          </w:tcPr>
          <w:p w14:paraId="5E2D318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right w:val="nil"/>
            </w:tcBorders>
            <w:shd w:val="clear" w:color="000000" w:fill="D9D9D9"/>
            <w:vAlign w:val="center"/>
            <w:hideMark/>
          </w:tcPr>
          <w:p w14:paraId="06D15AB7"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right w:val="single" w:sz="4" w:space="0" w:color="auto"/>
            </w:tcBorders>
            <w:shd w:val="clear" w:color="000000" w:fill="D9D9D9"/>
            <w:vAlign w:val="center"/>
            <w:hideMark/>
          </w:tcPr>
          <w:p w14:paraId="2891D614"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12.2%</w:t>
            </w:r>
          </w:p>
        </w:tc>
      </w:tr>
      <w:tr w:rsidR="000F5AE4" w:rsidRPr="003D7162" w14:paraId="4B61F889" w14:textId="77777777" w:rsidTr="001A5775">
        <w:trPr>
          <w:trHeight w:val="291"/>
        </w:trPr>
        <w:tc>
          <w:tcPr>
            <w:tcW w:w="9490" w:type="dxa"/>
            <w:gridSpan w:val="5"/>
            <w:tcBorders>
              <w:top w:val="nil"/>
              <w:left w:val="single" w:sz="4" w:space="0" w:color="auto"/>
              <w:bottom w:val="nil"/>
              <w:right w:val="single" w:sz="4" w:space="0" w:color="auto"/>
            </w:tcBorders>
            <w:shd w:val="clear" w:color="000000" w:fill="808080"/>
            <w:vAlign w:val="center"/>
            <w:hideMark/>
          </w:tcPr>
          <w:p w14:paraId="78400738"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Proximal level</w:t>
            </w:r>
          </w:p>
        </w:tc>
      </w:tr>
      <w:tr w:rsidR="000F5AE4" w:rsidRPr="003D7162" w14:paraId="7A0C808B" w14:textId="77777777" w:rsidTr="001A5775">
        <w:trPr>
          <w:trHeight w:val="349"/>
        </w:trPr>
        <w:tc>
          <w:tcPr>
            <w:tcW w:w="9490" w:type="dxa"/>
            <w:gridSpan w:val="5"/>
            <w:tcBorders>
              <w:top w:val="nil"/>
              <w:left w:val="single" w:sz="4" w:space="0" w:color="auto"/>
              <w:bottom w:val="single" w:sz="4" w:space="0" w:color="auto"/>
              <w:right w:val="single" w:sz="4" w:space="0" w:color="auto"/>
            </w:tcBorders>
            <w:shd w:val="clear" w:color="000000" w:fill="D9D9D9"/>
            <w:vAlign w:val="center"/>
            <w:hideMark/>
          </w:tcPr>
          <w:p w14:paraId="08889017"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Infections</w:t>
            </w:r>
          </w:p>
        </w:tc>
      </w:tr>
      <w:tr w:rsidR="000F5AE4" w:rsidRPr="003D7162" w14:paraId="71A8C78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CAC4B8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ARI infection</w:t>
            </w:r>
          </w:p>
        </w:tc>
        <w:tc>
          <w:tcPr>
            <w:tcW w:w="356" w:type="dxa"/>
            <w:tcBorders>
              <w:top w:val="nil"/>
              <w:left w:val="nil"/>
              <w:bottom w:val="nil"/>
              <w:right w:val="nil"/>
            </w:tcBorders>
            <w:shd w:val="clear" w:color="000000" w:fill="FFFFFF"/>
            <w:vAlign w:val="center"/>
            <w:hideMark/>
          </w:tcPr>
          <w:p w14:paraId="08DB788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6AC9DA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-0.131 (-0.281; 0.019)</w:t>
            </w:r>
          </w:p>
        </w:tc>
        <w:tc>
          <w:tcPr>
            <w:tcW w:w="356" w:type="dxa"/>
            <w:tcBorders>
              <w:top w:val="nil"/>
              <w:left w:val="nil"/>
              <w:bottom w:val="nil"/>
              <w:right w:val="nil"/>
            </w:tcBorders>
            <w:shd w:val="clear" w:color="000000" w:fill="FFFFFF"/>
            <w:vAlign w:val="center"/>
            <w:hideMark/>
          </w:tcPr>
          <w:p w14:paraId="0727EC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19F270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8BF92CD"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72FA6DC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 within last 2 weeks)</w:t>
            </w:r>
          </w:p>
        </w:tc>
        <w:tc>
          <w:tcPr>
            <w:tcW w:w="356" w:type="dxa"/>
            <w:tcBorders>
              <w:top w:val="nil"/>
              <w:left w:val="nil"/>
              <w:bottom w:val="nil"/>
              <w:right w:val="nil"/>
            </w:tcBorders>
            <w:shd w:val="clear" w:color="000000" w:fill="FFFFFF"/>
            <w:vAlign w:val="center"/>
            <w:hideMark/>
          </w:tcPr>
          <w:p w14:paraId="0C52B4A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BE83AA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0.086</w:t>
            </w:r>
          </w:p>
        </w:tc>
        <w:tc>
          <w:tcPr>
            <w:tcW w:w="356" w:type="dxa"/>
            <w:tcBorders>
              <w:top w:val="nil"/>
              <w:left w:val="nil"/>
              <w:bottom w:val="nil"/>
              <w:right w:val="nil"/>
            </w:tcBorders>
            <w:shd w:val="clear" w:color="000000" w:fill="FFFFFF"/>
            <w:vAlign w:val="center"/>
            <w:hideMark/>
          </w:tcPr>
          <w:p w14:paraId="771F4BB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6A9BCE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596D18D"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86F898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9FAFB3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C83852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C97264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DA3F26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8D3E04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5F1E54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Diarrhea infection</w:t>
            </w:r>
          </w:p>
        </w:tc>
        <w:tc>
          <w:tcPr>
            <w:tcW w:w="356" w:type="dxa"/>
            <w:tcBorders>
              <w:top w:val="nil"/>
              <w:left w:val="nil"/>
              <w:bottom w:val="nil"/>
              <w:right w:val="nil"/>
            </w:tcBorders>
            <w:shd w:val="clear" w:color="000000" w:fill="FFFFFF"/>
            <w:vAlign w:val="center"/>
            <w:hideMark/>
          </w:tcPr>
          <w:p w14:paraId="7BF624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CDA437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 (-0.399; -0.002)</w:t>
            </w:r>
          </w:p>
        </w:tc>
        <w:tc>
          <w:tcPr>
            <w:tcW w:w="356" w:type="dxa"/>
            <w:tcBorders>
              <w:top w:val="nil"/>
              <w:left w:val="nil"/>
              <w:bottom w:val="nil"/>
              <w:right w:val="nil"/>
            </w:tcBorders>
            <w:shd w:val="clear" w:color="000000" w:fill="FFFFFF"/>
            <w:vAlign w:val="center"/>
            <w:hideMark/>
          </w:tcPr>
          <w:p w14:paraId="4C5BAC6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3F2131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8A9CFE9"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634FEC2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 within last 2 weeks)</w:t>
            </w:r>
          </w:p>
        </w:tc>
        <w:tc>
          <w:tcPr>
            <w:tcW w:w="356" w:type="dxa"/>
            <w:tcBorders>
              <w:top w:val="nil"/>
              <w:left w:val="nil"/>
              <w:bottom w:val="nil"/>
              <w:right w:val="nil"/>
            </w:tcBorders>
            <w:shd w:val="clear" w:color="000000" w:fill="FFFFFF"/>
            <w:vAlign w:val="center"/>
            <w:hideMark/>
          </w:tcPr>
          <w:p w14:paraId="0C2408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D6469D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0.048</w:t>
            </w:r>
          </w:p>
        </w:tc>
        <w:tc>
          <w:tcPr>
            <w:tcW w:w="356" w:type="dxa"/>
            <w:tcBorders>
              <w:top w:val="nil"/>
              <w:left w:val="nil"/>
              <w:bottom w:val="nil"/>
              <w:right w:val="nil"/>
            </w:tcBorders>
            <w:shd w:val="clear" w:color="000000" w:fill="FFFFFF"/>
            <w:vAlign w:val="center"/>
            <w:hideMark/>
          </w:tcPr>
          <w:p w14:paraId="703DE71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1D7A38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B428157" w14:textId="77777777" w:rsidTr="001A5775">
        <w:trPr>
          <w:trHeight w:val="247"/>
        </w:trPr>
        <w:tc>
          <w:tcPr>
            <w:tcW w:w="3008" w:type="dxa"/>
            <w:tcBorders>
              <w:top w:val="nil"/>
              <w:left w:val="single" w:sz="4" w:space="0" w:color="auto"/>
              <w:bottom w:val="single" w:sz="4" w:space="0" w:color="auto"/>
              <w:right w:val="nil"/>
            </w:tcBorders>
            <w:shd w:val="clear" w:color="000000" w:fill="FFFFFF"/>
            <w:vAlign w:val="center"/>
            <w:hideMark/>
          </w:tcPr>
          <w:p w14:paraId="4599CAE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single" w:sz="4" w:space="0" w:color="auto"/>
              <w:bottom w:val="single" w:sz="4" w:space="0" w:color="auto"/>
              <w:right w:val="nil"/>
            </w:tcBorders>
            <w:shd w:val="clear" w:color="000000" w:fill="FFFFFF"/>
            <w:vAlign w:val="center"/>
            <w:hideMark/>
          </w:tcPr>
          <w:p w14:paraId="3809CE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B4A4C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C5D886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4B45AE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ACE2589"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5168C158"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Child characteristics</w:t>
            </w:r>
          </w:p>
        </w:tc>
      </w:tr>
      <w:tr w:rsidR="000F5AE4" w:rsidRPr="003D7162" w14:paraId="5AA756D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182C71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Low birthweight</w:t>
            </w:r>
          </w:p>
        </w:tc>
        <w:tc>
          <w:tcPr>
            <w:tcW w:w="356" w:type="dxa"/>
            <w:tcBorders>
              <w:top w:val="nil"/>
              <w:left w:val="nil"/>
              <w:bottom w:val="nil"/>
              <w:right w:val="nil"/>
            </w:tcBorders>
            <w:shd w:val="clear" w:color="000000" w:fill="FFFFFF"/>
            <w:vAlign w:val="center"/>
            <w:hideMark/>
          </w:tcPr>
          <w:p w14:paraId="611BD04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311623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-1.554 (-1.84; -1.267)</w:t>
            </w:r>
          </w:p>
        </w:tc>
        <w:tc>
          <w:tcPr>
            <w:tcW w:w="356" w:type="dxa"/>
            <w:tcBorders>
              <w:top w:val="nil"/>
              <w:left w:val="nil"/>
              <w:bottom w:val="nil"/>
              <w:right w:val="nil"/>
            </w:tcBorders>
            <w:shd w:val="clear" w:color="000000" w:fill="FFFFFF"/>
            <w:vAlign w:val="center"/>
            <w:hideMark/>
          </w:tcPr>
          <w:p w14:paraId="4CF0F96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39D753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-1.394 (-1.744; -1.045)</w:t>
            </w:r>
          </w:p>
        </w:tc>
      </w:tr>
      <w:tr w:rsidR="000F5AE4" w:rsidRPr="003D7162" w14:paraId="64EC1C74"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0BB39F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356" w:type="dxa"/>
            <w:tcBorders>
              <w:top w:val="nil"/>
              <w:left w:val="nil"/>
              <w:bottom w:val="nil"/>
              <w:right w:val="nil"/>
            </w:tcBorders>
            <w:shd w:val="clear" w:color="000000" w:fill="FFFFFF"/>
            <w:vAlign w:val="center"/>
            <w:hideMark/>
          </w:tcPr>
          <w:p w14:paraId="09AC8E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BE2C9E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06690FE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794722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6529E55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510C899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9087F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61B38D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D61068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E44EC4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305EDFD" w14:textId="77777777" w:rsidTr="001A5775">
        <w:trPr>
          <w:trHeight w:val="349"/>
        </w:trPr>
        <w:tc>
          <w:tcPr>
            <w:tcW w:w="3008" w:type="dxa"/>
            <w:tcBorders>
              <w:top w:val="nil"/>
              <w:left w:val="single" w:sz="4" w:space="0" w:color="auto"/>
              <w:bottom w:val="single" w:sz="4" w:space="0" w:color="auto"/>
              <w:right w:val="nil"/>
            </w:tcBorders>
            <w:shd w:val="clear" w:color="000000" w:fill="D9D9D9"/>
            <w:vAlign w:val="center"/>
            <w:hideMark/>
          </w:tcPr>
          <w:p w14:paraId="1351253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Maternal characteristics</w:t>
            </w:r>
          </w:p>
        </w:tc>
        <w:tc>
          <w:tcPr>
            <w:tcW w:w="356" w:type="dxa"/>
            <w:tcBorders>
              <w:top w:val="nil"/>
              <w:left w:val="nil"/>
              <w:bottom w:val="single" w:sz="4" w:space="0" w:color="auto"/>
              <w:right w:val="nil"/>
            </w:tcBorders>
            <w:shd w:val="clear" w:color="000000" w:fill="D9D9D9"/>
            <w:vAlign w:val="center"/>
            <w:hideMark/>
          </w:tcPr>
          <w:p w14:paraId="2B0C5457"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nil"/>
            </w:tcBorders>
            <w:shd w:val="clear" w:color="000000" w:fill="D9D9D9"/>
            <w:vAlign w:val="center"/>
            <w:hideMark/>
          </w:tcPr>
          <w:p w14:paraId="130C6666"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5DC113E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nil"/>
            </w:tcBorders>
            <w:shd w:val="clear" w:color="000000" w:fill="D9D9D9"/>
            <w:vAlign w:val="center"/>
            <w:hideMark/>
          </w:tcPr>
          <w:p w14:paraId="532524E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4BFF186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587D99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Maternal age</w:t>
            </w:r>
          </w:p>
        </w:tc>
        <w:tc>
          <w:tcPr>
            <w:tcW w:w="356" w:type="dxa"/>
            <w:tcBorders>
              <w:top w:val="nil"/>
              <w:left w:val="nil"/>
              <w:bottom w:val="nil"/>
              <w:right w:val="nil"/>
            </w:tcBorders>
            <w:shd w:val="clear" w:color="000000" w:fill="FFFFFF"/>
            <w:vAlign w:val="center"/>
            <w:hideMark/>
          </w:tcPr>
          <w:p w14:paraId="67B3C8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72D403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 (-0.009; 0.012)</w:t>
            </w:r>
          </w:p>
        </w:tc>
        <w:tc>
          <w:tcPr>
            <w:tcW w:w="356" w:type="dxa"/>
            <w:tcBorders>
              <w:top w:val="nil"/>
              <w:left w:val="nil"/>
              <w:bottom w:val="nil"/>
              <w:right w:val="nil"/>
            </w:tcBorders>
            <w:shd w:val="clear" w:color="000000" w:fill="FFFFFF"/>
            <w:vAlign w:val="center"/>
            <w:hideMark/>
          </w:tcPr>
          <w:p w14:paraId="1E0562D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FAD721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AF97D9F"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458E44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(years)</w:t>
            </w:r>
          </w:p>
        </w:tc>
        <w:tc>
          <w:tcPr>
            <w:tcW w:w="356" w:type="dxa"/>
            <w:tcBorders>
              <w:top w:val="nil"/>
              <w:left w:val="nil"/>
              <w:bottom w:val="nil"/>
              <w:right w:val="nil"/>
            </w:tcBorders>
            <w:shd w:val="clear" w:color="000000" w:fill="FFFFFF"/>
            <w:vAlign w:val="center"/>
            <w:hideMark/>
          </w:tcPr>
          <w:p w14:paraId="313ACAC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78294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0.775</w:t>
            </w:r>
          </w:p>
        </w:tc>
        <w:tc>
          <w:tcPr>
            <w:tcW w:w="356" w:type="dxa"/>
            <w:tcBorders>
              <w:top w:val="nil"/>
              <w:left w:val="nil"/>
              <w:bottom w:val="nil"/>
              <w:right w:val="nil"/>
            </w:tcBorders>
            <w:shd w:val="clear" w:color="000000" w:fill="FFFFFF"/>
            <w:vAlign w:val="center"/>
            <w:hideMark/>
          </w:tcPr>
          <w:p w14:paraId="2784184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1A3FB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A90BF4A" w14:textId="77777777" w:rsidTr="001A5775">
        <w:trPr>
          <w:trHeight w:val="233"/>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0551BB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C145AD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3ED1E5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AB24A6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24DCED8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40E3F57"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E0747A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Adolescent birth (&lt;18 years of age)</w:t>
            </w:r>
          </w:p>
        </w:tc>
        <w:tc>
          <w:tcPr>
            <w:tcW w:w="356" w:type="dxa"/>
            <w:tcBorders>
              <w:top w:val="nil"/>
              <w:left w:val="nil"/>
              <w:bottom w:val="nil"/>
              <w:right w:val="nil"/>
            </w:tcBorders>
            <w:shd w:val="clear" w:color="000000" w:fill="FFFFFF"/>
            <w:vAlign w:val="center"/>
            <w:hideMark/>
          </w:tcPr>
          <w:p w14:paraId="6854E6B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C2345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0.002 (-0.243; 0.247)</w:t>
            </w:r>
          </w:p>
        </w:tc>
        <w:tc>
          <w:tcPr>
            <w:tcW w:w="356" w:type="dxa"/>
            <w:tcBorders>
              <w:top w:val="nil"/>
              <w:left w:val="nil"/>
              <w:bottom w:val="nil"/>
              <w:right w:val="nil"/>
            </w:tcBorders>
            <w:shd w:val="clear" w:color="000000" w:fill="FFFFFF"/>
            <w:vAlign w:val="center"/>
            <w:hideMark/>
          </w:tcPr>
          <w:p w14:paraId="1036F59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777A55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1CEB40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1A0AC7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356" w:type="dxa"/>
            <w:tcBorders>
              <w:top w:val="nil"/>
              <w:left w:val="nil"/>
              <w:bottom w:val="nil"/>
              <w:right w:val="nil"/>
            </w:tcBorders>
            <w:shd w:val="clear" w:color="000000" w:fill="FFFFFF"/>
            <w:vAlign w:val="center"/>
            <w:hideMark/>
          </w:tcPr>
          <w:p w14:paraId="2C0461F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F2EFE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0.985</w:t>
            </w:r>
          </w:p>
        </w:tc>
        <w:tc>
          <w:tcPr>
            <w:tcW w:w="356" w:type="dxa"/>
            <w:tcBorders>
              <w:top w:val="nil"/>
              <w:left w:val="nil"/>
              <w:bottom w:val="nil"/>
              <w:right w:val="nil"/>
            </w:tcBorders>
            <w:shd w:val="clear" w:color="000000" w:fill="FFFFFF"/>
            <w:vAlign w:val="center"/>
            <w:hideMark/>
          </w:tcPr>
          <w:p w14:paraId="08DF75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FAA42B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BAA6B66"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1DC93D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6211E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F94B02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63711A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9ACF7C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6A1E4B9"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3E72DA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Older mother birth (≥ 35 years)</w:t>
            </w:r>
          </w:p>
          <w:p w14:paraId="66CF346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(current birth for index mother) </w:t>
            </w:r>
          </w:p>
        </w:tc>
        <w:tc>
          <w:tcPr>
            <w:tcW w:w="356" w:type="dxa"/>
            <w:tcBorders>
              <w:top w:val="nil"/>
              <w:left w:val="nil"/>
              <w:bottom w:val="nil"/>
              <w:right w:val="nil"/>
            </w:tcBorders>
            <w:shd w:val="clear" w:color="000000" w:fill="FFFFFF"/>
            <w:vAlign w:val="center"/>
            <w:hideMark/>
          </w:tcPr>
          <w:p w14:paraId="361A8A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3478D6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-0.042 (-0.258; 0.174)</w:t>
            </w:r>
          </w:p>
        </w:tc>
        <w:tc>
          <w:tcPr>
            <w:tcW w:w="356" w:type="dxa"/>
            <w:tcBorders>
              <w:top w:val="nil"/>
              <w:left w:val="nil"/>
              <w:bottom w:val="nil"/>
              <w:right w:val="nil"/>
            </w:tcBorders>
            <w:shd w:val="clear" w:color="000000" w:fill="FFFFFF"/>
            <w:vAlign w:val="center"/>
            <w:hideMark/>
          </w:tcPr>
          <w:p w14:paraId="5B079D5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E2C5AB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6A40FA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BD03B70" w14:textId="77777777" w:rsidR="000F5AE4" w:rsidRPr="003D7162" w:rsidRDefault="000F5AE4" w:rsidP="001A5775">
            <w:pPr>
              <w:jc w:val="right"/>
              <w:rPr>
                <w:rFonts w:ascii="Helvetica" w:eastAsia="Times New Roman" w:hAnsi="Helvetica" w:cs="Helvetica"/>
                <w:color w:val="000000"/>
                <w:sz w:val="20"/>
                <w:szCs w:val="20"/>
                <w:lang w:eastAsia="en-US"/>
              </w:rPr>
            </w:pPr>
          </w:p>
        </w:tc>
        <w:tc>
          <w:tcPr>
            <w:tcW w:w="356" w:type="dxa"/>
            <w:tcBorders>
              <w:top w:val="nil"/>
              <w:left w:val="nil"/>
              <w:bottom w:val="nil"/>
              <w:right w:val="nil"/>
            </w:tcBorders>
            <w:shd w:val="clear" w:color="000000" w:fill="FFFFFF"/>
            <w:vAlign w:val="center"/>
            <w:hideMark/>
          </w:tcPr>
          <w:p w14:paraId="5E8514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26894E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0.705</w:t>
            </w:r>
          </w:p>
        </w:tc>
        <w:tc>
          <w:tcPr>
            <w:tcW w:w="356" w:type="dxa"/>
            <w:tcBorders>
              <w:top w:val="nil"/>
              <w:left w:val="nil"/>
              <w:bottom w:val="nil"/>
              <w:right w:val="nil"/>
            </w:tcBorders>
            <w:shd w:val="clear" w:color="000000" w:fill="FFFFFF"/>
            <w:vAlign w:val="center"/>
            <w:hideMark/>
          </w:tcPr>
          <w:p w14:paraId="712648D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4C4A2B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C10115F" w14:textId="77777777" w:rsidTr="001A5775">
        <w:trPr>
          <w:trHeight w:val="262"/>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EF8DE6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C789E0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A5394D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381C0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43BD9BD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9280BCB"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F773EE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Anemia during pregnancy</w:t>
            </w:r>
          </w:p>
        </w:tc>
        <w:tc>
          <w:tcPr>
            <w:tcW w:w="356" w:type="dxa"/>
            <w:tcBorders>
              <w:top w:val="nil"/>
              <w:left w:val="nil"/>
              <w:bottom w:val="nil"/>
              <w:right w:val="nil"/>
            </w:tcBorders>
            <w:shd w:val="clear" w:color="000000" w:fill="FFFFFF"/>
            <w:vAlign w:val="center"/>
            <w:hideMark/>
          </w:tcPr>
          <w:p w14:paraId="4CB60CF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F1D790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0.007 (-0.135; 0.148)</w:t>
            </w:r>
          </w:p>
        </w:tc>
        <w:tc>
          <w:tcPr>
            <w:tcW w:w="356" w:type="dxa"/>
            <w:tcBorders>
              <w:top w:val="nil"/>
              <w:left w:val="nil"/>
              <w:bottom w:val="nil"/>
              <w:right w:val="nil"/>
            </w:tcBorders>
            <w:shd w:val="clear" w:color="000000" w:fill="FFFFFF"/>
            <w:vAlign w:val="center"/>
            <w:hideMark/>
          </w:tcPr>
          <w:p w14:paraId="28BA40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C40487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00460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0591E1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pregnancy for index mother)</w:t>
            </w:r>
          </w:p>
        </w:tc>
        <w:tc>
          <w:tcPr>
            <w:tcW w:w="356" w:type="dxa"/>
            <w:tcBorders>
              <w:top w:val="nil"/>
              <w:left w:val="nil"/>
              <w:bottom w:val="nil"/>
              <w:right w:val="nil"/>
            </w:tcBorders>
            <w:shd w:val="clear" w:color="000000" w:fill="FFFFFF"/>
            <w:vAlign w:val="center"/>
            <w:hideMark/>
          </w:tcPr>
          <w:p w14:paraId="65E382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41788D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0.928</w:t>
            </w:r>
          </w:p>
        </w:tc>
        <w:tc>
          <w:tcPr>
            <w:tcW w:w="356" w:type="dxa"/>
            <w:tcBorders>
              <w:top w:val="nil"/>
              <w:left w:val="nil"/>
              <w:bottom w:val="nil"/>
              <w:right w:val="nil"/>
            </w:tcBorders>
            <w:shd w:val="clear" w:color="000000" w:fill="FFFFFF"/>
            <w:vAlign w:val="center"/>
            <w:hideMark/>
          </w:tcPr>
          <w:p w14:paraId="75E9BA4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29D3B7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5FECA51"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768BAB5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73A4F2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2FA62F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AB30CC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1FEC60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873016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AA4308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Body mass index (kg/m</w:t>
            </w:r>
            <w:r w:rsidRPr="003D7162">
              <w:rPr>
                <w:rFonts w:ascii="Helvetica" w:eastAsia="Times New Roman" w:hAnsi="Helvetica" w:cs="Helvetica"/>
                <w:color w:val="000000"/>
                <w:sz w:val="20"/>
                <w:szCs w:val="20"/>
                <w:vertAlign w:val="superscript"/>
                <w:lang w:eastAsia="en-US"/>
              </w:rPr>
              <w:t>2</w:t>
            </w:r>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27E5D61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752717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0.017 (0; 0.033)</w:t>
            </w:r>
          </w:p>
        </w:tc>
        <w:tc>
          <w:tcPr>
            <w:tcW w:w="356" w:type="dxa"/>
            <w:tcBorders>
              <w:top w:val="nil"/>
              <w:left w:val="nil"/>
              <w:bottom w:val="nil"/>
              <w:right w:val="nil"/>
            </w:tcBorders>
            <w:shd w:val="clear" w:color="000000" w:fill="FFFFFF"/>
            <w:vAlign w:val="center"/>
            <w:hideMark/>
          </w:tcPr>
          <w:p w14:paraId="70D8B96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54D7AF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DF13E9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F0A155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356" w:type="dxa"/>
            <w:tcBorders>
              <w:top w:val="nil"/>
              <w:left w:val="nil"/>
              <w:bottom w:val="nil"/>
              <w:right w:val="nil"/>
            </w:tcBorders>
            <w:shd w:val="clear" w:color="000000" w:fill="FFFFFF"/>
            <w:vAlign w:val="center"/>
            <w:hideMark/>
          </w:tcPr>
          <w:p w14:paraId="40E2E3D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B4C3C9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0.044</w:t>
            </w:r>
          </w:p>
        </w:tc>
        <w:tc>
          <w:tcPr>
            <w:tcW w:w="356" w:type="dxa"/>
            <w:tcBorders>
              <w:top w:val="nil"/>
              <w:left w:val="nil"/>
              <w:bottom w:val="nil"/>
              <w:right w:val="nil"/>
            </w:tcBorders>
            <w:shd w:val="clear" w:color="000000" w:fill="FFFFFF"/>
            <w:vAlign w:val="center"/>
            <w:hideMark/>
          </w:tcPr>
          <w:p w14:paraId="16BE877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65FA2B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A1B3EF2"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AF9E11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F3E2EB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F91FA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E3AE4D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46AA3D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87C52C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024AC8B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Height (cm)</w:t>
            </w:r>
          </w:p>
        </w:tc>
        <w:tc>
          <w:tcPr>
            <w:tcW w:w="356" w:type="dxa"/>
            <w:tcBorders>
              <w:top w:val="nil"/>
              <w:left w:val="nil"/>
              <w:bottom w:val="nil"/>
              <w:right w:val="nil"/>
            </w:tcBorders>
            <w:shd w:val="clear" w:color="000000" w:fill="FFFFFF"/>
            <w:vAlign w:val="center"/>
            <w:hideMark/>
          </w:tcPr>
          <w:p w14:paraId="0A02150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CED88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0.056 (0.044; 0.068)</w:t>
            </w:r>
          </w:p>
        </w:tc>
        <w:tc>
          <w:tcPr>
            <w:tcW w:w="356" w:type="dxa"/>
            <w:tcBorders>
              <w:top w:val="nil"/>
              <w:left w:val="nil"/>
              <w:bottom w:val="nil"/>
              <w:right w:val="nil"/>
            </w:tcBorders>
            <w:shd w:val="clear" w:color="000000" w:fill="FFFFFF"/>
            <w:vAlign w:val="center"/>
            <w:hideMark/>
          </w:tcPr>
          <w:p w14:paraId="0F9AC15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EF7837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0.039 (0.027; 0.051)</w:t>
            </w:r>
          </w:p>
        </w:tc>
      </w:tr>
      <w:tr w:rsidR="000F5AE4" w:rsidRPr="003D7162" w14:paraId="30D129E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47FE27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356" w:type="dxa"/>
            <w:tcBorders>
              <w:top w:val="nil"/>
              <w:left w:val="nil"/>
              <w:bottom w:val="nil"/>
              <w:right w:val="nil"/>
            </w:tcBorders>
            <w:shd w:val="clear" w:color="000000" w:fill="FFFFFF"/>
            <w:vAlign w:val="center"/>
            <w:hideMark/>
          </w:tcPr>
          <w:p w14:paraId="091F26E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B25211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A729A9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9A2422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292C77E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340C12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63DFCC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3167C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0AAE6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74FBDA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543816C"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A01B66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Parity (No. children)</w:t>
            </w:r>
          </w:p>
        </w:tc>
        <w:tc>
          <w:tcPr>
            <w:tcW w:w="356" w:type="dxa"/>
            <w:tcBorders>
              <w:top w:val="nil"/>
              <w:left w:val="nil"/>
              <w:bottom w:val="nil"/>
              <w:right w:val="nil"/>
            </w:tcBorders>
            <w:shd w:val="clear" w:color="000000" w:fill="FFFFFF"/>
            <w:vAlign w:val="center"/>
            <w:hideMark/>
          </w:tcPr>
          <w:p w14:paraId="1EBEAE0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427605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-0.044 (-0.082; -0.007)</w:t>
            </w:r>
          </w:p>
        </w:tc>
        <w:tc>
          <w:tcPr>
            <w:tcW w:w="356" w:type="dxa"/>
            <w:tcBorders>
              <w:top w:val="nil"/>
              <w:left w:val="nil"/>
              <w:bottom w:val="nil"/>
              <w:right w:val="nil"/>
            </w:tcBorders>
            <w:shd w:val="clear" w:color="000000" w:fill="FFFFFF"/>
            <w:vAlign w:val="center"/>
            <w:hideMark/>
          </w:tcPr>
          <w:p w14:paraId="45A7D7F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3155AA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753563F"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9C8F46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356" w:type="dxa"/>
            <w:tcBorders>
              <w:top w:val="nil"/>
              <w:left w:val="nil"/>
              <w:bottom w:val="nil"/>
              <w:right w:val="nil"/>
            </w:tcBorders>
            <w:shd w:val="clear" w:color="000000" w:fill="FFFFFF"/>
            <w:vAlign w:val="center"/>
            <w:hideMark/>
          </w:tcPr>
          <w:p w14:paraId="6D5440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428F9A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0.020</w:t>
            </w:r>
          </w:p>
        </w:tc>
        <w:tc>
          <w:tcPr>
            <w:tcW w:w="356" w:type="dxa"/>
            <w:tcBorders>
              <w:top w:val="nil"/>
              <w:left w:val="nil"/>
              <w:bottom w:val="nil"/>
              <w:right w:val="nil"/>
            </w:tcBorders>
            <w:shd w:val="clear" w:color="000000" w:fill="FFFFFF"/>
            <w:vAlign w:val="center"/>
            <w:hideMark/>
          </w:tcPr>
          <w:p w14:paraId="42FE3CA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E68D8D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7DC364F"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32073D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F081D5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559D16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1C3CEA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0FDC0C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CA64495"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61C175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Interpregnancy interval (months)</w:t>
            </w:r>
          </w:p>
        </w:tc>
        <w:tc>
          <w:tcPr>
            <w:tcW w:w="356" w:type="dxa"/>
            <w:tcBorders>
              <w:top w:val="nil"/>
              <w:left w:val="nil"/>
              <w:bottom w:val="nil"/>
              <w:right w:val="nil"/>
            </w:tcBorders>
            <w:shd w:val="clear" w:color="000000" w:fill="FFFFFF"/>
            <w:vAlign w:val="center"/>
            <w:hideMark/>
          </w:tcPr>
          <w:p w14:paraId="1EB7551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A493FC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0.002 (0; 0.004)</w:t>
            </w:r>
          </w:p>
        </w:tc>
        <w:tc>
          <w:tcPr>
            <w:tcW w:w="356" w:type="dxa"/>
            <w:tcBorders>
              <w:top w:val="nil"/>
              <w:left w:val="nil"/>
              <w:bottom w:val="nil"/>
              <w:right w:val="nil"/>
            </w:tcBorders>
            <w:shd w:val="clear" w:color="000000" w:fill="FFFFFF"/>
            <w:vAlign w:val="center"/>
            <w:hideMark/>
          </w:tcPr>
          <w:p w14:paraId="6721AED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23DEC7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7FC30E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1A20BC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356" w:type="dxa"/>
            <w:tcBorders>
              <w:top w:val="nil"/>
              <w:left w:val="nil"/>
              <w:bottom w:val="nil"/>
              <w:right w:val="nil"/>
            </w:tcBorders>
            <w:shd w:val="clear" w:color="000000" w:fill="FFFFFF"/>
            <w:vAlign w:val="center"/>
            <w:hideMark/>
          </w:tcPr>
          <w:p w14:paraId="00AAB0A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F48BF7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0.117</w:t>
            </w:r>
          </w:p>
        </w:tc>
        <w:tc>
          <w:tcPr>
            <w:tcW w:w="356" w:type="dxa"/>
            <w:tcBorders>
              <w:top w:val="nil"/>
              <w:left w:val="nil"/>
              <w:bottom w:val="nil"/>
              <w:right w:val="nil"/>
            </w:tcBorders>
            <w:shd w:val="clear" w:color="000000" w:fill="FFFFFF"/>
            <w:vAlign w:val="center"/>
            <w:hideMark/>
          </w:tcPr>
          <w:p w14:paraId="14E5A0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84A5DC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838AD42"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50ED30D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676710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78DC099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C68C81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4AD0D2E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286238A" w14:textId="77777777" w:rsidTr="001A5775">
        <w:trPr>
          <w:trHeight w:val="393"/>
        </w:trPr>
        <w:tc>
          <w:tcPr>
            <w:tcW w:w="3008" w:type="dxa"/>
            <w:tcBorders>
              <w:top w:val="nil"/>
              <w:left w:val="single" w:sz="4" w:space="0" w:color="auto"/>
              <w:bottom w:val="single" w:sz="4" w:space="0" w:color="auto"/>
              <w:right w:val="nil"/>
            </w:tcBorders>
            <w:shd w:val="clear" w:color="000000" w:fill="D9D9D9"/>
            <w:vAlign w:val="center"/>
            <w:hideMark/>
          </w:tcPr>
          <w:p w14:paraId="415B8AA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356" w:type="dxa"/>
            <w:tcBorders>
              <w:top w:val="nil"/>
              <w:left w:val="nil"/>
              <w:bottom w:val="single" w:sz="4" w:space="0" w:color="auto"/>
              <w:right w:val="nil"/>
            </w:tcBorders>
            <w:shd w:val="clear" w:color="000000" w:fill="D9D9D9"/>
            <w:vAlign w:val="center"/>
            <w:hideMark/>
          </w:tcPr>
          <w:p w14:paraId="6FE3F68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D9D9D9"/>
            <w:vAlign w:val="center"/>
            <w:hideMark/>
          </w:tcPr>
          <w:p w14:paraId="177641B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2EC2B4E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D9D9D9"/>
            <w:vAlign w:val="center"/>
            <w:hideMark/>
          </w:tcPr>
          <w:p w14:paraId="7EA31C6B"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20.5%</w:t>
            </w:r>
          </w:p>
        </w:tc>
      </w:tr>
      <w:tr w:rsidR="000F5AE4" w:rsidRPr="003D7162" w14:paraId="445B45DD" w14:textId="77777777" w:rsidTr="001A5775">
        <w:trPr>
          <w:trHeight w:val="247"/>
        </w:trPr>
        <w:tc>
          <w:tcPr>
            <w:tcW w:w="3008" w:type="dxa"/>
            <w:tcBorders>
              <w:top w:val="nil"/>
              <w:left w:val="single" w:sz="4" w:space="0" w:color="auto"/>
              <w:bottom w:val="single" w:sz="4" w:space="0" w:color="auto"/>
              <w:right w:val="nil"/>
            </w:tcBorders>
            <w:shd w:val="clear" w:color="000000" w:fill="808080"/>
            <w:vAlign w:val="center"/>
            <w:hideMark/>
          </w:tcPr>
          <w:p w14:paraId="7F0E49E8"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w:t>
            </w:r>
          </w:p>
        </w:tc>
        <w:tc>
          <w:tcPr>
            <w:tcW w:w="356" w:type="dxa"/>
            <w:tcBorders>
              <w:top w:val="nil"/>
              <w:left w:val="nil"/>
              <w:bottom w:val="single" w:sz="4" w:space="0" w:color="auto"/>
              <w:right w:val="nil"/>
            </w:tcBorders>
            <w:shd w:val="clear" w:color="000000" w:fill="808080"/>
            <w:vAlign w:val="center"/>
            <w:hideMark/>
          </w:tcPr>
          <w:p w14:paraId="6236553F"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819" w:type="dxa"/>
            <w:tcBorders>
              <w:top w:val="nil"/>
              <w:left w:val="nil"/>
              <w:bottom w:val="single" w:sz="4" w:space="0" w:color="auto"/>
              <w:right w:val="nil"/>
            </w:tcBorders>
            <w:shd w:val="clear" w:color="000000" w:fill="808080"/>
            <w:vAlign w:val="center"/>
            <w:hideMark/>
          </w:tcPr>
          <w:p w14:paraId="5971376A"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356" w:type="dxa"/>
            <w:tcBorders>
              <w:top w:val="nil"/>
              <w:left w:val="nil"/>
              <w:bottom w:val="single" w:sz="4" w:space="0" w:color="auto"/>
              <w:right w:val="nil"/>
            </w:tcBorders>
            <w:shd w:val="clear" w:color="000000" w:fill="808080"/>
            <w:vAlign w:val="center"/>
            <w:hideMark/>
          </w:tcPr>
          <w:p w14:paraId="6767BC11"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951" w:type="dxa"/>
            <w:tcBorders>
              <w:top w:val="nil"/>
              <w:left w:val="nil"/>
              <w:bottom w:val="single" w:sz="4" w:space="0" w:color="auto"/>
              <w:right w:val="single" w:sz="4" w:space="0" w:color="auto"/>
            </w:tcBorders>
            <w:shd w:val="clear" w:color="000000" w:fill="808080"/>
            <w:vAlign w:val="center"/>
            <w:hideMark/>
          </w:tcPr>
          <w:p w14:paraId="11A6BADC"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r>
      <w:tr w:rsidR="000F5AE4" w:rsidRPr="003D7162" w14:paraId="035E5912" w14:textId="77777777" w:rsidTr="001A5775">
        <w:trPr>
          <w:trHeight w:val="247"/>
        </w:trPr>
        <w:tc>
          <w:tcPr>
            <w:tcW w:w="3008" w:type="dxa"/>
            <w:tcBorders>
              <w:top w:val="nil"/>
              <w:left w:val="single" w:sz="4" w:space="0" w:color="auto"/>
              <w:bottom w:val="single" w:sz="4" w:space="0" w:color="auto"/>
              <w:right w:val="nil"/>
            </w:tcBorders>
            <w:shd w:val="clear" w:color="000000" w:fill="D9D9D9"/>
            <w:vAlign w:val="center"/>
            <w:hideMark/>
          </w:tcPr>
          <w:p w14:paraId="7C94151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Time</w:t>
            </w:r>
          </w:p>
        </w:tc>
        <w:tc>
          <w:tcPr>
            <w:tcW w:w="356" w:type="dxa"/>
            <w:tcBorders>
              <w:top w:val="nil"/>
              <w:left w:val="nil"/>
              <w:bottom w:val="single" w:sz="4" w:space="0" w:color="auto"/>
              <w:right w:val="nil"/>
            </w:tcBorders>
            <w:shd w:val="clear" w:color="000000" w:fill="D9D9D9"/>
            <w:vAlign w:val="center"/>
            <w:hideMark/>
          </w:tcPr>
          <w:p w14:paraId="57FACD9B"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nil"/>
            </w:tcBorders>
            <w:shd w:val="clear" w:color="000000" w:fill="D9D9D9"/>
            <w:vAlign w:val="center"/>
            <w:hideMark/>
          </w:tcPr>
          <w:p w14:paraId="4BAE85A8"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014A496A"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D9D9D9"/>
            <w:vAlign w:val="center"/>
            <w:hideMark/>
          </w:tcPr>
          <w:p w14:paraId="19EF10A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2BA5BAA9"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58BBF5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Year</w:t>
            </w:r>
          </w:p>
        </w:tc>
        <w:tc>
          <w:tcPr>
            <w:tcW w:w="356" w:type="dxa"/>
            <w:tcBorders>
              <w:top w:val="nil"/>
              <w:left w:val="nil"/>
              <w:bottom w:val="nil"/>
              <w:right w:val="nil"/>
            </w:tcBorders>
            <w:shd w:val="clear" w:color="000000" w:fill="FFFFFF"/>
            <w:vAlign w:val="center"/>
            <w:hideMark/>
          </w:tcPr>
          <w:p w14:paraId="6D37A2B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A691FB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-0.006 (-0.015; 0.002)</w:t>
            </w:r>
          </w:p>
        </w:tc>
        <w:tc>
          <w:tcPr>
            <w:tcW w:w="356" w:type="dxa"/>
            <w:tcBorders>
              <w:top w:val="nil"/>
              <w:left w:val="nil"/>
              <w:bottom w:val="nil"/>
              <w:right w:val="nil"/>
            </w:tcBorders>
            <w:shd w:val="clear" w:color="000000" w:fill="FFFFFF"/>
            <w:vAlign w:val="center"/>
            <w:hideMark/>
          </w:tcPr>
          <w:p w14:paraId="7DF1968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829837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-0.019 (-0.027; -0.01)</w:t>
            </w:r>
          </w:p>
        </w:tc>
      </w:tr>
      <w:tr w:rsidR="000F5AE4" w:rsidRPr="003D7162" w14:paraId="1162503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0FF6A8F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04BD78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3D3257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0.143</w:t>
            </w:r>
          </w:p>
        </w:tc>
        <w:tc>
          <w:tcPr>
            <w:tcW w:w="356" w:type="dxa"/>
            <w:tcBorders>
              <w:top w:val="nil"/>
              <w:left w:val="nil"/>
              <w:bottom w:val="nil"/>
              <w:right w:val="nil"/>
            </w:tcBorders>
            <w:shd w:val="clear" w:color="000000" w:fill="FFFFFF"/>
            <w:vAlign w:val="center"/>
            <w:hideMark/>
          </w:tcPr>
          <w:p w14:paraId="0650CB8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49DB62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0E62AA9C"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03ABF12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64E13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C49E69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A1F5EC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10830BA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bl>
    <w:p w14:paraId="10552702" w14:textId="23DA2E54" w:rsidR="000F5AE4" w:rsidRPr="003D7162" w:rsidRDefault="000F5AE4" w:rsidP="000C7ADC">
      <w:pPr>
        <w:rPr>
          <w:rFonts w:ascii="Helvetica" w:hAnsi="Helvetica" w:cs="Helvetica"/>
        </w:rPr>
      </w:pPr>
    </w:p>
    <w:p w14:paraId="04300098" w14:textId="409383E9" w:rsidR="000F5AE4" w:rsidRPr="003D7162" w:rsidRDefault="000F5AE4" w:rsidP="000C7ADC">
      <w:pPr>
        <w:rPr>
          <w:rFonts w:ascii="Helvetica" w:hAnsi="Helvetica" w:cs="Helvetica"/>
        </w:rPr>
      </w:pPr>
    </w:p>
    <w:p w14:paraId="7638606D" w14:textId="6CD09600" w:rsidR="000F5AE4" w:rsidRPr="003D7162" w:rsidRDefault="00D91F4C" w:rsidP="000F5AE4">
      <w:pPr>
        <w:pStyle w:val="Heading2"/>
        <w:rPr>
          <w:rFonts w:cs="Helvetica"/>
          <w:szCs w:val="24"/>
        </w:rPr>
      </w:pPr>
      <w:bookmarkStart w:id="37" w:name="_Toc40953327"/>
      <w:r>
        <w:rPr>
          <w:rFonts w:cs="Helvetica"/>
          <w:b/>
          <w:szCs w:val="24"/>
        </w:rPr>
        <w:t xml:space="preserve">Supplementary </w:t>
      </w:r>
      <w:r w:rsidR="000F5AE4" w:rsidRPr="003D7162">
        <w:rPr>
          <w:rFonts w:cs="Helvetica"/>
          <w:b/>
          <w:szCs w:val="24"/>
        </w:rPr>
        <w:t xml:space="preserve">Appendix </w:t>
      </w:r>
      <w:r>
        <w:rPr>
          <w:rFonts w:cs="Helvetica"/>
          <w:b/>
          <w:szCs w:val="24"/>
        </w:rPr>
        <w:t>Table</w:t>
      </w:r>
      <w:r w:rsidRPr="003D7162">
        <w:rPr>
          <w:rFonts w:cs="Helvetica"/>
          <w:b/>
          <w:szCs w:val="24"/>
        </w:rPr>
        <w:t xml:space="preserve"> </w:t>
      </w:r>
      <w:r w:rsidR="00265001">
        <w:rPr>
          <w:rFonts w:cs="Helvetica"/>
          <w:b/>
          <w:szCs w:val="24"/>
        </w:rPr>
        <w:t>9</w:t>
      </w:r>
      <w:r w:rsidR="000F5AE4" w:rsidRPr="003D7162">
        <w:rPr>
          <w:rFonts w:cs="Helvetica"/>
          <w:b/>
          <w:szCs w:val="24"/>
        </w:rPr>
        <w:t>:</w:t>
      </w:r>
      <w:r w:rsidR="000F5AE4" w:rsidRPr="003D7162">
        <w:rPr>
          <w:rFonts w:cs="Helvetica"/>
          <w:szCs w:val="24"/>
        </w:rPr>
        <w:t xml:space="preserve"> Hierarchical linear regression models for children 6 – 23 months using individual DHS datasets, period 2000-2016</w:t>
      </w:r>
      <w:bookmarkEnd w:id="37"/>
    </w:p>
    <w:p w14:paraId="0CF95EE9" w14:textId="55BAC71E" w:rsidR="000F5AE4" w:rsidRPr="003D7162" w:rsidRDefault="000F5AE4" w:rsidP="000F5AE4">
      <w:pPr>
        <w:rPr>
          <w:rFonts w:ascii="Helvetica" w:hAnsi="Helvetica" w:cs="Helvetica"/>
          <w:lang w:val="en-US" w:eastAsia="es-ES_tradnl"/>
        </w:rPr>
      </w:pPr>
    </w:p>
    <w:tbl>
      <w:tblPr>
        <w:tblW w:w="9751" w:type="dxa"/>
        <w:tblLook w:val="04A0" w:firstRow="1" w:lastRow="0" w:firstColumn="1" w:lastColumn="0" w:noHBand="0" w:noVBand="1"/>
      </w:tblPr>
      <w:tblGrid>
        <w:gridCol w:w="3061"/>
        <w:gridCol w:w="287"/>
        <w:gridCol w:w="2541"/>
        <w:gridCol w:w="287"/>
        <w:gridCol w:w="3575"/>
      </w:tblGrid>
      <w:tr w:rsidR="000F5AE4" w:rsidRPr="003D7162" w14:paraId="473B6BA3" w14:textId="77777777" w:rsidTr="001A5775">
        <w:trPr>
          <w:trHeight w:val="450"/>
        </w:trPr>
        <w:tc>
          <w:tcPr>
            <w:tcW w:w="3061" w:type="dxa"/>
            <w:vMerge w:val="restart"/>
            <w:tcBorders>
              <w:top w:val="single" w:sz="4" w:space="0" w:color="auto"/>
              <w:left w:val="single" w:sz="4" w:space="0" w:color="auto"/>
              <w:bottom w:val="single" w:sz="4" w:space="0" w:color="000000"/>
              <w:right w:val="single" w:sz="4" w:space="0" w:color="auto"/>
            </w:tcBorders>
            <w:shd w:val="clear" w:color="000000" w:fill="808080"/>
            <w:vAlign w:val="center"/>
            <w:hideMark/>
          </w:tcPr>
          <w:p w14:paraId="3164F7D7" w14:textId="77777777" w:rsidR="000F5AE4" w:rsidRPr="003D7162" w:rsidRDefault="000F5AE4" w:rsidP="001A5775">
            <w:pPr>
              <w:jc w:val="cente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Domain/Indicator</w:t>
            </w:r>
          </w:p>
        </w:tc>
        <w:tc>
          <w:tcPr>
            <w:tcW w:w="6690" w:type="dxa"/>
            <w:gridSpan w:val="4"/>
            <w:tcBorders>
              <w:top w:val="nil"/>
              <w:left w:val="nil"/>
              <w:bottom w:val="nil"/>
              <w:right w:val="nil"/>
            </w:tcBorders>
            <w:shd w:val="clear" w:color="000000" w:fill="808080"/>
            <w:vAlign w:val="bottom"/>
            <w:hideMark/>
          </w:tcPr>
          <w:p w14:paraId="0984D065"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Outcome = HAZ</w:t>
            </w:r>
          </w:p>
        </w:tc>
      </w:tr>
      <w:tr w:rsidR="000F5AE4" w:rsidRPr="003D7162" w14:paraId="4C5BB13E" w14:textId="77777777" w:rsidTr="001A5775">
        <w:trPr>
          <w:trHeight w:val="465"/>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4D9D27DA" w14:textId="77777777" w:rsidR="000F5AE4" w:rsidRPr="003D7162" w:rsidRDefault="000F5AE4" w:rsidP="001A5775">
            <w:pPr>
              <w:rPr>
                <w:rFonts w:ascii="Helvetica" w:eastAsia="Times New Roman" w:hAnsi="Helvetica" w:cs="Helvetica"/>
                <w:b/>
                <w:bCs/>
                <w:color w:val="FFFFFF"/>
                <w:szCs w:val="22"/>
                <w:lang w:eastAsia="en-US"/>
              </w:rPr>
            </w:pPr>
          </w:p>
        </w:tc>
        <w:tc>
          <w:tcPr>
            <w:tcW w:w="6690" w:type="dxa"/>
            <w:gridSpan w:val="4"/>
            <w:tcBorders>
              <w:top w:val="nil"/>
              <w:left w:val="nil"/>
              <w:bottom w:val="nil"/>
              <w:right w:val="nil"/>
            </w:tcBorders>
            <w:shd w:val="clear" w:color="000000" w:fill="808080"/>
            <w:hideMark/>
          </w:tcPr>
          <w:p w14:paraId="210EB5A8"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(Height for age z-score among 6 - 23 months children)</w:t>
            </w:r>
          </w:p>
        </w:tc>
      </w:tr>
      <w:tr w:rsidR="000F5AE4" w:rsidRPr="003D7162" w14:paraId="54E4BDCB" w14:textId="77777777" w:rsidTr="001A5775">
        <w:trPr>
          <w:trHeight w:val="495"/>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74AB6EBD" w14:textId="77777777" w:rsidR="000F5AE4" w:rsidRPr="003D7162" w:rsidRDefault="000F5AE4" w:rsidP="001A5775">
            <w:pPr>
              <w:rPr>
                <w:rFonts w:ascii="Helvetica" w:eastAsia="Times New Roman" w:hAnsi="Helvetica" w:cs="Helvetica"/>
                <w:b/>
                <w:bCs/>
                <w:color w:val="FFFFFF"/>
                <w:szCs w:val="22"/>
                <w:lang w:eastAsia="en-US"/>
              </w:rPr>
            </w:pPr>
          </w:p>
        </w:tc>
        <w:tc>
          <w:tcPr>
            <w:tcW w:w="6690" w:type="dxa"/>
            <w:gridSpan w:val="4"/>
            <w:tcBorders>
              <w:top w:val="nil"/>
              <w:left w:val="nil"/>
              <w:bottom w:val="single" w:sz="4" w:space="0" w:color="auto"/>
              <w:right w:val="nil"/>
            </w:tcBorders>
            <w:shd w:val="clear" w:color="000000" w:fill="808080"/>
            <w:vAlign w:val="center"/>
            <w:hideMark/>
          </w:tcPr>
          <w:p w14:paraId="6FC432FB"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Period 2000 and 2016</w:t>
            </w:r>
          </w:p>
        </w:tc>
      </w:tr>
      <w:tr w:rsidR="000F5AE4" w:rsidRPr="003D7162" w14:paraId="14148C92" w14:textId="77777777" w:rsidTr="001A5775">
        <w:trPr>
          <w:trHeight w:val="630"/>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66520343" w14:textId="77777777" w:rsidR="000F5AE4" w:rsidRPr="003D7162" w:rsidRDefault="000F5AE4" w:rsidP="001A5775">
            <w:pPr>
              <w:rPr>
                <w:rFonts w:ascii="Helvetica" w:eastAsia="Times New Roman" w:hAnsi="Helvetica" w:cs="Helvetica"/>
                <w:b/>
                <w:bCs/>
                <w:color w:val="FFFFFF"/>
                <w:szCs w:val="22"/>
                <w:lang w:eastAsia="en-US"/>
              </w:rPr>
            </w:pPr>
          </w:p>
        </w:tc>
        <w:tc>
          <w:tcPr>
            <w:tcW w:w="2828" w:type="dxa"/>
            <w:gridSpan w:val="2"/>
            <w:tcBorders>
              <w:top w:val="single" w:sz="4" w:space="0" w:color="auto"/>
              <w:left w:val="nil"/>
              <w:bottom w:val="single" w:sz="4" w:space="0" w:color="auto"/>
              <w:right w:val="single" w:sz="4" w:space="0" w:color="000000"/>
            </w:tcBorders>
            <w:shd w:val="clear" w:color="000000" w:fill="808080"/>
            <w:vAlign w:val="center"/>
            <w:hideMark/>
          </w:tcPr>
          <w:p w14:paraId="73541E78"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Time-adjusted regression coefficient</w:t>
            </w:r>
          </w:p>
        </w:tc>
        <w:tc>
          <w:tcPr>
            <w:tcW w:w="3862" w:type="dxa"/>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7D21C878" w14:textId="77777777" w:rsidR="000F5AE4" w:rsidRPr="003D7162" w:rsidRDefault="000F5AE4" w:rsidP="001A5775">
            <w:pPr>
              <w:jc w:val="center"/>
              <w:rPr>
                <w:rFonts w:ascii="Helvetica" w:eastAsia="Times New Roman" w:hAnsi="Helvetica" w:cs="Helvetica"/>
                <w:b/>
                <w:bCs/>
                <w:color w:val="FFFFFF"/>
                <w:sz w:val="20"/>
                <w:szCs w:val="20"/>
                <w:vertAlign w:val="superscript"/>
                <w:lang w:eastAsia="en-US"/>
              </w:rPr>
            </w:pPr>
            <w:r w:rsidRPr="003D7162">
              <w:rPr>
                <w:rFonts w:ascii="Helvetica" w:eastAsia="Times New Roman" w:hAnsi="Helvetica" w:cs="Helvetica"/>
                <w:b/>
                <w:bCs/>
                <w:color w:val="FFFFFF"/>
                <w:sz w:val="20"/>
                <w:szCs w:val="20"/>
                <w:lang w:eastAsia="en-US"/>
              </w:rPr>
              <w:t xml:space="preserve">Time- and confounder-adjusted </w:t>
            </w:r>
            <w:r w:rsidRPr="003D7162">
              <w:rPr>
                <w:rFonts w:ascii="Helvetica" w:eastAsia="Times New Roman" w:hAnsi="Helvetica" w:cs="Helvetica"/>
                <w:b/>
                <w:bCs/>
                <w:color w:val="FFFFFF"/>
                <w:sz w:val="20"/>
                <w:szCs w:val="20"/>
                <w:lang w:eastAsia="en-US"/>
              </w:rPr>
              <w:br/>
              <w:t>regression coefficient</w:t>
            </w:r>
            <w:r w:rsidRPr="003D7162">
              <w:rPr>
                <w:rFonts w:ascii="Helvetica" w:eastAsia="Times New Roman" w:hAnsi="Helvetica" w:cs="Helvetica"/>
                <w:b/>
                <w:bCs/>
                <w:color w:val="FFFFFF"/>
                <w:sz w:val="20"/>
                <w:szCs w:val="20"/>
                <w:vertAlign w:val="superscript"/>
                <w:lang w:eastAsia="en-US"/>
              </w:rPr>
              <w:t>1</w:t>
            </w:r>
          </w:p>
        </w:tc>
      </w:tr>
      <w:tr w:rsidR="000F5AE4" w:rsidRPr="003D7162" w14:paraId="3B74C415" w14:textId="77777777" w:rsidTr="001A5775">
        <w:trPr>
          <w:trHeight w:val="540"/>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736182F2" w14:textId="77777777" w:rsidR="000F5AE4" w:rsidRPr="003D7162" w:rsidRDefault="000F5AE4" w:rsidP="001A5775">
            <w:pPr>
              <w:rPr>
                <w:rFonts w:ascii="Helvetica" w:eastAsia="Times New Roman" w:hAnsi="Helvetica" w:cs="Helvetica"/>
                <w:b/>
                <w:bCs/>
                <w:color w:val="FFFFFF"/>
                <w:szCs w:val="22"/>
                <w:lang w:eastAsia="en-US"/>
              </w:rPr>
            </w:pPr>
          </w:p>
        </w:tc>
        <w:tc>
          <w:tcPr>
            <w:tcW w:w="287" w:type="dxa"/>
            <w:vMerge w:val="restart"/>
            <w:tcBorders>
              <w:top w:val="nil"/>
              <w:left w:val="single" w:sz="4" w:space="0" w:color="auto"/>
              <w:bottom w:val="single" w:sz="4" w:space="0" w:color="000000"/>
              <w:right w:val="nil"/>
            </w:tcBorders>
            <w:shd w:val="clear" w:color="000000" w:fill="808080"/>
            <w:vAlign w:val="center"/>
            <w:hideMark/>
          </w:tcPr>
          <w:p w14:paraId="7EE969CF"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541" w:type="dxa"/>
            <w:tcBorders>
              <w:top w:val="nil"/>
              <w:left w:val="nil"/>
              <w:bottom w:val="nil"/>
              <w:right w:val="single" w:sz="4" w:space="0" w:color="auto"/>
            </w:tcBorders>
            <w:shd w:val="clear" w:color="000000" w:fill="808080"/>
            <w:vAlign w:val="center"/>
            <w:hideMark/>
          </w:tcPr>
          <w:p w14:paraId="5B8D199E"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b estimate (95% CI)</w:t>
            </w:r>
          </w:p>
        </w:tc>
        <w:tc>
          <w:tcPr>
            <w:tcW w:w="287" w:type="dxa"/>
            <w:vMerge w:val="restart"/>
            <w:tcBorders>
              <w:top w:val="single" w:sz="4" w:space="0" w:color="auto"/>
              <w:left w:val="single" w:sz="4" w:space="0" w:color="auto"/>
              <w:bottom w:val="single" w:sz="4" w:space="0" w:color="000000"/>
              <w:right w:val="nil"/>
            </w:tcBorders>
            <w:shd w:val="clear" w:color="000000" w:fill="808080"/>
            <w:vAlign w:val="center"/>
            <w:hideMark/>
          </w:tcPr>
          <w:p w14:paraId="4F1CA022"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3575" w:type="dxa"/>
            <w:tcBorders>
              <w:top w:val="single" w:sz="4" w:space="0" w:color="auto"/>
              <w:left w:val="nil"/>
              <w:bottom w:val="nil"/>
              <w:right w:val="single" w:sz="4" w:space="0" w:color="auto"/>
            </w:tcBorders>
            <w:shd w:val="clear" w:color="000000" w:fill="808080"/>
            <w:vAlign w:val="center"/>
            <w:hideMark/>
          </w:tcPr>
          <w:p w14:paraId="18381B1C"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xml:space="preserve">b estimate (95% CI) </w:t>
            </w:r>
          </w:p>
        </w:tc>
      </w:tr>
      <w:tr w:rsidR="000F5AE4" w:rsidRPr="003D7162" w14:paraId="567D0B98" w14:textId="77777777" w:rsidTr="001A5775">
        <w:trPr>
          <w:trHeight w:val="330"/>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09933B57" w14:textId="77777777" w:rsidR="000F5AE4" w:rsidRPr="003D7162" w:rsidRDefault="000F5AE4" w:rsidP="001A5775">
            <w:pPr>
              <w:rPr>
                <w:rFonts w:ascii="Helvetica" w:eastAsia="Times New Roman" w:hAnsi="Helvetica" w:cs="Helvetica"/>
                <w:b/>
                <w:bCs/>
                <w:color w:val="FFFFFF"/>
                <w:szCs w:val="22"/>
                <w:lang w:eastAsia="en-US"/>
              </w:rPr>
            </w:pPr>
          </w:p>
        </w:tc>
        <w:tc>
          <w:tcPr>
            <w:tcW w:w="287" w:type="dxa"/>
            <w:vMerge/>
            <w:tcBorders>
              <w:top w:val="nil"/>
              <w:left w:val="single" w:sz="4" w:space="0" w:color="auto"/>
              <w:bottom w:val="single" w:sz="4" w:space="0" w:color="000000"/>
              <w:right w:val="nil"/>
            </w:tcBorders>
            <w:vAlign w:val="center"/>
            <w:hideMark/>
          </w:tcPr>
          <w:p w14:paraId="705826AF" w14:textId="77777777" w:rsidR="000F5AE4" w:rsidRPr="003D7162" w:rsidRDefault="000F5AE4" w:rsidP="001A5775">
            <w:pPr>
              <w:rPr>
                <w:rFonts w:ascii="Helvetica" w:eastAsia="Times New Roman" w:hAnsi="Helvetica" w:cs="Helvetica"/>
                <w:color w:val="FFFFFF"/>
                <w:sz w:val="20"/>
                <w:szCs w:val="20"/>
                <w:lang w:eastAsia="en-US"/>
              </w:rPr>
            </w:pPr>
          </w:p>
        </w:tc>
        <w:tc>
          <w:tcPr>
            <w:tcW w:w="2541" w:type="dxa"/>
            <w:tcBorders>
              <w:top w:val="nil"/>
              <w:left w:val="nil"/>
              <w:bottom w:val="nil"/>
              <w:right w:val="single" w:sz="4" w:space="0" w:color="auto"/>
            </w:tcBorders>
            <w:shd w:val="clear" w:color="000000" w:fill="808080"/>
            <w:hideMark/>
          </w:tcPr>
          <w:p w14:paraId="00D0FC9E" w14:textId="77777777" w:rsidR="000F5AE4" w:rsidRPr="003D7162" w:rsidRDefault="000F5AE4" w:rsidP="001A57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-value</w:t>
            </w:r>
          </w:p>
        </w:tc>
        <w:tc>
          <w:tcPr>
            <w:tcW w:w="287" w:type="dxa"/>
            <w:vMerge/>
            <w:tcBorders>
              <w:top w:val="single" w:sz="4" w:space="0" w:color="auto"/>
              <w:left w:val="single" w:sz="4" w:space="0" w:color="auto"/>
              <w:bottom w:val="single" w:sz="4" w:space="0" w:color="000000"/>
              <w:right w:val="nil"/>
            </w:tcBorders>
            <w:vAlign w:val="center"/>
            <w:hideMark/>
          </w:tcPr>
          <w:p w14:paraId="6C77E262" w14:textId="77777777" w:rsidR="000F5AE4" w:rsidRPr="003D7162" w:rsidRDefault="000F5AE4" w:rsidP="001A5775">
            <w:pPr>
              <w:rPr>
                <w:rFonts w:ascii="Helvetica" w:eastAsia="Times New Roman" w:hAnsi="Helvetica" w:cs="Helvetica"/>
                <w:color w:val="FFFFFF"/>
                <w:sz w:val="20"/>
                <w:szCs w:val="20"/>
                <w:lang w:eastAsia="en-US"/>
              </w:rPr>
            </w:pPr>
          </w:p>
        </w:tc>
        <w:tc>
          <w:tcPr>
            <w:tcW w:w="3575" w:type="dxa"/>
            <w:tcBorders>
              <w:top w:val="nil"/>
              <w:left w:val="nil"/>
              <w:bottom w:val="nil"/>
              <w:right w:val="single" w:sz="4" w:space="0" w:color="auto"/>
            </w:tcBorders>
            <w:shd w:val="clear" w:color="000000" w:fill="808080"/>
            <w:hideMark/>
          </w:tcPr>
          <w:p w14:paraId="4E34B127" w14:textId="77777777" w:rsidR="000F5AE4" w:rsidRPr="003D7162" w:rsidRDefault="000F5AE4" w:rsidP="001A57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-value</w:t>
            </w:r>
          </w:p>
        </w:tc>
      </w:tr>
      <w:tr w:rsidR="000F5AE4" w:rsidRPr="003D7162" w14:paraId="06E1A98B" w14:textId="77777777" w:rsidTr="001A5775">
        <w:trPr>
          <w:trHeight w:val="345"/>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1632ABAD" w14:textId="77777777" w:rsidR="000F5AE4" w:rsidRPr="003D7162" w:rsidRDefault="000F5AE4" w:rsidP="001A5775">
            <w:pPr>
              <w:rPr>
                <w:rFonts w:ascii="Helvetica" w:eastAsia="Times New Roman" w:hAnsi="Helvetica" w:cs="Helvetica"/>
                <w:b/>
                <w:bCs/>
                <w:color w:val="FFFFFF"/>
                <w:szCs w:val="22"/>
                <w:lang w:eastAsia="en-US"/>
              </w:rPr>
            </w:pPr>
          </w:p>
        </w:tc>
        <w:tc>
          <w:tcPr>
            <w:tcW w:w="287" w:type="dxa"/>
            <w:vMerge/>
            <w:tcBorders>
              <w:top w:val="nil"/>
              <w:left w:val="single" w:sz="4" w:space="0" w:color="auto"/>
              <w:bottom w:val="single" w:sz="4" w:space="0" w:color="000000"/>
              <w:right w:val="nil"/>
            </w:tcBorders>
            <w:vAlign w:val="center"/>
            <w:hideMark/>
          </w:tcPr>
          <w:p w14:paraId="30F0BD14" w14:textId="77777777" w:rsidR="000F5AE4" w:rsidRPr="003D7162" w:rsidRDefault="000F5AE4" w:rsidP="001A5775">
            <w:pPr>
              <w:rPr>
                <w:rFonts w:ascii="Helvetica" w:eastAsia="Times New Roman" w:hAnsi="Helvetica" w:cs="Helvetica"/>
                <w:color w:val="FFFFFF"/>
                <w:sz w:val="20"/>
                <w:szCs w:val="20"/>
                <w:lang w:eastAsia="en-US"/>
              </w:rPr>
            </w:pPr>
          </w:p>
        </w:tc>
        <w:tc>
          <w:tcPr>
            <w:tcW w:w="2541" w:type="dxa"/>
            <w:tcBorders>
              <w:top w:val="nil"/>
              <w:left w:val="nil"/>
              <w:bottom w:val="single" w:sz="4" w:space="0" w:color="auto"/>
              <w:right w:val="single" w:sz="4" w:space="0" w:color="auto"/>
            </w:tcBorders>
            <w:shd w:val="clear" w:color="000000" w:fill="808080"/>
            <w:hideMark/>
          </w:tcPr>
          <w:p w14:paraId="1E9268B5"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87" w:type="dxa"/>
            <w:vMerge/>
            <w:tcBorders>
              <w:top w:val="single" w:sz="4" w:space="0" w:color="auto"/>
              <w:left w:val="single" w:sz="4" w:space="0" w:color="auto"/>
              <w:bottom w:val="single" w:sz="4" w:space="0" w:color="000000"/>
              <w:right w:val="nil"/>
            </w:tcBorders>
            <w:vAlign w:val="center"/>
            <w:hideMark/>
          </w:tcPr>
          <w:p w14:paraId="71C7A352" w14:textId="77777777" w:rsidR="000F5AE4" w:rsidRPr="003D7162" w:rsidRDefault="000F5AE4" w:rsidP="001A5775">
            <w:pPr>
              <w:rPr>
                <w:rFonts w:ascii="Helvetica" w:eastAsia="Times New Roman" w:hAnsi="Helvetica" w:cs="Helvetica"/>
                <w:color w:val="FFFFFF"/>
                <w:sz w:val="20"/>
                <w:szCs w:val="20"/>
                <w:lang w:eastAsia="en-US"/>
              </w:rPr>
            </w:pPr>
          </w:p>
        </w:tc>
        <w:tc>
          <w:tcPr>
            <w:tcW w:w="3575" w:type="dxa"/>
            <w:tcBorders>
              <w:top w:val="nil"/>
              <w:left w:val="nil"/>
              <w:bottom w:val="single" w:sz="4" w:space="0" w:color="auto"/>
              <w:right w:val="single" w:sz="4" w:space="0" w:color="auto"/>
            </w:tcBorders>
            <w:shd w:val="clear" w:color="000000" w:fill="808080"/>
            <w:hideMark/>
          </w:tcPr>
          <w:p w14:paraId="12D16A24"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r>
      <w:tr w:rsidR="000F5AE4" w:rsidRPr="003D7162" w14:paraId="09067681" w14:textId="77777777" w:rsidTr="001A5775">
        <w:trPr>
          <w:trHeight w:val="435"/>
        </w:trPr>
        <w:tc>
          <w:tcPr>
            <w:tcW w:w="9751" w:type="dxa"/>
            <w:gridSpan w:val="5"/>
            <w:tcBorders>
              <w:top w:val="single" w:sz="4" w:space="0" w:color="auto"/>
              <w:left w:val="single" w:sz="4" w:space="0" w:color="auto"/>
              <w:bottom w:val="nil"/>
              <w:right w:val="nil"/>
            </w:tcBorders>
            <w:shd w:val="clear" w:color="000000" w:fill="808080"/>
            <w:vAlign w:val="center"/>
            <w:hideMark/>
          </w:tcPr>
          <w:p w14:paraId="1A31F165"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Distal level</w:t>
            </w:r>
          </w:p>
        </w:tc>
      </w:tr>
      <w:tr w:rsidR="000F5AE4" w:rsidRPr="003D7162" w14:paraId="1A1AE06E" w14:textId="77777777" w:rsidTr="001A5775">
        <w:trPr>
          <w:trHeight w:val="375"/>
        </w:trPr>
        <w:tc>
          <w:tcPr>
            <w:tcW w:w="9751" w:type="dxa"/>
            <w:gridSpan w:val="5"/>
            <w:tcBorders>
              <w:top w:val="nil"/>
              <w:left w:val="single" w:sz="4" w:space="0" w:color="auto"/>
              <w:bottom w:val="single" w:sz="4" w:space="0" w:color="auto"/>
              <w:right w:val="nil"/>
            </w:tcBorders>
            <w:shd w:val="clear" w:color="000000" w:fill="D9D9D9"/>
            <w:vAlign w:val="center"/>
            <w:hideMark/>
          </w:tcPr>
          <w:p w14:paraId="57FCD8E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Basic causes &amp; Income poverty</w:t>
            </w:r>
          </w:p>
        </w:tc>
      </w:tr>
      <w:tr w:rsidR="000F5AE4" w:rsidRPr="003D7162" w14:paraId="3B4E024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42097C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Wealth Index</w:t>
            </w:r>
          </w:p>
        </w:tc>
        <w:tc>
          <w:tcPr>
            <w:tcW w:w="287" w:type="dxa"/>
            <w:tcBorders>
              <w:top w:val="nil"/>
              <w:left w:val="nil"/>
              <w:bottom w:val="nil"/>
              <w:right w:val="nil"/>
            </w:tcBorders>
            <w:shd w:val="clear" w:color="000000" w:fill="FFFFFF"/>
            <w:vAlign w:val="center"/>
            <w:hideMark/>
          </w:tcPr>
          <w:p w14:paraId="416A9F0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262C5A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0.137 (0.127;0.147)</w:t>
            </w:r>
          </w:p>
        </w:tc>
        <w:tc>
          <w:tcPr>
            <w:tcW w:w="287" w:type="dxa"/>
            <w:tcBorders>
              <w:top w:val="nil"/>
              <w:left w:val="nil"/>
              <w:bottom w:val="nil"/>
              <w:right w:val="nil"/>
            </w:tcBorders>
            <w:shd w:val="clear" w:color="000000" w:fill="FFFFFF"/>
            <w:vAlign w:val="center"/>
            <w:hideMark/>
          </w:tcPr>
          <w:p w14:paraId="12464F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E5CDB1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0.071 (0.056; 0.086)</w:t>
            </w:r>
          </w:p>
        </w:tc>
      </w:tr>
      <w:tr w:rsidR="000F5AE4" w:rsidRPr="003D7162" w14:paraId="69CFE0C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3ABB5B5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(0 - 10)</w:t>
            </w:r>
          </w:p>
        </w:tc>
        <w:tc>
          <w:tcPr>
            <w:tcW w:w="287" w:type="dxa"/>
            <w:tcBorders>
              <w:top w:val="nil"/>
              <w:left w:val="nil"/>
              <w:bottom w:val="nil"/>
              <w:right w:val="nil"/>
            </w:tcBorders>
            <w:shd w:val="clear" w:color="000000" w:fill="FFFFFF"/>
            <w:vAlign w:val="center"/>
            <w:hideMark/>
          </w:tcPr>
          <w:p w14:paraId="40AB7C0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DC31D6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14C872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FE9077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1B157BC4"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6EE305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AC261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E1CFC4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906258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2BDB674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D5DBFA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239BC7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Poverty line </w:t>
            </w:r>
          </w:p>
        </w:tc>
        <w:tc>
          <w:tcPr>
            <w:tcW w:w="287" w:type="dxa"/>
            <w:tcBorders>
              <w:top w:val="nil"/>
              <w:left w:val="nil"/>
              <w:bottom w:val="nil"/>
              <w:right w:val="nil"/>
            </w:tcBorders>
            <w:shd w:val="clear" w:color="000000" w:fill="FFFFFF"/>
            <w:vAlign w:val="center"/>
            <w:hideMark/>
          </w:tcPr>
          <w:p w14:paraId="1BFECA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8BC202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-0.022 (-0.024;-0.019)</w:t>
            </w:r>
          </w:p>
        </w:tc>
        <w:tc>
          <w:tcPr>
            <w:tcW w:w="287" w:type="dxa"/>
            <w:tcBorders>
              <w:top w:val="nil"/>
              <w:left w:val="nil"/>
              <w:bottom w:val="nil"/>
              <w:right w:val="nil"/>
            </w:tcBorders>
            <w:shd w:val="clear" w:color="000000" w:fill="FFFFFF"/>
            <w:vAlign w:val="center"/>
            <w:hideMark/>
          </w:tcPr>
          <w:p w14:paraId="042A05C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B2D8BE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022D68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08DC76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families below)</w:t>
            </w:r>
          </w:p>
        </w:tc>
        <w:tc>
          <w:tcPr>
            <w:tcW w:w="287" w:type="dxa"/>
            <w:tcBorders>
              <w:top w:val="nil"/>
              <w:left w:val="nil"/>
              <w:bottom w:val="nil"/>
              <w:right w:val="nil"/>
            </w:tcBorders>
            <w:shd w:val="clear" w:color="000000" w:fill="FFFFFF"/>
            <w:vAlign w:val="center"/>
            <w:hideMark/>
          </w:tcPr>
          <w:p w14:paraId="2A287A2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DE26CE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2277B74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5BDDF0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4381BAD"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138CECF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06B4CC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F6CEC4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0B0F09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F0A2B9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3A37E6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78A761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Gini coefficient (for income)</w:t>
            </w:r>
          </w:p>
        </w:tc>
        <w:tc>
          <w:tcPr>
            <w:tcW w:w="287" w:type="dxa"/>
            <w:tcBorders>
              <w:top w:val="nil"/>
              <w:left w:val="nil"/>
              <w:bottom w:val="nil"/>
              <w:right w:val="nil"/>
            </w:tcBorders>
            <w:shd w:val="clear" w:color="000000" w:fill="FFFFFF"/>
            <w:vAlign w:val="center"/>
            <w:hideMark/>
          </w:tcPr>
          <w:p w14:paraId="15E0493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864763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-0.026 (-0.037;-0.015)</w:t>
            </w:r>
          </w:p>
        </w:tc>
        <w:tc>
          <w:tcPr>
            <w:tcW w:w="287" w:type="dxa"/>
            <w:tcBorders>
              <w:top w:val="nil"/>
              <w:left w:val="nil"/>
              <w:bottom w:val="nil"/>
              <w:right w:val="nil"/>
            </w:tcBorders>
            <w:shd w:val="clear" w:color="000000" w:fill="FFFFFF"/>
            <w:vAlign w:val="center"/>
            <w:hideMark/>
          </w:tcPr>
          <w:p w14:paraId="2117727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1B8F4DA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65F9E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235E54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(perfect equality) – 1 (perfect inequality)</w:t>
            </w:r>
          </w:p>
        </w:tc>
        <w:tc>
          <w:tcPr>
            <w:tcW w:w="287" w:type="dxa"/>
            <w:tcBorders>
              <w:top w:val="nil"/>
              <w:left w:val="nil"/>
              <w:bottom w:val="nil"/>
              <w:right w:val="nil"/>
            </w:tcBorders>
            <w:shd w:val="clear" w:color="000000" w:fill="FFFFFF"/>
            <w:vAlign w:val="center"/>
            <w:hideMark/>
          </w:tcPr>
          <w:p w14:paraId="38A8B74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B8C996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BE6DA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26C077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9AFEA5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3430DED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1E10F3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210D7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B35B0E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5D00DD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4FDE08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CBDE18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Maternal years of schooling</w:t>
            </w:r>
          </w:p>
        </w:tc>
        <w:tc>
          <w:tcPr>
            <w:tcW w:w="287" w:type="dxa"/>
            <w:tcBorders>
              <w:top w:val="nil"/>
              <w:left w:val="nil"/>
              <w:bottom w:val="nil"/>
              <w:right w:val="nil"/>
            </w:tcBorders>
            <w:shd w:val="clear" w:color="000000" w:fill="FFFFFF"/>
            <w:vAlign w:val="center"/>
            <w:hideMark/>
          </w:tcPr>
          <w:p w14:paraId="1B829ED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D135B3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0.095 (0.086;0.104)</w:t>
            </w:r>
          </w:p>
        </w:tc>
        <w:tc>
          <w:tcPr>
            <w:tcW w:w="287" w:type="dxa"/>
            <w:tcBorders>
              <w:top w:val="nil"/>
              <w:left w:val="nil"/>
              <w:bottom w:val="nil"/>
              <w:right w:val="nil"/>
            </w:tcBorders>
            <w:shd w:val="clear" w:color="000000" w:fill="FFFFFF"/>
            <w:vAlign w:val="center"/>
            <w:hideMark/>
          </w:tcPr>
          <w:p w14:paraId="6A9F3C0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79CE938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0.037 (0.026; 0.048)</w:t>
            </w:r>
          </w:p>
        </w:tc>
      </w:tr>
      <w:tr w:rsidR="000F5AE4" w:rsidRPr="003D7162" w14:paraId="4AF5BF3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A9C8B0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028DF3B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ACB967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0F5804B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EB899E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6889AAE3"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0B64C1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C9212C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0AE64E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059B82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4CFB877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C4E0C8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46DB69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Paternal years of schooling</w:t>
            </w:r>
          </w:p>
        </w:tc>
        <w:tc>
          <w:tcPr>
            <w:tcW w:w="287" w:type="dxa"/>
            <w:tcBorders>
              <w:top w:val="nil"/>
              <w:left w:val="nil"/>
              <w:bottom w:val="nil"/>
              <w:right w:val="nil"/>
            </w:tcBorders>
            <w:shd w:val="clear" w:color="000000" w:fill="FFFFFF"/>
            <w:vAlign w:val="center"/>
            <w:hideMark/>
          </w:tcPr>
          <w:p w14:paraId="00015B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F23D9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0.088 (0.077;0.099)</w:t>
            </w:r>
          </w:p>
        </w:tc>
        <w:tc>
          <w:tcPr>
            <w:tcW w:w="287" w:type="dxa"/>
            <w:tcBorders>
              <w:top w:val="nil"/>
              <w:left w:val="nil"/>
              <w:bottom w:val="nil"/>
              <w:right w:val="nil"/>
            </w:tcBorders>
            <w:shd w:val="clear" w:color="000000" w:fill="FFFFFF"/>
            <w:vAlign w:val="center"/>
            <w:hideMark/>
          </w:tcPr>
          <w:p w14:paraId="2D61595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0AAD7AD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0.015 (0.002; 0.027)</w:t>
            </w:r>
          </w:p>
        </w:tc>
      </w:tr>
      <w:tr w:rsidR="000F5AE4" w:rsidRPr="003D7162" w14:paraId="71D176A0"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942838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27BBF9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15EA2B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6947DA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9A5343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0.019</w:t>
            </w:r>
          </w:p>
        </w:tc>
      </w:tr>
      <w:tr w:rsidR="000F5AE4" w:rsidRPr="003D7162" w14:paraId="4A6B544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BC0C50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5241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7AC92E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28CAAD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981FA4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731F8A4" w14:textId="77777777" w:rsidTr="001A5775">
        <w:trPr>
          <w:trHeight w:val="360"/>
        </w:trPr>
        <w:tc>
          <w:tcPr>
            <w:tcW w:w="3061" w:type="dxa"/>
            <w:tcBorders>
              <w:top w:val="nil"/>
              <w:left w:val="single" w:sz="4" w:space="0" w:color="auto"/>
              <w:bottom w:val="single" w:sz="4" w:space="0" w:color="auto"/>
              <w:right w:val="nil"/>
            </w:tcBorders>
            <w:shd w:val="clear" w:color="000000" w:fill="D9D9D9"/>
            <w:vAlign w:val="center"/>
            <w:hideMark/>
          </w:tcPr>
          <w:p w14:paraId="128D0382"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287" w:type="dxa"/>
            <w:tcBorders>
              <w:top w:val="nil"/>
              <w:left w:val="nil"/>
              <w:bottom w:val="single" w:sz="4" w:space="0" w:color="auto"/>
              <w:right w:val="nil"/>
            </w:tcBorders>
            <w:shd w:val="clear" w:color="000000" w:fill="D9D9D9"/>
            <w:vAlign w:val="center"/>
            <w:hideMark/>
          </w:tcPr>
          <w:p w14:paraId="46CC524A"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D9D9D9"/>
            <w:vAlign w:val="center"/>
            <w:hideMark/>
          </w:tcPr>
          <w:p w14:paraId="277DC656"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1F2EA8D6"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D9D9D9"/>
            <w:vAlign w:val="center"/>
            <w:hideMark/>
          </w:tcPr>
          <w:p w14:paraId="5C0FDA2E"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19.8%</w:t>
            </w:r>
          </w:p>
        </w:tc>
      </w:tr>
      <w:tr w:rsidR="000F5AE4" w:rsidRPr="003D7162" w14:paraId="7A8A30C5" w14:textId="77777777" w:rsidTr="001A5775">
        <w:trPr>
          <w:trHeight w:val="420"/>
        </w:trPr>
        <w:tc>
          <w:tcPr>
            <w:tcW w:w="9751" w:type="dxa"/>
            <w:gridSpan w:val="5"/>
            <w:tcBorders>
              <w:top w:val="single" w:sz="4" w:space="0" w:color="auto"/>
              <w:left w:val="single" w:sz="4" w:space="0" w:color="auto"/>
              <w:bottom w:val="nil"/>
              <w:right w:val="nil"/>
            </w:tcBorders>
            <w:shd w:val="clear" w:color="000000" w:fill="808080"/>
            <w:vAlign w:val="center"/>
            <w:hideMark/>
          </w:tcPr>
          <w:p w14:paraId="031C94EE"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Intermediate level - I</w:t>
            </w:r>
          </w:p>
        </w:tc>
      </w:tr>
      <w:tr w:rsidR="000F5AE4" w:rsidRPr="003D7162" w14:paraId="53DD5FBD" w14:textId="77777777" w:rsidTr="001A5775">
        <w:trPr>
          <w:trHeight w:val="360"/>
        </w:trPr>
        <w:tc>
          <w:tcPr>
            <w:tcW w:w="9751" w:type="dxa"/>
            <w:gridSpan w:val="5"/>
            <w:tcBorders>
              <w:top w:val="nil"/>
              <w:left w:val="single" w:sz="4" w:space="0" w:color="auto"/>
              <w:bottom w:val="single" w:sz="4" w:space="0" w:color="auto"/>
              <w:right w:val="nil"/>
            </w:tcBorders>
            <w:shd w:val="clear" w:color="000000" w:fill="D9D9D9"/>
            <w:vAlign w:val="center"/>
            <w:hideMark/>
          </w:tcPr>
          <w:p w14:paraId="227DEC42"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themeColor="text1"/>
                <w:sz w:val="20"/>
                <w:szCs w:val="20"/>
                <w:lang w:val="en-CA" w:eastAsia="en-CA"/>
              </w:rPr>
              <w:t>Nutrition sensitive and specific programs</w:t>
            </w:r>
          </w:p>
        </w:tc>
      </w:tr>
      <w:tr w:rsidR="000F5AE4" w:rsidRPr="003D7162" w14:paraId="5819D82E"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EAEC59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CCT “Juntos” program</w:t>
            </w:r>
          </w:p>
        </w:tc>
        <w:tc>
          <w:tcPr>
            <w:tcW w:w="287" w:type="dxa"/>
            <w:tcBorders>
              <w:top w:val="nil"/>
              <w:left w:val="nil"/>
              <w:bottom w:val="nil"/>
              <w:right w:val="nil"/>
            </w:tcBorders>
            <w:shd w:val="clear" w:color="000000" w:fill="FFFFFF"/>
            <w:vAlign w:val="center"/>
            <w:hideMark/>
          </w:tcPr>
          <w:p w14:paraId="41DF8D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831DE3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 (-0.004;-0.003)</w:t>
            </w:r>
          </w:p>
        </w:tc>
        <w:tc>
          <w:tcPr>
            <w:tcW w:w="287" w:type="dxa"/>
            <w:tcBorders>
              <w:top w:val="nil"/>
              <w:left w:val="nil"/>
              <w:bottom w:val="nil"/>
              <w:right w:val="nil"/>
            </w:tcBorders>
            <w:shd w:val="clear" w:color="000000" w:fill="FFFFFF"/>
            <w:vAlign w:val="center"/>
            <w:hideMark/>
          </w:tcPr>
          <w:p w14:paraId="6C25F4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072CADF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758194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287508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(No. families/1000 rural population</w:t>
            </w:r>
          </w:p>
        </w:tc>
        <w:tc>
          <w:tcPr>
            <w:tcW w:w="287" w:type="dxa"/>
            <w:tcBorders>
              <w:top w:val="nil"/>
              <w:left w:val="nil"/>
              <w:bottom w:val="nil"/>
              <w:right w:val="nil"/>
            </w:tcBorders>
            <w:shd w:val="clear" w:color="000000" w:fill="FFFFFF"/>
            <w:vAlign w:val="center"/>
            <w:hideMark/>
          </w:tcPr>
          <w:p w14:paraId="4C2A04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2E902B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401A0A9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4214E9B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CC591B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49CEB14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973CDA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0AA4755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236CB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B3148D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D15586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273F95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Comprehensive Health Insurance (SIS coverage)</w:t>
            </w:r>
          </w:p>
        </w:tc>
        <w:tc>
          <w:tcPr>
            <w:tcW w:w="287" w:type="dxa"/>
            <w:tcBorders>
              <w:top w:val="nil"/>
              <w:left w:val="nil"/>
              <w:bottom w:val="nil"/>
              <w:right w:val="nil"/>
            </w:tcBorders>
            <w:shd w:val="clear" w:color="000000" w:fill="FFFFFF"/>
            <w:vAlign w:val="center"/>
            <w:hideMark/>
          </w:tcPr>
          <w:p w14:paraId="5630581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auto" w:fill="auto"/>
            <w:noWrap/>
            <w:vAlign w:val="bottom"/>
            <w:hideMark/>
          </w:tcPr>
          <w:p w14:paraId="17B139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(-0.012;-0.007)</w:t>
            </w:r>
          </w:p>
        </w:tc>
        <w:tc>
          <w:tcPr>
            <w:tcW w:w="287" w:type="dxa"/>
            <w:tcBorders>
              <w:top w:val="nil"/>
              <w:left w:val="nil"/>
              <w:bottom w:val="nil"/>
              <w:right w:val="nil"/>
            </w:tcBorders>
            <w:shd w:val="clear" w:color="000000" w:fill="FFFFFF"/>
            <w:vAlign w:val="center"/>
            <w:hideMark/>
          </w:tcPr>
          <w:p w14:paraId="04F81C6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3D67402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6585D96"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6EE779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(No. under-5 attendances/under-5 population)</w:t>
            </w:r>
          </w:p>
        </w:tc>
        <w:tc>
          <w:tcPr>
            <w:tcW w:w="287" w:type="dxa"/>
            <w:tcBorders>
              <w:top w:val="nil"/>
              <w:left w:val="nil"/>
              <w:bottom w:val="nil"/>
              <w:right w:val="nil"/>
            </w:tcBorders>
            <w:shd w:val="clear" w:color="000000" w:fill="FFFFFF"/>
            <w:vAlign w:val="center"/>
            <w:hideMark/>
          </w:tcPr>
          <w:p w14:paraId="356F7A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0CDCA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41EAB9B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4E4BDF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1314250"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70B077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29BD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5508DB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E587AD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36E7FF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F2F1DF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9C9C76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Articulated Nutrition Program (PANlog) expenditure</w:t>
            </w:r>
          </w:p>
        </w:tc>
        <w:tc>
          <w:tcPr>
            <w:tcW w:w="287" w:type="dxa"/>
            <w:tcBorders>
              <w:top w:val="nil"/>
              <w:left w:val="nil"/>
              <w:bottom w:val="nil"/>
              <w:right w:val="nil"/>
            </w:tcBorders>
            <w:shd w:val="clear" w:color="000000" w:fill="FFFFFF"/>
            <w:vAlign w:val="center"/>
            <w:hideMark/>
          </w:tcPr>
          <w:p w14:paraId="4CF2F00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EEE953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-0.573 (-0.67;-0.476)</w:t>
            </w:r>
          </w:p>
        </w:tc>
        <w:tc>
          <w:tcPr>
            <w:tcW w:w="287" w:type="dxa"/>
            <w:tcBorders>
              <w:top w:val="nil"/>
              <w:left w:val="nil"/>
              <w:bottom w:val="nil"/>
              <w:right w:val="nil"/>
            </w:tcBorders>
            <w:shd w:val="clear" w:color="000000" w:fill="FFFFFF"/>
            <w:vAlign w:val="center"/>
            <w:hideMark/>
          </w:tcPr>
          <w:p w14:paraId="41DEDE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E005E5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3A76EE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D9CA28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287" w:type="dxa"/>
            <w:tcBorders>
              <w:top w:val="nil"/>
              <w:left w:val="nil"/>
              <w:bottom w:val="nil"/>
              <w:right w:val="nil"/>
            </w:tcBorders>
            <w:shd w:val="clear" w:color="000000" w:fill="FFFFFF"/>
            <w:vAlign w:val="center"/>
            <w:hideMark/>
          </w:tcPr>
          <w:p w14:paraId="1D15130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C87CD8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0E4BA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1C0FC9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313D060"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957187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51968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E09372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02949E5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A8C4A8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658E89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A2DA73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Strategic Program of Maternal and Newborn Health (PSMN log expenditure), per capita</w:t>
            </w:r>
          </w:p>
        </w:tc>
        <w:tc>
          <w:tcPr>
            <w:tcW w:w="287" w:type="dxa"/>
            <w:tcBorders>
              <w:top w:val="nil"/>
              <w:left w:val="nil"/>
              <w:bottom w:val="nil"/>
              <w:right w:val="nil"/>
            </w:tcBorders>
            <w:shd w:val="clear" w:color="000000" w:fill="FFFFFF"/>
            <w:vAlign w:val="center"/>
            <w:hideMark/>
          </w:tcPr>
          <w:p w14:paraId="44761AD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1EF926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-0.412 (-0.511;-0.313)</w:t>
            </w:r>
          </w:p>
        </w:tc>
        <w:tc>
          <w:tcPr>
            <w:tcW w:w="287" w:type="dxa"/>
            <w:tcBorders>
              <w:top w:val="nil"/>
              <w:left w:val="nil"/>
              <w:bottom w:val="nil"/>
              <w:right w:val="nil"/>
            </w:tcBorders>
            <w:shd w:val="clear" w:color="000000" w:fill="FFFFFF"/>
            <w:vAlign w:val="center"/>
            <w:hideMark/>
          </w:tcPr>
          <w:p w14:paraId="5ECF4D8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shd w:val="clear" w:color="000000" w:fill="FFFFFF"/>
            <w:vAlign w:val="center"/>
            <w:hideMark/>
          </w:tcPr>
          <w:p w14:paraId="51DE406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397C48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BE08FE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287" w:type="dxa"/>
            <w:tcBorders>
              <w:top w:val="nil"/>
              <w:left w:val="nil"/>
              <w:bottom w:val="nil"/>
              <w:right w:val="nil"/>
            </w:tcBorders>
            <w:shd w:val="clear" w:color="000000" w:fill="FFFFFF"/>
            <w:vAlign w:val="center"/>
            <w:hideMark/>
          </w:tcPr>
          <w:p w14:paraId="60FE361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36EC72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BDB34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437827B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504A8DC"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205B92B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41738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9DB0E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3CCCFE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350276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BCB3579" w14:textId="77777777" w:rsidTr="001A5775">
        <w:trPr>
          <w:trHeight w:val="360"/>
        </w:trPr>
        <w:tc>
          <w:tcPr>
            <w:tcW w:w="3061" w:type="dxa"/>
            <w:tcBorders>
              <w:top w:val="nil"/>
              <w:left w:val="single" w:sz="4" w:space="0" w:color="auto"/>
              <w:bottom w:val="single" w:sz="4" w:space="0" w:color="auto"/>
              <w:right w:val="nil"/>
            </w:tcBorders>
            <w:shd w:val="clear" w:color="000000" w:fill="D9D9D9"/>
            <w:vAlign w:val="center"/>
            <w:hideMark/>
          </w:tcPr>
          <w:p w14:paraId="0ECEBEDE"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287" w:type="dxa"/>
            <w:tcBorders>
              <w:top w:val="nil"/>
              <w:left w:val="nil"/>
              <w:bottom w:val="single" w:sz="4" w:space="0" w:color="auto"/>
              <w:right w:val="nil"/>
            </w:tcBorders>
            <w:shd w:val="clear" w:color="000000" w:fill="D9D9D9"/>
            <w:vAlign w:val="center"/>
            <w:hideMark/>
          </w:tcPr>
          <w:p w14:paraId="2C7D04F2"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D9D9D9"/>
            <w:vAlign w:val="center"/>
            <w:hideMark/>
          </w:tcPr>
          <w:p w14:paraId="53337787"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787D580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single" w:sz="4" w:space="0" w:color="auto"/>
              <w:left w:val="nil"/>
              <w:bottom w:val="single" w:sz="4" w:space="0" w:color="auto"/>
              <w:right w:val="single" w:sz="4" w:space="0" w:color="auto"/>
            </w:tcBorders>
            <w:shd w:val="clear" w:color="000000" w:fill="D9D9D9"/>
            <w:vAlign w:val="center"/>
            <w:hideMark/>
          </w:tcPr>
          <w:p w14:paraId="7BA7B4AC"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19.8%</w:t>
            </w:r>
          </w:p>
        </w:tc>
      </w:tr>
      <w:tr w:rsidR="000F5AE4" w:rsidRPr="003D7162" w14:paraId="47CB7143" w14:textId="77777777" w:rsidTr="001A5775">
        <w:trPr>
          <w:trHeight w:val="420"/>
        </w:trPr>
        <w:tc>
          <w:tcPr>
            <w:tcW w:w="9751" w:type="dxa"/>
            <w:gridSpan w:val="5"/>
            <w:tcBorders>
              <w:top w:val="single" w:sz="4" w:space="0" w:color="auto"/>
              <w:left w:val="single" w:sz="4" w:space="0" w:color="auto"/>
              <w:bottom w:val="nil"/>
              <w:right w:val="nil"/>
            </w:tcBorders>
            <w:shd w:val="clear" w:color="000000" w:fill="808080"/>
            <w:vAlign w:val="center"/>
            <w:hideMark/>
          </w:tcPr>
          <w:p w14:paraId="6DCF610F"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Intermediate level - II</w:t>
            </w:r>
          </w:p>
        </w:tc>
      </w:tr>
      <w:tr w:rsidR="000F5AE4" w:rsidRPr="003D7162" w14:paraId="396DB77C" w14:textId="77777777" w:rsidTr="001A5775">
        <w:trPr>
          <w:trHeight w:val="360"/>
        </w:trPr>
        <w:tc>
          <w:tcPr>
            <w:tcW w:w="9751" w:type="dxa"/>
            <w:gridSpan w:val="5"/>
            <w:tcBorders>
              <w:top w:val="nil"/>
              <w:left w:val="single" w:sz="4" w:space="0" w:color="auto"/>
              <w:bottom w:val="single" w:sz="4" w:space="0" w:color="auto"/>
              <w:right w:val="nil"/>
            </w:tcBorders>
            <w:shd w:val="clear" w:color="000000" w:fill="D9D9D9"/>
            <w:vAlign w:val="center"/>
            <w:hideMark/>
          </w:tcPr>
          <w:p w14:paraId="62C4F812"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Inadequate care and feeding practices</w:t>
            </w:r>
          </w:p>
        </w:tc>
      </w:tr>
      <w:tr w:rsidR="000F5AE4" w:rsidRPr="003D7162" w14:paraId="292D0CD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124EDE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Duration of breast feeding</w:t>
            </w:r>
          </w:p>
        </w:tc>
        <w:tc>
          <w:tcPr>
            <w:tcW w:w="287" w:type="dxa"/>
            <w:tcBorders>
              <w:top w:val="nil"/>
              <w:left w:val="nil"/>
              <w:bottom w:val="nil"/>
              <w:right w:val="nil"/>
            </w:tcBorders>
            <w:shd w:val="clear" w:color="000000" w:fill="FFFFFF"/>
            <w:vAlign w:val="center"/>
            <w:hideMark/>
          </w:tcPr>
          <w:p w14:paraId="40C8B42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EB41D3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-0.042 (-0.049;-0.035)</w:t>
            </w:r>
          </w:p>
        </w:tc>
        <w:tc>
          <w:tcPr>
            <w:tcW w:w="287" w:type="dxa"/>
            <w:tcBorders>
              <w:top w:val="nil"/>
              <w:left w:val="nil"/>
              <w:bottom w:val="nil"/>
              <w:right w:val="nil"/>
            </w:tcBorders>
            <w:shd w:val="clear" w:color="000000" w:fill="FFFFFF"/>
            <w:vAlign w:val="center"/>
            <w:hideMark/>
          </w:tcPr>
          <w:p w14:paraId="0ED10FF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055F04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7404B2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052AB8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 months)</w:t>
            </w:r>
          </w:p>
        </w:tc>
        <w:tc>
          <w:tcPr>
            <w:tcW w:w="287" w:type="dxa"/>
            <w:tcBorders>
              <w:top w:val="nil"/>
              <w:left w:val="nil"/>
              <w:bottom w:val="nil"/>
              <w:right w:val="nil"/>
            </w:tcBorders>
            <w:shd w:val="clear" w:color="000000" w:fill="FFFFFF"/>
            <w:vAlign w:val="center"/>
            <w:hideMark/>
          </w:tcPr>
          <w:p w14:paraId="3E8B844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95E8C0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0B2DF80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D8FF89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063281F"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188F63D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FF61F0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011F7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C4E42A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215EE42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CE63CE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7070E7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Complementary feeding</w:t>
            </w:r>
          </w:p>
        </w:tc>
        <w:tc>
          <w:tcPr>
            <w:tcW w:w="287" w:type="dxa"/>
            <w:tcBorders>
              <w:top w:val="nil"/>
              <w:left w:val="nil"/>
              <w:bottom w:val="nil"/>
              <w:right w:val="nil"/>
            </w:tcBorders>
            <w:shd w:val="clear" w:color="000000" w:fill="FFFFFF"/>
            <w:vAlign w:val="center"/>
            <w:hideMark/>
          </w:tcPr>
          <w:p w14:paraId="34C1F57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FF1DB9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-0.076 (-0.16;0.007)</w:t>
            </w:r>
          </w:p>
        </w:tc>
        <w:tc>
          <w:tcPr>
            <w:tcW w:w="287" w:type="dxa"/>
            <w:tcBorders>
              <w:top w:val="nil"/>
              <w:left w:val="nil"/>
              <w:bottom w:val="nil"/>
              <w:right w:val="nil"/>
            </w:tcBorders>
            <w:shd w:val="clear" w:color="000000" w:fill="FFFFFF"/>
            <w:vAlign w:val="center"/>
            <w:hideMark/>
          </w:tcPr>
          <w:p w14:paraId="4C8162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1ABF031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-0.068 (-0.147; 0.011)</w:t>
            </w:r>
          </w:p>
        </w:tc>
      </w:tr>
      <w:tr w:rsidR="000F5AE4" w:rsidRPr="003D7162" w14:paraId="7179C946"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7BB68E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0BB4FB0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90E23F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0.074</w:t>
            </w:r>
          </w:p>
        </w:tc>
        <w:tc>
          <w:tcPr>
            <w:tcW w:w="287" w:type="dxa"/>
            <w:tcBorders>
              <w:top w:val="nil"/>
              <w:left w:val="nil"/>
              <w:bottom w:val="nil"/>
              <w:right w:val="nil"/>
            </w:tcBorders>
            <w:shd w:val="clear" w:color="000000" w:fill="FFFFFF"/>
            <w:vAlign w:val="center"/>
            <w:hideMark/>
          </w:tcPr>
          <w:p w14:paraId="6E8682F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95AF5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0.092</w:t>
            </w:r>
          </w:p>
        </w:tc>
      </w:tr>
      <w:tr w:rsidR="000F5AE4" w:rsidRPr="003D7162" w14:paraId="7DDAE0A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82B72A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5DB0E3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FBD5D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EA9715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56E91C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7F08289" w14:textId="77777777" w:rsidTr="001A5775">
        <w:trPr>
          <w:trHeight w:val="375"/>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50E90EFB"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Food insecurity</w:t>
            </w:r>
          </w:p>
        </w:tc>
      </w:tr>
      <w:tr w:rsidR="000F5AE4" w:rsidRPr="003D7162" w14:paraId="7139F6D6"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00CC82F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Altitude</w:t>
            </w:r>
          </w:p>
          <w:p w14:paraId="40C8CBE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w:t>
            </w:r>
          </w:p>
        </w:tc>
        <w:tc>
          <w:tcPr>
            <w:tcW w:w="287" w:type="dxa"/>
            <w:tcBorders>
              <w:top w:val="nil"/>
              <w:left w:val="nil"/>
              <w:bottom w:val="nil"/>
              <w:right w:val="nil"/>
            </w:tcBorders>
            <w:shd w:val="clear" w:color="000000" w:fill="FFFFFF"/>
            <w:vAlign w:val="center"/>
            <w:hideMark/>
          </w:tcPr>
          <w:p w14:paraId="7242D05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83F1E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-0.00022 (-0.00025;-0.0002)</w:t>
            </w:r>
          </w:p>
        </w:tc>
        <w:tc>
          <w:tcPr>
            <w:tcW w:w="287" w:type="dxa"/>
            <w:tcBorders>
              <w:top w:val="nil"/>
              <w:left w:val="nil"/>
              <w:bottom w:val="nil"/>
              <w:right w:val="nil"/>
            </w:tcBorders>
            <w:shd w:val="clear" w:color="000000" w:fill="FFFFFF"/>
            <w:vAlign w:val="center"/>
            <w:hideMark/>
          </w:tcPr>
          <w:p w14:paraId="787E20D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19BFE17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-0.00016 (-0.0002; -0.00011)</w:t>
            </w:r>
          </w:p>
        </w:tc>
      </w:tr>
      <w:tr w:rsidR="000F5AE4" w:rsidRPr="003D7162" w14:paraId="56F702C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7BF50B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6187BEA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FAA5F3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3613AA8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B82E0C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3836D40A"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D331C4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0CD0DD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3D363C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FA767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42E887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9750421"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2A71592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Inadequate health services</w:t>
            </w:r>
          </w:p>
        </w:tc>
      </w:tr>
      <w:tr w:rsidR="000F5AE4" w:rsidRPr="003D7162" w14:paraId="73A0A232"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92C483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DPT vaccine</w:t>
            </w:r>
          </w:p>
        </w:tc>
        <w:tc>
          <w:tcPr>
            <w:tcW w:w="287" w:type="dxa"/>
            <w:tcBorders>
              <w:top w:val="nil"/>
              <w:left w:val="nil"/>
              <w:bottom w:val="nil"/>
              <w:right w:val="nil"/>
            </w:tcBorders>
            <w:shd w:val="clear" w:color="000000" w:fill="FFFFFF"/>
            <w:vAlign w:val="center"/>
            <w:hideMark/>
          </w:tcPr>
          <w:p w14:paraId="32DB6B3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6AC823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0.26 (0.09;0.43)</w:t>
            </w:r>
          </w:p>
        </w:tc>
        <w:tc>
          <w:tcPr>
            <w:tcW w:w="287" w:type="dxa"/>
            <w:tcBorders>
              <w:top w:val="nil"/>
              <w:left w:val="nil"/>
              <w:bottom w:val="nil"/>
              <w:right w:val="nil"/>
            </w:tcBorders>
            <w:shd w:val="clear" w:color="000000" w:fill="FFFFFF"/>
            <w:vAlign w:val="center"/>
            <w:hideMark/>
          </w:tcPr>
          <w:p w14:paraId="430CF1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628DC3E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A08CD77"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47B43F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3 doses)</w:t>
            </w:r>
          </w:p>
          <w:p w14:paraId="37EC031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743EB25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44D780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w:t>
            </w:r>
          </w:p>
        </w:tc>
        <w:tc>
          <w:tcPr>
            <w:tcW w:w="287" w:type="dxa"/>
            <w:tcBorders>
              <w:top w:val="nil"/>
              <w:left w:val="nil"/>
              <w:bottom w:val="nil"/>
              <w:right w:val="nil"/>
            </w:tcBorders>
            <w:shd w:val="clear" w:color="000000" w:fill="FFFFFF"/>
            <w:vAlign w:val="center"/>
            <w:hideMark/>
          </w:tcPr>
          <w:p w14:paraId="4B032B5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3A19CC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8D8B573"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3EBF578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D8C9A5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60A21C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DBF644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277CBF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A66421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CB5B3C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Measles vaccine</w:t>
            </w:r>
          </w:p>
        </w:tc>
        <w:tc>
          <w:tcPr>
            <w:tcW w:w="287" w:type="dxa"/>
            <w:tcBorders>
              <w:top w:val="nil"/>
              <w:left w:val="nil"/>
              <w:bottom w:val="nil"/>
              <w:right w:val="nil"/>
            </w:tcBorders>
            <w:shd w:val="clear" w:color="000000" w:fill="FFFFFF"/>
            <w:vAlign w:val="center"/>
            <w:hideMark/>
          </w:tcPr>
          <w:p w14:paraId="01BE993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8085DC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 (-0.232;-0.088)</w:t>
            </w:r>
          </w:p>
        </w:tc>
        <w:tc>
          <w:tcPr>
            <w:tcW w:w="287" w:type="dxa"/>
            <w:tcBorders>
              <w:top w:val="nil"/>
              <w:left w:val="nil"/>
              <w:bottom w:val="nil"/>
              <w:right w:val="nil"/>
            </w:tcBorders>
            <w:shd w:val="clear" w:color="000000" w:fill="FFFFFF"/>
            <w:vAlign w:val="center"/>
            <w:hideMark/>
          </w:tcPr>
          <w:p w14:paraId="44022E6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22BAFC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0.111 (0.017; 0.204)</w:t>
            </w:r>
          </w:p>
        </w:tc>
      </w:tr>
      <w:tr w:rsidR="000F5AE4" w:rsidRPr="003D7162" w14:paraId="02EE0EC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001711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w:t>
            </w:r>
          </w:p>
          <w:p w14:paraId="125CADB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088112F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AC113C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3C216E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99136B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w:t>
            </w:r>
          </w:p>
        </w:tc>
      </w:tr>
      <w:tr w:rsidR="000F5AE4" w:rsidRPr="003D7162" w14:paraId="548DD0D6"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1B90C5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31BDDC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F17AFD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AC0D4A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2AA911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6E1EE4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F9190A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Pneumococcal vaccine</w:t>
            </w:r>
          </w:p>
        </w:tc>
        <w:tc>
          <w:tcPr>
            <w:tcW w:w="287" w:type="dxa"/>
            <w:tcBorders>
              <w:top w:val="nil"/>
              <w:left w:val="nil"/>
              <w:bottom w:val="nil"/>
              <w:right w:val="nil"/>
            </w:tcBorders>
            <w:shd w:val="clear" w:color="000000" w:fill="FFFFFF"/>
            <w:vAlign w:val="center"/>
            <w:hideMark/>
          </w:tcPr>
          <w:p w14:paraId="6E6690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FC0D12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(-0.017;-0.003)</w:t>
            </w:r>
          </w:p>
        </w:tc>
        <w:tc>
          <w:tcPr>
            <w:tcW w:w="287" w:type="dxa"/>
            <w:tcBorders>
              <w:top w:val="nil"/>
              <w:left w:val="nil"/>
              <w:bottom w:val="nil"/>
              <w:right w:val="nil"/>
            </w:tcBorders>
            <w:shd w:val="clear" w:color="000000" w:fill="FFFFFF"/>
            <w:vAlign w:val="center"/>
            <w:hideMark/>
          </w:tcPr>
          <w:p w14:paraId="532416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A854CD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A8C698F"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34801F7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vaccine during first 1 year)</w:t>
            </w:r>
          </w:p>
        </w:tc>
        <w:tc>
          <w:tcPr>
            <w:tcW w:w="287" w:type="dxa"/>
            <w:tcBorders>
              <w:top w:val="nil"/>
              <w:left w:val="nil"/>
              <w:bottom w:val="nil"/>
              <w:right w:val="nil"/>
            </w:tcBorders>
            <w:shd w:val="clear" w:color="000000" w:fill="FFFFFF"/>
            <w:vAlign w:val="center"/>
            <w:hideMark/>
          </w:tcPr>
          <w:p w14:paraId="324519F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001CF8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w:t>
            </w:r>
          </w:p>
        </w:tc>
        <w:tc>
          <w:tcPr>
            <w:tcW w:w="287" w:type="dxa"/>
            <w:tcBorders>
              <w:top w:val="nil"/>
              <w:left w:val="nil"/>
              <w:bottom w:val="nil"/>
              <w:right w:val="nil"/>
            </w:tcBorders>
            <w:shd w:val="clear" w:color="000000" w:fill="FFFFFF"/>
            <w:vAlign w:val="center"/>
            <w:hideMark/>
          </w:tcPr>
          <w:p w14:paraId="0082593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3A636A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1AE315F"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37BA68B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054FAA2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C3EFE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7B14D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7F4B4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51AE3D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2A8E0E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Rotavirus vaccine</w:t>
            </w:r>
          </w:p>
        </w:tc>
        <w:tc>
          <w:tcPr>
            <w:tcW w:w="287" w:type="dxa"/>
            <w:tcBorders>
              <w:top w:val="nil"/>
              <w:left w:val="nil"/>
              <w:bottom w:val="nil"/>
              <w:right w:val="nil"/>
            </w:tcBorders>
            <w:shd w:val="clear" w:color="000000" w:fill="FFFFFF"/>
            <w:vAlign w:val="center"/>
            <w:hideMark/>
          </w:tcPr>
          <w:p w14:paraId="23C7E9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75ADA2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-0.0002 (-0.0063;0.0058)</w:t>
            </w:r>
          </w:p>
        </w:tc>
        <w:tc>
          <w:tcPr>
            <w:tcW w:w="287" w:type="dxa"/>
            <w:tcBorders>
              <w:top w:val="nil"/>
              <w:left w:val="nil"/>
              <w:bottom w:val="nil"/>
              <w:right w:val="nil"/>
            </w:tcBorders>
            <w:shd w:val="clear" w:color="000000" w:fill="FFFFFF"/>
            <w:vAlign w:val="center"/>
            <w:hideMark/>
          </w:tcPr>
          <w:p w14:paraId="036FBC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shd w:val="clear" w:color="000000" w:fill="FFFFFF"/>
            <w:vAlign w:val="center"/>
            <w:hideMark/>
          </w:tcPr>
          <w:p w14:paraId="70A5D64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BF995D3"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13A3C53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vaccine during first 1 year)</w:t>
            </w:r>
          </w:p>
        </w:tc>
        <w:tc>
          <w:tcPr>
            <w:tcW w:w="287" w:type="dxa"/>
            <w:tcBorders>
              <w:top w:val="nil"/>
              <w:left w:val="nil"/>
              <w:bottom w:val="nil"/>
              <w:right w:val="nil"/>
            </w:tcBorders>
            <w:shd w:val="clear" w:color="000000" w:fill="FFFFFF"/>
            <w:vAlign w:val="center"/>
            <w:hideMark/>
          </w:tcPr>
          <w:p w14:paraId="0CD0959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9084CF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0.939</w:t>
            </w:r>
          </w:p>
        </w:tc>
        <w:tc>
          <w:tcPr>
            <w:tcW w:w="287" w:type="dxa"/>
            <w:tcBorders>
              <w:top w:val="nil"/>
              <w:left w:val="nil"/>
              <w:bottom w:val="nil"/>
              <w:right w:val="nil"/>
            </w:tcBorders>
            <w:shd w:val="clear" w:color="000000" w:fill="FFFFFF"/>
            <w:vAlign w:val="center"/>
            <w:hideMark/>
          </w:tcPr>
          <w:p w14:paraId="0E7DDB5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D54DEF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4EE20D4"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0F5841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5D82D6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153CA1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67C1C8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125F814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C9E0220"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6E6E682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Reproductive and maternal care</w:t>
            </w:r>
          </w:p>
        </w:tc>
      </w:tr>
      <w:tr w:rsidR="000F5AE4" w:rsidRPr="003D7162" w14:paraId="42C67E9F"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74C43F6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Skilled attendant at birth</w:t>
            </w:r>
          </w:p>
        </w:tc>
        <w:tc>
          <w:tcPr>
            <w:tcW w:w="287" w:type="dxa"/>
            <w:tcBorders>
              <w:top w:val="nil"/>
              <w:left w:val="nil"/>
              <w:bottom w:val="nil"/>
              <w:right w:val="nil"/>
            </w:tcBorders>
            <w:shd w:val="clear" w:color="000000" w:fill="FFFFFF"/>
            <w:vAlign w:val="center"/>
            <w:hideMark/>
          </w:tcPr>
          <w:p w14:paraId="27C0E1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D8E534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0.838 (0.735;0.94)</w:t>
            </w:r>
          </w:p>
        </w:tc>
        <w:tc>
          <w:tcPr>
            <w:tcW w:w="287" w:type="dxa"/>
            <w:tcBorders>
              <w:top w:val="nil"/>
              <w:left w:val="nil"/>
              <w:bottom w:val="nil"/>
              <w:right w:val="nil"/>
            </w:tcBorders>
            <w:shd w:val="clear" w:color="000000" w:fill="FFFFFF"/>
            <w:vAlign w:val="center"/>
            <w:hideMark/>
          </w:tcPr>
          <w:p w14:paraId="481CB9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1113E1B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0.271 (0.171; 0.371)</w:t>
            </w:r>
          </w:p>
        </w:tc>
      </w:tr>
      <w:tr w:rsidR="000F5AE4" w:rsidRPr="003D7162" w14:paraId="7D01A9B5"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3F4777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649925E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24F85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FB2182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E55649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1FE0B2A1"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43D87A5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2D94F1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5BCF5A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2829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8CC478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22807E6"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A3180E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 antenatal care visits</w:t>
            </w:r>
          </w:p>
        </w:tc>
        <w:tc>
          <w:tcPr>
            <w:tcW w:w="287" w:type="dxa"/>
            <w:tcBorders>
              <w:top w:val="nil"/>
              <w:left w:val="nil"/>
              <w:bottom w:val="nil"/>
              <w:right w:val="nil"/>
            </w:tcBorders>
            <w:shd w:val="clear" w:color="000000" w:fill="FFFFFF"/>
            <w:vAlign w:val="center"/>
            <w:hideMark/>
          </w:tcPr>
          <w:p w14:paraId="282A595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BB2F08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0.558 (0.439;0.677)</w:t>
            </w:r>
          </w:p>
        </w:tc>
        <w:tc>
          <w:tcPr>
            <w:tcW w:w="287" w:type="dxa"/>
            <w:tcBorders>
              <w:top w:val="nil"/>
              <w:left w:val="nil"/>
              <w:bottom w:val="nil"/>
              <w:right w:val="nil"/>
            </w:tcBorders>
            <w:shd w:val="clear" w:color="000000" w:fill="FFFFFF"/>
            <w:vAlign w:val="center"/>
            <w:hideMark/>
          </w:tcPr>
          <w:p w14:paraId="1AC2E1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414B55D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EBBBF60"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4C3B54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730E63D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A1A554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2F45602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38775B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9AB62D0"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13A9B42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071BDD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68CFAB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97AD9A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8FDBF9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F2C8AD0"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7EFA9B8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Human resources for health</w:t>
            </w:r>
          </w:p>
        </w:tc>
      </w:tr>
      <w:tr w:rsidR="000F5AE4" w:rsidRPr="003D7162" w14:paraId="267126E8"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1AD63D9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Density of human resources for health</w:t>
            </w:r>
          </w:p>
        </w:tc>
        <w:tc>
          <w:tcPr>
            <w:tcW w:w="287" w:type="dxa"/>
            <w:tcBorders>
              <w:top w:val="nil"/>
              <w:left w:val="nil"/>
              <w:bottom w:val="nil"/>
              <w:right w:val="nil"/>
            </w:tcBorders>
            <w:shd w:val="clear" w:color="000000" w:fill="FFFFFF"/>
            <w:vAlign w:val="center"/>
            <w:hideMark/>
          </w:tcPr>
          <w:p w14:paraId="280545E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D56D74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0.043 (0.037;0.049)</w:t>
            </w:r>
          </w:p>
        </w:tc>
        <w:tc>
          <w:tcPr>
            <w:tcW w:w="287" w:type="dxa"/>
            <w:tcBorders>
              <w:top w:val="nil"/>
              <w:left w:val="nil"/>
              <w:bottom w:val="nil"/>
              <w:right w:val="nil"/>
            </w:tcBorders>
            <w:shd w:val="clear" w:color="000000" w:fill="FFFFFF"/>
            <w:vAlign w:val="center"/>
            <w:hideMark/>
          </w:tcPr>
          <w:p w14:paraId="378C9E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28AA404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4F5C628"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5DEE6BD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(Doctors, nurses and midwives per 10,000 </w:t>
            </w:r>
          </w:p>
        </w:tc>
        <w:tc>
          <w:tcPr>
            <w:tcW w:w="287" w:type="dxa"/>
            <w:tcBorders>
              <w:top w:val="nil"/>
              <w:left w:val="nil"/>
              <w:bottom w:val="nil"/>
              <w:right w:val="nil"/>
            </w:tcBorders>
            <w:shd w:val="clear" w:color="000000" w:fill="FFFFFF"/>
            <w:vAlign w:val="center"/>
            <w:hideMark/>
          </w:tcPr>
          <w:p w14:paraId="1EAB33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8E1ACA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4A94F6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E57AF8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D614BB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3BFA68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population)</w:t>
            </w:r>
          </w:p>
        </w:tc>
        <w:tc>
          <w:tcPr>
            <w:tcW w:w="287" w:type="dxa"/>
            <w:tcBorders>
              <w:top w:val="nil"/>
              <w:left w:val="nil"/>
              <w:bottom w:val="single" w:sz="4" w:space="0" w:color="auto"/>
              <w:right w:val="nil"/>
            </w:tcBorders>
            <w:shd w:val="clear" w:color="000000" w:fill="FFFFFF"/>
            <w:vAlign w:val="center"/>
            <w:hideMark/>
          </w:tcPr>
          <w:p w14:paraId="6A64532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5D6A4E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6822D4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B0FEF6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05CAFE2"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48A295E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Care seeking interventions for childhood illness &amp; child micronutrient intake </w:t>
            </w:r>
          </w:p>
        </w:tc>
      </w:tr>
      <w:tr w:rsidR="000F5AE4" w:rsidRPr="003D7162" w14:paraId="0DF1B32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ED42E1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Oral rehydration therapy</w:t>
            </w:r>
          </w:p>
        </w:tc>
        <w:tc>
          <w:tcPr>
            <w:tcW w:w="287" w:type="dxa"/>
            <w:tcBorders>
              <w:top w:val="nil"/>
              <w:left w:val="nil"/>
              <w:bottom w:val="nil"/>
              <w:right w:val="nil"/>
            </w:tcBorders>
            <w:shd w:val="clear" w:color="000000" w:fill="FFFFFF"/>
            <w:vAlign w:val="center"/>
            <w:hideMark/>
          </w:tcPr>
          <w:p w14:paraId="4CF9230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CC1113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0.0002 (-0.0048;0.0052)</w:t>
            </w:r>
          </w:p>
        </w:tc>
        <w:tc>
          <w:tcPr>
            <w:tcW w:w="287" w:type="dxa"/>
            <w:tcBorders>
              <w:top w:val="nil"/>
              <w:left w:val="nil"/>
              <w:bottom w:val="nil"/>
              <w:right w:val="nil"/>
            </w:tcBorders>
            <w:shd w:val="clear" w:color="000000" w:fill="FFFFFF"/>
            <w:vAlign w:val="center"/>
            <w:hideMark/>
          </w:tcPr>
          <w:p w14:paraId="65BD5C3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2C888F6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964F008"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0C722E5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 with diarrhea receiving ORT)</w:t>
            </w:r>
          </w:p>
        </w:tc>
        <w:tc>
          <w:tcPr>
            <w:tcW w:w="287" w:type="dxa"/>
            <w:tcBorders>
              <w:top w:val="nil"/>
              <w:left w:val="nil"/>
              <w:bottom w:val="nil"/>
              <w:right w:val="nil"/>
            </w:tcBorders>
            <w:shd w:val="clear" w:color="000000" w:fill="FFFFFF"/>
            <w:vAlign w:val="center"/>
            <w:hideMark/>
          </w:tcPr>
          <w:p w14:paraId="1367A2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9DCA5D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0.939</w:t>
            </w:r>
          </w:p>
        </w:tc>
        <w:tc>
          <w:tcPr>
            <w:tcW w:w="287" w:type="dxa"/>
            <w:tcBorders>
              <w:top w:val="nil"/>
              <w:left w:val="nil"/>
              <w:bottom w:val="nil"/>
              <w:right w:val="nil"/>
            </w:tcBorders>
            <w:shd w:val="clear" w:color="000000" w:fill="FFFFFF"/>
            <w:vAlign w:val="center"/>
            <w:hideMark/>
          </w:tcPr>
          <w:p w14:paraId="70D2815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6B7EF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D97C040"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0595B8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F19A7E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764B42E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05266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439845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1ACD247"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1B7104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Care seeking for pneumonia</w:t>
            </w:r>
          </w:p>
        </w:tc>
        <w:tc>
          <w:tcPr>
            <w:tcW w:w="287" w:type="dxa"/>
            <w:tcBorders>
              <w:top w:val="nil"/>
              <w:left w:val="nil"/>
              <w:bottom w:val="nil"/>
              <w:right w:val="nil"/>
            </w:tcBorders>
            <w:shd w:val="clear" w:color="000000" w:fill="FFFFFF"/>
            <w:vAlign w:val="center"/>
            <w:hideMark/>
          </w:tcPr>
          <w:p w14:paraId="46F809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497E6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0.023 (0.02;0.026)</w:t>
            </w:r>
          </w:p>
        </w:tc>
        <w:tc>
          <w:tcPr>
            <w:tcW w:w="287" w:type="dxa"/>
            <w:tcBorders>
              <w:top w:val="nil"/>
              <w:left w:val="nil"/>
              <w:bottom w:val="nil"/>
              <w:right w:val="nil"/>
            </w:tcBorders>
            <w:shd w:val="clear" w:color="000000" w:fill="FFFFFF"/>
            <w:vAlign w:val="center"/>
            <w:hideMark/>
          </w:tcPr>
          <w:p w14:paraId="427EF03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1AD327D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-0.00413 (-0.0084; 0.00015)</w:t>
            </w:r>
          </w:p>
        </w:tc>
      </w:tr>
      <w:tr w:rsidR="000F5AE4" w:rsidRPr="003D7162" w14:paraId="2D6F8FB6"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4E0BBFD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 with pneumonia seeking care)</w:t>
            </w:r>
          </w:p>
        </w:tc>
        <w:tc>
          <w:tcPr>
            <w:tcW w:w="287" w:type="dxa"/>
            <w:tcBorders>
              <w:top w:val="nil"/>
              <w:left w:val="nil"/>
              <w:bottom w:val="nil"/>
              <w:right w:val="nil"/>
            </w:tcBorders>
            <w:shd w:val="clear" w:color="000000" w:fill="FFFFFF"/>
            <w:vAlign w:val="center"/>
            <w:hideMark/>
          </w:tcPr>
          <w:p w14:paraId="33CB70F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EB9E07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BE41CA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92CF99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0.058</w:t>
            </w:r>
          </w:p>
        </w:tc>
      </w:tr>
      <w:tr w:rsidR="000F5AE4" w:rsidRPr="003D7162" w14:paraId="0B268AC6"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2BE9170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8244B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378A6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691ED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74AC9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4C080C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0A67A8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Vitamin A supplementation</w:t>
            </w:r>
          </w:p>
        </w:tc>
        <w:tc>
          <w:tcPr>
            <w:tcW w:w="287" w:type="dxa"/>
            <w:tcBorders>
              <w:top w:val="nil"/>
              <w:left w:val="nil"/>
              <w:bottom w:val="nil"/>
              <w:right w:val="nil"/>
            </w:tcBorders>
            <w:shd w:val="clear" w:color="000000" w:fill="FFFFFF"/>
            <w:vAlign w:val="center"/>
            <w:hideMark/>
          </w:tcPr>
          <w:p w14:paraId="6DB6D05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963E19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-0.354 (-0.471;-0.238)</w:t>
            </w:r>
          </w:p>
        </w:tc>
        <w:tc>
          <w:tcPr>
            <w:tcW w:w="287" w:type="dxa"/>
            <w:tcBorders>
              <w:top w:val="nil"/>
              <w:left w:val="nil"/>
              <w:bottom w:val="nil"/>
              <w:right w:val="nil"/>
            </w:tcBorders>
            <w:shd w:val="clear" w:color="000000" w:fill="FFFFFF"/>
            <w:vAlign w:val="center"/>
            <w:hideMark/>
          </w:tcPr>
          <w:p w14:paraId="27D2300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458A468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E1C6BF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8196D6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128695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01D945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9D088E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01FC6D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ECCB268" w14:textId="77777777" w:rsidTr="001A5775">
        <w:trPr>
          <w:trHeight w:val="255"/>
        </w:trPr>
        <w:tc>
          <w:tcPr>
            <w:tcW w:w="3061" w:type="dxa"/>
            <w:tcBorders>
              <w:top w:val="nil"/>
              <w:left w:val="single" w:sz="4" w:space="0" w:color="auto"/>
              <w:bottom w:val="single" w:sz="4" w:space="0" w:color="auto"/>
              <w:right w:val="nil"/>
            </w:tcBorders>
            <w:shd w:val="clear" w:color="000000" w:fill="FFFFFF"/>
            <w:vAlign w:val="center"/>
            <w:hideMark/>
          </w:tcPr>
          <w:p w14:paraId="7367BE2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single" w:sz="4" w:space="0" w:color="auto"/>
              <w:bottom w:val="single" w:sz="4" w:space="0" w:color="auto"/>
              <w:right w:val="nil"/>
            </w:tcBorders>
            <w:shd w:val="clear" w:color="000000" w:fill="FFFFFF"/>
            <w:vAlign w:val="center"/>
            <w:hideMark/>
          </w:tcPr>
          <w:p w14:paraId="6DF7821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B46799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9B413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C62365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3B3D861"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2DE4F5BB"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Unhealthy household environment</w:t>
            </w:r>
          </w:p>
        </w:tc>
      </w:tr>
      <w:tr w:rsidR="000F5AE4" w:rsidRPr="003D7162" w14:paraId="24CECA6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580EC1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Urban locality</w:t>
            </w:r>
          </w:p>
        </w:tc>
        <w:tc>
          <w:tcPr>
            <w:tcW w:w="287" w:type="dxa"/>
            <w:tcBorders>
              <w:top w:val="nil"/>
              <w:left w:val="nil"/>
              <w:bottom w:val="nil"/>
              <w:right w:val="nil"/>
            </w:tcBorders>
            <w:shd w:val="clear" w:color="000000" w:fill="FFFFFF"/>
            <w:vAlign w:val="center"/>
            <w:hideMark/>
          </w:tcPr>
          <w:p w14:paraId="1DEDE29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A1A38C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0.793 (0.719;0.868)</w:t>
            </w:r>
          </w:p>
        </w:tc>
        <w:tc>
          <w:tcPr>
            <w:tcW w:w="287" w:type="dxa"/>
            <w:tcBorders>
              <w:top w:val="nil"/>
              <w:left w:val="nil"/>
              <w:bottom w:val="nil"/>
              <w:right w:val="nil"/>
            </w:tcBorders>
            <w:shd w:val="clear" w:color="000000" w:fill="FFFFFF"/>
            <w:vAlign w:val="center"/>
            <w:hideMark/>
          </w:tcPr>
          <w:p w14:paraId="6B00410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03CB2EC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8351492"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C38D00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(index household) </w:t>
            </w:r>
          </w:p>
        </w:tc>
        <w:tc>
          <w:tcPr>
            <w:tcW w:w="287" w:type="dxa"/>
            <w:tcBorders>
              <w:top w:val="nil"/>
              <w:left w:val="nil"/>
              <w:bottom w:val="nil"/>
              <w:right w:val="nil"/>
            </w:tcBorders>
            <w:shd w:val="clear" w:color="000000" w:fill="FFFFFF"/>
            <w:vAlign w:val="center"/>
            <w:hideMark/>
          </w:tcPr>
          <w:p w14:paraId="1A907B6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3D9D08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46212C1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1A5944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85445F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3762FD2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B96BDD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0FE11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E912A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17E60C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B85B9EE"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40C855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Open defecation</w:t>
            </w:r>
          </w:p>
        </w:tc>
        <w:tc>
          <w:tcPr>
            <w:tcW w:w="287" w:type="dxa"/>
            <w:tcBorders>
              <w:top w:val="nil"/>
              <w:left w:val="nil"/>
              <w:bottom w:val="nil"/>
              <w:right w:val="nil"/>
            </w:tcBorders>
            <w:shd w:val="clear" w:color="000000" w:fill="FFFFFF"/>
            <w:vAlign w:val="center"/>
            <w:hideMark/>
          </w:tcPr>
          <w:p w14:paraId="1F655E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EDEE92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-0.655 (-0.755;-0.555)</w:t>
            </w:r>
          </w:p>
        </w:tc>
        <w:tc>
          <w:tcPr>
            <w:tcW w:w="287" w:type="dxa"/>
            <w:tcBorders>
              <w:top w:val="nil"/>
              <w:left w:val="nil"/>
              <w:bottom w:val="nil"/>
              <w:right w:val="nil"/>
            </w:tcBorders>
            <w:shd w:val="clear" w:color="000000" w:fill="FFFFFF"/>
            <w:vAlign w:val="center"/>
            <w:hideMark/>
          </w:tcPr>
          <w:p w14:paraId="18A3D78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608F7B9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5654F1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43ACA6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287" w:type="dxa"/>
            <w:tcBorders>
              <w:top w:val="nil"/>
              <w:left w:val="nil"/>
              <w:bottom w:val="nil"/>
              <w:right w:val="nil"/>
            </w:tcBorders>
            <w:shd w:val="clear" w:color="000000" w:fill="FFFFFF"/>
            <w:vAlign w:val="center"/>
            <w:hideMark/>
          </w:tcPr>
          <w:p w14:paraId="6E72F3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AEA124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0CBDA6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78571A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7565653"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2A98B75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FBF74F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EF68C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37459F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1ACA58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399916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63A8FC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Access to improved drinking water sources</w:t>
            </w:r>
          </w:p>
        </w:tc>
        <w:tc>
          <w:tcPr>
            <w:tcW w:w="287" w:type="dxa"/>
            <w:tcBorders>
              <w:top w:val="nil"/>
              <w:left w:val="nil"/>
              <w:bottom w:val="nil"/>
              <w:right w:val="nil"/>
            </w:tcBorders>
            <w:shd w:val="clear" w:color="000000" w:fill="FFFFFF"/>
            <w:vAlign w:val="center"/>
            <w:hideMark/>
          </w:tcPr>
          <w:p w14:paraId="0FAADF8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94CDDE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0.289 (0.18;0.398)</w:t>
            </w:r>
          </w:p>
        </w:tc>
        <w:tc>
          <w:tcPr>
            <w:tcW w:w="287" w:type="dxa"/>
            <w:tcBorders>
              <w:top w:val="nil"/>
              <w:left w:val="nil"/>
              <w:bottom w:val="nil"/>
              <w:right w:val="nil"/>
            </w:tcBorders>
            <w:shd w:val="clear" w:color="000000" w:fill="FFFFFF"/>
            <w:vAlign w:val="center"/>
            <w:hideMark/>
          </w:tcPr>
          <w:p w14:paraId="04EAE8A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42EC057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8C8556E"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56CC01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287" w:type="dxa"/>
            <w:tcBorders>
              <w:top w:val="nil"/>
              <w:left w:val="nil"/>
              <w:bottom w:val="nil"/>
              <w:right w:val="nil"/>
            </w:tcBorders>
            <w:shd w:val="clear" w:color="000000" w:fill="FFFFFF"/>
            <w:vAlign w:val="center"/>
            <w:hideMark/>
          </w:tcPr>
          <w:p w14:paraId="1812F75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AA6D60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D6D070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AB3A4D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CB6C69E"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88217B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1D43DD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654443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39C971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01264E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A10AD36"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AEE722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Number of household members</w:t>
            </w:r>
          </w:p>
          <w:p w14:paraId="589EA9C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287" w:type="dxa"/>
            <w:tcBorders>
              <w:top w:val="nil"/>
              <w:left w:val="nil"/>
              <w:bottom w:val="nil"/>
              <w:right w:val="nil"/>
            </w:tcBorders>
            <w:shd w:val="clear" w:color="000000" w:fill="FFFFFF"/>
            <w:vAlign w:val="center"/>
            <w:hideMark/>
          </w:tcPr>
          <w:p w14:paraId="59E3D5C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48D7D7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-0.045 (-0.063;-0.028)</w:t>
            </w:r>
          </w:p>
        </w:tc>
        <w:tc>
          <w:tcPr>
            <w:tcW w:w="287" w:type="dxa"/>
            <w:tcBorders>
              <w:top w:val="single" w:sz="4" w:space="0" w:color="auto"/>
              <w:left w:val="nil"/>
              <w:bottom w:val="nil"/>
              <w:right w:val="nil"/>
            </w:tcBorders>
            <w:shd w:val="clear" w:color="000000" w:fill="FFFFFF"/>
            <w:vAlign w:val="center"/>
            <w:hideMark/>
          </w:tcPr>
          <w:p w14:paraId="1312812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shd w:val="clear" w:color="auto" w:fill="auto"/>
            <w:noWrap/>
            <w:vAlign w:val="bottom"/>
            <w:hideMark/>
          </w:tcPr>
          <w:p w14:paraId="47F200A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-0.024 (-0.041; -0.006)</w:t>
            </w:r>
          </w:p>
        </w:tc>
      </w:tr>
      <w:tr w:rsidR="000F5AE4" w:rsidRPr="003D7162" w14:paraId="6AC63AE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CD1CB9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777BDA3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570181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8594AE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49C49C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0.008</w:t>
            </w:r>
          </w:p>
        </w:tc>
      </w:tr>
      <w:tr w:rsidR="000F5AE4" w:rsidRPr="003D7162" w14:paraId="3381F90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1CF1FF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20B05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BEC46F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26BA2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6569AE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6292384" w14:textId="77777777" w:rsidTr="001A5775">
        <w:trPr>
          <w:trHeight w:val="435"/>
        </w:trPr>
        <w:tc>
          <w:tcPr>
            <w:tcW w:w="3061" w:type="dxa"/>
            <w:tcBorders>
              <w:top w:val="nil"/>
              <w:left w:val="single" w:sz="4" w:space="0" w:color="auto"/>
              <w:bottom w:val="single" w:sz="4" w:space="0" w:color="auto"/>
              <w:right w:val="nil"/>
            </w:tcBorders>
            <w:shd w:val="clear" w:color="000000" w:fill="D9D9D9"/>
            <w:vAlign w:val="center"/>
            <w:hideMark/>
          </w:tcPr>
          <w:p w14:paraId="1C3B11E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287" w:type="dxa"/>
            <w:tcBorders>
              <w:top w:val="nil"/>
              <w:left w:val="nil"/>
              <w:bottom w:val="single" w:sz="4" w:space="0" w:color="auto"/>
              <w:right w:val="nil"/>
            </w:tcBorders>
            <w:shd w:val="clear" w:color="000000" w:fill="D9D9D9"/>
            <w:vAlign w:val="center"/>
            <w:hideMark/>
          </w:tcPr>
          <w:p w14:paraId="2129AF2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D9D9D9"/>
            <w:vAlign w:val="center"/>
            <w:hideMark/>
          </w:tcPr>
          <w:p w14:paraId="5730E014"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09113D9B"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D9D9D9"/>
            <w:vAlign w:val="center"/>
            <w:hideMark/>
          </w:tcPr>
          <w:p w14:paraId="75750AB8"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21.7%</w:t>
            </w:r>
          </w:p>
        </w:tc>
      </w:tr>
      <w:tr w:rsidR="000F5AE4" w:rsidRPr="003D7162" w14:paraId="47A354EC" w14:textId="77777777" w:rsidTr="001A5775">
        <w:trPr>
          <w:trHeight w:val="300"/>
        </w:trPr>
        <w:tc>
          <w:tcPr>
            <w:tcW w:w="3061" w:type="dxa"/>
            <w:tcBorders>
              <w:top w:val="nil"/>
              <w:left w:val="single" w:sz="4" w:space="0" w:color="auto"/>
              <w:bottom w:val="nil"/>
              <w:right w:val="nil"/>
            </w:tcBorders>
            <w:shd w:val="clear" w:color="000000" w:fill="808080"/>
            <w:vAlign w:val="center"/>
            <w:hideMark/>
          </w:tcPr>
          <w:p w14:paraId="13443D5F"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Proximal level</w:t>
            </w:r>
          </w:p>
        </w:tc>
        <w:tc>
          <w:tcPr>
            <w:tcW w:w="287" w:type="dxa"/>
            <w:tcBorders>
              <w:top w:val="nil"/>
              <w:left w:val="single" w:sz="4" w:space="0" w:color="auto"/>
              <w:bottom w:val="nil"/>
              <w:right w:val="nil"/>
            </w:tcBorders>
            <w:shd w:val="clear" w:color="000000" w:fill="808080"/>
            <w:vAlign w:val="center"/>
            <w:hideMark/>
          </w:tcPr>
          <w:p w14:paraId="3BF324C0"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w:t>
            </w:r>
          </w:p>
        </w:tc>
        <w:tc>
          <w:tcPr>
            <w:tcW w:w="2541" w:type="dxa"/>
            <w:tcBorders>
              <w:top w:val="nil"/>
              <w:left w:val="single" w:sz="4" w:space="0" w:color="auto"/>
              <w:bottom w:val="nil"/>
              <w:right w:val="nil"/>
            </w:tcBorders>
            <w:shd w:val="clear" w:color="000000" w:fill="808080"/>
            <w:vAlign w:val="center"/>
            <w:hideMark/>
          </w:tcPr>
          <w:p w14:paraId="79D5BF46"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w:t>
            </w:r>
          </w:p>
        </w:tc>
        <w:tc>
          <w:tcPr>
            <w:tcW w:w="287" w:type="dxa"/>
            <w:tcBorders>
              <w:top w:val="nil"/>
              <w:left w:val="single" w:sz="4" w:space="0" w:color="auto"/>
              <w:bottom w:val="nil"/>
              <w:right w:val="nil"/>
            </w:tcBorders>
            <w:shd w:val="clear" w:color="000000" w:fill="808080"/>
            <w:vAlign w:val="center"/>
            <w:hideMark/>
          </w:tcPr>
          <w:p w14:paraId="1817E55B"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w:t>
            </w:r>
          </w:p>
        </w:tc>
        <w:tc>
          <w:tcPr>
            <w:tcW w:w="3575" w:type="dxa"/>
            <w:tcBorders>
              <w:top w:val="nil"/>
              <w:left w:val="single" w:sz="4" w:space="0" w:color="auto"/>
              <w:bottom w:val="nil"/>
              <w:right w:val="nil"/>
            </w:tcBorders>
            <w:shd w:val="clear" w:color="000000" w:fill="808080"/>
            <w:vAlign w:val="center"/>
            <w:hideMark/>
          </w:tcPr>
          <w:p w14:paraId="67C69086"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w:t>
            </w:r>
          </w:p>
        </w:tc>
      </w:tr>
      <w:tr w:rsidR="000F5AE4" w:rsidRPr="003D7162" w14:paraId="05E5A16C" w14:textId="77777777" w:rsidTr="001A5775">
        <w:trPr>
          <w:trHeight w:val="360"/>
        </w:trPr>
        <w:tc>
          <w:tcPr>
            <w:tcW w:w="3061" w:type="dxa"/>
            <w:tcBorders>
              <w:top w:val="nil"/>
              <w:left w:val="single" w:sz="4" w:space="0" w:color="auto"/>
              <w:bottom w:val="single" w:sz="4" w:space="0" w:color="auto"/>
              <w:right w:val="nil"/>
            </w:tcBorders>
            <w:shd w:val="clear" w:color="000000" w:fill="D9D9D9"/>
            <w:vAlign w:val="center"/>
            <w:hideMark/>
          </w:tcPr>
          <w:p w14:paraId="5FFDBF5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Infections</w:t>
            </w:r>
          </w:p>
        </w:tc>
        <w:tc>
          <w:tcPr>
            <w:tcW w:w="287" w:type="dxa"/>
            <w:tcBorders>
              <w:top w:val="nil"/>
              <w:left w:val="single" w:sz="4" w:space="0" w:color="auto"/>
              <w:bottom w:val="single" w:sz="4" w:space="0" w:color="auto"/>
              <w:right w:val="nil"/>
            </w:tcBorders>
            <w:shd w:val="clear" w:color="000000" w:fill="D9D9D9"/>
            <w:vAlign w:val="center"/>
            <w:hideMark/>
          </w:tcPr>
          <w:p w14:paraId="24A1819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single" w:sz="4" w:space="0" w:color="auto"/>
              <w:bottom w:val="single" w:sz="4" w:space="0" w:color="auto"/>
              <w:right w:val="nil"/>
            </w:tcBorders>
            <w:shd w:val="clear" w:color="000000" w:fill="D9D9D9"/>
            <w:vAlign w:val="center"/>
            <w:hideMark/>
          </w:tcPr>
          <w:p w14:paraId="62F608D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single" w:sz="4" w:space="0" w:color="auto"/>
              <w:bottom w:val="single" w:sz="4" w:space="0" w:color="auto"/>
              <w:right w:val="nil"/>
            </w:tcBorders>
            <w:shd w:val="clear" w:color="000000" w:fill="D9D9D9"/>
            <w:vAlign w:val="center"/>
            <w:hideMark/>
          </w:tcPr>
          <w:p w14:paraId="13BD679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single" w:sz="4" w:space="0" w:color="auto"/>
              <w:bottom w:val="single" w:sz="4" w:space="0" w:color="auto"/>
              <w:right w:val="nil"/>
            </w:tcBorders>
            <w:shd w:val="clear" w:color="000000" w:fill="D9D9D9"/>
            <w:vAlign w:val="center"/>
            <w:hideMark/>
          </w:tcPr>
          <w:p w14:paraId="643CA728"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79D60A75"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56E515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ARI infection</w:t>
            </w:r>
          </w:p>
        </w:tc>
        <w:tc>
          <w:tcPr>
            <w:tcW w:w="287" w:type="dxa"/>
            <w:tcBorders>
              <w:top w:val="nil"/>
              <w:left w:val="nil"/>
              <w:bottom w:val="nil"/>
              <w:right w:val="nil"/>
            </w:tcBorders>
            <w:shd w:val="clear" w:color="000000" w:fill="FFFFFF"/>
            <w:vAlign w:val="center"/>
            <w:hideMark/>
          </w:tcPr>
          <w:p w14:paraId="0432B3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821A5C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-0.055 (-0.127;0.016)</w:t>
            </w:r>
          </w:p>
        </w:tc>
        <w:tc>
          <w:tcPr>
            <w:tcW w:w="287" w:type="dxa"/>
            <w:tcBorders>
              <w:top w:val="nil"/>
              <w:left w:val="nil"/>
              <w:bottom w:val="nil"/>
              <w:right w:val="nil"/>
            </w:tcBorders>
            <w:shd w:val="clear" w:color="000000" w:fill="FFFFFF"/>
            <w:vAlign w:val="center"/>
            <w:hideMark/>
          </w:tcPr>
          <w:p w14:paraId="2DE1233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111257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48DA51D"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235C235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 within last 2 weeks)</w:t>
            </w:r>
          </w:p>
        </w:tc>
        <w:tc>
          <w:tcPr>
            <w:tcW w:w="287" w:type="dxa"/>
            <w:tcBorders>
              <w:top w:val="nil"/>
              <w:left w:val="nil"/>
              <w:bottom w:val="nil"/>
              <w:right w:val="nil"/>
            </w:tcBorders>
            <w:shd w:val="clear" w:color="000000" w:fill="FFFFFF"/>
            <w:vAlign w:val="center"/>
            <w:hideMark/>
          </w:tcPr>
          <w:p w14:paraId="20C5802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3D30C9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w:t>
            </w:r>
          </w:p>
        </w:tc>
        <w:tc>
          <w:tcPr>
            <w:tcW w:w="287" w:type="dxa"/>
            <w:tcBorders>
              <w:top w:val="nil"/>
              <w:left w:val="nil"/>
              <w:bottom w:val="nil"/>
              <w:right w:val="nil"/>
            </w:tcBorders>
            <w:shd w:val="clear" w:color="000000" w:fill="FFFFFF"/>
            <w:vAlign w:val="center"/>
            <w:hideMark/>
          </w:tcPr>
          <w:p w14:paraId="62962F2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69BDD8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A88D66D"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1903F7B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84216F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A770C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43A464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AA657F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A8204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E96E29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Diarrhea infection</w:t>
            </w:r>
          </w:p>
        </w:tc>
        <w:tc>
          <w:tcPr>
            <w:tcW w:w="287" w:type="dxa"/>
            <w:tcBorders>
              <w:top w:val="nil"/>
              <w:left w:val="nil"/>
              <w:bottom w:val="nil"/>
              <w:right w:val="nil"/>
            </w:tcBorders>
            <w:shd w:val="clear" w:color="000000" w:fill="FFFFFF"/>
            <w:vAlign w:val="center"/>
            <w:hideMark/>
          </w:tcPr>
          <w:p w14:paraId="4D7EE61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84EAFA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-0.178 (-0.258;-0.099)</w:t>
            </w:r>
          </w:p>
        </w:tc>
        <w:tc>
          <w:tcPr>
            <w:tcW w:w="287" w:type="dxa"/>
            <w:tcBorders>
              <w:top w:val="nil"/>
              <w:left w:val="nil"/>
              <w:bottom w:val="nil"/>
              <w:right w:val="nil"/>
            </w:tcBorders>
            <w:shd w:val="clear" w:color="000000" w:fill="FFFFFF"/>
            <w:vAlign w:val="center"/>
            <w:hideMark/>
          </w:tcPr>
          <w:p w14:paraId="1DB5F16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67FA3AA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E742588"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1DEA61C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 within last 2 weeks)</w:t>
            </w:r>
          </w:p>
        </w:tc>
        <w:tc>
          <w:tcPr>
            <w:tcW w:w="287" w:type="dxa"/>
            <w:tcBorders>
              <w:top w:val="nil"/>
              <w:left w:val="nil"/>
              <w:bottom w:val="nil"/>
              <w:right w:val="nil"/>
            </w:tcBorders>
            <w:shd w:val="clear" w:color="000000" w:fill="FFFFFF"/>
            <w:vAlign w:val="center"/>
            <w:hideMark/>
          </w:tcPr>
          <w:p w14:paraId="43B645B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29E6F2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31BF36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25693E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BAC05A7" w14:textId="77777777" w:rsidTr="001A5775">
        <w:trPr>
          <w:trHeight w:val="255"/>
        </w:trPr>
        <w:tc>
          <w:tcPr>
            <w:tcW w:w="3061" w:type="dxa"/>
            <w:tcBorders>
              <w:top w:val="nil"/>
              <w:left w:val="single" w:sz="4" w:space="0" w:color="auto"/>
              <w:bottom w:val="single" w:sz="4" w:space="0" w:color="auto"/>
              <w:right w:val="nil"/>
            </w:tcBorders>
            <w:shd w:val="clear" w:color="000000" w:fill="FFFFFF"/>
            <w:vAlign w:val="center"/>
            <w:hideMark/>
          </w:tcPr>
          <w:p w14:paraId="48D0C9E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single" w:sz="4" w:space="0" w:color="auto"/>
              <w:bottom w:val="single" w:sz="4" w:space="0" w:color="auto"/>
              <w:right w:val="nil"/>
            </w:tcBorders>
            <w:shd w:val="clear" w:color="000000" w:fill="FFFFFF"/>
            <w:vAlign w:val="center"/>
            <w:hideMark/>
          </w:tcPr>
          <w:p w14:paraId="0CDF0B6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3C5F9E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D114B0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5B77BD7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366981A" w14:textId="77777777" w:rsidTr="001A5775">
        <w:trPr>
          <w:trHeight w:val="450"/>
        </w:trPr>
        <w:tc>
          <w:tcPr>
            <w:tcW w:w="3061" w:type="dxa"/>
            <w:tcBorders>
              <w:top w:val="nil"/>
              <w:left w:val="single" w:sz="4" w:space="0" w:color="auto"/>
              <w:bottom w:val="single" w:sz="4" w:space="0" w:color="auto"/>
              <w:right w:val="nil"/>
            </w:tcBorders>
            <w:shd w:val="clear" w:color="000000" w:fill="D9D9D9"/>
            <w:vAlign w:val="center"/>
            <w:hideMark/>
          </w:tcPr>
          <w:p w14:paraId="31618A78"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Inadequate dietary intake</w:t>
            </w:r>
          </w:p>
        </w:tc>
        <w:tc>
          <w:tcPr>
            <w:tcW w:w="287" w:type="dxa"/>
            <w:tcBorders>
              <w:top w:val="nil"/>
              <w:left w:val="single" w:sz="4" w:space="0" w:color="auto"/>
              <w:bottom w:val="single" w:sz="4" w:space="0" w:color="auto"/>
              <w:right w:val="nil"/>
            </w:tcBorders>
            <w:shd w:val="clear" w:color="000000" w:fill="D9D9D9"/>
            <w:vAlign w:val="center"/>
            <w:hideMark/>
          </w:tcPr>
          <w:p w14:paraId="0609FD48"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single" w:sz="4" w:space="0" w:color="auto"/>
              <w:bottom w:val="single" w:sz="4" w:space="0" w:color="auto"/>
              <w:right w:val="nil"/>
            </w:tcBorders>
            <w:shd w:val="clear" w:color="000000" w:fill="D9D9D9"/>
            <w:vAlign w:val="center"/>
            <w:hideMark/>
          </w:tcPr>
          <w:p w14:paraId="484664E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single" w:sz="4" w:space="0" w:color="auto"/>
              <w:bottom w:val="single" w:sz="4" w:space="0" w:color="auto"/>
              <w:right w:val="nil"/>
            </w:tcBorders>
            <w:shd w:val="clear" w:color="000000" w:fill="D9D9D9"/>
            <w:vAlign w:val="center"/>
            <w:hideMark/>
          </w:tcPr>
          <w:p w14:paraId="4F9A097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single" w:sz="4" w:space="0" w:color="auto"/>
              <w:bottom w:val="single" w:sz="4" w:space="0" w:color="auto"/>
              <w:right w:val="nil"/>
            </w:tcBorders>
            <w:shd w:val="clear" w:color="000000" w:fill="D9D9D9"/>
            <w:vAlign w:val="center"/>
            <w:hideMark/>
          </w:tcPr>
          <w:p w14:paraId="636B389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012542D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31E5ED7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Infant and young child minimum dietary diversity</w:t>
            </w:r>
          </w:p>
        </w:tc>
        <w:tc>
          <w:tcPr>
            <w:tcW w:w="287" w:type="dxa"/>
            <w:tcBorders>
              <w:top w:val="nil"/>
              <w:left w:val="nil"/>
              <w:bottom w:val="nil"/>
              <w:right w:val="nil"/>
            </w:tcBorders>
            <w:shd w:val="clear" w:color="000000" w:fill="FFFFFF"/>
            <w:vAlign w:val="center"/>
            <w:hideMark/>
          </w:tcPr>
          <w:p w14:paraId="5CD3EE2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9636A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0.176 (0.095; 0.257)</w:t>
            </w:r>
          </w:p>
        </w:tc>
        <w:tc>
          <w:tcPr>
            <w:tcW w:w="287" w:type="dxa"/>
            <w:tcBorders>
              <w:top w:val="nil"/>
              <w:left w:val="nil"/>
              <w:bottom w:val="nil"/>
              <w:right w:val="nil"/>
            </w:tcBorders>
            <w:shd w:val="clear" w:color="000000" w:fill="FFFFFF"/>
            <w:vAlign w:val="center"/>
            <w:hideMark/>
          </w:tcPr>
          <w:p w14:paraId="05FA0D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64E35AF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C1CF18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D822A2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 consuming at least 4 food groups)</w:t>
            </w:r>
          </w:p>
        </w:tc>
        <w:tc>
          <w:tcPr>
            <w:tcW w:w="287" w:type="dxa"/>
            <w:tcBorders>
              <w:top w:val="nil"/>
              <w:left w:val="nil"/>
              <w:bottom w:val="nil"/>
              <w:right w:val="nil"/>
            </w:tcBorders>
            <w:shd w:val="clear" w:color="000000" w:fill="FFFFFF"/>
            <w:vAlign w:val="center"/>
            <w:hideMark/>
          </w:tcPr>
          <w:p w14:paraId="559780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02855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65E052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FF8854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F37A5A2"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D6A4C2A" w14:textId="77777777" w:rsidR="000F5AE4" w:rsidRPr="003D7162" w:rsidRDefault="000F5AE4" w:rsidP="001A5775">
            <w:pPr>
              <w:jc w:val="right"/>
              <w:rPr>
                <w:rFonts w:ascii="Helvetica" w:eastAsia="Times New Roman" w:hAnsi="Helvetica" w:cs="Helvetica"/>
                <w:color w:val="000000"/>
                <w:sz w:val="20"/>
                <w:szCs w:val="20"/>
                <w:lang w:eastAsia="en-US"/>
              </w:rPr>
            </w:pPr>
          </w:p>
        </w:tc>
        <w:tc>
          <w:tcPr>
            <w:tcW w:w="287" w:type="dxa"/>
            <w:tcBorders>
              <w:top w:val="nil"/>
              <w:left w:val="nil"/>
              <w:bottom w:val="single" w:sz="4" w:space="0" w:color="auto"/>
              <w:right w:val="nil"/>
            </w:tcBorders>
            <w:shd w:val="clear" w:color="000000" w:fill="FFFFFF"/>
            <w:vAlign w:val="center"/>
            <w:hideMark/>
          </w:tcPr>
          <w:p w14:paraId="61F8C0C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F092E4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E40F6F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5D4E484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3FFD512" w14:textId="77777777" w:rsidTr="001A5775">
        <w:trPr>
          <w:trHeight w:val="255"/>
        </w:trPr>
        <w:tc>
          <w:tcPr>
            <w:tcW w:w="3061" w:type="dxa"/>
            <w:tcBorders>
              <w:top w:val="single" w:sz="4" w:space="0" w:color="auto"/>
              <w:left w:val="single" w:sz="4" w:space="0" w:color="auto"/>
              <w:bottom w:val="nil"/>
              <w:right w:val="single" w:sz="4" w:space="0" w:color="auto"/>
            </w:tcBorders>
            <w:shd w:val="clear" w:color="000000" w:fill="FFFFFF"/>
            <w:vAlign w:val="center"/>
            <w:hideMark/>
          </w:tcPr>
          <w:p w14:paraId="34DA098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Infant and young child minimum dietary diversity (continuous)</w:t>
            </w:r>
          </w:p>
        </w:tc>
        <w:tc>
          <w:tcPr>
            <w:tcW w:w="287" w:type="dxa"/>
            <w:tcBorders>
              <w:top w:val="nil"/>
              <w:left w:val="nil"/>
              <w:bottom w:val="nil"/>
              <w:right w:val="nil"/>
            </w:tcBorders>
            <w:shd w:val="clear" w:color="000000" w:fill="FFFFFF"/>
            <w:vAlign w:val="center"/>
            <w:hideMark/>
          </w:tcPr>
          <w:p w14:paraId="2BAC331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83007C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0.037 (0.012; 0.062)</w:t>
            </w:r>
          </w:p>
        </w:tc>
        <w:tc>
          <w:tcPr>
            <w:tcW w:w="287" w:type="dxa"/>
            <w:tcBorders>
              <w:top w:val="nil"/>
              <w:left w:val="nil"/>
              <w:bottom w:val="nil"/>
              <w:right w:val="nil"/>
            </w:tcBorders>
            <w:shd w:val="clear" w:color="000000" w:fill="FFFFFF"/>
            <w:vAlign w:val="center"/>
            <w:hideMark/>
          </w:tcPr>
          <w:p w14:paraId="35A6B5F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579F43F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9EF955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89DC1B2" w14:textId="77777777" w:rsidR="000F5AE4" w:rsidRPr="003D7162" w:rsidRDefault="000F5AE4" w:rsidP="001A5775">
            <w:pPr>
              <w:rPr>
                <w:rFonts w:ascii="Helvetica" w:eastAsia="Times New Roman" w:hAnsi="Helvetica" w:cs="Helvetica"/>
                <w:color w:val="000000"/>
                <w:sz w:val="20"/>
                <w:szCs w:val="20"/>
                <w:lang w:eastAsia="en-US"/>
              </w:rPr>
            </w:pPr>
          </w:p>
        </w:tc>
        <w:tc>
          <w:tcPr>
            <w:tcW w:w="287" w:type="dxa"/>
            <w:tcBorders>
              <w:top w:val="nil"/>
              <w:left w:val="nil"/>
              <w:bottom w:val="nil"/>
              <w:right w:val="nil"/>
            </w:tcBorders>
            <w:shd w:val="clear" w:color="000000" w:fill="FFFFFF"/>
            <w:vAlign w:val="center"/>
            <w:hideMark/>
          </w:tcPr>
          <w:p w14:paraId="371C9F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01864C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w:t>
            </w:r>
          </w:p>
        </w:tc>
        <w:tc>
          <w:tcPr>
            <w:tcW w:w="287" w:type="dxa"/>
            <w:tcBorders>
              <w:top w:val="nil"/>
              <w:left w:val="nil"/>
              <w:bottom w:val="nil"/>
              <w:right w:val="nil"/>
            </w:tcBorders>
            <w:shd w:val="clear" w:color="000000" w:fill="FFFFFF"/>
            <w:vAlign w:val="center"/>
            <w:hideMark/>
          </w:tcPr>
          <w:p w14:paraId="22DF00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01AA9C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F80545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7416CA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3F2C75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3D6521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018DF8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1544125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2FDBC02"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29308B6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Grains, roots, and tubers</w:t>
            </w:r>
          </w:p>
        </w:tc>
        <w:tc>
          <w:tcPr>
            <w:tcW w:w="287" w:type="dxa"/>
            <w:tcBorders>
              <w:top w:val="nil"/>
              <w:left w:val="nil"/>
              <w:bottom w:val="nil"/>
              <w:right w:val="nil"/>
            </w:tcBorders>
            <w:shd w:val="clear" w:color="000000" w:fill="FFFFFF"/>
            <w:vAlign w:val="center"/>
            <w:hideMark/>
          </w:tcPr>
          <w:p w14:paraId="4661141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54C5AC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-0.102 (-0.245; 0.042)</w:t>
            </w:r>
          </w:p>
        </w:tc>
        <w:tc>
          <w:tcPr>
            <w:tcW w:w="287" w:type="dxa"/>
            <w:tcBorders>
              <w:top w:val="nil"/>
              <w:left w:val="nil"/>
              <w:bottom w:val="nil"/>
              <w:right w:val="nil"/>
            </w:tcBorders>
            <w:shd w:val="clear" w:color="000000" w:fill="FFFFFF"/>
            <w:vAlign w:val="center"/>
            <w:hideMark/>
          </w:tcPr>
          <w:p w14:paraId="2D431C0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0297C21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77FF426"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2B224F6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5E4DEA0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E17074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0.164</w:t>
            </w:r>
          </w:p>
        </w:tc>
        <w:tc>
          <w:tcPr>
            <w:tcW w:w="287" w:type="dxa"/>
            <w:tcBorders>
              <w:top w:val="nil"/>
              <w:left w:val="nil"/>
              <w:bottom w:val="nil"/>
              <w:right w:val="nil"/>
            </w:tcBorders>
            <w:shd w:val="clear" w:color="000000" w:fill="FFFFFF"/>
            <w:vAlign w:val="center"/>
            <w:hideMark/>
          </w:tcPr>
          <w:p w14:paraId="047FCDC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605CC6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86CB1FC" w14:textId="77777777" w:rsidTr="001A5775">
        <w:trPr>
          <w:trHeight w:val="255"/>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22C6100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36195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71A5389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A77DC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134991D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85032E6"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4CF4D1F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Legumes and nuts</w:t>
            </w:r>
          </w:p>
        </w:tc>
        <w:tc>
          <w:tcPr>
            <w:tcW w:w="287" w:type="dxa"/>
            <w:tcBorders>
              <w:top w:val="nil"/>
              <w:left w:val="nil"/>
              <w:bottom w:val="nil"/>
              <w:right w:val="nil"/>
            </w:tcBorders>
            <w:shd w:val="clear" w:color="000000" w:fill="FFFFFF"/>
            <w:vAlign w:val="center"/>
            <w:hideMark/>
          </w:tcPr>
          <w:p w14:paraId="672793C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45DD33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-0.225 (-0.295;-0.155)</w:t>
            </w:r>
          </w:p>
        </w:tc>
        <w:tc>
          <w:tcPr>
            <w:tcW w:w="287" w:type="dxa"/>
            <w:tcBorders>
              <w:top w:val="nil"/>
              <w:left w:val="nil"/>
              <w:bottom w:val="nil"/>
              <w:right w:val="nil"/>
            </w:tcBorders>
            <w:shd w:val="clear" w:color="000000" w:fill="FFFFFF"/>
            <w:vAlign w:val="center"/>
            <w:hideMark/>
          </w:tcPr>
          <w:p w14:paraId="4E7E056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53A33C6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C73E8E5"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77BD7D5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3B7E600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A35C15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B46B1D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2218EE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03EB434" w14:textId="77777777" w:rsidTr="001A5775">
        <w:trPr>
          <w:trHeight w:val="255"/>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45BA5CC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98611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76CECA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8BEAE8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63A93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148F448"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5093D62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Dairy products</w:t>
            </w:r>
          </w:p>
        </w:tc>
        <w:tc>
          <w:tcPr>
            <w:tcW w:w="287" w:type="dxa"/>
            <w:tcBorders>
              <w:top w:val="nil"/>
              <w:left w:val="nil"/>
              <w:bottom w:val="nil"/>
              <w:right w:val="nil"/>
            </w:tcBorders>
            <w:shd w:val="clear" w:color="000000" w:fill="FFFFFF"/>
            <w:vAlign w:val="center"/>
            <w:hideMark/>
          </w:tcPr>
          <w:p w14:paraId="528B76E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B5D428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0.273 (0.198;0.348)</w:t>
            </w:r>
          </w:p>
        </w:tc>
        <w:tc>
          <w:tcPr>
            <w:tcW w:w="287" w:type="dxa"/>
            <w:tcBorders>
              <w:top w:val="nil"/>
              <w:left w:val="nil"/>
              <w:bottom w:val="nil"/>
              <w:right w:val="nil"/>
            </w:tcBorders>
            <w:shd w:val="clear" w:color="000000" w:fill="FFFFFF"/>
            <w:vAlign w:val="center"/>
            <w:hideMark/>
          </w:tcPr>
          <w:p w14:paraId="53CD06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7B7ACE4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1306134"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56D02A5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0AF486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1D98A6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19ECB4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3E988C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27971A1" w14:textId="77777777" w:rsidTr="001A5775">
        <w:trPr>
          <w:trHeight w:val="255"/>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180DE2E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7C7928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E4D75F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CB2BF8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0694B4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700B974"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480905F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Flesh foods and Eggs</w:t>
            </w:r>
          </w:p>
        </w:tc>
        <w:tc>
          <w:tcPr>
            <w:tcW w:w="287" w:type="dxa"/>
            <w:tcBorders>
              <w:top w:val="nil"/>
              <w:left w:val="nil"/>
              <w:bottom w:val="nil"/>
              <w:right w:val="nil"/>
            </w:tcBorders>
            <w:shd w:val="clear" w:color="000000" w:fill="FFFFFF"/>
            <w:vAlign w:val="center"/>
            <w:hideMark/>
          </w:tcPr>
          <w:p w14:paraId="1D37358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A0CDFC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 (-0.032;0.172)</w:t>
            </w:r>
          </w:p>
        </w:tc>
        <w:tc>
          <w:tcPr>
            <w:tcW w:w="287" w:type="dxa"/>
            <w:tcBorders>
              <w:top w:val="nil"/>
              <w:left w:val="nil"/>
              <w:bottom w:val="nil"/>
              <w:right w:val="nil"/>
            </w:tcBorders>
            <w:shd w:val="clear" w:color="000000" w:fill="FFFFFF"/>
            <w:vAlign w:val="center"/>
            <w:hideMark/>
          </w:tcPr>
          <w:p w14:paraId="0AF25C9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0ED6F1A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CB2A6C9"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21D77CA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62D68AA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B9317E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0.18</w:t>
            </w:r>
          </w:p>
        </w:tc>
        <w:tc>
          <w:tcPr>
            <w:tcW w:w="287" w:type="dxa"/>
            <w:tcBorders>
              <w:top w:val="nil"/>
              <w:left w:val="nil"/>
              <w:bottom w:val="nil"/>
              <w:right w:val="nil"/>
            </w:tcBorders>
            <w:shd w:val="clear" w:color="000000" w:fill="FFFFFF"/>
            <w:vAlign w:val="center"/>
            <w:hideMark/>
          </w:tcPr>
          <w:p w14:paraId="3508682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E8FC62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17BBD21" w14:textId="77777777" w:rsidTr="001A5775">
        <w:trPr>
          <w:trHeight w:val="255"/>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3CB518D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0A87470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02BBA2B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35F216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23911FC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0F28BC4"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53134D3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Vitamin-A rich fruits and vegetables</w:t>
            </w:r>
          </w:p>
        </w:tc>
        <w:tc>
          <w:tcPr>
            <w:tcW w:w="287" w:type="dxa"/>
            <w:tcBorders>
              <w:top w:val="nil"/>
              <w:left w:val="nil"/>
              <w:bottom w:val="nil"/>
              <w:right w:val="nil"/>
            </w:tcBorders>
            <w:shd w:val="clear" w:color="000000" w:fill="FFFFFF"/>
            <w:vAlign w:val="center"/>
            <w:hideMark/>
          </w:tcPr>
          <w:p w14:paraId="26851F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C06FB2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0.059 (-0.053;0.171)</w:t>
            </w:r>
          </w:p>
        </w:tc>
        <w:tc>
          <w:tcPr>
            <w:tcW w:w="287" w:type="dxa"/>
            <w:tcBorders>
              <w:top w:val="nil"/>
              <w:left w:val="nil"/>
              <w:bottom w:val="nil"/>
              <w:right w:val="nil"/>
            </w:tcBorders>
            <w:shd w:val="clear" w:color="000000" w:fill="FFFFFF"/>
            <w:vAlign w:val="center"/>
            <w:hideMark/>
          </w:tcPr>
          <w:p w14:paraId="12DE68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795AF19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FE775D3"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63E89F5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6E34BA5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7DDAC9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0.304</w:t>
            </w:r>
          </w:p>
        </w:tc>
        <w:tc>
          <w:tcPr>
            <w:tcW w:w="287" w:type="dxa"/>
            <w:tcBorders>
              <w:top w:val="nil"/>
              <w:left w:val="nil"/>
              <w:bottom w:val="nil"/>
              <w:right w:val="nil"/>
            </w:tcBorders>
            <w:shd w:val="clear" w:color="000000" w:fill="FFFFFF"/>
            <w:vAlign w:val="center"/>
            <w:hideMark/>
          </w:tcPr>
          <w:p w14:paraId="0E3308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6EC3CD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00137DB" w14:textId="77777777" w:rsidTr="001A5775">
        <w:trPr>
          <w:trHeight w:val="255"/>
        </w:trPr>
        <w:tc>
          <w:tcPr>
            <w:tcW w:w="3061" w:type="dxa"/>
            <w:tcBorders>
              <w:top w:val="nil"/>
              <w:left w:val="single" w:sz="4" w:space="0" w:color="auto"/>
              <w:bottom w:val="single" w:sz="4" w:space="0" w:color="auto"/>
              <w:right w:val="single" w:sz="4" w:space="0" w:color="auto"/>
            </w:tcBorders>
            <w:shd w:val="clear" w:color="auto" w:fill="auto"/>
            <w:vAlign w:val="center"/>
            <w:hideMark/>
          </w:tcPr>
          <w:p w14:paraId="2D9FF87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D0AEA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6C9AC5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1E5284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1F47C94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9614FEB"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69C8939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Other fruits and vegetables</w:t>
            </w:r>
          </w:p>
        </w:tc>
        <w:tc>
          <w:tcPr>
            <w:tcW w:w="287" w:type="dxa"/>
            <w:tcBorders>
              <w:top w:val="nil"/>
              <w:left w:val="nil"/>
              <w:bottom w:val="nil"/>
              <w:right w:val="nil"/>
            </w:tcBorders>
            <w:shd w:val="clear" w:color="000000" w:fill="FFFFFF"/>
            <w:vAlign w:val="center"/>
            <w:hideMark/>
          </w:tcPr>
          <w:p w14:paraId="4ED2E93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C48AE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0.103 (0.023;0.183)</w:t>
            </w:r>
          </w:p>
        </w:tc>
        <w:tc>
          <w:tcPr>
            <w:tcW w:w="287" w:type="dxa"/>
            <w:tcBorders>
              <w:top w:val="nil"/>
              <w:left w:val="nil"/>
              <w:bottom w:val="nil"/>
              <w:right w:val="nil"/>
            </w:tcBorders>
            <w:shd w:val="clear" w:color="000000" w:fill="FFFFFF"/>
            <w:vAlign w:val="center"/>
            <w:hideMark/>
          </w:tcPr>
          <w:p w14:paraId="5B5788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4824085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D1C979B" w14:textId="77777777" w:rsidTr="001A5775">
        <w:trPr>
          <w:trHeight w:val="255"/>
        </w:trPr>
        <w:tc>
          <w:tcPr>
            <w:tcW w:w="3061" w:type="dxa"/>
            <w:tcBorders>
              <w:top w:val="nil"/>
              <w:left w:val="single" w:sz="4" w:space="0" w:color="auto"/>
              <w:bottom w:val="nil"/>
              <w:right w:val="single" w:sz="4" w:space="0" w:color="auto"/>
            </w:tcBorders>
            <w:shd w:val="clear" w:color="auto" w:fill="auto"/>
            <w:vAlign w:val="center"/>
            <w:hideMark/>
          </w:tcPr>
          <w:p w14:paraId="1543C17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6360C21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2022B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w:t>
            </w:r>
          </w:p>
        </w:tc>
        <w:tc>
          <w:tcPr>
            <w:tcW w:w="287" w:type="dxa"/>
            <w:tcBorders>
              <w:top w:val="nil"/>
              <w:left w:val="nil"/>
              <w:bottom w:val="nil"/>
              <w:right w:val="nil"/>
            </w:tcBorders>
            <w:shd w:val="clear" w:color="000000" w:fill="FFFFFF"/>
            <w:vAlign w:val="center"/>
            <w:hideMark/>
          </w:tcPr>
          <w:p w14:paraId="7844A92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D1A182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B95BB3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CF10B9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657A56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B716E1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999EE2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152410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B40375D" w14:textId="77777777" w:rsidTr="001A5775">
        <w:trPr>
          <w:trHeight w:val="360"/>
        </w:trPr>
        <w:tc>
          <w:tcPr>
            <w:tcW w:w="9751" w:type="dxa"/>
            <w:gridSpan w:val="5"/>
            <w:tcBorders>
              <w:top w:val="nil"/>
              <w:left w:val="single" w:sz="4" w:space="0" w:color="auto"/>
              <w:bottom w:val="single" w:sz="4" w:space="0" w:color="auto"/>
              <w:right w:val="nil"/>
            </w:tcBorders>
            <w:shd w:val="clear" w:color="000000" w:fill="D9D9D9"/>
            <w:vAlign w:val="center"/>
            <w:hideMark/>
          </w:tcPr>
          <w:p w14:paraId="2A3B97E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Child characteristics</w:t>
            </w:r>
          </w:p>
        </w:tc>
      </w:tr>
      <w:tr w:rsidR="000F5AE4" w:rsidRPr="003D7162" w14:paraId="5D9E3E7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998C39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Low birthweight</w:t>
            </w:r>
          </w:p>
        </w:tc>
        <w:tc>
          <w:tcPr>
            <w:tcW w:w="287" w:type="dxa"/>
            <w:tcBorders>
              <w:top w:val="nil"/>
              <w:left w:val="nil"/>
              <w:bottom w:val="nil"/>
              <w:right w:val="nil"/>
            </w:tcBorders>
            <w:shd w:val="clear" w:color="000000" w:fill="FFFFFF"/>
            <w:vAlign w:val="center"/>
            <w:hideMark/>
          </w:tcPr>
          <w:p w14:paraId="7493C19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377440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-0.744 (-0.89;-0.598)</w:t>
            </w:r>
          </w:p>
        </w:tc>
        <w:tc>
          <w:tcPr>
            <w:tcW w:w="287" w:type="dxa"/>
            <w:tcBorders>
              <w:top w:val="nil"/>
              <w:left w:val="nil"/>
              <w:bottom w:val="nil"/>
              <w:right w:val="nil"/>
            </w:tcBorders>
            <w:shd w:val="clear" w:color="000000" w:fill="FFFFFF"/>
            <w:vAlign w:val="center"/>
            <w:hideMark/>
          </w:tcPr>
          <w:p w14:paraId="7179AFF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64604E0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 (-0.548; -0.253)</w:t>
            </w:r>
          </w:p>
        </w:tc>
      </w:tr>
      <w:tr w:rsidR="000F5AE4" w:rsidRPr="003D7162" w14:paraId="4E85A925"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ACFC9A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287" w:type="dxa"/>
            <w:tcBorders>
              <w:top w:val="nil"/>
              <w:left w:val="nil"/>
              <w:bottom w:val="nil"/>
              <w:right w:val="nil"/>
            </w:tcBorders>
            <w:shd w:val="clear" w:color="000000" w:fill="FFFFFF"/>
            <w:vAlign w:val="center"/>
            <w:hideMark/>
          </w:tcPr>
          <w:p w14:paraId="3077E4C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28FBF3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FA6970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4FD251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585A28A9"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8B6C19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62D8CD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C808C3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A90D7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419DA89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5C601D4" w14:textId="77777777" w:rsidTr="001A5775">
        <w:trPr>
          <w:trHeight w:val="360"/>
        </w:trPr>
        <w:tc>
          <w:tcPr>
            <w:tcW w:w="3061" w:type="dxa"/>
            <w:tcBorders>
              <w:top w:val="nil"/>
              <w:left w:val="single" w:sz="4" w:space="0" w:color="auto"/>
              <w:bottom w:val="single" w:sz="4" w:space="0" w:color="auto"/>
              <w:right w:val="nil"/>
            </w:tcBorders>
            <w:shd w:val="clear" w:color="000000" w:fill="D9D9D9"/>
            <w:vAlign w:val="center"/>
            <w:hideMark/>
          </w:tcPr>
          <w:p w14:paraId="15D6B9E2"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Maternal characteristics</w:t>
            </w:r>
          </w:p>
        </w:tc>
        <w:tc>
          <w:tcPr>
            <w:tcW w:w="287" w:type="dxa"/>
            <w:tcBorders>
              <w:top w:val="nil"/>
              <w:left w:val="nil"/>
              <w:bottom w:val="single" w:sz="4" w:space="0" w:color="auto"/>
              <w:right w:val="nil"/>
            </w:tcBorders>
            <w:shd w:val="clear" w:color="000000" w:fill="D9D9D9"/>
            <w:vAlign w:val="center"/>
            <w:hideMark/>
          </w:tcPr>
          <w:p w14:paraId="69A5C87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nil"/>
            </w:tcBorders>
            <w:shd w:val="clear" w:color="000000" w:fill="D9D9D9"/>
            <w:vAlign w:val="center"/>
            <w:hideMark/>
          </w:tcPr>
          <w:p w14:paraId="1807CA3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7DE51257"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nil"/>
            </w:tcBorders>
            <w:shd w:val="clear" w:color="000000" w:fill="D9D9D9"/>
            <w:vAlign w:val="center"/>
            <w:hideMark/>
          </w:tcPr>
          <w:p w14:paraId="57FD918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1018C1D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840E48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Maternal age</w:t>
            </w:r>
          </w:p>
        </w:tc>
        <w:tc>
          <w:tcPr>
            <w:tcW w:w="287" w:type="dxa"/>
            <w:tcBorders>
              <w:top w:val="nil"/>
              <w:left w:val="nil"/>
              <w:bottom w:val="nil"/>
              <w:right w:val="nil"/>
            </w:tcBorders>
            <w:shd w:val="clear" w:color="000000" w:fill="FFFFFF"/>
            <w:vAlign w:val="center"/>
            <w:hideMark/>
          </w:tcPr>
          <w:p w14:paraId="3C8CDA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2A556D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 (-0.004;0.006)</w:t>
            </w:r>
          </w:p>
        </w:tc>
        <w:tc>
          <w:tcPr>
            <w:tcW w:w="287" w:type="dxa"/>
            <w:tcBorders>
              <w:top w:val="nil"/>
              <w:left w:val="nil"/>
              <w:bottom w:val="nil"/>
              <w:right w:val="nil"/>
            </w:tcBorders>
            <w:shd w:val="clear" w:color="000000" w:fill="FFFFFF"/>
            <w:vAlign w:val="center"/>
            <w:hideMark/>
          </w:tcPr>
          <w:p w14:paraId="1C00CFD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663165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CCFB0C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0D198E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(years)</w:t>
            </w:r>
          </w:p>
        </w:tc>
        <w:tc>
          <w:tcPr>
            <w:tcW w:w="287" w:type="dxa"/>
            <w:tcBorders>
              <w:top w:val="nil"/>
              <w:left w:val="nil"/>
              <w:bottom w:val="nil"/>
              <w:right w:val="nil"/>
            </w:tcBorders>
            <w:shd w:val="clear" w:color="000000" w:fill="FFFFFF"/>
            <w:vAlign w:val="center"/>
            <w:hideMark/>
          </w:tcPr>
          <w:p w14:paraId="23E354B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335F44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0.605</w:t>
            </w:r>
          </w:p>
        </w:tc>
        <w:tc>
          <w:tcPr>
            <w:tcW w:w="287" w:type="dxa"/>
            <w:tcBorders>
              <w:top w:val="nil"/>
              <w:left w:val="nil"/>
              <w:bottom w:val="nil"/>
              <w:right w:val="nil"/>
            </w:tcBorders>
            <w:shd w:val="clear" w:color="000000" w:fill="FFFFFF"/>
            <w:vAlign w:val="center"/>
            <w:hideMark/>
          </w:tcPr>
          <w:p w14:paraId="27E9350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8A4940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F9E82D6" w14:textId="77777777" w:rsidTr="001A5775">
        <w:trPr>
          <w:trHeight w:val="240"/>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6BC984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C2AD6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274C0C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413592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454FC0A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C2B17C7"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F0E201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Adolescent birth (&lt;18 years of age)</w:t>
            </w:r>
          </w:p>
        </w:tc>
        <w:tc>
          <w:tcPr>
            <w:tcW w:w="287" w:type="dxa"/>
            <w:tcBorders>
              <w:top w:val="nil"/>
              <w:left w:val="nil"/>
              <w:bottom w:val="nil"/>
              <w:right w:val="nil"/>
            </w:tcBorders>
            <w:shd w:val="clear" w:color="000000" w:fill="FFFFFF"/>
            <w:vAlign w:val="center"/>
            <w:hideMark/>
          </w:tcPr>
          <w:p w14:paraId="7BF2C03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AC5DDD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-0.304 (-0.41;-0.198)</w:t>
            </w:r>
          </w:p>
        </w:tc>
        <w:tc>
          <w:tcPr>
            <w:tcW w:w="287" w:type="dxa"/>
            <w:tcBorders>
              <w:top w:val="nil"/>
              <w:left w:val="nil"/>
              <w:bottom w:val="nil"/>
              <w:right w:val="nil"/>
            </w:tcBorders>
            <w:shd w:val="clear" w:color="000000" w:fill="FFFFFF"/>
            <w:vAlign w:val="center"/>
            <w:hideMark/>
          </w:tcPr>
          <w:p w14:paraId="03DC80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D4286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B6290B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C3BF88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287" w:type="dxa"/>
            <w:tcBorders>
              <w:top w:val="nil"/>
              <w:left w:val="nil"/>
              <w:bottom w:val="nil"/>
              <w:right w:val="nil"/>
            </w:tcBorders>
            <w:shd w:val="clear" w:color="000000" w:fill="FFFFFF"/>
            <w:vAlign w:val="center"/>
            <w:hideMark/>
          </w:tcPr>
          <w:p w14:paraId="03B9EE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EF597E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ED0D7B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CF0C28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067E099"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F56FC7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71F89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FDEE6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5361F7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48611B7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F53C2E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3C20402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Older mother birth (≥35 years)</w:t>
            </w:r>
          </w:p>
        </w:tc>
        <w:tc>
          <w:tcPr>
            <w:tcW w:w="287" w:type="dxa"/>
            <w:tcBorders>
              <w:top w:val="nil"/>
              <w:left w:val="nil"/>
              <w:bottom w:val="nil"/>
              <w:right w:val="nil"/>
            </w:tcBorders>
            <w:shd w:val="clear" w:color="000000" w:fill="FFFFFF"/>
            <w:vAlign w:val="center"/>
            <w:hideMark/>
          </w:tcPr>
          <w:p w14:paraId="3C49C1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486BC9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-0.044 (-0.139;0.051)</w:t>
            </w:r>
          </w:p>
        </w:tc>
        <w:tc>
          <w:tcPr>
            <w:tcW w:w="287" w:type="dxa"/>
            <w:tcBorders>
              <w:top w:val="nil"/>
              <w:left w:val="nil"/>
              <w:bottom w:val="nil"/>
              <w:right w:val="nil"/>
            </w:tcBorders>
            <w:shd w:val="clear" w:color="000000" w:fill="FFFFFF"/>
            <w:vAlign w:val="center"/>
            <w:hideMark/>
          </w:tcPr>
          <w:p w14:paraId="6FFDC39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shd w:val="clear" w:color="000000" w:fill="FFFFFF"/>
            <w:vAlign w:val="center"/>
            <w:hideMark/>
          </w:tcPr>
          <w:p w14:paraId="754691C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F2CE37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3B6A087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287" w:type="dxa"/>
            <w:tcBorders>
              <w:top w:val="nil"/>
              <w:left w:val="nil"/>
              <w:bottom w:val="nil"/>
              <w:right w:val="nil"/>
            </w:tcBorders>
            <w:shd w:val="clear" w:color="000000" w:fill="FFFFFF"/>
            <w:vAlign w:val="center"/>
            <w:hideMark/>
          </w:tcPr>
          <w:p w14:paraId="6DD4900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EA7517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0.364</w:t>
            </w:r>
          </w:p>
        </w:tc>
        <w:tc>
          <w:tcPr>
            <w:tcW w:w="287" w:type="dxa"/>
            <w:tcBorders>
              <w:top w:val="nil"/>
              <w:left w:val="nil"/>
              <w:bottom w:val="nil"/>
              <w:right w:val="nil"/>
            </w:tcBorders>
            <w:shd w:val="clear" w:color="000000" w:fill="FFFFFF"/>
            <w:vAlign w:val="center"/>
            <w:hideMark/>
          </w:tcPr>
          <w:p w14:paraId="43ECF6C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4C3309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3B6FEE8" w14:textId="77777777" w:rsidTr="001A5775">
        <w:trPr>
          <w:trHeight w:val="270"/>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81ED30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193619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E134C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55B330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6C236A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0A069F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E5DCF2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Anemia during pregnancy</w:t>
            </w:r>
          </w:p>
        </w:tc>
        <w:tc>
          <w:tcPr>
            <w:tcW w:w="287" w:type="dxa"/>
            <w:tcBorders>
              <w:top w:val="nil"/>
              <w:left w:val="nil"/>
              <w:bottom w:val="nil"/>
              <w:right w:val="nil"/>
            </w:tcBorders>
            <w:shd w:val="clear" w:color="000000" w:fill="FFFFFF"/>
            <w:vAlign w:val="center"/>
            <w:hideMark/>
          </w:tcPr>
          <w:p w14:paraId="1FE06F2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014BAF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-0.039 (-0.135;0.058)</w:t>
            </w:r>
          </w:p>
        </w:tc>
        <w:tc>
          <w:tcPr>
            <w:tcW w:w="287" w:type="dxa"/>
            <w:tcBorders>
              <w:top w:val="nil"/>
              <w:left w:val="nil"/>
              <w:bottom w:val="nil"/>
              <w:right w:val="nil"/>
            </w:tcBorders>
            <w:shd w:val="clear" w:color="000000" w:fill="FFFFFF"/>
            <w:vAlign w:val="center"/>
            <w:hideMark/>
          </w:tcPr>
          <w:p w14:paraId="3655EF2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shd w:val="clear" w:color="000000" w:fill="FFFFFF"/>
            <w:vAlign w:val="center"/>
            <w:hideMark/>
          </w:tcPr>
          <w:p w14:paraId="19C5497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A686D0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50D2B3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287" w:type="dxa"/>
            <w:tcBorders>
              <w:top w:val="nil"/>
              <w:left w:val="nil"/>
              <w:bottom w:val="nil"/>
              <w:right w:val="nil"/>
            </w:tcBorders>
            <w:shd w:val="clear" w:color="000000" w:fill="FFFFFF"/>
            <w:vAlign w:val="center"/>
            <w:hideMark/>
          </w:tcPr>
          <w:p w14:paraId="4540206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82791B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0.433</w:t>
            </w:r>
          </w:p>
        </w:tc>
        <w:tc>
          <w:tcPr>
            <w:tcW w:w="287" w:type="dxa"/>
            <w:tcBorders>
              <w:top w:val="nil"/>
              <w:left w:val="nil"/>
              <w:bottom w:val="nil"/>
              <w:right w:val="nil"/>
            </w:tcBorders>
            <w:shd w:val="clear" w:color="000000" w:fill="FFFFFF"/>
            <w:vAlign w:val="center"/>
            <w:hideMark/>
          </w:tcPr>
          <w:p w14:paraId="310EF1B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55B4B6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8E1E884"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32CAC9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3E61C6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DDBBB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1ACB7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A1092F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14179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DA1D5F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Body mass index (kg/m</w:t>
            </w:r>
            <w:r w:rsidRPr="003D7162">
              <w:rPr>
                <w:rFonts w:ascii="Helvetica" w:eastAsia="Times New Roman" w:hAnsi="Helvetica" w:cs="Helvetica"/>
                <w:color w:val="000000"/>
                <w:sz w:val="20"/>
                <w:szCs w:val="20"/>
                <w:vertAlign w:val="superscript"/>
                <w:lang w:eastAsia="en-US"/>
              </w:rPr>
              <w:t>2</w:t>
            </w:r>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349924B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2215F3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0.021 (0.013;0.029)</w:t>
            </w:r>
          </w:p>
        </w:tc>
        <w:tc>
          <w:tcPr>
            <w:tcW w:w="287" w:type="dxa"/>
            <w:tcBorders>
              <w:top w:val="nil"/>
              <w:left w:val="nil"/>
              <w:bottom w:val="nil"/>
              <w:right w:val="nil"/>
            </w:tcBorders>
            <w:shd w:val="clear" w:color="000000" w:fill="FFFFFF"/>
            <w:vAlign w:val="center"/>
            <w:hideMark/>
          </w:tcPr>
          <w:p w14:paraId="054F5ED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50F5E9B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(0.001; 0.019)</w:t>
            </w:r>
          </w:p>
        </w:tc>
      </w:tr>
      <w:tr w:rsidR="000F5AE4" w:rsidRPr="003D7162" w14:paraId="18793E8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EDA4E0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287" w:type="dxa"/>
            <w:tcBorders>
              <w:top w:val="nil"/>
              <w:left w:val="nil"/>
              <w:bottom w:val="nil"/>
              <w:right w:val="nil"/>
            </w:tcBorders>
            <w:shd w:val="clear" w:color="000000" w:fill="FFFFFF"/>
            <w:vAlign w:val="center"/>
            <w:hideMark/>
          </w:tcPr>
          <w:p w14:paraId="47F04F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92C0C0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9D69DB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96D7DA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0.033</w:t>
            </w:r>
          </w:p>
        </w:tc>
      </w:tr>
      <w:tr w:rsidR="000F5AE4" w:rsidRPr="003D7162" w14:paraId="30D21004"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E60FEA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A17758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103F8D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06DDFD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2311A7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DD7D5D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5BD44C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Height (cm)</w:t>
            </w:r>
          </w:p>
        </w:tc>
        <w:tc>
          <w:tcPr>
            <w:tcW w:w="287" w:type="dxa"/>
            <w:tcBorders>
              <w:top w:val="nil"/>
              <w:left w:val="nil"/>
              <w:bottom w:val="nil"/>
              <w:right w:val="nil"/>
            </w:tcBorders>
            <w:shd w:val="clear" w:color="000000" w:fill="FFFFFF"/>
            <w:vAlign w:val="center"/>
            <w:hideMark/>
          </w:tcPr>
          <w:p w14:paraId="4904FA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F047FD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0.074 (0.068;0.08)</w:t>
            </w:r>
          </w:p>
        </w:tc>
        <w:tc>
          <w:tcPr>
            <w:tcW w:w="287" w:type="dxa"/>
            <w:tcBorders>
              <w:top w:val="nil"/>
              <w:left w:val="nil"/>
              <w:bottom w:val="nil"/>
              <w:right w:val="nil"/>
            </w:tcBorders>
            <w:shd w:val="clear" w:color="000000" w:fill="FFFFFF"/>
            <w:vAlign w:val="center"/>
            <w:hideMark/>
          </w:tcPr>
          <w:p w14:paraId="4AAA648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05E06D9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0.058 (0.051; 0.065)</w:t>
            </w:r>
          </w:p>
        </w:tc>
      </w:tr>
      <w:tr w:rsidR="000F5AE4" w:rsidRPr="003D7162" w14:paraId="7BA8856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C33C9F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287" w:type="dxa"/>
            <w:tcBorders>
              <w:top w:val="nil"/>
              <w:left w:val="nil"/>
              <w:bottom w:val="nil"/>
              <w:right w:val="nil"/>
            </w:tcBorders>
            <w:shd w:val="clear" w:color="000000" w:fill="FFFFFF"/>
            <w:vAlign w:val="center"/>
            <w:hideMark/>
          </w:tcPr>
          <w:p w14:paraId="59D6C9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FFAB1F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6F8945B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0453FA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7700D68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B13553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FB8935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6FA511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C04E3C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52A3F52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C1DFC9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632A81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Parity (No. children)</w:t>
            </w:r>
          </w:p>
        </w:tc>
        <w:tc>
          <w:tcPr>
            <w:tcW w:w="287" w:type="dxa"/>
            <w:tcBorders>
              <w:top w:val="nil"/>
              <w:left w:val="nil"/>
              <w:bottom w:val="nil"/>
              <w:right w:val="nil"/>
            </w:tcBorders>
            <w:shd w:val="clear" w:color="000000" w:fill="FFFFFF"/>
            <w:vAlign w:val="center"/>
            <w:hideMark/>
          </w:tcPr>
          <w:p w14:paraId="1067A39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2FCCA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-0.149 (-0.168;-0.129)</w:t>
            </w:r>
          </w:p>
        </w:tc>
        <w:tc>
          <w:tcPr>
            <w:tcW w:w="287" w:type="dxa"/>
            <w:tcBorders>
              <w:top w:val="nil"/>
              <w:left w:val="nil"/>
              <w:bottom w:val="nil"/>
              <w:right w:val="nil"/>
            </w:tcBorders>
            <w:shd w:val="clear" w:color="000000" w:fill="FFFFFF"/>
            <w:vAlign w:val="center"/>
            <w:hideMark/>
          </w:tcPr>
          <w:p w14:paraId="66FDE6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3571718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-0.041 (-0.071; -0.011)</w:t>
            </w:r>
          </w:p>
        </w:tc>
      </w:tr>
      <w:tr w:rsidR="000F5AE4" w:rsidRPr="003D7162" w14:paraId="7237FA40"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570534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287" w:type="dxa"/>
            <w:tcBorders>
              <w:top w:val="nil"/>
              <w:left w:val="nil"/>
              <w:bottom w:val="nil"/>
              <w:right w:val="nil"/>
            </w:tcBorders>
            <w:shd w:val="clear" w:color="000000" w:fill="FFFFFF"/>
            <w:vAlign w:val="center"/>
            <w:hideMark/>
          </w:tcPr>
          <w:p w14:paraId="4137682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5A3F4E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DF69C4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8D72F2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0.008</w:t>
            </w:r>
          </w:p>
        </w:tc>
      </w:tr>
      <w:tr w:rsidR="000F5AE4" w:rsidRPr="003D7162" w14:paraId="332CBDA1"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8884D6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00F49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757A29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A9F28E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6F1BEA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673AC3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67387C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Interpregnancy interval (months)</w:t>
            </w:r>
          </w:p>
        </w:tc>
        <w:tc>
          <w:tcPr>
            <w:tcW w:w="287" w:type="dxa"/>
            <w:tcBorders>
              <w:top w:val="nil"/>
              <w:left w:val="nil"/>
              <w:bottom w:val="nil"/>
              <w:right w:val="nil"/>
            </w:tcBorders>
            <w:shd w:val="clear" w:color="000000" w:fill="FFFFFF"/>
            <w:vAlign w:val="center"/>
            <w:hideMark/>
          </w:tcPr>
          <w:p w14:paraId="292BCEC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0A8961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0.005 (0.004;0.006)</w:t>
            </w:r>
          </w:p>
        </w:tc>
        <w:tc>
          <w:tcPr>
            <w:tcW w:w="287" w:type="dxa"/>
            <w:tcBorders>
              <w:top w:val="nil"/>
              <w:left w:val="nil"/>
              <w:bottom w:val="nil"/>
              <w:right w:val="nil"/>
            </w:tcBorders>
            <w:shd w:val="clear" w:color="000000" w:fill="FFFFFF"/>
            <w:vAlign w:val="center"/>
            <w:hideMark/>
          </w:tcPr>
          <w:p w14:paraId="2E91C1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28BDDA7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0.002 (0.001; 0.003)</w:t>
            </w:r>
          </w:p>
        </w:tc>
      </w:tr>
      <w:tr w:rsidR="000F5AE4" w:rsidRPr="003D7162" w14:paraId="630285B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EA2029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287" w:type="dxa"/>
            <w:tcBorders>
              <w:top w:val="nil"/>
              <w:left w:val="nil"/>
              <w:bottom w:val="nil"/>
              <w:right w:val="nil"/>
            </w:tcBorders>
            <w:shd w:val="clear" w:color="000000" w:fill="FFFFFF"/>
            <w:vAlign w:val="center"/>
            <w:hideMark/>
          </w:tcPr>
          <w:p w14:paraId="584AEB9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D3D06A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393505B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422A120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r>
      <w:tr w:rsidR="000F5AE4" w:rsidRPr="003D7162" w14:paraId="59FC2E3E"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2D16C6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73906A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1C147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EDF009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C2747D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19CA376" w14:textId="77777777" w:rsidTr="001A5775">
        <w:trPr>
          <w:trHeight w:val="405"/>
        </w:trPr>
        <w:tc>
          <w:tcPr>
            <w:tcW w:w="3061" w:type="dxa"/>
            <w:tcBorders>
              <w:top w:val="nil"/>
              <w:left w:val="single" w:sz="4" w:space="0" w:color="auto"/>
              <w:bottom w:val="single" w:sz="4" w:space="0" w:color="auto"/>
              <w:right w:val="nil"/>
            </w:tcBorders>
            <w:shd w:val="clear" w:color="000000" w:fill="D9D9D9"/>
            <w:vAlign w:val="center"/>
            <w:hideMark/>
          </w:tcPr>
          <w:p w14:paraId="3A86D54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287" w:type="dxa"/>
            <w:tcBorders>
              <w:top w:val="nil"/>
              <w:left w:val="nil"/>
              <w:bottom w:val="single" w:sz="4" w:space="0" w:color="auto"/>
              <w:right w:val="nil"/>
            </w:tcBorders>
            <w:shd w:val="clear" w:color="000000" w:fill="D9D9D9"/>
            <w:vAlign w:val="center"/>
            <w:hideMark/>
          </w:tcPr>
          <w:p w14:paraId="61B07C4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D9D9D9"/>
            <w:vAlign w:val="center"/>
            <w:hideMark/>
          </w:tcPr>
          <w:p w14:paraId="4A9B8854"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4BC9D9A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D9D9D9"/>
            <w:vAlign w:val="center"/>
            <w:hideMark/>
          </w:tcPr>
          <w:p w14:paraId="19AECA89"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26.9%</w:t>
            </w:r>
          </w:p>
        </w:tc>
      </w:tr>
      <w:tr w:rsidR="000F5AE4" w:rsidRPr="003D7162" w14:paraId="4156E038" w14:textId="77777777" w:rsidTr="001A5775">
        <w:trPr>
          <w:trHeight w:val="255"/>
        </w:trPr>
        <w:tc>
          <w:tcPr>
            <w:tcW w:w="3061" w:type="dxa"/>
            <w:tcBorders>
              <w:top w:val="nil"/>
              <w:left w:val="single" w:sz="4" w:space="0" w:color="auto"/>
              <w:bottom w:val="single" w:sz="4" w:space="0" w:color="auto"/>
              <w:right w:val="nil"/>
            </w:tcBorders>
            <w:shd w:val="clear" w:color="000000" w:fill="808080"/>
            <w:vAlign w:val="center"/>
            <w:hideMark/>
          </w:tcPr>
          <w:p w14:paraId="5137E0D3"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w:t>
            </w:r>
          </w:p>
        </w:tc>
        <w:tc>
          <w:tcPr>
            <w:tcW w:w="287" w:type="dxa"/>
            <w:tcBorders>
              <w:top w:val="nil"/>
              <w:left w:val="nil"/>
              <w:bottom w:val="single" w:sz="4" w:space="0" w:color="auto"/>
              <w:right w:val="nil"/>
            </w:tcBorders>
            <w:shd w:val="clear" w:color="000000" w:fill="808080"/>
            <w:vAlign w:val="center"/>
            <w:hideMark/>
          </w:tcPr>
          <w:p w14:paraId="67B8DB43"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541" w:type="dxa"/>
            <w:tcBorders>
              <w:top w:val="nil"/>
              <w:left w:val="nil"/>
              <w:bottom w:val="single" w:sz="4" w:space="0" w:color="auto"/>
              <w:right w:val="nil"/>
            </w:tcBorders>
            <w:shd w:val="clear" w:color="000000" w:fill="808080"/>
            <w:vAlign w:val="center"/>
            <w:hideMark/>
          </w:tcPr>
          <w:p w14:paraId="39C086A9"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87" w:type="dxa"/>
            <w:tcBorders>
              <w:top w:val="nil"/>
              <w:left w:val="nil"/>
              <w:bottom w:val="single" w:sz="4" w:space="0" w:color="auto"/>
              <w:right w:val="nil"/>
            </w:tcBorders>
            <w:shd w:val="clear" w:color="000000" w:fill="808080"/>
            <w:vAlign w:val="center"/>
            <w:hideMark/>
          </w:tcPr>
          <w:p w14:paraId="29FADBC2"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3575" w:type="dxa"/>
            <w:tcBorders>
              <w:top w:val="nil"/>
              <w:left w:val="nil"/>
              <w:bottom w:val="single" w:sz="4" w:space="0" w:color="auto"/>
              <w:right w:val="single" w:sz="4" w:space="0" w:color="auto"/>
            </w:tcBorders>
            <w:shd w:val="clear" w:color="000000" w:fill="808080"/>
            <w:vAlign w:val="center"/>
            <w:hideMark/>
          </w:tcPr>
          <w:p w14:paraId="17CD7D91"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r>
      <w:tr w:rsidR="000F5AE4" w:rsidRPr="003D7162" w14:paraId="242F8DBF" w14:textId="77777777" w:rsidTr="001A5775">
        <w:trPr>
          <w:trHeight w:val="255"/>
        </w:trPr>
        <w:tc>
          <w:tcPr>
            <w:tcW w:w="3061" w:type="dxa"/>
            <w:tcBorders>
              <w:top w:val="nil"/>
              <w:left w:val="single" w:sz="4" w:space="0" w:color="auto"/>
              <w:bottom w:val="single" w:sz="4" w:space="0" w:color="auto"/>
              <w:right w:val="nil"/>
            </w:tcBorders>
            <w:shd w:val="clear" w:color="000000" w:fill="D9D9D9"/>
            <w:vAlign w:val="center"/>
            <w:hideMark/>
          </w:tcPr>
          <w:p w14:paraId="3CE4953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Time</w:t>
            </w:r>
          </w:p>
        </w:tc>
        <w:tc>
          <w:tcPr>
            <w:tcW w:w="287" w:type="dxa"/>
            <w:tcBorders>
              <w:top w:val="nil"/>
              <w:left w:val="nil"/>
              <w:bottom w:val="single" w:sz="4" w:space="0" w:color="auto"/>
              <w:right w:val="nil"/>
            </w:tcBorders>
            <w:shd w:val="clear" w:color="000000" w:fill="D9D9D9"/>
            <w:vAlign w:val="center"/>
            <w:hideMark/>
          </w:tcPr>
          <w:p w14:paraId="283C5244"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nil"/>
            </w:tcBorders>
            <w:shd w:val="clear" w:color="000000" w:fill="D9D9D9"/>
            <w:vAlign w:val="center"/>
            <w:hideMark/>
          </w:tcPr>
          <w:p w14:paraId="2D2CCFE6"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2B30723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D9D9D9"/>
            <w:vAlign w:val="center"/>
            <w:hideMark/>
          </w:tcPr>
          <w:p w14:paraId="7C9967C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39FEA4E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F5D987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Year</w:t>
            </w:r>
          </w:p>
        </w:tc>
        <w:tc>
          <w:tcPr>
            <w:tcW w:w="287" w:type="dxa"/>
            <w:tcBorders>
              <w:top w:val="nil"/>
              <w:left w:val="nil"/>
              <w:bottom w:val="nil"/>
              <w:right w:val="nil"/>
            </w:tcBorders>
            <w:shd w:val="clear" w:color="000000" w:fill="FFFFFF"/>
            <w:vAlign w:val="center"/>
            <w:hideMark/>
          </w:tcPr>
          <w:p w14:paraId="54AE59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FA2040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0.017 (0.012;0.021)</w:t>
            </w:r>
          </w:p>
        </w:tc>
        <w:tc>
          <w:tcPr>
            <w:tcW w:w="287" w:type="dxa"/>
            <w:tcBorders>
              <w:top w:val="nil"/>
              <w:left w:val="nil"/>
              <w:bottom w:val="nil"/>
              <w:right w:val="nil"/>
            </w:tcBorders>
            <w:shd w:val="clear" w:color="000000" w:fill="FFFFFF"/>
            <w:vAlign w:val="center"/>
            <w:hideMark/>
          </w:tcPr>
          <w:p w14:paraId="458140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auto" w:fill="auto"/>
            <w:noWrap/>
            <w:vAlign w:val="bottom"/>
            <w:hideMark/>
          </w:tcPr>
          <w:p w14:paraId="0AA6BF1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 (-0.018; -0.004)</w:t>
            </w:r>
          </w:p>
        </w:tc>
      </w:tr>
      <w:tr w:rsidR="000F5AE4" w:rsidRPr="003D7162" w14:paraId="4FB4FE9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9085AC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508F549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5AE007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F5407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5AED8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0.002</w:t>
            </w:r>
          </w:p>
        </w:tc>
      </w:tr>
      <w:tr w:rsidR="000F5AE4" w:rsidRPr="003D7162" w14:paraId="3263EF2B"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D97E15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6AD85F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79F89B1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16367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D7EBEA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bl>
    <w:p w14:paraId="7975A5C2" w14:textId="021FADD8" w:rsidR="000F5AE4" w:rsidRPr="003D7162" w:rsidRDefault="000F5AE4" w:rsidP="000F5AE4">
      <w:pPr>
        <w:rPr>
          <w:rFonts w:ascii="Helvetica" w:hAnsi="Helvetica" w:cs="Helvetica"/>
          <w:lang w:val="en-US" w:eastAsia="es-ES_tradnl"/>
        </w:rPr>
      </w:pPr>
    </w:p>
    <w:p w14:paraId="145CEADF" w14:textId="31200F64" w:rsidR="000F5AE4" w:rsidRDefault="000F5AE4" w:rsidP="000F5AE4">
      <w:pPr>
        <w:rPr>
          <w:rFonts w:ascii="Helvetica" w:hAnsi="Helvetica" w:cs="Helvetica"/>
          <w:lang w:val="en-US" w:eastAsia="es-ES_tradnl"/>
        </w:rPr>
      </w:pPr>
    </w:p>
    <w:p w14:paraId="35FB38E9" w14:textId="01C3045C" w:rsidR="00F927D8" w:rsidRDefault="00F927D8" w:rsidP="000F5AE4">
      <w:pPr>
        <w:rPr>
          <w:rFonts w:ascii="Helvetica" w:hAnsi="Helvetica" w:cs="Helvetica"/>
          <w:lang w:val="en-US" w:eastAsia="es-ES_tradnl"/>
        </w:rPr>
      </w:pPr>
    </w:p>
    <w:p w14:paraId="318AFC5D" w14:textId="2BB8076A" w:rsidR="00F927D8" w:rsidRDefault="00F927D8" w:rsidP="000F5AE4">
      <w:pPr>
        <w:rPr>
          <w:rFonts w:ascii="Helvetica" w:hAnsi="Helvetica" w:cs="Helvetica"/>
          <w:lang w:val="en-US" w:eastAsia="es-ES_tradnl"/>
        </w:rPr>
      </w:pPr>
    </w:p>
    <w:p w14:paraId="4E01385C" w14:textId="42AD7FC9" w:rsidR="00F927D8" w:rsidRDefault="00F927D8" w:rsidP="000F5AE4">
      <w:pPr>
        <w:rPr>
          <w:rFonts w:ascii="Helvetica" w:hAnsi="Helvetica" w:cs="Helvetica"/>
          <w:lang w:val="en-US" w:eastAsia="es-ES_tradnl"/>
        </w:rPr>
      </w:pPr>
    </w:p>
    <w:p w14:paraId="150C1B90" w14:textId="6E506615" w:rsidR="00F927D8" w:rsidRDefault="00F927D8" w:rsidP="000F5AE4">
      <w:pPr>
        <w:rPr>
          <w:rFonts w:ascii="Helvetica" w:hAnsi="Helvetica" w:cs="Helvetica"/>
          <w:lang w:val="en-US" w:eastAsia="es-ES_tradnl"/>
        </w:rPr>
      </w:pPr>
    </w:p>
    <w:p w14:paraId="1D6933D5" w14:textId="3C8F10A7" w:rsidR="00F927D8" w:rsidRDefault="00F927D8" w:rsidP="000F5AE4">
      <w:pPr>
        <w:rPr>
          <w:rFonts w:ascii="Helvetica" w:hAnsi="Helvetica" w:cs="Helvetica"/>
          <w:lang w:val="en-US" w:eastAsia="es-ES_tradnl"/>
        </w:rPr>
      </w:pPr>
    </w:p>
    <w:p w14:paraId="577EA2DE" w14:textId="4071393C" w:rsidR="00F927D8" w:rsidRDefault="00F927D8" w:rsidP="000F5AE4">
      <w:pPr>
        <w:rPr>
          <w:rFonts w:ascii="Helvetica" w:hAnsi="Helvetica" w:cs="Helvetica"/>
          <w:lang w:val="en-US" w:eastAsia="es-ES_tradnl"/>
        </w:rPr>
      </w:pPr>
    </w:p>
    <w:p w14:paraId="52AD99AC" w14:textId="55A7D610" w:rsidR="00F927D8" w:rsidRDefault="00F927D8" w:rsidP="000F5AE4">
      <w:pPr>
        <w:rPr>
          <w:rFonts w:ascii="Helvetica" w:hAnsi="Helvetica" w:cs="Helvetica"/>
          <w:lang w:val="en-US" w:eastAsia="es-ES_tradnl"/>
        </w:rPr>
      </w:pPr>
    </w:p>
    <w:p w14:paraId="22CC1721" w14:textId="28532CCE" w:rsidR="00F927D8" w:rsidRDefault="00F927D8" w:rsidP="000F5AE4">
      <w:pPr>
        <w:rPr>
          <w:rFonts w:ascii="Helvetica" w:hAnsi="Helvetica" w:cs="Helvetica"/>
          <w:lang w:val="en-US" w:eastAsia="es-ES_tradnl"/>
        </w:rPr>
      </w:pPr>
    </w:p>
    <w:p w14:paraId="19EA9E80" w14:textId="6B442EF5" w:rsidR="00F927D8" w:rsidRDefault="00F927D8" w:rsidP="000F5AE4">
      <w:pPr>
        <w:rPr>
          <w:rFonts w:ascii="Helvetica" w:hAnsi="Helvetica" w:cs="Helvetica"/>
          <w:lang w:val="en-US" w:eastAsia="es-ES_tradnl"/>
        </w:rPr>
      </w:pPr>
    </w:p>
    <w:p w14:paraId="31CA65B7" w14:textId="1798DB41" w:rsidR="00F927D8" w:rsidRDefault="00F927D8" w:rsidP="000F5AE4">
      <w:pPr>
        <w:rPr>
          <w:rFonts w:ascii="Helvetica" w:hAnsi="Helvetica" w:cs="Helvetica"/>
          <w:lang w:val="en-US" w:eastAsia="es-ES_tradnl"/>
        </w:rPr>
      </w:pPr>
    </w:p>
    <w:p w14:paraId="5E1FF945" w14:textId="27B3B199" w:rsidR="00F927D8" w:rsidRDefault="00F927D8" w:rsidP="000F5AE4">
      <w:pPr>
        <w:rPr>
          <w:rFonts w:ascii="Helvetica" w:hAnsi="Helvetica" w:cs="Helvetica"/>
          <w:lang w:val="en-US" w:eastAsia="es-ES_tradnl"/>
        </w:rPr>
      </w:pPr>
    </w:p>
    <w:p w14:paraId="33B113E6" w14:textId="7E84D049" w:rsidR="00F927D8" w:rsidRDefault="00F927D8" w:rsidP="000F5AE4">
      <w:pPr>
        <w:rPr>
          <w:rFonts w:ascii="Helvetica" w:hAnsi="Helvetica" w:cs="Helvetica"/>
          <w:lang w:val="en-US" w:eastAsia="es-ES_tradnl"/>
        </w:rPr>
      </w:pPr>
    </w:p>
    <w:p w14:paraId="48378B5D" w14:textId="22E92DE6" w:rsidR="00F927D8" w:rsidRDefault="00F927D8" w:rsidP="000F5AE4">
      <w:pPr>
        <w:rPr>
          <w:rFonts w:ascii="Helvetica" w:hAnsi="Helvetica" w:cs="Helvetica"/>
          <w:lang w:val="en-US" w:eastAsia="es-ES_tradnl"/>
        </w:rPr>
      </w:pPr>
    </w:p>
    <w:p w14:paraId="66929B55" w14:textId="027D7ED2" w:rsidR="00F927D8" w:rsidRDefault="00F927D8" w:rsidP="000F5AE4">
      <w:pPr>
        <w:rPr>
          <w:rFonts w:ascii="Helvetica" w:hAnsi="Helvetica" w:cs="Helvetica"/>
          <w:lang w:val="en-US" w:eastAsia="es-ES_tradnl"/>
        </w:rPr>
      </w:pPr>
    </w:p>
    <w:p w14:paraId="2376F4FD" w14:textId="7A310571" w:rsidR="00F927D8" w:rsidRDefault="00F927D8" w:rsidP="000F5AE4">
      <w:pPr>
        <w:rPr>
          <w:rFonts w:ascii="Helvetica" w:hAnsi="Helvetica" w:cs="Helvetica"/>
          <w:lang w:val="en-US" w:eastAsia="es-ES_tradnl"/>
        </w:rPr>
      </w:pPr>
    </w:p>
    <w:p w14:paraId="45AAB504" w14:textId="19D83059" w:rsidR="00F927D8" w:rsidRDefault="00F927D8" w:rsidP="000F5AE4">
      <w:pPr>
        <w:rPr>
          <w:rFonts w:ascii="Helvetica" w:hAnsi="Helvetica" w:cs="Helvetica"/>
          <w:lang w:val="en-US" w:eastAsia="es-ES_tradnl"/>
        </w:rPr>
      </w:pPr>
    </w:p>
    <w:p w14:paraId="15C3899F" w14:textId="4BAB6F6D" w:rsidR="00F927D8" w:rsidRDefault="00F927D8" w:rsidP="000F5AE4">
      <w:pPr>
        <w:rPr>
          <w:rFonts w:ascii="Helvetica" w:hAnsi="Helvetica" w:cs="Helvetica"/>
          <w:lang w:val="en-US" w:eastAsia="es-ES_tradnl"/>
        </w:rPr>
      </w:pPr>
    </w:p>
    <w:p w14:paraId="0ADE8C8E" w14:textId="61FB9329" w:rsidR="00F927D8" w:rsidRDefault="00F927D8" w:rsidP="000F5AE4">
      <w:pPr>
        <w:rPr>
          <w:rFonts w:ascii="Helvetica" w:hAnsi="Helvetica" w:cs="Helvetica"/>
          <w:lang w:val="en-US" w:eastAsia="es-ES_tradnl"/>
        </w:rPr>
      </w:pPr>
    </w:p>
    <w:p w14:paraId="0B496EF4" w14:textId="25B5A137" w:rsidR="00F927D8" w:rsidRDefault="00F927D8" w:rsidP="000F5AE4">
      <w:pPr>
        <w:rPr>
          <w:rFonts w:ascii="Helvetica" w:hAnsi="Helvetica" w:cs="Helvetica"/>
          <w:lang w:val="en-US" w:eastAsia="es-ES_tradnl"/>
        </w:rPr>
      </w:pPr>
    </w:p>
    <w:p w14:paraId="43F67BA5" w14:textId="7B2EEF92" w:rsidR="00F927D8" w:rsidRDefault="00F927D8" w:rsidP="000F5AE4">
      <w:pPr>
        <w:rPr>
          <w:rFonts w:ascii="Helvetica" w:hAnsi="Helvetica" w:cs="Helvetica"/>
          <w:lang w:val="en-US" w:eastAsia="es-ES_tradnl"/>
        </w:rPr>
      </w:pPr>
    </w:p>
    <w:p w14:paraId="52A9A029" w14:textId="79CAA45B" w:rsidR="00F927D8" w:rsidRDefault="00F927D8" w:rsidP="000F5AE4">
      <w:pPr>
        <w:rPr>
          <w:rFonts w:ascii="Helvetica" w:hAnsi="Helvetica" w:cs="Helvetica"/>
          <w:lang w:val="en-US" w:eastAsia="es-ES_tradnl"/>
        </w:rPr>
      </w:pPr>
    </w:p>
    <w:p w14:paraId="6E1040A0" w14:textId="7429B120" w:rsidR="00F927D8" w:rsidRDefault="00F927D8" w:rsidP="000F5AE4">
      <w:pPr>
        <w:rPr>
          <w:rFonts w:ascii="Helvetica" w:hAnsi="Helvetica" w:cs="Helvetica"/>
          <w:lang w:val="en-US" w:eastAsia="es-ES_tradnl"/>
        </w:rPr>
      </w:pPr>
    </w:p>
    <w:p w14:paraId="7E7CFFE9" w14:textId="0D8EAB08" w:rsidR="00F927D8" w:rsidRDefault="00F927D8" w:rsidP="000F5AE4">
      <w:pPr>
        <w:rPr>
          <w:rFonts w:ascii="Helvetica" w:hAnsi="Helvetica" w:cs="Helvetica"/>
          <w:lang w:val="en-US" w:eastAsia="es-ES_tradnl"/>
        </w:rPr>
      </w:pPr>
    </w:p>
    <w:p w14:paraId="354407C8" w14:textId="7605ED00" w:rsidR="00F927D8" w:rsidRDefault="00F927D8" w:rsidP="000F5AE4">
      <w:pPr>
        <w:rPr>
          <w:rFonts w:ascii="Helvetica" w:hAnsi="Helvetica" w:cs="Helvetica"/>
          <w:lang w:val="en-US" w:eastAsia="es-ES_tradnl"/>
        </w:rPr>
      </w:pPr>
    </w:p>
    <w:p w14:paraId="5C620D83" w14:textId="6969E3DF" w:rsidR="00F927D8" w:rsidRDefault="00F927D8" w:rsidP="000F5AE4">
      <w:pPr>
        <w:rPr>
          <w:rFonts w:ascii="Helvetica" w:hAnsi="Helvetica" w:cs="Helvetica"/>
          <w:lang w:val="en-US" w:eastAsia="es-ES_tradnl"/>
        </w:rPr>
      </w:pPr>
    </w:p>
    <w:p w14:paraId="1E57E0CB" w14:textId="5F4AAAD2" w:rsidR="00F927D8" w:rsidRDefault="00F927D8" w:rsidP="000F5AE4">
      <w:pPr>
        <w:rPr>
          <w:rFonts w:ascii="Helvetica" w:hAnsi="Helvetica" w:cs="Helvetica"/>
          <w:lang w:val="en-US" w:eastAsia="es-ES_tradnl"/>
        </w:rPr>
      </w:pPr>
    </w:p>
    <w:p w14:paraId="4E882297" w14:textId="4E4ADF61" w:rsidR="00F927D8" w:rsidRDefault="00F927D8" w:rsidP="000F5AE4">
      <w:pPr>
        <w:rPr>
          <w:rFonts w:ascii="Helvetica" w:hAnsi="Helvetica" w:cs="Helvetica"/>
          <w:lang w:val="en-US" w:eastAsia="es-ES_tradnl"/>
        </w:rPr>
      </w:pPr>
    </w:p>
    <w:p w14:paraId="296862DB" w14:textId="77777777" w:rsidR="00F927D8" w:rsidRPr="003D7162" w:rsidRDefault="00F927D8" w:rsidP="000F5AE4">
      <w:pPr>
        <w:rPr>
          <w:rFonts w:ascii="Helvetica" w:hAnsi="Helvetica" w:cs="Helvetica"/>
          <w:lang w:val="en-US" w:eastAsia="es-ES_tradnl"/>
        </w:rPr>
      </w:pPr>
    </w:p>
    <w:p w14:paraId="2A62705E" w14:textId="3A2D4FAB" w:rsidR="00265001" w:rsidRPr="003D7162" w:rsidRDefault="00265001" w:rsidP="00265001">
      <w:pPr>
        <w:pStyle w:val="Heading2"/>
        <w:rPr>
          <w:rFonts w:cs="Helvetica"/>
          <w:szCs w:val="24"/>
        </w:rPr>
      </w:pPr>
      <w:bookmarkStart w:id="38" w:name="_Toc40953328"/>
      <w:bookmarkStart w:id="39" w:name="_Toc516759413"/>
      <w:r>
        <w:rPr>
          <w:rFonts w:cs="Helvetica"/>
          <w:b/>
          <w:szCs w:val="24"/>
        </w:rPr>
        <w:t xml:space="preserve">Supplementary </w:t>
      </w:r>
      <w:r w:rsidRPr="003D7162">
        <w:rPr>
          <w:rFonts w:cs="Helvetica"/>
          <w:b/>
          <w:szCs w:val="24"/>
        </w:rPr>
        <w:t xml:space="preserve">Appendix </w:t>
      </w:r>
      <w:r>
        <w:rPr>
          <w:rFonts w:cs="Helvetica"/>
          <w:b/>
          <w:szCs w:val="24"/>
        </w:rPr>
        <w:t>Table</w:t>
      </w:r>
      <w:r w:rsidRPr="003D7162">
        <w:rPr>
          <w:rFonts w:cs="Helvetica"/>
          <w:b/>
          <w:szCs w:val="24"/>
        </w:rPr>
        <w:t xml:space="preserve"> </w:t>
      </w:r>
      <w:r>
        <w:rPr>
          <w:rFonts w:cs="Helvetica"/>
          <w:b/>
          <w:szCs w:val="24"/>
        </w:rPr>
        <w:t>10</w:t>
      </w:r>
      <w:r w:rsidRPr="003D7162">
        <w:rPr>
          <w:rFonts w:cs="Helvetica"/>
          <w:b/>
          <w:szCs w:val="24"/>
        </w:rPr>
        <w:t>:</w:t>
      </w:r>
      <w:r w:rsidRPr="003D7162">
        <w:rPr>
          <w:rFonts w:cs="Helvetica"/>
          <w:szCs w:val="24"/>
        </w:rPr>
        <w:t xml:space="preserve"> Hierarchical linear regression models for children 24 – 59 months using individual DHS datasets, period 2000-2016</w:t>
      </w:r>
      <w:bookmarkEnd w:id="38"/>
      <w:r w:rsidRPr="003D7162">
        <w:rPr>
          <w:rFonts w:cs="Helvetica"/>
          <w:szCs w:val="24"/>
        </w:rPr>
        <w:t xml:space="preserve"> </w:t>
      </w:r>
    </w:p>
    <w:p w14:paraId="1D7D9A38" w14:textId="77777777" w:rsidR="00265001" w:rsidRPr="003D7162" w:rsidRDefault="00265001" w:rsidP="00265001">
      <w:pPr>
        <w:rPr>
          <w:rFonts w:ascii="Helvetica" w:hAnsi="Helvetica" w:cs="Helvetica"/>
        </w:rPr>
      </w:pPr>
    </w:p>
    <w:tbl>
      <w:tblPr>
        <w:tblW w:w="9911" w:type="dxa"/>
        <w:tblLook w:val="04A0" w:firstRow="1" w:lastRow="0" w:firstColumn="1" w:lastColumn="0" w:noHBand="0" w:noVBand="1"/>
      </w:tblPr>
      <w:tblGrid>
        <w:gridCol w:w="2950"/>
        <w:gridCol w:w="352"/>
        <w:gridCol w:w="2930"/>
        <w:gridCol w:w="352"/>
        <w:gridCol w:w="3327"/>
      </w:tblGrid>
      <w:tr w:rsidR="00265001" w:rsidRPr="003D7162" w14:paraId="4A31E3EE" w14:textId="77777777" w:rsidTr="00BB6575">
        <w:trPr>
          <w:trHeight w:val="450"/>
        </w:trPr>
        <w:tc>
          <w:tcPr>
            <w:tcW w:w="2950" w:type="dxa"/>
            <w:vMerge w:val="restart"/>
            <w:tcBorders>
              <w:top w:val="single" w:sz="4" w:space="0" w:color="auto"/>
              <w:left w:val="single" w:sz="4" w:space="0" w:color="auto"/>
              <w:bottom w:val="single" w:sz="4" w:space="0" w:color="000000"/>
              <w:right w:val="single" w:sz="4" w:space="0" w:color="auto"/>
            </w:tcBorders>
            <w:shd w:val="clear" w:color="000000" w:fill="808080"/>
            <w:vAlign w:val="center"/>
            <w:hideMark/>
          </w:tcPr>
          <w:p w14:paraId="76922889" w14:textId="77777777" w:rsidR="00265001" w:rsidRPr="003D7162" w:rsidRDefault="00265001" w:rsidP="00BB6575">
            <w:pPr>
              <w:jc w:val="cente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Domain/Indicator</w:t>
            </w:r>
          </w:p>
        </w:tc>
        <w:tc>
          <w:tcPr>
            <w:tcW w:w="6961" w:type="dxa"/>
            <w:gridSpan w:val="4"/>
            <w:tcBorders>
              <w:top w:val="nil"/>
              <w:left w:val="nil"/>
              <w:bottom w:val="nil"/>
              <w:right w:val="nil"/>
            </w:tcBorders>
            <w:shd w:val="clear" w:color="000000" w:fill="808080"/>
            <w:vAlign w:val="bottom"/>
            <w:hideMark/>
          </w:tcPr>
          <w:p w14:paraId="602A19F0" w14:textId="77777777" w:rsidR="00265001" w:rsidRPr="003D7162" w:rsidRDefault="00265001" w:rsidP="00BB65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Outcome = HAZ</w:t>
            </w:r>
          </w:p>
        </w:tc>
      </w:tr>
      <w:tr w:rsidR="00265001" w:rsidRPr="003D7162" w14:paraId="54486C22" w14:textId="77777777" w:rsidTr="00BB6575">
        <w:trPr>
          <w:trHeight w:val="465"/>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7701EFD5" w14:textId="77777777" w:rsidR="00265001" w:rsidRPr="003D7162" w:rsidRDefault="00265001" w:rsidP="00BB6575">
            <w:pPr>
              <w:rPr>
                <w:rFonts w:ascii="Helvetica" w:eastAsia="Times New Roman" w:hAnsi="Helvetica" w:cs="Helvetica"/>
                <w:b/>
                <w:bCs/>
                <w:color w:val="FFFFFF"/>
                <w:szCs w:val="22"/>
                <w:lang w:eastAsia="en-US"/>
              </w:rPr>
            </w:pPr>
          </w:p>
        </w:tc>
        <w:tc>
          <w:tcPr>
            <w:tcW w:w="6961" w:type="dxa"/>
            <w:gridSpan w:val="4"/>
            <w:tcBorders>
              <w:top w:val="nil"/>
              <w:left w:val="nil"/>
              <w:bottom w:val="nil"/>
              <w:right w:val="nil"/>
            </w:tcBorders>
            <w:shd w:val="clear" w:color="000000" w:fill="808080"/>
            <w:hideMark/>
          </w:tcPr>
          <w:p w14:paraId="205ABE6F" w14:textId="77777777" w:rsidR="00265001" w:rsidRPr="003D7162" w:rsidRDefault="00265001" w:rsidP="00BB65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(Height for age z-score  among 24 months and above children)</w:t>
            </w:r>
          </w:p>
        </w:tc>
      </w:tr>
      <w:tr w:rsidR="00265001" w:rsidRPr="003D7162" w14:paraId="18427AE3" w14:textId="77777777" w:rsidTr="00BB6575">
        <w:trPr>
          <w:trHeight w:val="495"/>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79693CF3" w14:textId="77777777" w:rsidR="00265001" w:rsidRPr="003D7162" w:rsidRDefault="00265001" w:rsidP="00BB6575">
            <w:pPr>
              <w:rPr>
                <w:rFonts w:ascii="Helvetica" w:eastAsia="Times New Roman" w:hAnsi="Helvetica" w:cs="Helvetica"/>
                <w:b/>
                <w:bCs/>
                <w:color w:val="FFFFFF"/>
                <w:szCs w:val="22"/>
                <w:lang w:eastAsia="en-US"/>
              </w:rPr>
            </w:pPr>
          </w:p>
        </w:tc>
        <w:tc>
          <w:tcPr>
            <w:tcW w:w="6961" w:type="dxa"/>
            <w:gridSpan w:val="4"/>
            <w:tcBorders>
              <w:top w:val="nil"/>
              <w:left w:val="nil"/>
              <w:bottom w:val="single" w:sz="4" w:space="0" w:color="auto"/>
              <w:right w:val="nil"/>
            </w:tcBorders>
            <w:shd w:val="clear" w:color="000000" w:fill="808080"/>
            <w:vAlign w:val="center"/>
            <w:hideMark/>
          </w:tcPr>
          <w:p w14:paraId="555425FF" w14:textId="77777777" w:rsidR="00265001" w:rsidRPr="003D7162" w:rsidRDefault="00265001" w:rsidP="00BB65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Period 2000 and 2016</w:t>
            </w:r>
          </w:p>
        </w:tc>
      </w:tr>
      <w:tr w:rsidR="00265001" w:rsidRPr="003D7162" w14:paraId="45AE10D4" w14:textId="77777777" w:rsidTr="00BB6575">
        <w:trPr>
          <w:trHeight w:val="630"/>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4971025F" w14:textId="77777777" w:rsidR="00265001" w:rsidRPr="003D7162" w:rsidRDefault="00265001" w:rsidP="00BB6575">
            <w:pPr>
              <w:rPr>
                <w:rFonts w:ascii="Helvetica" w:eastAsia="Times New Roman" w:hAnsi="Helvetica" w:cs="Helvetica"/>
                <w:b/>
                <w:bCs/>
                <w:color w:val="FFFFFF"/>
                <w:szCs w:val="22"/>
                <w:lang w:eastAsia="en-US"/>
              </w:rPr>
            </w:pPr>
          </w:p>
        </w:tc>
        <w:tc>
          <w:tcPr>
            <w:tcW w:w="3282" w:type="dxa"/>
            <w:gridSpan w:val="2"/>
            <w:tcBorders>
              <w:top w:val="single" w:sz="4" w:space="0" w:color="auto"/>
              <w:left w:val="nil"/>
              <w:bottom w:val="single" w:sz="4" w:space="0" w:color="auto"/>
              <w:right w:val="single" w:sz="4" w:space="0" w:color="000000"/>
            </w:tcBorders>
            <w:shd w:val="clear" w:color="000000" w:fill="808080"/>
            <w:vAlign w:val="center"/>
            <w:hideMark/>
          </w:tcPr>
          <w:p w14:paraId="0F74E14A" w14:textId="77777777" w:rsidR="00265001" w:rsidRPr="003D7162" w:rsidRDefault="00265001" w:rsidP="00BB65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Time-adjusted regression coefficient</w:t>
            </w:r>
          </w:p>
        </w:tc>
        <w:tc>
          <w:tcPr>
            <w:tcW w:w="3679" w:type="dxa"/>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11F38125" w14:textId="77777777" w:rsidR="00265001" w:rsidRPr="003D7162" w:rsidRDefault="00265001" w:rsidP="00BB6575">
            <w:pPr>
              <w:jc w:val="center"/>
              <w:rPr>
                <w:rFonts w:ascii="Helvetica" w:eastAsia="Times New Roman" w:hAnsi="Helvetica" w:cs="Helvetica"/>
                <w:b/>
                <w:bCs/>
                <w:color w:val="FFFFFF"/>
                <w:sz w:val="20"/>
                <w:szCs w:val="20"/>
                <w:vertAlign w:val="superscript"/>
                <w:lang w:eastAsia="en-US"/>
              </w:rPr>
            </w:pPr>
            <w:r w:rsidRPr="003D7162">
              <w:rPr>
                <w:rFonts w:ascii="Helvetica" w:eastAsia="Times New Roman" w:hAnsi="Helvetica" w:cs="Helvetica"/>
                <w:b/>
                <w:bCs/>
                <w:color w:val="FFFFFF"/>
                <w:sz w:val="20"/>
                <w:szCs w:val="20"/>
                <w:lang w:eastAsia="en-US"/>
              </w:rPr>
              <w:t xml:space="preserve">Time- and confounder-adjusted </w:t>
            </w:r>
            <w:r w:rsidRPr="003D7162">
              <w:rPr>
                <w:rFonts w:ascii="Helvetica" w:eastAsia="Times New Roman" w:hAnsi="Helvetica" w:cs="Helvetica"/>
                <w:b/>
                <w:bCs/>
                <w:color w:val="FFFFFF"/>
                <w:sz w:val="20"/>
                <w:szCs w:val="20"/>
                <w:lang w:eastAsia="en-US"/>
              </w:rPr>
              <w:br/>
              <w:t>regression coefficient</w:t>
            </w:r>
            <w:r w:rsidRPr="003D7162">
              <w:rPr>
                <w:rFonts w:ascii="Helvetica" w:eastAsia="Times New Roman" w:hAnsi="Helvetica" w:cs="Helvetica"/>
                <w:b/>
                <w:bCs/>
                <w:color w:val="FFFFFF"/>
                <w:sz w:val="20"/>
                <w:szCs w:val="20"/>
                <w:vertAlign w:val="superscript"/>
                <w:lang w:eastAsia="en-US"/>
              </w:rPr>
              <w:t>1</w:t>
            </w:r>
          </w:p>
        </w:tc>
      </w:tr>
      <w:tr w:rsidR="00265001" w:rsidRPr="003D7162" w14:paraId="0D9A9B57" w14:textId="77777777" w:rsidTr="00BB6575">
        <w:trPr>
          <w:trHeight w:val="540"/>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41C86B2F" w14:textId="77777777" w:rsidR="00265001" w:rsidRPr="003D7162" w:rsidRDefault="00265001" w:rsidP="00BB6575">
            <w:pPr>
              <w:rPr>
                <w:rFonts w:ascii="Helvetica" w:eastAsia="Times New Roman" w:hAnsi="Helvetica" w:cs="Helvetica"/>
                <w:b/>
                <w:bCs/>
                <w:color w:val="FFFFFF"/>
                <w:szCs w:val="22"/>
                <w:lang w:eastAsia="en-US"/>
              </w:rPr>
            </w:pPr>
          </w:p>
        </w:tc>
        <w:tc>
          <w:tcPr>
            <w:tcW w:w="352" w:type="dxa"/>
            <w:vMerge w:val="restart"/>
            <w:tcBorders>
              <w:top w:val="nil"/>
              <w:left w:val="single" w:sz="4" w:space="0" w:color="auto"/>
              <w:bottom w:val="single" w:sz="4" w:space="0" w:color="000000"/>
              <w:right w:val="nil"/>
            </w:tcBorders>
            <w:shd w:val="clear" w:color="000000" w:fill="808080"/>
            <w:vAlign w:val="center"/>
            <w:hideMark/>
          </w:tcPr>
          <w:p w14:paraId="40C4BF91"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930" w:type="dxa"/>
            <w:tcBorders>
              <w:top w:val="nil"/>
              <w:left w:val="nil"/>
              <w:bottom w:val="nil"/>
              <w:right w:val="single" w:sz="4" w:space="0" w:color="auto"/>
            </w:tcBorders>
            <w:shd w:val="clear" w:color="000000" w:fill="808080"/>
            <w:vAlign w:val="center"/>
            <w:hideMark/>
          </w:tcPr>
          <w:p w14:paraId="56F6012E"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b estimate (95% CI)</w:t>
            </w:r>
          </w:p>
        </w:tc>
        <w:tc>
          <w:tcPr>
            <w:tcW w:w="352" w:type="dxa"/>
            <w:vMerge w:val="restart"/>
            <w:tcBorders>
              <w:top w:val="single" w:sz="4" w:space="0" w:color="auto"/>
              <w:left w:val="single" w:sz="4" w:space="0" w:color="auto"/>
              <w:bottom w:val="single" w:sz="4" w:space="0" w:color="000000"/>
              <w:right w:val="nil"/>
            </w:tcBorders>
            <w:shd w:val="clear" w:color="000000" w:fill="808080"/>
            <w:vAlign w:val="center"/>
            <w:hideMark/>
          </w:tcPr>
          <w:p w14:paraId="369823F1"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3327" w:type="dxa"/>
            <w:tcBorders>
              <w:top w:val="single" w:sz="4" w:space="0" w:color="auto"/>
              <w:left w:val="nil"/>
              <w:bottom w:val="nil"/>
              <w:right w:val="single" w:sz="4" w:space="0" w:color="auto"/>
            </w:tcBorders>
            <w:shd w:val="clear" w:color="000000" w:fill="808080"/>
            <w:vAlign w:val="center"/>
            <w:hideMark/>
          </w:tcPr>
          <w:p w14:paraId="05A7B36A"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xml:space="preserve">b estimate (95% CI) </w:t>
            </w:r>
          </w:p>
        </w:tc>
      </w:tr>
      <w:tr w:rsidR="00265001" w:rsidRPr="003D7162" w14:paraId="6DE8E9A8" w14:textId="77777777" w:rsidTr="00BB6575">
        <w:trPr>
          <w:trHeight w:val="330"/>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7F46040F" w14:textId="77777777" w:rsidR="00265001" w:rsidRPr="003D7162" w:rsidRDefault="00265001" w:rsidP="00BB6575">
            <w:pPr>
              <w:rPr>
                <w:rFonts w:ascii="Helvetica" w:eastAsia="Times New Roman" w:hAnsi="Helvetica" w:cs="Helvetica"/>
                <w:b/>
                <w:bCs/>
                <w:color w:val="FFFFFF"/>
                <w:szCs w:val="22"/>
                <w:lang w:eastAsia="en-US"/>
              </w:rPr>
            </w:pPr>
          </w:p>
        </w:tc>
        <w:tc>
          <w:tcPr>
            <w:tcW w:w="352" w:type="dxa"/>
            <w:vMerge/>
            <w:tcBorders>
              <w:top w:val="nil"/>
              <w:left w:val="single" w:sz="4" w:space="0" w:color="auto"/>
              <w:bottom w:val="single" w:sz="4" w:space="0" w:color="000000"/>
              <w:right w:val="nil"/>
            </w:tcBorders>
            <w:vAlign w:val="center"/>
            <w:hideMark/>
          </w:tcPr>
          <w:p w14:paraId="3C16C124" w14:textId="77777777" w:rsidR="00265001" w:rsidRPr="003D7162" w:rsidRDefault="00265001" w:rsidP="00BB6575">
            <w:pPr>
              <w:rPr>
                <w:rFonts w:ascii="Helvetica" w:eastAsia="Times New Roman" w:hAnsi="Helvetica" w:cs="Helvetica"/>
                <w:color w:val="FFFFFF"/>
                <w:sz w:val="20"/>
                <w:szCs w:val="20"/>
                <w:lang w:eastAsia="en-US"/>
              </w:rPr>
            </w:pPr>
          </w:p>
        </w:tc>
        <w:tc>
          <w:tcPr>
            <w:tcW w:w="2930" w:type="dxa"/>
            <w:tcBorders>
              <w:top w:val="nil"/>
              <w:left w:val="nil"/>
              <w:bottom w:val="nil"/>
              <w:right w:val="single" w:sz="4" w:space="0" w:color="auto"/>
            </w:tcBorders>
            <w:shd w:val="clear" w:color="000000" w:fill="808080"/>
            <w:hideMark/>
          </w:tcPr>
          <w:p w14:paraId="4FFC4823" w14:textId="77777777" w:rsidR="00265001" w:rsidRPr="003D7162" w:rsidRDefault="00265001" w:rsidP="00BB65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-value</w:t>
            </w:r>
          </w:p>
        </w:tc>
        <w:tc>
          <w:tcPr>
            <w:tcW w:w="352" w:type="dxa"/>
            <w:vMerge/>
            <w:tcBorders>
              <w:top w:val="single" w:sz="4" w:space="0" w:color="auto"/>
              <w:left w:val="single" w:sz="4" w:space="0" w:color="auto"/>
              <w:bottom w:val="single" w:sz="4" w:space="0" w:color="000000"/>
              <w:right w:val="nil"/>
            </w:tcBorders>
            <w:vAlign w:val="center"/>
            <w:hideMark/>
          </w:tcPr>
          <w:p w14:paraId="1C683A30" w14:textId="77777777" w:rsidR="00265001" w:rsidRPr="003D7162" w:rsidRDefault="00265001" w:rsidP="00BB6575">
            <w:pPr>
              <w:rPr>
                <w:rFonts w:ascii="Helvetica" w:eastAsia="Times New Roman" w:hAnsi="Helvetica" w:cs="Helvetica"/>
                <w:color w:val="FFFFFF"/>
                <w:sz w:val="20"/>
                <w:szCs w:val="20"/>
                <w:lang w:eastAsia="en-US"/>
              </w:rPr>
            </w:pPr>
          </w:p>
        </w:tc>
        <w:tc>
          <w:tcPr>
            <w:tcW w:w="3327" w:type="dxa"/>
            <w:tcBorders>
              <w:top w:val="nil"/>
              <w:left w:val="nil"/>
              <w:bottom w:val="nil"/>
              <w:right w:val="single" w:sz="4" w:space="0" w:color="auto"/>
            </w:tcBorders>
            <w:shd w:val="clear" w:color="000000" w:fill="808080"/>
            <w:hideMark/>
          </w:tcPr>
          <w:p w14:paraId="658D0440" w14:textId="77777777" w:rsidR="00265001" w:rsidRPr="003D7162" w:rsidRDefault="00265001" w:rsidP="00BB65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-value</w:t>
            </w:r>
          </w:p>
        </w:tc>
      </w:tr>
      <w:tr w:rsidR="00265001" w:rsidRPr="003D7162" w14:paraId="5539B848" w14:textId="77777777" w:rsidTr="00BB6575">
        <w:trPr>
          <w:trHeight w:val="345"/>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1B58CD24" w14:textId="77777777" w:rsidR="00265001" w:rsidRPr="003D7162" w:rsidRDefault="00265001" w:rsidP="00BB6575">
            <w:pPr>
              <w:rPr>
                <w:rFonts w:ascii="Helvetica" w:eastAsia="Times New Roman" w:hAnsi="Helvetica" w:cs="Helvetica"/>
                <w:b/>
                <w:bCs/>
                <w:color w:val="FFFFFF"/>
                <w:szCs w:val="22"/>
                <w:lang w:eastAsia="en-US"/>
              </w:rPr>
            </w:pPr>
          </w:p>
        </w:tc>
        <w:tc>
          <w:tcPr>
            <w:tcW w:w="352" w:type="dxa"/>
            <w:vMerge/>
            <w:tcBorders>
              <w:top w:val="nil"/>
              <w:left w:val="single" w:sz="4" w:space="0" w:color="auto"/>
              <w:bottom w:val="single" w:sz="4" w:space="0" w:color="000000"/>
              <w:right w:val="nil"/>
            </w:tcBorders>
            <w:vAlign w:val="center"/>
            <w:hideMark/>
          </w:tcPr>
          <w:p w14:paraId="38C2A257" w14:textId="77777777" w:rsidR="00265001" w:rsidRPr="003D7162" w:rsidRDefault="00265001" w:rsidP="00BB6575">
            <w:pPr>
              <w:rPr>
                <w:rFonts w:ascii="Helvetica" w:eastAsia="Times New Roman" w:hAnsi="Helvetica" w:cs="Helvetica"/>
                <w:color w:val="FFFFFF"/>
                <w:sz w:val="20"/>
                <w:szCs w:val="20"/>
                <w:lang w:eastAsia="en-US"/>
              </w:rPr>
            </w:pPr>
          </w:p>
        </w:tc>
        <w:tc>
          <w:tcPr>
            <w:tcW w:w="2930" w:type="dxa"/>
            <w:tcBorders>
              <w:top w:val="nil"/>
              <w:left w:val="nil"/>
              <w:bottom w:val="single" w:sz="4" w:space="0" w:color="auto"/>
              <w:right w:val="single" w:sz="4" w:space="0" w:color="auto"/>
            </w:tcBorders>
            <w:shd w:val="clear" w:color="000000" w:fill="808080"/>
            <w:hideMark/>
          </w:tcPr>
          <w:p w14:paraId="1DDAA94B"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352" w:type="dxa"/>
            <w:vMerge/>
            <w:tcBorders>
              <w:top w:val="single" w:sz="4" w:space="0" w:color="auto"/>
              <w:left w:val="single" w:sz="4" w:space="0" w:color="auto"/>
              <w:bottom w:val="single" w:sz="4" w:space="0" w:color="000000"/>
              <w:right w:val="nil"/>
            </w:tcBorders>
            <w:vAlign w:val="center"/>
            <w:hideMark/>
          </w:tcPr>
          <w:p w14:paraId="689D52DF" w14:textId="77777777" w:rsidR="00265001" w:rsidRPr="003D7162" w:rsidRDefault="00265001" w:rsidP="00BB6575">
            <w:pPr>
              <w:rPr>
                <w:rFonts w:ascii="Helvetica" w:eastAsia="Times New Roman" w:hAnsi="Helvetica" w:cs="Helvetica"/>
                <w:color w:val="FFFFFF"/>
                <w:sz w:val="20"/>
                <w:szCs w:val="20"/>
                <w:lang w:eastAsia="en-US"/>
              </w:rPr>
            </w:pPr>
          </w:p>
        </w:tc>
        <w:tc>
          <w:tcPr>
            <w:tcW w:w="3327" w:type="dxa"/>
            <w:tcBorders>
              <w:top w:val="nil"/>
              <w:left w:val="nil"/>
              <w:bottom w:val="single" w:sz="4" w:space="0" w:color="auto"/>
              <w:right w:val="single" w:sz="4" w:space="0" w:color="auto"/>
            </w:tcBorders>
            <w:shd w:val="clear" w:color="000000" w:fill="808080"/>
            <w:hideMark/>
          </w:tcPr>
          <w:p w14:paraId="768130CA"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r>
      <w:tr w:rsidR="00265001" w:rsidRPr="003D7162" w14:paraId="4607A195" w14:textId="77777777" w:rsidTr="00BB6575">
        <w:trPr>
          <w:trHeight w:val="435"/>
        </w:trPr>
        <w:tc>
          <w:tcPr>
            <w:tcW w:w="9911" w:type="dxa"/>
            <w:gridSpan w:val="5"/>
            <w:tcBorders>
              <w:top w:val="single" w:sz="4" w:space="0" w:color="auto"/>
              <w:left w:val="single" w:sz="4" w:space="0" w:color="auto"/>
              <w:bottom w:val="nil"/>
              <w:right w:val="nil"/>
            </w:tcBorders>
            <w:shd w:val="clear" w:color="000000" w:fill="808080"/>
            <w:vAlign w:val="center"/>
            <w:hideMark/>
          </w:tcPr>
          <w:p w14:paraId="225F8896" w14:textId="77777777" w:rsidR="00265001" w:rsidRPr="003D7162" w:rsidRDefault="00265001" w:rsidP="00BB65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Distal level</w:t>
            </w:r>
          </w:p>
        </w:tc>
      </w:tr>
      <w:tr w:rsidR="00265001" w:rsidRPr="003D7162" w14:paraId="6C2B81A5" w14:textId="77777777" w:rsidTr="00BB6575">
        <w:trPr>
          <w:trHeight w:val="375"/>
        </w:trPr>
        <w:tc>
          <w:tcPr>
            <w:tcW w:w="9911" w:type="dxa"/>
            <w:gridSpan w:val="5"/>
            <w:tcBorders>
              <w:top w:val="nil"/>
              <w:left w:val="single" w:sz="4" w:space="0" w:color="auto"/>
              <w:bottom w:val="single" w:sz="4" w:space="0" w:color="auto"/>
              <w:right w:val="nil"/>
            </w:tcBorders>
            <w:shd w:val="clear" w:color="000000" w:fill="D9D9D9"/>
            <w:vAlign w:val="center"/>
            <w:hideMark/>
          </w:tcPr>
          <w:p w14:paraId="2DCEA8B9"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Basic causes &amp; Income poverty</w:t>
            </w:r>
          </w:p>
        </w:tc>
      </w:tr>
      <w:tr w:rsidR="00265001" w:rsidRPr="003D7162" w14:paraId="51715AE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C1978D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Wealth Index</w:t>
            </w:r>
          </w:p>
        </w:tc>
        <w:tc>
          <w:tcPr>
            <w:tcW w:w="352" w:type="dxa"/>
            <w:tcBorders>
              <w:top w:val="nil"/>
              <w:left w:val="nil"/>
              <w:bottom w:val="nil"/>
              <w:right w:val="nil"/>
            </w:tcBorders>
            <w:shd w:val="clear" w:color="000000" w:fill="FFFFFF"/>
            <w:vAlign w:val="center"/>
            <w:hideMark/>
          </w:tcPr>
          <w:p w14:paraId="583EEC6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1014DF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0.167 (0.16; 0.175)</w:t>
            </w:r>
          </w:p>
        </w:tc>
        <w:tc>
          <w:tcPr>
            <w:tcW w:w="352" w:type="dxa"/>
            <w:tcBorders>
              <w:top w:val="nil"/>
              <w:left w:val="nil"/>
              <w:bottom w:val="nil"/>
              <w:right w:val="nil"/>
            </w:tcBorders>
            <w:shd w:val="clear" w:color="000000" w:fill="FFFFFF"/>
            <w:vAlign w:val="center"/>
            <w:hideMark/>
          </w:tcPr>
          <w:p w14:paraId="2A18EF4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9A1060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0.094 (0.084; 0.104)</w:t>
            </w:r>
          </w:p>
        </w:tc>
      </w:tr>
      <w:tr w:rsidR="00265001" w:rsidRPr="003D7162" w14:paraId="431E5572"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4BA1B8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(0 - 10)</w:t>
            </w:r>
          </w:p>
        </w:tc>
        <w:tc>
          <w:tcPr>
            <w:tcW w:w="352" w:type="dxa"/>
            <w:tcBorders>
              <w:top w:val="nil"/>
              <w:left w:val="nil"/>
              <w:bottom w:val="nil"/>
              <w:right w:val="nil"/>
            </w:tcBorders>
            <w:shd w:val="clear" w:color="000000" w:fill="FFFFFF"/>
            <w:vAlign w:val="center"/>
            <w:hideMark/>
          </w:tcPr>
          <w:p w14:paraId="72BE57D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B3CB87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37E3DB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D1393E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6536AE0D"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7DC0BD4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62AE00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5E066A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CCEB17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007A0C4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84BE6A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DC01EE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Log GDP, per capita</w:t>
            </w:r>
          </w:p>
        </w:tc>
        <w:tc>
          <w:tcPr>
            <w:tcW w:w="352" w:type="dxa"/>
            <w:tcBorders>
              <w:top w:val="nil"/>
              <w:left w:val="nil"/>
              <w:bottom w:val="nil"/>
              <w:right w:val="nil"/>
            </w:tcBorders>
            <w:shd w:val="clear" w:color="000000" w:fill="FFFFFF"/>
            <w:vAlign w:val="center"/>
            <w:hideMark/>
          </w:tcPr>
          <w:p w14:paraId="4E6DBA9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29B06E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0.72 (0.666; 0.775)</w:t>
            </w:r>
          </w:p>
        </w:tc>
        <w:tc>
          <w:tcPr>
            <w:tcW w:w="352" w:type="dxa"/>
            <w:tcBorders>
              <w:top w:val="nil"/>
              <w:left w:val="nil"/>
              <w:bottom w:val="nil"/>
              <w:right w:val="nil"/>
            </w:tcBorders>
            <w:shd w:val="clear" w:color="000000" w:fill="FFFFFF"/>
            <w:vAlign w:val="center"/>
            <w:hideMark/>
          </w:tcPr>
          <w:p w14:paraId="70645E3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57EB0A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D6DE16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2DDB69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352" w:type="dxa"/>
            <w:tcBorders>
              <w:top w:val="nil"/>
              <w:left w:val="nil"/>
              <w:bottom w:val="nil"/>
              <w:right w:val="nil"/>
            </w:tcBorders>
            <w:shd w:val="clear" w:color="000000" w:fill="FFFFFF"/>
            <w:vAlign w:val="center"/>
            <w:hideMark/>
          </w:tcPr>
          <w:p w14:paraId="5EB3ACB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DF659E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5EE3AFD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FDD721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4171BC7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B6CDD2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A6BCAA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44A1AB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9EFEB9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42D1B0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C0ADDB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3582FE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Poverty line </w:t>
            </w:r>
          </w:p>
        </w:tc>
        <w:tc>
          <w:tcPr>
            <w:tcW w:w="352" w:type="dxa"/>
            <w:tcBorders>
              <w:top w:val="nil"/>
              <w:left w:val="nil"/>
              <w:bottom w:val="nil"/>
              <w:right w:val="nil"/>
            </w:tcBorders>
            <w:shd w:val="clear" w:color="000000" w:fill="FFFFFF"/>
            <w:vAlign w:val="center"/>
            <w:hideMark/>
          </w:tcPr>
          <w:p w14:paraId="2932380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69C94E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-0.024 (-0.026; -0.022)</w:t>
            </w:r>
          </w:p>
        </w:tc>
        <w:tc>
          <w:tcPr>
            <w:tcW w:w="352" w:type="dxa"/>
            <w:tcBorders>
              <w:top w:val="nil"/>
              <w:left w:val="nil"/>
              <w:bottom w:val="nil"/>
              <w:right w:val="nil"/>
            </w:tcBorders>
            <w:shd w:val="clear" w:color="000000" w:fill="FFFFFF"/>
            <w:vAlign w:val="center"/>
            <w:hideMark/>
          </w:tcPr>
          <w:p w14:paraId="400A11E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D5DA18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0628292"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7E859E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families below)</w:t>
            </w:r>
          </w:p>
        </w:tc>
        <w:tc>
          <w:tcPr>
            <w:tcW w:w="352" w:type="dxa"/>
            <w:tcBorders>
              <w:top w:val="nil"/>
              <w:left w:val="nil"/>
              <w:bottom w:val="nil"/>
              <w:right w:val="nil"/>
            </w:tcBorders>
            <w:shd w:val="clear" w:color="000000" w:fill="FFFFFF"/>
            <w:vAlign w:val="center"/>
            <w:hideMark/>
          </w:tcPr>
          <w:p w14:paraId="27CD8AD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353720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034A6B4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90282D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722739D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6E37ED4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297DA7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6A527A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8EF077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4FE12E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5F4C6C9"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65E31A3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Gini coefficient (for income)</w:t>
            </w:r>
          </w:p>
        </w:tc>
        <w:tc>
          <w:tcPr>
            <w:tcW w:w="352" w:type="dxa"/>
            <w:tcBorders>
              <w:top w:val="nil"/>
              <w:left w:val="nil"/>
              <w:bottom w:val="nil"/>
              <w:right w:val="nil"/>
            </w:tcBorders>
            <w:shd w:val="clear" w:color="000000" w:fill="FFFFFF"/>
            <w:vAlign w:val="center"/>
            <w:hideMark/>
          </w:tcPr>
          <w:p w14:paraId="5470940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DECB72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-0.036 (-0.044; -0.028)</w:t>
            </w:r>
          </w:p>
        </w:tc>
        <w:tc>
          <w:tcPr>
            <w:tcW w:w="352" w:type="dxa"/>
            <w:tcBorders>
              <w:top w:val="nil"/>
              <w:left w:val="nil"/>
              <w:bottom w:val="nil"/>
              <w:right w:val="nil"/>
            </w:tcBorders>
            <w:shd w:val="clear" w:color="000000" w:fill="FFFFFF"/>
            <w:vAlign w:val="center"/>
            <w:hideMark/>
          </w:tcPr>
          <w:p w14:paraId="7D3B13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E6363B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BF730E7"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A7AD10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(perfect equality) – 1 (perfect inequality)</w:t>
            </w:r>
          </w:p>
        </w:tc>
        <w:tc>
          <w:tcPr>
            <w:tcW w:w="352" w:type="dxa"/>
            <w:tcBorders>
              <w:top w:val="nil"/>
              <w:left w:val="nil"/>
              <w:bottom w:val="nil"/>
              <w:right w:val="nil"/>
            </w:tcBorders>
            <w:shd w:val="clear" w:color="000000" w:fill="FFFFFF"/>
            <w:vAlign w:val="center"/>
            <w:hideMark/>
          </w:tcPr>
          <w:p w14:paraId="14B2DD3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CDDDD6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568472E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2387BE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10E95FA"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51BE6C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A7170D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D025D9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ECE3FC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970A24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A49CEA9"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79C47E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Maternal years of schooling</w:t>
            </w:r>
          </w:p>
        </w:tc>
        <w:tc>
          <w:tcPr>
            <w:tcW w:w="352" w:type="dxa"/>
            <w:tcBorders>
              <w:top w:val="nil"/>
              <w:left w:val="nil"/>
              <w:bottom w:val="nil"/>
              <w:right w:val="nil"/>
            </w:tcBorders>
            <w:shd w:val="clear" w:color="000000" w:fill="FFFFFF"/>
            <w:vAlign w:val="center"/>
            <w:hideMark/>
          </w:tcPr>
          <w:p w14:paraId="31801A1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A7635F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0.112 (0.106; 0.118)</w:t>
            </w:r>
          </w:p>
        </w:tc>
        <w:tc>
          <w:tcPr>
            <w:tcW w:w="352" w:type="dxa"/>
            <w:tcBorders>
              <w:top w:val="nil"/>
              <w:left w:val="nil"/>
              <w:bottom w:val="nil"/>
              <w:right w:val="nil"/>
            </w:tcBorders>
            <w:shd w:val="clear" w:color="000000" w:fill="FFFFFF"/>
            <w:vAlign w:val="center"/>
            <w:hideMark/>
          </w:tcPr>
          <w:p w14:paraId="4401371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DABFE5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 (0.033; 0.048)</w:t>
            </w:r>
          </w:p>
        </w:tc>
      </w:tr>
      <w:tr w:rsidR="00265001" w:rsidRPr="003D7162" w14:paraId="6099C8F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C8A0EE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276B524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B40E9E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45B0B6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3D1544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1A7A0411"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6BF313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FCF555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000975A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5F2233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53DAF4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279CD6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5FAB633"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Paternal years of schooling</w:t>
            </w:r>
          </w:p>
        </w:tc>
        <w:tc>
          <w:tcPr>
            <w:tcW w:w="352" w:type="dxa"/>
            <w:tcBorders>
              <w:top w:val="nil"/>
              <w:left w:val="nil"/>
              <w:bottom w:val="nil"/>
              <w:right w:val="nil"/>
            </w:tcBorders>
            <w:shd w:val="clear" w:color="000000" w:fill="FFFFFF"/>
            <w:vAlign w:val="center"/>
            <w:hideMark/>
          </w:tcPr>
          <w:p w14:paraId="0E2C9AF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040F64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 (0.102; 0.117)</w:t>
            </w:r>
          </w:p>
        </w:tc>
        <w:tc>
          <w:tcPr>
            <w:tcW w:w="352" w:type="dxa"/>
            <w:tcBorders>
              <w:top w:val="nil"/>
              <w:left w:val="nil"/>
              <w:bottom w:val="nil"/>
              <w:right w:val="nil"/>
            </w:tcBorders>
            <w:shd w:val="clear" w:color="000000" w:fill="FFFFFF"/>
            <w:vAlign w:val="center"/>
            <w:hideMark/>
          </w:tcPr>
          <w:p w14:paraId="3734DCC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205C59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0.026 (0.018; 0.033)</w:t>
            </w:r>
          </w:p>
        </w:tc>
      </w:tr>
      <w:tr w:rsidR="00265001" w:rsidRPr="003D7162" w14:paraId="1942326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5CAC8D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4F86817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622A5D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2A4259D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E7C7FD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77271E6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B95641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D2D1CF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6BE324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99BF79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F75D98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214369C" w14:textId="77777777" w:rsidTr="00BB6575">
        <w:trPr>
          <w:trHeight w:val="360"/>
        </w:trPr>
        <w:tc>
          <w:tcPr>
            <w:tcW w:w="2950" w:type="dxa"/>
            <w:tcBorders>
              <w:top w:val="nil"/>
              <w:left w:val="single" w:sz="4" w:space="0" w:color="auto"/>
              <w:bottom w:val="single" w:sz="4" w:space="0" w:color="auto"/>
              <w:right w:val="nil"/>
            </w:tcBorders>
            <w:shd w:val="clear" w:color="000000" w:fill="D9D9D9"/>
            <w:vAlign w:val="center"/>
            <w:hideMark/>
          </w:tcPr>
          <w:p w14:paraId="32C65A1E"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352" w:type="dxa"/>
            <w:tcBorders>
              <w:top w:val="nil"/>
              <w:left w:val="nil"/>
              <w:bottom w:val="single" w:sz="4" w:space="0" w:color="auto"/>
              <w:right w:val="nil"/>
            </w:tcBorders>
            <w:shd w:val="clear" w:color="000000" w:fill="D9D9D9"/>
            <w:vAlign w:val="center"/>
            <w:hideMark/>
          </w:tcPr>
          <w:p w14:paraId="7E7BFEBF"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D9D9D9"/>
            <w:vAlign w:val="center"/>
            <w:hideMark/>
          </w:tcPr>
          <w:p w14:paraId="75E8DB05"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012755EB"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D9D9D9"/>
            <w:vAlign w:val="center"/>
            <w:hideMark/>
          </w:tcPr>
          <w:p w14:paraId="5D17B8AA" w14:textId="77777777" w:rsidR="00265001" w:rsidRPr="003D7162" w:rsidRDefault="00265001" w:rsidP="00BB65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31.4%</w:t>
            </w:r>
          </w:p>
        </w:tc>
      </w:tr>
      <w:tr w:rsidR="00265001" w:rsidRPr="003D7162" w14:paraId="2428574C" w14:textId="77777777" w:rsidTr="00BB6575">
        <w:trPr>
          <w:trHeight w:val="420"/>
        </w:trPr>
        <w:tc>
          <w:tcPr>
            <w:tcW w:w="9911" w:type="dxa"/>
            <w:gridSpan w:val="5"/>
            <w:tcBorders>
              <w:top w:val="single" w:sz="4" w:space="0" w:color="auto"/>
              <w:left w:val="single" w:sz="4" w:space="0" w:color="auto"/>
              <w:bottom w:val="nil"/>
              <w:right w:val="nil"/>
            </w:tcBorders>
            <w:shd w:val="clear" w:color="000000" w:fill="808080"/>
            <w:vAlign w:val="center"/>
            <w:hideMark/>
          </w:tcPr>
          <w:p w14:paraId="0C7FF6B6" w14:textId="77777777" w:rsidR="00265001" w:rsidRPr="003D7162" w:rsidRDefault="00265001" w:rsidP="00BB65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Intermediate level - I</w:t>
            </w:r>
          </w:p>
        </w:tc>
      </w:tr>
      <w:tr w:rsidR="00265001" w:rsidRPr="003D7162" w14:paraId="1B7AE3A8" w14:textId="77777777" w:rsidTr="00BB6575">
        <w:trPr>
          <w:trHeight w:val="360"/>
        </w:trPr>
        <w:tc>
          <w:tcPr>
            <w:tcW w:w="9911" w:type="dxa"/>
            <w:gridSpan w:val="5"/>
            <w:tcBorders>
              <w:top w:val="nil"/>
              <w:left w:val="single" w:sz="4" w:space="0" w:color="auto"/>
              <w:bottom w:val="single" w:sz="4" w:space="0" w:color="auto"/>
              <w:right w:val="nil"/>
            </w:tcBorders>
            <w:shd w:val="clear" w:color="000000" w:fill="D9D9D9"/>
            <w:vAlign w:val="center"/>
            <w:hideMark/>
          </w:tcPr>
          <w:p w14:paraId="3AA9B469"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themeColor="text1"/>
                <w:sz w:val="20"/>
                <w:szCs w:val="20"/>
                <w:lang w:val="en-CA" w:eastAsia="en-CA"/>
              </w:rPr>
              <w:t>Nutrition sensitive and specific programs</w:t>
            </w:r>
          </w:p>
        </w:tc>
      </w:tr>
      <w:tr w:rsidR="00265001" w:rsidRPr="003D7162" w14:paraId="2FB963B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47C70C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CCT “Juntos” program</w:t>
            </w:r>
          </w:p>
        </w:tc>
        <w:tc>
          <w:tcPr>
            <w:tcW w:w="352" w:type="dxa"/>
            <w:tcBorders>
              <w:top w:val="nil"/>
              <w:left w:val="nil"/>
              <w:bottom w:val="nil"/>
              <w:right w:val="nil"/>
            </w:tcBorders>
            <w:shd w:val="clear" w:color="000000" w:fill="FFFFFF"/>
            <w:vAlign w:val="center"/>
            <w:hideMark/>
          </w:tcPr>
          <w:p w14:paraId="44FE9C5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6BFA11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 (-0.004; -0.003)</w:t>
            </w:r>
          </w:p>
        </w:tc>
        <w:tc>
          <w:tcPr>
            <w:tcW w:w="352" w:type="dxa"/>
            <w:tcBorders>
              <w:top w:val="nil"/>
              <w:left w:val="nil"/>
              <w:bottom w:val="nil"/>
              <w:right w:val="nil"/>
            </w:tcBorders>
            <w:shd w:val="clear" w:color="000000" w:fill="FFFFFF"/>
            <w:vAlign w:val="center"/>
            <w:hideMark/>
          </w:tcPr>
          <w:p w14:paraId="3094157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C08914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 (0; 0.002)</w:t>
            </w:r>
          </w:p>
        </w:tc>
      </w:tr>
      <w:tr w:rsidR="00265001" w:rsidRPr="003D7162" w14:paraId="6032986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63291E1"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(No. families/1000 rural population)</w:t>
            </w:r>
          </w:p>
        </w:tc>
        <w:tc>
          <w:tcPr>
            <w:tcW w:w="352" w:type="dxa"/>
            <w:tcBorders>
              <w:top w:val="nil"/>
              <w:left w:val="nil"/>
              <w:bottom w:val="nil"/>
              <w:right w:val="nil"/>
            </w:tcBorders>
            <w:shd w:val="clear" w:color="000000" w:fill="FFFFFF"/>
            <w:vAlign w:val="center"/>
            <w:hideMark/>
          </w:tcPr>
          <w:p w14:paraId="0D136C5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D30D69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5A46E0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01D542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w:t>
            </w:r>
          </w:p>
        </w:tc>
      </w:tr>
      <w:tr w:rsidR="00265001" w:rsidRPr="003D7162" w14:paraId="4913793E"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00CF29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BC388E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776733D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D3DCFD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75A950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5ED7BC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B1F219C"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Comprehensive Health Insurance (SIS coverage)</w:t>
            </w:r>
          </w:p>
        </w:tc>
        <w:tc>
          <w:tcPr>
            <w:tcW w:w="352" w:type="dxa"/>
            <w:tcBorders>
              <w:top w:val="nil"/>
              <w:left w:val="nil"/>
              <w:bottom w:val="nil"/>
              <w:right w:val="nil"/>
            </w:tcBorders>
            <w:shd w:val="clear" w:color="000000" w:fill="FFFFFF"/>
            <w:vAlign w:val="center"/>
            <w:hideMark/>
          </w:tcPr>
          <w:p w14:paraId="4459083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69D9FD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(-0.012; -0.008)</w:t>
            </w:r>
          </w:p>
        </w:tc>
        <w:tc>
          <w:tcPr>
            <w:tcW w:w="352" w:type="dxa"/>
            <w:tcBorders>
              <w:top w:val="nil"/>
              <w:left w:val="nil"/>
              <w:bottom w:val="nil"/>
              <w:right w:val="nil"/>
            </w:tcBorders>
            <w:shd w:val="clear" w:color="000000" w:fill="FFFFFF"/>
            <w:vAlign w:val="center"/>
            <w:hideMark/>
          </w:tcPr>
          <w:p w14:paraId="080AD8B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328F93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6C4DD10"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2B3A35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(No. under-5 attendances/under-5 population)</w:t>
            </w:r>
          </w:p>
        </w:tc>
        <w:tc>
          <w:tcPr>
            <w:tcW w:w="352" w:type="dxa"/>
            <w:tcBorders>
              <w:top w:val="nil"/>
              <w:left w:val="nil"/>
              <w:bottom w:val="nil"/>
              <w:right w:val="nil"/>
            </w:tcBorders>
            <w:shd w:val="clear" w:color="000000" w:fill="FFFFFF"/>
            <w:vAlign w:val="center"/>
            <w:hideMark/>
          </w:tcPr>
          <w:p w14:paraId="308D42A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642CD8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BD4354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70C87D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5A0D07E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96175F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AF8808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A68243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8425C5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4DE952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9C9307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0F52A1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Articulated Nutrition Program (PANlog) expenditure</w:t>
            </w:r>
          </w:p>
        </w:tc>
        <w:tc>
          <w:tcPr>
            <w:tcW w:w="352" w:type="dxa"/>
            <w:tcBorders>
              <w:top w:val="nil"/>
              <w:left w:val="nil"/>
              <w:bottom w:val="nil"/>
              <w:right w:val="nil"/>
            </w:tcBorders>
            <w:shd w:val="clear" w:color="000000" w:fill="FFFFFF"/>
            <w:vAlign w:val="center"/>
            <w:hideMark/>
          </w:tcPr>
          <w:p w14:paraId="185CBA4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86219C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-0.678 (-0.758; -0.598)</w:t>
            </w:r>
          </w:p>
        </w:tc>
        <w:tc>
          <w:tcPr>
            <w:tcW w:w="352" w:type="dxa"/>
            <w:tcBorders>
              <w:top w:val="nil"/>
              <w:left w:val="nil"/>
              <w:bottom w:val="nil"/>
              <w:right w:val="nil"/>
            </w:tcBorders>
            <w:shd w:val="clear" w:color="000000" w:fill="FFFFFF"/>
            <w:vAlign w:val="center"/>
            <w:hideMark/>
          </w:tcPr>
          <w:p w14:paraId="268453D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D9149C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B3662D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655FE4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352" w:type="dxa"/>
            <w:tcBorders>
              <w:top w:val="nil"/>
              <w:left w:val="nil"/>
              <w:bottom w:val="nil"/>
              <w:right w:val="nil"/>
            </w:tcBorders>
            <w:shd w:val="clear" w:color="000000" w:fill="FFFFFF"/>
            <w:vAlign w:val="center"/>
            <w:hideMark/>
          </w:tcPr>
          <w:p w14:paraId="2C08E5F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C6A744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4AFC32F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83D1AB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27AC0F8A"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07A270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937DA1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EB64DB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2D0498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BA0ECE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1783BA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EDCE38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Strategic Program of Maternal and Newborn Health (PSMN log expenditure), per capita</w:t>
            </w:r>
          </w:p>
        </w:tc>
        <w:tc>
          <w:tcPr>
            <w:tcW w:w="352" w:type="dxa"/>
            <w:tcBorders>
              <w:top w:val="nil"/>
              <w:left w:val="nil"/>
              <w:bottom w:val="nil"/>
              <w:right w:val="nil"/>
            </w:tcBorders>
            <w:shd w:val="clear" w:color="000000" w:fill="FFFFFF"/>
            <w:vAlign w:val="center"/>
            <w:hideMark/>
          </w:tcPr>
          <w:p w14:paraId="4B113C9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F4EF79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-0.547 (-0.633; -0.461)</w:t>
            </w:r>
          </w:p>
        </w:tc>
        <w:tc>
          <w:tcPr>
            <w:tcW w:w="352" w:type="dxa"/>
            <w:tcBorders>
              <w:top w:val="nil"/>
              <w:left w:val="nil"/>
              <w:bottom w:val="nil"/>
              <w:right w:val="nil"/>
            </w:tcBorders>
            <w:shd w:val="clear" w:color="000000" w:fill="FFFFFF"/>
            <w:vAlign w:val="center"/>
            <w:hideMark/>
          </w:tcPr>
          <w:p w14:paraId="437D9AF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4B0109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3A704F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6C96541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(USD/person)</w:t>
            </w:r>
          </w:p>
        </w:tc>
        <w:tc>
          <w:tcPr>
            <w:tcW w:w="352" w:type="dxa"/>
            <w:tcBorders>
              <w:top w:val="nil"/>
              <w:left w:val="nil"/>
              <w:bottom w:val="nil"/>
              <w:right w:val="nil"/>
            </w:tcBorders>
            <w:shd w:val="clear" w:color="000000" w:fill="FFFFFF"/>
            <w:vAlign w:val="center"/>
            <w:hideMark/>
          </w:tcPr>
          <w:p w14:paraId="5E257E1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F6393A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0A24FA5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7A5833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2F961C9A"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976052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FB023A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3537A0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47D54A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724888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13E53EA" w14:textId="77777777" w:rsidTr="00BB6575">
        <w:trPr>
          <w:trHeight w:val="360"/>
        </w:trPr>
        <w:tc>
          <w:tcPr>
            <w:tcW w:w="2950" w:type="dxa"/>
            <w:tcBorders>
              <w:top w:val="nil"/>
              <w:left w:val="single" w:sz="4" w:space="0" w:color="auto"/>
              <w:bottom w:val="single" w:sz="4" w:space="0" w:color="auto"/>
              <w:right w:val="nil"/>
            </w:tcBorders>
            <w:shd w:val="clear" w:color="000000" w:fill="D9D9D9"/>
            <w:vAlign w:val="center"/>
            <w:hideMark/>
          </w:tcPr>
          <w:p w14:paraId="2CD401F5"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352" w:type="dxa"/>
            <w:tcBorders>
              <w:top w:val="nil"/>
              <w:left w:val="nil"/>
              <w:bottom w:val="single" w:sz="4" w:space="0" w:color="auto"/>
              <w:right w:val="nil"/>
            </w:tcBorders>
            <w:shd w:val="clear" w:color="000000" w:fill="D9D9D9"/>
            <w:vAlign w:val="center"/>
            <w:hideMark/>
          </w:tcPr>
          <w:p w14:paraId="5C5BEED1"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D9D9D9"/>
            <w:vAlign w:val="center"/>
            <w:hideMark/>
          </w:tcPr>
          <w:p w14:paraId="4DE5A775"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7E56240B"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D9D9D9"/>
            <w:vAlign w:val="center"/>
            <w:hideMark/>
          </w:tcPr>
          <w:p w14:paraId="49B1B374" w14:textId="77777777" w:rsidR="00265001" w:rsidRPr="003D7162" w:rsidRDefault="00265001" w:rsidP="00BB65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31.5%</w:t>
            </w:r>
          </w:p>
        </w:tc>
      </w:tr>
      <w:tr w:rsidR="00265001" w:rsidRPr="003D7162" w14:paraId="4198EE3D" w14:textId="77777777" w:rsidTr="00BB6575">
        <w:trPr>
          <w:trHeight w:val="420"/>
        </w:trPr>
        <w:tc>
          <w:tcPr>
            <w:tcW w:w="9911" w:type="dxa"/>
            <w:gridSpan w:val="5"/>
            <w:tcBorders>
              <w:top w:val="single" w:sz="4" w:space="0" w:color="auto"/>
              <w:left w:val="single" w:sz="4" w:space="0" w:color="auto"/>
              <w:bottom w:val="nil"/>
              <w:right w:val="nil"/>
            </w:tcBorders>
            <w:shd w:val="clear" w:color="000000" w:fill="808080"/>
            <w:vAlign w:val="center"/>
            <w:hideMark/>
          </w:tcPr>
          <w:p w14:paraId="0F260BA2" w14:textId="77777777" w:rsidR="00265001" w:rsidRPr="003D7162" w:rsidRDefault="00265001" w:rsidP="00BB65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Intermediate level - II</w:t>
            </w:r>
          </w:p>
        </w:tc>
      </w:tr>
      <w:tr w:rsidR="00265001" w:rsidRPr="003D7162" w14:paraId="2FFA1C03" w14:textId="77777777" w:rsidTr="00BB6575">
        <w:trPr>
          <w:trHeight w:val="360"/>
        </w:trPr>
        <w:tc>
          <w:tcPr>
            <w:tcW w:w="9911" w:type="dxa"/>
            <w:gridSpan w:val="5"/>
            <w:tcBorders>
              <w:top w:val="nil"/>
              <w:left w:val="single" w:sz="4" w:space="0" w:color="auto"/>
              <w:bottom w:val="single" w:sz="4" w:space="0" w:color="auto"/>
              <w:right w:val="nil"/>
            </w:tcBorders>
            <w:shd w:val="clear" w:color="000000" w:fill="D9D9D9"/>
            <w:vAlign w:val="center"/>
            <w:hideMark/>
          </w:tcPr>
          <w:p w14:paraId="22F87054"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Inadequate care and feeding practices</w:t>
            </w:r>
          </w:p>
        </w:tc>
      </w:tr>
      <w:tr w:rsidR="00265001" w:rsidRPr="003D7162" w14:paraId="061D982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9115C3C"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Duration of breastfeeding</w:t>
            </w:r>
          </w:p>
        </w:tc>
        <w:tc>
          <w:tcPr>
            <w:tcW w:w="352" w:type="dxa"/>
            <w:tcBorders>
              <w:top w:val="nil"/>
              <w:left w:val="nil"/>
              <w:bottom w:val="nil"/>
              <w:right w:val="nil"/>
            </w:tcBorders>
            <w:shd w:val="clear" w:color="000000" w:fill="FFFFFF"/>
            <w:vAlign w:val="center"/>
            <w:hideMark/>
          </w:tcPr>
          <w:p w14:paraId="1A0C25A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F0DC99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-0.014 (-0.017; -0.011)</w:t>
            </w:r>
          </w:p>
        </w:tc>
        <w:tc>
          <w:tcPr>
            <w:tcW w:w="352" w:type="dxa"/>
            <w:tcBorders>
              <w:top w:val="nil"/>
              <w:left w:val="nil"/>
              <w:bottom w:val="nil"/>
              <w:right w:val="nil"/>
            </w:tcBorders>
            <w:shd w:val="clear" w:color="000000" w:fill="FFFFFF"/>
            <w:vAlign w:val="center"/>
            <w:hideMark/>
          </w:tcPr>
          <w:p w14:paraId="2EFC8A9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95D94A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D6BAF3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863BC5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 months)</w:t>
            </w:r>
          </w:p>
        </w:tc>
        <w:tc>
          <w:tcPr>
            <w:tcW w:w="352" w:type="dxa"/>
            <w:tcBorders>
              <w:top w:val="nil"/>
              <w:left w:val="nil"/>
              <w:bottom w:val="nil"/>
              <w:right w:val="nil"/>
            </w:tcBorders>
            <w:shd w:val="clear" w:color="000000" w:fill="FFFFFF"/>
            <w:vAlign w:val="center"/>
            <w:hideMark/>
          </w:tcPr>
          <w:p w14:paraId="653CD5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9D2D58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5856C6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415A51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115D0D3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72E740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C2510B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4FF523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200D22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48A1BE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6CEA92B" w14:textId="77777777" w:rsidTr="00BB6575">
        <w:trPr>
          <w:trHeight w:val="375"/>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39D0B579"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Food insecurity</w:t>
            </w:r>
          </w:p>
        </w:tc>
      </w:tr>
      <w:tr w:rsidR="00265001" w:rsidRPr="003D7162" w14:paraId="451DA44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13C91A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Altitude</w:t>
            </w:r>
          </w:p>
          <w:p w14:paraId="5BAD05B1"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w:t>
            </w:r>
          </w:p>
        </w:tc>
        <w:tc>
          <w:tcPr>
            <w:tcW w:w="352" w:type="dxa"/>
            <w:tcBorders>
              <w:top w:val="nil"/>
              <w:left w:val="nil"/>
              <w:bottom w:val="nil"/>
              <w:right w:val="nil"/>
            </w:tcBorders>
            <w:shd w:val="clear" w:color="000000" w:fill="FFFFFF"/>
            <w:vAlign w:val="center"/>
            <w:hideMark/>
          </w:tcPr>
          <w:p w14:paraId="17C0367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3F61A9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-0.00025 (-0.00027; -0.00023)</w:t>
            </w:r>
          </w:p>
        </w:tc>
        <w:tc>
          <w:tcPr>
            <w:tcW w:w="352" w:type="dxa"/>
            <w:tcBorders>
              <w:top w:val="nil"/>
              <w:left w:val="nil"/>
              <w:bottom w:val="nil"/>
              <w:right w:val="nil"/>
            </w:tcBorders>
            <w:shd w:val="clear" w:color="000000" w:fill="FFFFFF"/>
            <w:vAlign w:val="center"/>
            <w:hideMark/>
          </w:tcPr>
          <w:p w14:paraId="5366146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E288FB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-0.00014 (-0.00017; -0.00011)</w:t>
            </w:r>
          </w:p>
        </w:tc>
      </w:tr>
      <w:tr w:rsidR="00265001" w:rsidRPr="003D7162" w14:paraId="4000B7E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D3471B1"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7FFA5FB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33746E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AA7C7C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1A848E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3A5B9E8B"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769CF74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EC76C7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399971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646BA5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267FCD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F208902"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67DE1D8D"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Inadequate health services</w:t>
            </w:r>
          </w:p>
        </w:tc>
      </w:tr>
      <w:tr w:rsidR="00265001" w:rsidRPr="003D7162" w14:paraId="68F67800"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E34E2F3"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DPT vaccine</w:t>
            </w:r>
          </w:p>
        </w:tc>
        <w:tc>
          <w:tcPr>
            <w:tcW w:w="352" w:type="dxa"/>
            <w:tcBorders>
              <w:top w:val="nil"/>
              <w:left w:val="nil"/>
              <w:bottom w:val="nil"/>
              <w:right w:val="nil"/>
            </w:tcBorders>
            <w:shd w:val="clear" w:color="000000" w:fill="FFFFFF"/>
            <w:vAlign w:val="center"/>
            <w:hideMark/>
          </w:tcPr>
          <w:p w14:paraId="3DF35A3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BD8FD4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0.188 (0.061; 0.315)</w:t>
            </w:r>
          </w:p>
        </w:tc>
        <w:tc>
          <w:tcPr>
            <w:tcW w:w="352" w:type="dxa"/>
            <w:tcBorders>
              <w:top w:val="nil"/>
              <w:left w:val="nil"/>
              <w:bottom w:val="nil"/>
              <w:right w:val="nil"/>
            </w:tcBorders>
            <w:shd w:val="clear" w:color="000000" w:fill="FFFFFF"/>
            <w:vAlign w:val="center"/>
            <w:hideMark/>
          </w:tcPr>
          <w:p w14:paraId="0E7A161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CAF37A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0B1037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26687B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3 doses)</w:t>
            </w:r>
          </w:p>
          <w:p w14:paraId="4271710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(index child)</w:t>
            </w:r>
          </w:p>
        </w:tc>
        <w:tc>
          <w:tcPr>
            <w:tcW w:w="352" w:type="dxa"/>
            <w:tcBorders>
              <w:top w:val="nil"/>
              <w:left w:val="nil"/>
              <w:bottom w:val="nil"/>
              <w:right w:val="nil"/>
            </w:tcBorders>
            <w:shd w:val="clear" w:color="000000" w:fill="FFFFFF"/>
            <w:vAlign w:val="center"/>
            <w:hideMark/>
          </w:tcPr>
          <w:p w14:paraId="150971C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65DE80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w:t>
            </w:r>
          </w:p>
        </w:tc>
        <w:tc>
          <w:tcPr>
            <w:tcW w:w="352" w:type="dxa"/>
            <w:tcBorders>
              <w:top w:val="nil"/>
              <w:left w:val="nil"/>
              <w:bottom w:val="nil"/>
              <w:right w:val="nil"/>
            </w:tcBorders>
            <w:shd w:val="clear" w:color="000000" w:fill="FFFFFF"/>
            <w:vAlign w:val="center"/>
            <w:hideMark/>
          </w:tcPr>
          <w:p w14:paraId="7B9A67F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D938DB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43C4D483"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31DFDA6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3CA954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DCCD7C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67E95D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146CA1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31E36FB" w14:textId="77777777" w:rsidTr="00BB6575">
        <w:trPr>
          <w:trHeight w:val="255"/>
        </w:trPr>
        <w:tc>
          <w:tcPr>
            <w:tcW w:w="2950" w:type="dxa"/>
            <w:tcBorders>
              <w:top w:val="nil"/>
              <w:left w:val="single" w:sz="4" w:space="0" w:color="auto"/>
              <w:bottom w:val="nil"/>
              <w:right w:val="nil"/>
            </w:tcBorders>
            <w:shd w:val="clear" w:color="000000" w:fill="FFFFFF"/>
            <w:vAlign w:val="center"/>
            <w:hideMark/>
          </w:tcPr>
          <w:p w14:paraId="711989E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Measles vaccine</w:t>
            </w:r>
          </w:p>
        </w:tc>
        <w:tc>
          <w:tcPr>
            <w:tcW w:w="352" w:type="dxa"/>
            <w:tcBorders>
              <w:top w:val="nil"/>
              <w:left w:val="single" w:sz="4" w:space="0" w:color="auto"/>
              <w:bottom w:val="nil"/>
              <w:right w:val="nil"/>
            </w:tcBorders>
            <w:shd w:val="clear" w:color="000000" w:fill="FFFFFF"/>
            <w:vAlign w:val="center"/>
            <w:hideMark/>
          </w:tcPr>
          <w:p w14:paraId="7BCCDE8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D81B91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0.253 (0.157; 0.348)</w:t>
            </w:r>
          </w:p>
        </w:tc>
        <w:tc>
          <w:tcPr>
            <w:tcW w:w="352" w:type="dxa"/>
            <w:tcBorders>
              <w:top w:val="nil"/>
              <w:left w:val="nil"/>
              <w:bottom w:val="nil"/>
              <w:right w:val="nil"/>
            </w:tcBorders>
            <w:shd w:val="clear" w:color="000000" w:fill="FFFFFF"/>
            <w:vAlign w:val="center"/>
            <w:hideMark/>
          </w:tcPr>
          <w:p w14:paraId="74A644F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9B014E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288EC7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9303851"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3 doses)</w:t>
            </w:r>
          </w:p>
        </w:tc>
        <w:tc>
          <w:tcPr>
            <w:tcW w:w="352" w:type="dxa"/>
            <w:tcBorders>
              <w:top w:val="nil"/>
              <w:left w:val="nil"/>
              <w:bottom w:val="nil"/>
              <w:right w:val="nil"/>
            </w:tcBorders>
            <w:shd w:val="clear" w:color="000000" w:fill="FFFFFF"/>
            <w:vAlign w:val="center"/>
            <w:hideMark/>
          </w:tcPr>
          <w:p w14:paraId="69ED3BF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D214F1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1E3E43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EB7216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497D1B74"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59E57EA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(index child)</w:t>
            </w:r>
          </w:p>
          <w:p w14:paraId="5438C78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14C58D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08FA250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F6B31F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E69BC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F5A3C3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F930B3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Pneumococcal vaccine</w:t>
            </w:r>
          </w:p>
        </w:tc>
        <w:tc>
          <w:tcPr>
            <w:tcW w:w="352" w:type="dxa"/>
            <w:tcBorders>
              <w:top w:val="nil"/>
              <w:left w:val="nil"/>
              <w:bottom w:val="nil"/>
              <w:right w:val="nil"/>
            </w:tcBorders>
            <w:shd w:val="clear" w:color="000000" w:fill="FFFFFF"/>
            <w:vAlign w:val="center"/>
            <w:hideMark/>
          </w:tcPr>
          <w:p w14:paraId="2721B07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27BB89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-0.021 (-0.027; -0.015)</w:t>
            </w:r>
          </w:p>
        </w:tc>
        <w:tc>
          <w:tcPr>
            <w:tcW w:w="352" w:type="dxa"/>
            <w:tcBorders>
              <w:top w:val="nil"/>
              <w:left w:val="nil"/>
              <w:bottom w:val="nil"/>
              <w:right w:val="nil"/>
            </w:tcBorders>
            <w:shd w:val="clear" w:color="000000" w:fill="FFFFFF"/>
            <w:vAlign w:val="center"/>
            <w:hideMark/>
          </w:tcPr>
          <w:p w14:paraId="6F667B1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98DC8B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A248EE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3C60AF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vaccine during first 1 year)</w:t>
            </w:r>
          </w:p>
        </w:tc>
        <w:tc>
          <w:tcPr>
            <w:tcW w:w="352" w:type="dxa"/>
            <w:tcBorders>
              <w:top w:val="nil"/>
              <w:left w:val="nil"/>
              <w:bottom w:val="nil"/>
              <w:right w:val="nil"/>
            </w:tcBorders>
            <w:shd w:val="clear" w:color="000000" w:fill="FFFFFF"/>
            <w:vAlign w:val="center"/>
            <w:hideMark/>
          </w:tcPr>
          <w:p w14:paraId="7F9F638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0BAC61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84DCD6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BCD9D9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72D22B6B"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78A882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89663B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0C7D112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50776D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A67952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87913F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3D8ACD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Rotavirus vaccine</w:t>
            </w:r>
          </w:p>
        </w:tc>
        <w:tc>
          <w:tcPr>
            <w:tcW w:w="352" w:type="dxa"/>
            <w:tcBorders>
              <w:top w:val="nil"/>
              <w:left w:val="nil"/>
              <w:bottom w:val="nil"/>
              <w:right w:val="nil"/>
            </w:tcBorders>
            <w:shd w:val="clear" w:color="000000" w:fill="FFFFFF"/>
            <w:vAlign w:val="center"/>
            <w:hideMark/>
          </w:tcPr>
          <w:p w14:paraId="2A6CAA6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5D0E3A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 (-0.017; -0.006)</w:t>
            </w:r>
          </w:p>
        </w:tc>
        <w:tc>
          <w:tcPr>
            <w:tcW w:w="352" w:type="dxa"/>
            <w:tcBorders>
              <w:top w:val="nil"/>
              <w:left w:val="nil"/>
              <w:bottom w:val="nil"/>
              <w:right w:val="nil"/>
            </w:tcBorders>
            <w:shd w:val="clear" w:color="000000" w:fill="FFFFFF"/>
            <w:vAlign w:val="center"/>
            <w:hideMark/>
          </w:tcPr>
          <w:p w14:paraId="59BAD2D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F37530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DF7475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8002EF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infants with vaccine during first 1 year)</w:t>
            </w:r>
          </w:p>
        </w:tc>
        <w:tc>
          <w:tcPr>
            <w:tcW w:w="352" w:type="dxa"/>
            <w:tcBorders>
              <w:top w:val="nil"/>
              <w:left w:val="nil"/>
              <w:bottom w:val="nil"/>
              <w:right w:val="nil"/>
            </w:tcBorders>
            <w:shd w:val="clear" w:color="000000" w:fill="FFFFFF"/>
            <w:vAlign w:val="center"/>
            <w:hideMark/>
          </w:tcPr>
          <w:p w14:paraId="5A16AF1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3470A4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476102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FA527D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3C83833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277B5F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58D49E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85A10F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248EA7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2575C7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2820C07"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1C4DDF73"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Reproductive and maternal care</w:t>
            </w:r>
          </w:p>
        </w:tc>
      </w:tr>
      <w:tr w:rsidR="00265001" w:rsidRPr="003D7162" w14:paraId="46B260E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2144CC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Skilled attendant at birth</w:t>
            </w:r>
          </w:p>
        </w:tc>
        <w:tc>
          <w:tcPr>
            <w:tcW w:w="352" w:type="dxa"/>
            <w:tcBorders>
              <w:top w:val="nil"/>
              <w:left w:val="nil"/>
              <w:bottom w:val="nil"/>
              <w:right w:val="nil"/>
            </w:tcBorders>
            <w:shd w:val="clear" w:color="000000" w:fill="FFFFFF"/>
            <w:vAlign w:val="center"/>
            <w:hideMark/>
          </w:tcPr>
          <w:p w14:paraId="5FD3097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E1E445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0.873 (0.8; 0.946)</w:t>
            </w:r>
          </w:p>
        </w:tc>
        <w:tc>
          <w:tcPr>
            <w:tcW w:w="352" w:type="dxa"/>
            <w:tcBorders>
              <w:top w:val="nil"/>
              <w:left w:val="nil"/>
              <w:bottom w:val="nil"/>
              <w:right w:val="nil"/>
            </w:tcBorders>
            <w:shd w:val="clear" w:color="000000" w:fill="FFFFFF"/>
            <w:vAlign w:val="center"/>
            <w:hideMark/>
          </w:tcPr>
          <w:p w14:paraId="2A318E7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A33F7B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0.171 (0.098; 0.244)</w:t>
            </w:r>
          </w:p>
        </w:tc>
      </w:tr>
      <w:tr w:rsidR="00265001" w:rsidRPr="003D7162" w14:paraId="2F6FBEA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43C2D5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352" w:type="dxa"/>
            <w:tcBorders>
              <w:top w:val="nil"/>
              <w:left w:val="nil"/>
              <w:bottom w:val="nil"/>
              <w:right w:val="nil"/>
            </w:tcBorders>
            <w:shd w:val="clear" w:color="000000" w:fill="FFFFFF"/>
            <w:vAlign w:val="center"/>
            <w:hideMark/>
          </w:tcPr>
          <w:p w14:paraId="53A4885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A0F901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72172F9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E8AD73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4200EBC5"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6CF142B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E99359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6AA4DF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E7D70F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0D63A01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2EAB06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861A98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 antenatal care visits</w:t>
            </w:r>
          </w:p>
        </w:tc>
        <w:tc>
          <w:tcPr>
            <w:tcW w:w="352" w:type="dxa"/>
            <w:tcBorders>
              <w:top w:val="nil"/>
              <w:left w:val="nil"/>
              <w:bottom w:val="nil"/>
              <w:right w:val="nil"/>
            </w:tcBorders>
            <w:shd w:val="clear" w:color="000000" w:fill="FFFFFF"/>
            <w:vAlign w:val="center"/>
            <w:hideMark/>
          </w:tcPr>
          <w:p w14:paraId="15B0718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D006D0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0.74 (0.65; 0.829)</w:t>
            </w:r>
          </w:p>
        </w:tc>
        <w:tc>
          <w:tcPr>
            <w:tcW w:w="352" w:type="dxa"/>
            <w:tcBorders>
              <w:top w:val="nil"/>
              <w:left w:val="nil"/>
              <w:bottom w:val="nil"/>
              <w:right w:val="nil"/>
            </w:tcBorders>
            <w:shd w:val="clear" w:color="000000" w:fill="FFFFFF"/>
            <w:vAlign w:val="center"/>
            <w:hideMark/>
          </w:tcPr>
          <w:p w14:paraId="0463CB1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371E1A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0.137 (0.054; 0.22)</w:t>
            </w:r>
          </w:p>
        </w:tc>
      </w:tr>
      <w:tr w:rsidR="00265001" w:rsidRPr="003D7162" w14:paraId="69AD30D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07DB54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352" w:type="dxa"/>
            <w:tcBorders>
              <w:top w:val="nil"/>
              <w:left w:val="nil"/>
              <w:bottom w:val="nil"/>
              <w:right w:val="nil"/>
            </w:tcBorders>
            <w:shd w:val="clear" w:color="000000" w:fill="FFFFFF"/>
            <w:vAlign w:val="center"/>
            <w:hideMark/>
          </w:tcPr>
          <w:p w14:paraId="31A16E6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914D23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4ED234D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1411AC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r>
      <w:tr w:rsidR="00265001" w:rsidRPr="003D7162" w14:paraId="4ED0ECFA"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34386FC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424981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AEC1ED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F6838F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2C5EE05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992558F"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40201354"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Human resources for health</w:t>
            </w:r>
          </w:p>
        </w:tc>
      </w:tr>
      <w:tr w:rsidR="00265001" w:rsidRPr="003D7162" w14:paraId="01B8CCB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6DE912D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Density of human resources for health</w:t>
            </w:r>
          </w:p>
        </w:tc>
        <w:tc>
          <w:tcPr>
            <w:tcW w:w="352" w:type="dxa"/>
            <w:tcBorders>
              <w:top w:val="nil"/>
              <w:left w:val="nil"/>
              <w:bottom w:val="nil"/>
              <w:right w:val="nil"/>
            </w:tcBorders>
            <w:shd w:val="clear" w:color="000000" w:fill="FFFFFF"/>
            <w:vAlign w:val="center"/>
            <w:hideMark/>
          </w:tcPr>
          <w:p w14:paraId="218464F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F21839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0.043 (0.038; 0.047)</w:t>
            </w:r>
          </w:p>
        </w:tc>
        <w:tc>
          <w:tcPr>
            <w:tcW w:w="352" w:type="dxa"/>
            <w:tcBorders>
              <w:top w:val="nil"/>
              <w:left w:val="nil"/>
              <w:bottom w:val="nil"/>
              <w:right w:val="nil"/>
            </w:tcBorders>
            <w:shd w:val="clear" w:color="000000" w:fill="FFFFFF"/>
            <w:vAlign w:val="center"/>
            <w:hideMark/>
          </w:tcPr>
          <w:p w14:paraId="73C1EC0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187CC6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862A23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991EE0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(Doctors, nurses and midwives per 10,000 </w:t>
            </w:r>
          </w:p>
        </w:tc>
        <w:tc>
          <w:tcPr>
            <w:tcW w:w="352" w:type="dxa"/>
            <w:tcBorders>
              <w:top w:val="nil"/>
              <w:left w:val="nil"/>
              <w:bottom w:val="nil"/>
              <w:right w:val="nil"/>
            </w:tcBorders>
            <w:shd w:val="clear" w:color="000000" w:fill="FFFFFF"/>
            <w:vAlign w:val="center"/>
            <w:hideMark/>
          </w:tcPr>
          <w:p w14:paraId="5E657E2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6A669F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93B74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8FCE17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FEC21D4"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AF702B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population)</w:t>
            </w:r>
          </w:p>
        </w:tc>
        <w:tc>
          <w:tcPr>
            <w:tcW w:w="352" w:type="dxa"/>
            <w:tcBorders>
              <w:top w:val="nil"/>
              <w:left w:val="nil"/>
              <w:bottom w:val="single" w:sz="4" w:space="0" w:color="auto"/>
              <w:right w:val="nil"/>
            </w:tcBorders>
            <w:shd w:val="clear" w:color="000000" w:fill="FFFFFF"/>
            <w:vAlign w:val="center"/>
            <w:hideMark/>
          </w:tcPr>
          <w:p w14:paraId="012FBFF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FE3EA8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5AA072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66E23A8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7FF92C5"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70DA7676"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Care seeking interventions for childhood illness &amp; child micronutrient intake </w:t>
            </w:r>
          </w:p>
        </w:tc>
      </w:tr>
      <w:tr w:rsidR="00265001" w:rsidRPr="003D7162" w14:paraId="11E85E0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2AE337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Oral rehydration therapy</w:t>
            </w:r>
          </w:p>
        </w:tc>
        <w:tc>
          <w:tcPr>
            <w:tcW w:w="352" w:type="dxa"/>
            <w:tcBorders>
              <w:top w:val="nil"/>
              <w:left w:val="nil"/>
              <w:bottom w:val="nil"/>
              <w:right w:val="nil"/>
            </w:tcBorders>
            <w:shd w:val="clear" w:color="000000" w:fill="FFFFFF"/>
            <w:vAlign w:val="center"/>
            <w:hideMark/>
          </w:tcPr>
          <w:p w14:paraId="1FF8E99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B25466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 (-0.006; 0.003)</w:t>
            </w:r>
          </w:p>
        </w:tc>
        <w:tc>
          <w:tcPr>
            <w:tcW w:w="352" w:type="dxa"/>
            <w:tcBorders>
              <w:top w:val="nil"/>
              <w:left w:val="nil"/>
              <w:bottom w:val="nil"/>
              <w:right w:val="nil"/>
            </w:tcBorders>
            <w:shd w:val="clear" w:color="000000" w:fill="FFFFFF"/>
            <w:vAlign w:val="center"/>
            <w:hideMark/>
          </w:tcPr>
          <w:p w14:paraId="500AB8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6504EB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0CB2BE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A6D12E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 with diarrhea receiving ORT)</w:t>
            </w:r>
          </w:p>
        </w:tc>
        <w:tc>
          <w:tcPr>
            <w:tcW w:w="352" w:type="dxa"/>
            <w:tcBorders>
              <w:top w:val="nil"/>
              <w:left w:val="nil"/>
              <w:bottom w:val="nil"/>
              <w:right w:val="nil"/>
            </w:tcBorders>
            <w:shd w:val="clear" w:color="000000" w:fill="FFFFFF"/>
            <w:vAlign w:val="center"/>
            <w:hideMark/>
          </w:tcPr>
          <w:p w14:paraId="657C181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4B600B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0.494</w:t>
            </w:r>
          </w:p>
        </w:tc>
        <w:tc>
          <w:tcPr>
            <w:tcW w:w="352" w:type="dxa"/>
            <w:tcBorders>
              <w:top w:val="nil"/>
              <w:left w:val="nil"/>
              <w:bottom w:val="nil"/>
              <w:right w:val="nil"/>
            </w:tcBorders>
            <w:shd w:val="clear" w:color="000000" w:fill="FFFFFF"/>
            <w:vAlign w:val="center"/>
            <w:hideMark/>
          </w:tcPr>
          <w:p w14:paraId="3545D00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249B5A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5CB7A29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3D5FFB0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62E521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A0F798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EB5BC4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D03FAC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90A88C9"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BE56AF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Care seeking for pneumonia</w:t>
            </w:r>
          </w:p>
        </w:tc>
        <w:tc>
          <w:tcPr>
            <w:tcW w:w="352" w:type="dxa"/>
            <w:tcBorders>
              <w:top w:val="nil"/>
              <w:left w:val="nil"/>
              <w:bottom w:val="nil"/>
              <w:right w:val="nil"/>
            </w:tcBorders>
            <w:shd w:val="clear" w:color="000000" w:fill="FFFFFF"/>
            <w:vAlign w:val="center"/>
            <w:hideMark/>
          </w:tcPr>
          <w:p w14:paraId="7B44BBE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6EA502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0.024 (0.022; 0.026)</w:t>
            </w:r>
          </w:p>
        </w:tc>
        <w:tc>
          <w:tcPr>
            <w:tcW w:w="352" w:type="dxa"/>
            <w:tcBorders>
              <w:top w:val="nil"/>
              <w:left w:val="nil"/>
              <w:bottom w:val="nil"/>
              <w:right w:val="nil"/>
            </w:tcBorders>
            <w:shd w:val="clear" w:color="000000" w:fill="FFFFFF"/>
            <w:vAlign w:val="center"/>
            <w:hideMark/>
          </w:tcPr>
          <w:p w14:paraId="3611FF7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B81AE5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-0.005 (-0.008; -0.001)</w:t>
            </w:r>
          </w:p>
        </w:tc>
      </w:tr>
      <w:tr w:rsidR="00265001" w:rsidRPr="003D7162" w14:paraId="6D8FCCC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42E7BF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children with pneumonia seeking care)</w:t>
            </w:r>
          </w:p>
        </w:tc>
        <w:tc>
          <w:tcPr>
            <w:tcW w:w="352" w:type="dxa"/>
            <w:tcBorders>
              <w:top w:val="nil"/>
              <w:left w:val="nil"/>
              <w:bottom w:val="nil"/>
              <w:right w:val="nil"/>
            </w:tcBorders>
            <w:shd w:val="clear" w:color="000000" w:fill="FFFFFF"/>
            <w:vAlign w:val="center"/>
            <w:hideMark/>
          </w:tcPr>
          <w:p w14:paraId="16573AC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B76C20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05FE694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C1A71E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E39BB5F"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0B0F5A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FCC89B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4CB217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FCFCE1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2222058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DD6B3F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7D5E40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Vitamin A Supplementation</w:t>
            </w:r>
          </w:p>
        </w:tc>
        <w:tc>
          <w:tcPr>
            <w:tcW w:w="352" w:type="dxa"/>
            <w:tcBorders>
              <w:top w:val="nil"/>
              <w:left w:val="nil"/>
              <w:bottom w:val="nil"/>
              <w:right w:val="nil"/>
            </w:tcBorders>
            <w:shd w:val="clear" w:color="000000" w:fill="FFFFFF"/>
            <w:vAlign w:val="center"/>
            <w:hideMark/>
          </w:tcPr>
          <w:p w14:paraId="4398F8E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E92213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-0.416 (-0.522; -0.311)</w:t>
            </w:r>
          </w:p>
        </w:tc>
        <w:tc>
          <w:tcPr>
            <w:tcW w:w="352" w:type="dxa"/>
            <w:tcBorders>
              <w:top w:val="nil"/>
              <w:left w:val="nil"/>
              <w:bottom w:val="nil"/>
              <w:right w:val="nil"/>
            </w:tcBorders>
            <w:shd w:val="clear" w:color="000000" w:fill="FFFFFF"/>
            <w:vAlign w:val="center"/>
            <w:hideMark/>
          </w:tcPr>
          <w:p w14:paraId="27103C2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4DF83F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AE80D2C"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0C2A94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(index child)</w:t>
            </w:r>
          </w:p>
        </w:tc>
        <w:tc>
          <w:tcPr>
            <w:tcW w:w="352" w:type="dxa"/>
            <w:tcBorders>
              <w:top w:val="nil"/>
              <w:left w:val="nil"/>
              <w:bottom w:val="nil"/>
              <w:right w:val="nil"/>
            </w:tcBorders>
            <w:shd w:val="clear" w:color="000000" w:fill="FFFFFF"/>
            <w:vAlign w:val="center"/>
            <w:hideMark/>
          </w:tcPr>
          <w:p w14:paraId="36E5CD0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8F69DF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817F21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9AE330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7D3B907D"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34E405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C06AD3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672FAA2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A9FD3E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0919CD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9A3AAA5"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7123132D"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Unhealthy household environment</w:t>
            </w:r>
          </w:p>
        </w:tc>
      </w:tr>
      <w:tr w:rsidR="00265001" w:rsidRPr="003D7162" w14:paraId="4B7B106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6D65B2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Urban locality</w:t>
            </w:r>
          </w:p>
        </w:tc>
        <w:tc>
          <w:tcPr>
            <w:tcW w:w="352" w:type="dxa"/>
            <w:tcBorders>
              <w:top w:val="nil"/>
              <w:left w:val="nil"/>
              <w:bottom w:val="nil"/>
              <w:right w:val="nil"/>
            </w:tcBorders>
            <w:shd w:val="clear" w:color="000000" w:fill="FFFFFF"/>
            <w:vAlign w:val="center"/>
            <w:hideMark/>
          </w:tcPr>
          <w:p w14:paraId="2874A20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D78570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0.875 (0.817; 0.933)</w:t>
            </w:r>
          </w:p>
        </w:tc>
        <w:tc>
          <w:tcPr>
            <w:tcW w:w="352" w:type="dxa"/>
            <w:tcBorders>
              <w:top w:val="nil"/>
              <w:left w:val="nil"/>
              <w:bottom w:val="nil"/>
              <w:right w:val="nil"/>
            </w:tcBorders>
            <w:shd w:val="clear" w:color="000000" w:fill="FFFFFF"/>
            <w:vAlign w:val="center"/>
            <w:hideMark/>
          </w:tcPr>
          <w:p w14:paraId="2CAFB71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C10618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-0.059 (-0.127; 0.008)</w:t>
            </w:r>
          </w:p>
        </w:tc>
      </w:tr>
      <w:tr w:rsidR="00265001" w:rsidRPr="003D7162" w14:paraId="43A3F5E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B31F40C"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(index household) </w:t>
            </w:r>
          </w:p>
        </w:tc>
        <w:tc>
          <w:tcPr>
            <w:tcW w:w="352" w:type="dxa"/>
            <w:tcBorders>
              <w:top w:val="nil"/>
              <w:left w:val="nil"/>
              <w:bottom w:val="nil"/>
              <w:right w:val="nil"/>
            </w:tcBorders>
            <w:shd w:val="clear" w:color="000000" w:fill="FFFFFF"/>
            <w:vAlign w:val="center"/>
            <w:hideMark/>
          </w:tcPr>
          <w:p w14:paraId="566C510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46CEC6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1B719F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86C090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0.086</w:t>
            </w:r>
          </w:p>
        </w:tc>
      </w:tr>
      <w:tr w:rsidR="00265001" w:rsidRPr="003D7162" w14:paraId="0C04C651"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41DE2B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98F054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ECA789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881261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D9F86D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2DC3402"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E38CD9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Open defecation</w:t>
            </w:r>
          </w:p>
        </w:tc>
        <w:tc>
          <w:tcPr>
            <w:tcW w:w="352" w:type="dxa"/>
            <w:tcBorders>
              <w:top w:val="nil"/>
              <w:left w:val="nil"/>
              <w:bottom w:val="nil"/>
              <w:right w:val="nil"/>
            </w:tcBorders>
            <w:shd w:val="clear" w:color="000000" w:fill="FFFFFF"/>
            <w:vAlign w:val="center"/>
            <w:hideMark/>
          </w:tcPr>
          <w:p w14:paraId="5434149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D06AC8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-0.795 (-0.875; -0.716)</w:t>
            </w:r>
          </w:p>
        </w:tc>
        <w:tc>
          <w:tcPr>
            <w:tcW w:w="352" w:type="dxa"/>
            <w:tcBorders>
              <w:top w:val="nil"/>
              <w:left w:val="nil"/>
              <w:bottom w:val="nil"/>
              <w:right w:val="nil"/>
            </w:tcBorders>
            <w:shd w:val="clear" w:color="000000" w:fill="FFFFFF"/>
            <w:vAlign w:val="center"/>
            <w:hideMark/>
          </w:tcPr>
          <w:p w14:paraId="3416E3A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D27971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666FCC2"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4C404D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352" w:type="dxa"/>
            <w:tcBorders>
              <w:top w:val="nil"/>
              <w:left w:val="nil"/>
              <w:bottom w:val="nil"/>
              <w:right w:val="nil"/>
            </w:tcBorders>
            <w:shd w:val="clear" w:color="000000" w:fill="FFFFFF"/>
            <w:vAlign w:val="center"/>
            <w:hideMark/>
          </w:tcPr>
          <w:p w14:paraId="1EFBB82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9D5762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4D23A8C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C0E29D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7535985"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67FB836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6ECFA0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C40E92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13DA51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4F2F2A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ED9860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39DF1E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Access to improved drinking water sources</w:t>
            </w:r>
          </w:p>
        </w:tc>
        <w:tc>
          <w:tcPr>
            <w:tcW w:w="352" w:type="dxa"/>
            <w:tcBorders>
              <w:top w:val="nil"/>
              <w:left w:val="nil"/>
              <w:bottom w:val="nil"/>
              <w:right w:val="nil"/>
            </w:tcBorders>
            <w:shd w:val="clear" w:color="000000" w:fill="FFFFFF"/>
            <w:vAlign w:val="center"/>
            <w:hideMark/>
          </w:tcPr>
          <w:p w14:paraId="7D56C3D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4A34E5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0.354 (0.271; 0.438)</w:t>
            </w:r>
          </w:p>
        </w:tc>
        <w:tc>
          <w:tcPr>
            <w:tcW w:w="352" w:type="dxa"/>
            <w:tcBorders>
              <w:top w:val="nil"/>
              <w:left w:val="nil"/>
              <w:bottom w:val="nil"/>
              <w:right w:val="nil"/>
            </w:tcBorders>
            <w:shd w:val="clear" w:color="000000" w:fill="FFFFFF"/>
            <w:vAlign w:val="center"/>
            <w:hideMark/>
          </w:tcPr>
          <w:p w14:paraId="0802486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A9FC87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617FA1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9F7480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352" w:type="dxa"/>
            <w:tcBorders>
              <w:top w:val="nil"/>
              <w:left w:val="nil"/>
              <w:bottom w:val="nil"/>
              <w:right w:val="nil"/>
            </w:tcBorders>
            <w:shd w:val="clear" w:color="000000" w:fill="FFFFFF"/>
            <w:vAlign w:val="center"/>
            <w:hideMark/>
          </w:tcPr>
          <w:p w14:paraId="5E93290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E9AE93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27F272E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B2E9BB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5932FD3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0E1486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DA446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23D121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BEB101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3D4E3C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8FDC21B"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429227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Number of household members</w:t>
            </w:r>
          </w:p>
          <w:p w14:paraId="091BEFE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household)</w:t>
            </w:r>
          </w:p>
        </w:tc>
        <w:tc>
          <w:tcPr>
            <w:tcW w:w="352" w:type="dxa"/>
            <w:tcBorders>
              <w:top w:val="nil"/>
              <w:left w:val="nil"/>
              <w:bottom w:val="nil"/>
              <w:right w:val="nil"/>
            </w:tcBorders>
            <w:shd w:val="clear" w:color="000000" w:fill="FFFFFF"/>
            <w:vAlign w:val="center"/>
            <w:hideMark/>
          </w:tcPr>
          <w:p w14:paraId="0FCEF4A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18CFAB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-0.059 (-0.073; -0.046)</w:t>
            </w:r>
          </w:p>
        </w:tc>
        <w:tc>
          <w:tcPr>
            <w:tcW w:w="352" w:type="dxa"/>
            <w:tcBorders>
              <w:top w:val="nil"/>
              <w:left w:val="nil"/>
              <w:bottom w:val="nil"/>
              <w:right w:val="nil"/>
            </w:tcBorders>
            <w:shd w:val="clear" w:color="000000" w:fill="FFFFFF"/>
            <w:vAlign w:val="center"/>
            <w:hideMark/>
          </w:tcPr>
          <w:p w14:paraId="687C34D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003486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-0.027 (-0.039; -0.015)</w:t>
            </w:r>
          </w:p>
        </w:tc>
      </w:tr>
      <w:tr w:rsidR="00265001" w:rsidRPr="003D7162" w14:paraId="44E9FE08"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A0C571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2676918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DBA64D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2BBD37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AAD498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05946E0D"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5FC351C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324DCB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835274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A2FFEB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2E4AC5D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C3BA4D6" w14:textId="77777777" w:rsidTr="00BB6575">
        <w:trPr>
          <w:trHeight w:val="435"/>
        </w:trPr>
        <w:tc>
          <w:tcPr>
            <w:tcW w:w="2950" w:type="dxa"/>
            <w:tcBorders>
              <w:top w:val="nil"/>
              <w:left w:val="single" w:sz="4" w:space="0" w:color="auto"/>
              <w:right w:val="nil"/>
            </w:tcBorders>
            <w:shd w:val="clear" w:color="000000" w:fill="D9D9D9"/>
            <w:vAlign w:val="center"/>
            <w:hideMark/>
          </w:tcPr>
          <w:p w14:paraId="2A4E8AE4"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352" w:type="dxa"/>
            <w:tcBorders>
              <w:top w:val="nil"/>
              <w:left w:val="nil"/>
              <w:right w:val="nil"/>
            </w:tcBorders>
            <w:shd w:val="clear" w:color="000000" w:fill="D9D9D9"/>
            <w:vAlign w:val="center"/>
            <w:hideMark/>
          </w:tcPr>
          <w:p w14:paraId="22332013"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right w:val="single" w:sz="4" w:space="0" w:color="auto"/>
            </w:tcBorders>
            <w:shd w:val="clear" w:color="000000" w:fill="D9D9D9"/>
            <w:vAlign w:val="center"/>
            <w:hideMark/>
          </w:tcPr>
          <w:p w14:paraId="1E624B2D"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right w:val="nil"/>
            </w:tcBorders>
            <w:shd w:val="clear" w:color="000000" w:fill="D9D9D9"/>
            <w:vAlign w:val="center"/>
            <w:hideMark/>
          </w:tcPr>
          <w:p w14:paraId="3BEAC1C2"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right w:val="single" w:sz="4" w:space="0" w:color="auto"/>
            </w:tcBorders>
            <w:shd w:val="clear" w:color="000000" w:fill="D9D9D9"/>
            <w:vAlign w:val="center"/>
            <w:hideMark/>
          </w:tcPr>
          <w:p w14:paraId="38180319" w14:textId="77777777" w:rsidR="00265001" w:rsidRPr="003D7162" w:rsidRDefault="00265001" w:rsidP="00BB65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32.9%</w:t>
            </w:r>
          </w:p>
        </w:tc>
      </w:tr>
      <w:tr w:rsidR="00265001" w:rsidRPr="003D7162" w14:paraId="1DF1B15B" w14:textId="77777777" w:rsidTr="00BB6575">
        <w:trPr>
          <w:trHeight w:val="300"/>
        </w:trPr>
        <w:tc>
          <w:tcPr>
            <w:tcW w:w="9911" w:type="dxa"/>
            <w:gridSpan w:val="5"/>
            <w:tcBorders>
              <w:top w:val="nil"/>
              <w:left w:val="single" w:sz="4" w:space="0" w:color="auto"/>
              <w:right w:val="single" w:sz="4" w:space="0" w:color="auto"/>
            </w:tcBorders>
            <w:shd w:val="clear" w:color="000000" w:fill="808080"/>
            <w:vAlign w:val="center"/>
            <w:hideMark/>
          </w:tcPr>
          <w:p w14:paraId="672F558B" w14:textId="77777777" w:rsidR="00265001" w:rsidRPr="003D7162" w:rsidRDefault="00265001" w:rsidP="00BB6575">
            <w:pPr>
              <w:rPr>
                <w:rFonts w:ascii="Helvetica" w:eastAsia="Times New Roman" w:hAnsi="Helvetica" w:cs="Helvetica"/>
                <w:sz w:val="20"/>
                <w:szCs w:val="20"/>
                <w:lang w:eastAsia="en-US"/>
              </w:rPr>
            </w:pPr>
            <w:r w:rsidRPr="003D7162">
              <w:rPr>
                <w:rFonts w:ascii="Helvetica" w:eastAsia="Times New Roman" w:hAnsi="Helvetica" w:cs="Helvetica"/>
                <w:b/>
                <w:bCs/>
                <w:color w:val="FFFFFF"/>
                <w:szCs w:val="22"/>
                <w:lang w:eastAsia="en-US"/>
              </w:rPr>
              <w:t>Proximal level</w:t>
            </w:r>
          </w:p>
        </w:tc>
      </w:tr>
      <w:tr w:rsidR="00265001" w:rsidRPr="003D7162" w14:paraId="5F5A5FC2" w14:textId="77777777" w:rsidTr="00BB6575">
        <w:trPr>
          <w:trHeight w:val="360"/>
        </w:trPr>
        <w:tc>
          <w:tcPr>
            <w:tcW w:w="9911" w:type="dxa"/>
            <w:gridSpan w:val="5"/>
            <w:tcBorders>
              <w:top w:val="nil"/>
              <w:left w:val="single" w:sz="4" w:space="0" w:color="auto"/>
              <w:bottom w:val="single" w:sz="4" w:space="0" w:color="auto"/>
              <w:right w:val="single" w:sz="4" w:space="0" w:color="auto"/>
            </w:tcBorders>
            <w:shd w:val="clear" w:color="000000" w:fill="D9D9D9"/>
            <w:vAlign w:val="center"/>
            <w:hideMark/>
          </w:tcPr>
          <w:p w14:paraId="5C2DAD33" w14:textId="77777777" w:rsidR="00265001" w:rsidRPr="003D7162" w:rsidRDefault="00265001" w:rsidP="00BB6575">
            <w:pPr>
              <w:rPr>
                <w:rFonts w:ascii="Helvetica" w:eastAsia="Times New Roman" w:hAnsi="Helvetica" w:cs="Helvetica"/>
                <w:sz w:val="20"/>
                <w:szCs w:val="20"/>
                <w:lang w:eastAsia="en-US"/>
              </w:rPr>
            </w:pPr>
            <w:r w:rsidRPr="003D7162">
              <w:rPr>
                <w:rFonts w:ascii="Helvetica" w:eastAsia="Times New Roman" w:hAnsi="Helvetica" w:cs="Helvetica"/>
                <w:b/>
                <w:bCs/>
                <w:color w:val="000000"/>
                <w:sz w:val="20"/>
                <w:szCs w:val="20"/>
                <w:lang w:eastAsia="en-US"/>
              </w:rPr>
              <w:t>Infections</w:t>
            </w:r>
          </w:p>
        </w:tc>
      </w:tr>
      <w:tr w:rsidR="00265001" w:rsidRPr="003D7162" w14:paraId="078C01B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918745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ARI infection</w:t>
            </w:r>
          </w:p>
        </w:tc>
        <w:tc>
          <w:tcPr>
            <w:tcW w:w="352" w:type="dxa"/>
            <w:tcBorders>
              <w:top w:val="single" w:sz="4" w:space="0" w:color="auto"/>
              <w:left w:val="nil"/>
              <w:bottom w:val="nil"/>
              <w:right w:val="nil"/>
            </w:tcBorders>
            <w:shd w:val="clear" w:color="000000" w:fill="FFFFFF"/>
            <w:vAlign w:val="center"/>
            <w:hideMark/>
          </w:tcPr>
          <w:p w14:paraId="2A33DF6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single" w:sz="4" w:space="0" w:color="auto"/>
              <w:left w:val="nil"/>
              <w:bottom w:val="nil"/>
              <w:right w:val="single" w:sz="4" w:space="0" w:color="auto"/>
            </w:tcBorders>
            <w:shd w:val="clear" w:color="000000" w:fill="FFFFFF"/>
            <w:vAlign w:val="center"/>
            <w:hideMark/>
          </w:tcPr>
          <w:p w14:paraId="230F772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 (-0.042; 0.063)</w:t>
            </w:r>
          </w:p>
        </w:tc>
        <w:tc>
          <w:tcPr>
            <w:tcW w:w="352" w:type="dxa"/>
            <w:tcBorders>
              <w:top w:val="single" w:sz="4" w:space="0" w:color="auto"/>
              <w:left w:val="nil"/>
              <w:bottom w:val="nil"/>
              <w:right w:val="nil"/>
            </w:tcBorders>
            <w:shd w:val="clear" w:color="000000" w:fill="FFFFFF"/>
            <w:vAlign w:val="center"/>
            <w:hideMark/>
          </w:tcPr>
          <w:p w14:paraId="235AADC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single" w:sz="4" w:space="0" w:color="auto"/>
              <w:left w:val="nil"/>
              <w:bottom w:val="nil"/>
              <w:right w:val="single" w:sz="4" w:space="0" w:color="auto"/>
            </w:tcBorders>
            <w:shd w:val="clear" w:color="000000" w:fill="FFFFFF"/>
            <w:vAlign w:val="center"/>
            <w:hideMark/>
          </w:tcPr>
          <w:p w14:paraId="68C9248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39FE55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12B018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 within last 2 weeks)</w:t>
            </w:r>
          </w:p>
        </w:tc>
        <w:tc>
          <w:tcPr>
            <w:tcW w:w="352" w:type="dxa"/>
            <w:tcBorders>
              <w:top w:val="nil"/>
              <w:left w:val="nil"/>
              <w:bottom w:val="nil"/>
              <w:right w:val="nil"/>
            </w:tcBorders>
            <w:shd w:val="clear" w:color="000000" w:fill="FFFFFF"/>
            <w:vAlign w:val="center"/>
            <w:hideMark/>
          </w:tcPr>
          <w:p w14:paraId="09E58FE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6CE42D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0.695</w:t>
            </w:r>
          </w:p>
        </w:tc>
        <w:tc>
          <w:tcPr>
            <w:tcW w:w="352" w:type="dxa"/>
            <w:tcBorders>
              <w:top w:val="nil"/>
              <w:left w:val="nil"/>
              <w:bottom w:val="nil"/>
              <w:right w:val="nil"/>
            </w:tcBorders>
            <w:shd w:val="clear" w:color="000000" w:fill="FFFFFF"/>
            <w:vAlign w:val="center"/>
            <w:hideMark/>
          </w:tcPr>
          <w:p w14:paraId="71E64B1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ADB217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180EC03"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82D1D6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5CDF57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94F02D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72DC54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01F7263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B56918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9EAEA23"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Diarrhea infection</w:t>
            </w:r>
          </w:p>
        </w:tc>
        <w:tc>
          <w:tcPr>
            <w:tcW w:w="352" w:type="dxa"/>
            <w:tcBorders>
              <w:top w:val="nil"/>
              <w:left w:val="nil"/>
              <w:bottom w:val="nil"/>
              <w:right w:val="nil"/>
            </w:tcBorders>
            <w:shd w:val="clear" w:color="000000" w:fill="FFFFFF"/>
            <w:vAlign w:val="center"/>
            <w:hideMark/>
          </w:tcPr>
          <w:p w14:paraId="5425104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CEE838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-0.206 (-0.279; -0.133)</w:t>
            </w:r>
          </w:p>
        </w:tc>
        <w:tc>
          <w:tcPr>
            <w:tcW w:w="352" w:type="dxa"/>
            <w:tcBorders>
              <w:top w:val="nil"/>
              <w:left w:val="nil"/>
              <w:bottom w:val="nil"/>
              <w:right w:val="nil"/>
            </w:tcBorders>
            <w:shd w:val="clear" w:color="000000" w:fill="FFFFFF"/>
            <w:vAlign w:val="center"/>
            <w:hideMark/>
          </w:tcPr>
          <w:p w14:paraId="5537D48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9E1827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2CCB308"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31AC04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 within last 2 weeks)</w:t>
            </w:r>
          </w:p>
        </w:tc>
        <w:tc>
          <w:tcPr>
            <w:tcW w:w="352" w:type="dxa"/>
            <w:tcBorders>
              <w:top w:val="nil"/>
              <w:left w:val="nil"/>
              <w:bottom w:val="nil"/>
              <w:right w:val="nil"/>
            </w:tcBorders>
            <w:shd w:val="clear" w:color="000000" w:fill="FFFFFF"/>
            <w:vAlign w:val="center"/>
            <w:hideMark/>
          </w:tcPr>
          <w:p w14:paraId="344EB5B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A9DEC1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27784C6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D18283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66FBDB7A" w14:textId="77777777" w:rsidTr="00BB6575">
        <w:trPr>
          <w:trHeight w:val="255"/>
        </w:trPr>
        <w:tc>
          <w:tcPr>
            <w:tcW w:w="2950" w:type="dxa"/>
            <w:tcBorders>
              <w:top w:val="nil"/>
              <w:left w:val="single" w:sz="4" w:space="0" w:color="auto"/>
              <w:bottom w:val="single" w:sz="4" w:space="0" w:color="auto"/>
              <w:right w:val="nil"/>
            </w:tcBorders>
            <w:shd w:val="clear" w:color="000000" w:fill="FFFFFF"/>
            <w:vAlign w:val="center"/>
            <w:hideMark/>
          </w:tcPr>
          <w:p w14:paraId="71FD11F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single" w:sz="4" w:space="0" w:color="auto"/>
              <w:bottom w:val="single" w:sz="4" w:space="0" w:color="auto"/>
              <w:right w:val="nil"/>
            </w:tcBorders>
            <w:shd w:val="clear" w:color="000000" w:fill="FFFFFF"/>
            <w:vAlign w:val="center"/>
            <w:hideMark/>
          </w:tcPr>
          <w:p w14:paraId="14A65B2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D04239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2D7113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FBBE98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A9F0CBB" w14:textId="77777777" w:rsidTr="00BB6575">
        <w:trPr>
          <w:trHeight w:val="360"/>
        </w:trPr>
        <w:tc>
          <w:tcPr>
            <w:tcW w:w="9911" w:type="dxa"/>
            <w:gridSpan w:val="5"/>
            <w:tcBorders>
              <w:top w:val="single" w:sz="4" w:space="0" w:color="auto"/>
              <w:left w:val="single" w:sz="4" w:space="0" w:color="auto"/>
              <w:bottom w:val="single" w:sz="4" w:space="0" w:color="auto"/>
              <w:right w:val="single" w:sz="4" w:space="0" w:color="auto"/>
            </w:tcBorders>
            <w:shd w:val="clear" w:color="000000" w:fill="D9D9D9"/>
            <w:vAlign w:val="center"/>
            <w:hideMark/>
          </w:tcPr>
          <w:p w14:paraId="671FD0ED" w14:textId="77777777" w:rsidR="00265001" w:rsidRPr="003D7162" w:rsidRDefault="00265001" w:rsidP="00BB6575">
            <w:pPr>
              <w:rPr>
                <w:rFonts w:ascii="Helvetica" w:eastAsia="Times New Roman" w:hAnsi="Helvetica" w:cs="Helvetica"/>
                <w:sz w:val="20"/>
                <w:szCs w:val="20"/>
                <w:lang w:eastAsia="en-US"/>
              </w:rPr>
            </w:pPr>
            <w:r w:rsidRPr="003D7162">
              <w:rPr>
                <w:rFonts w:ascii="Helvetica" w:eastAsia="Times New Roman" w:hAnsi="Helvetica" w:cs="Helvetica"/>
                <w:b/>
                <w:bCs/>
                <w:color w:val="000000"/>
                <w:sz w:val="20"/>
                <w:szCs w:val="20"/>
                <w:lang w:eastAsia="en-US"/>
              </w:rPr>
              <w:t>Child characteristics</w:t>
            </w:r>
          </w:p>
        </w:tc>
      </w:tr>
      <w:tr w:rsidR="00265001" w:rsidRPr="003D7162" w14:paraId="0EABC42B"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2B84CB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Low birthweight</w:t>
            </w:r>
          </w:p>
        </w:tc>
        <w:tc>
          <w:tcPr>
            <w:tcW w:w="352" w:type="dxa"/>
            <w:tcBorders>
              <w:top w:val="single" w:sz="4" w:space="0" w:color="auto"/>
              <w:left w:val="nil"/>
              <w:bottom w:val="nil"/>
              <w:right w:val="nil"/>
            </w:tcBorders>
            <w:shd w:val="clear" w:color="000000" w:fill="FFFFFF"/>
            <w:vAlign w:val="center"/>
            <w:hideMark/>
          </w:tcPr>
          <w:p w14:paraId="03638F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single" w:sz="4" w:space="0" w:color="auto"/>
              <w:left w:val="nil"/>
              <w:bottom w:val="nil"/>
              <w:right w:val="single" w:sz="4" w:space="0" w:color="auto"/>
            </w:tcBorders>
            <w:shd w:val="clear" w:color="000000" w:fill="FFFFFF"/>
            <w:vAlign w:val="center"/>
            <w:hideMark/>
          </w:tcPr>
          <w:p w14:paraId="1D8024A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-0.509 (-0.606; -0.412)</w:t>
            </w:r>
          </w:p>
        </w:tc>
        <w:tc>
          <w:tcPr>
            <w:tcW w:w="352" w:type="dxa"/>
            <w:tcBorders>
              <w:top w:val="single" w:sz="4" w:space="0" w:color="auto"/>
              <w:left w:val="nil"/>
              <w:bottom w:val="nil"/>
              <w:right w:val="nil"/>
            </w:tcBorders>
            <w:shd w:val="clear" w:color="000000" w:fill="FFFFFF"/>
            <w:vAlign w:val="center"/>
            <w:hideMark/>
          </w:tcPr>
          <w:p w14:paraId="5809E44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single" w:sz="4" w:space="0" w:color="auto"/>
              <w:left w:val="nil"/>
              <w:bottom w:val="nil"/>
              <w:right w:val="single" w:sz="4" w:space="0" w:color="auto"/>
            </w:tcBorders>
            <w:shd w:val="clear" w:color="000000" w:fill="FFFFFF"/>
            <w:vAlign w:val="center"/>
            <w:hideMark/>
          </w:tcPr>
          <w:p w14:paraId="0E87E6B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-0.305 (-0.398; -0.212)</w:t>
            </w:r>
          </w:p>
        </w:tc>
      </w:tr>
      <w:tr w:rsidR="00265001" w:rsidRPr="003D7162" w14:paraId="12ADB31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6E91617C"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child)</w:t>
            </w:r>
          </w:p>
        </w:tc>
        <w:tc>
          <w:tcPr>
            <w:tcW w:w="352" w:type="dxa"/>
            <w:tcBorders>
              <w:top w:val="nil"/>
              <w:left w:val="nil"/>
              <w:bottom w:val="nil"/>
              <w:right w:val="nil"/>
            </w:tcBorders>
            <w:shd w:val="clear" w:color="000000" w:fill="FFFFFF"/>
            <w:vAlign w:val="center"/>
            <w:hideMark/>
          </w:tcPr>
          <w:p w14:paraId="5A55D74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A304A6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9A3578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A62283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00912B8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CBBCBBA"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B8360A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A1FEED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6197CF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ADC4D6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74ED123" w14:textId="77777777" w:rsidTr="00BB6575">
        <w:trPr>
          <w:trHeight w:val="360"/>
        </w:trPr>
        <w:tc>
          <w:tcPr>
            <w:tcW w:w="2950" w:type="dxa"/>
            <w:tcBorders>
              <w:top w:val="nil"/>
              <w:left w:val="single" w:sz="4" w:space="0" w:color="auto"/>
              <w:bottom w:val="single" w:sz="4" w:space="0" w:color="auto"/>
              <w:right w:val="nil"/>
            </w:tcBorders>
            <w:shd w:val="clear" w:color="000000" w:fill="D9D9D9"/>
            <w:vAlign w:val="center"/>
            <w:hideMark/>
          </w:tcPr>
          <w:p w14:paraId="5C3F90BD"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Maternal characteristics</w:t>
            </w:r>
          </w:p>
        </w:tc>
        <w:tc>
          <w:tcPr>
            <w:tcW w:w="352" w:type="dxa"/>
            <w:tcBorders>
              <w:top w:val="nil"/>
              <w:left w:val="nil"/>
              <w:bottom w:val="single" w:sz="4" w:space="0" w:color="auto"/>
              <w:right w:val="nil"/>
            </w:tcBorders>
            <w:shd w:val="clear" w:color="000000" w:fill="D9D9D9"/>
            <w:vAlign w:val="center"/>
            <w:hideMark/>
          </w:tcPr>
          <w:p w14:paraId="0DA0936F"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nil"/>
            </w:tcBorders>
            <w:shd w:val="clear" w:color="000000" w:fill="D9D9D9"/>
            <w:vAlign w:val="center"/>
            <w:hideMark/>
          </w:tcPr>
          <w:p w14:paraId="6444B00F"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3A232C21"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single" w:sz="4" w:space="0" w:color="auto"/>
              <w:left w:val="nil"/>
              <w:bottom w:val="single" w:sz="4" w:space="0" w:color="auto"/>
              <w:right w:val="single" w:sz="4" w:space="0" w:color="auto"/>
            </w:tcBorders>
            <w:shd w:val="clear" w:color="000000" w:fill="D9D9D9"/>
            <w:vAlign w:val="center"/>
            <w:hideMark/>
          </w:tcPr>
          <w:p w14:paraId="7260D16A"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265001" w:rsidRPr="003D7162" w14:paraId="050D041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5B9E87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Maternal age</w:t>
            </w:r>
          </w:p>
        </w:tc>
        <w:tc>
          <w:tcPr>
            <w:tcW w:w="352" w:type="dxa"/>
            <w:tcBorders>
              <w:top w:val="nil"/>
              <w:left w:val="nil"/>
              <w:bottom w:val="nil"/>
              <w:right w:val="nil"/>
            </w:tcBorders>
            <w:shd w:val="clear" w:color="000000" w:fill="FFFFFF"/>
            <w:vAlign w:val="center"/>
            <w:hideMark/>
          </w:tcPr>
          <w:p w14:paraId="78189C6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33641F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 (0.001; 0.008)</w:t>
            </w:r>
          </w:p>
        </w:tc>
        <w:tc>
          <w:tcPr>
            <w:tcW w:w="352" w:type="dxa"/>
            <w:tcBorders>
              <w:top w:val="nil"/>
              <w:left w:val="nil"/>
              <w:bottom w:val="nil"/>
              <w:right w:val="nil"/>
            </w:tcBorders>
            <w:shd w:val="clear" w:color="000000" w:fill="FFFFFF"/>
            <w:vAlign w:val="center"/>
            <w:hideMark/>
          </w:tcPr>
          <w:p w14:paraId="338C788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EF8421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26E8A8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F61B61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(years)</w:t>
            </w:r>
          </w:p>
        </w:tc>
        <w:tc>
          <w:tcPr>
            <w:tcW w:w="352" w:type="dxa"/>
            <w:tcBorders>
              <w:top w:val="nil"/>
              <w:left w:val="nil"/>
              <w:bottom w:val="nil"/>
              <w:right w:val="nil"/>
            </w:tcBorders>
            <w:shd w:val="clear" w:color="000000" w:fill="FFFFFF"/>
            <w:vAlign w:val="center"/>
            <w:hideMark/>
          </w:tcPr>
          <w:p w14:paraId="4294BB1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ED98C6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0.015</w:t>
            </w:r>
          </w:p>
        </w:tc>
        <w:tc>
          <w:tcPr>
            <w:tcW w:w="352" w:type="dxa"/>
            <w:tcBorders>
              <w:top w:val="nil"/>
              <w:left w:val="nil"/>
              <w:bottom w:val="nil"/>
              <w:right w:val="nil"/>
            </w:tcBorders>
            <w:shd w:val="clear" w:color="000000" w:fill="FFFFFF"/>
            <w:vAlign w:val="center"/>
            <w:hideMark/>
          </w:tcPr>
          <w:p w14:paraId="5AEB8C8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97BEE3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5A627AF5" w14:textId="77777777" w:rsidTr="00BB6575">
        <w:trPr>
          <w:trHeight w:val="240"/>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5C508A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2E9BD9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2C1A47C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74090E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303F88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7C12B4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F13E50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Adolescent birth (&lt;18 years of age)</w:t>
            </w:r>
          </w:p>
        </w:tc>
        <w:tc>
          <w:tcPr>
            <w:tcW w:w="352" w:type="dxa"/>
            <w:tcBorders>
              <w:top w:val="nil"/>
              <w:left w:val="nil"/>
              <w:bottom w:val="nil"/>
              <w:right w:val="nil"/>
            </w:tcBorders>
            <w:shd w:val="clear" w:color="000000" w:fill="FFFFFF"/>
            <w:vAlign w:val="center"/>
            <w:hideMark/>
          </w:tcPr>
          <w:p w14:paraId="0945A66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00D1F4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-0.319 (-0.415; -0.224)</w:t>
            </w:r>
          </w:p>
        </w:tc>
        <w:tc>
          <w:tcPr>
            <w:tcW w:w="352" w:type="dxa"/>
            <w:tcBorders>
              <w:top w:val="nil"/>
              <w:left w:val="nil"/>
              <w:bottom w:val="nil"/>
              <w:right w:val="nil"/>
            </w:tcBorders>
            <w:shd w:val="clear" w:color="000000" w:fill="FFFFFF"/>
            <w:vAlign w:val="center"/>
            <w:hideMark/>
          </w:tcPr>
          <w:p w14:paraId="22767FB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70DCEB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-0.292 (-0.626; 0.041)</w:t>
            </w:r>
          </w:p>
        </w:tc>
      </w:tr>
      <w:tr w:rsidR="00265001" w:rsidRPr="003D7162" w14:paraId="384F7AA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8A573D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352" w:type="dxa"/>
            <w:tcBorders>
              <w:top w:val="nil"/>
              <w:left w:val="nil"/>
              <w:bottom w:val="nil"/>
              <w:right w:val="nil"/>
            </w:tcBorders>
            <w:shd w:val="clear" w:color="000000" w:fill="FFFFFF"/>
            <w:vAlign w:val="center"/>
            <w:hideMark/>
          </w:tcPr>
          <w:p w14:paraId="3E5907E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890B66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2B281E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52F72A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0.086</w:t>
            </w:r>
          </w:p>
        </w:tc>
      </w:tr>
      <w:tr w:rsidR="00265001" w:rsidRPr="003D7162" w14:paraId="16A1919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5C20C21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FC3B8E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298BAF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848D81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D95CB3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460140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F5AFF7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Older mother birth (≥35 years)</w:t>
            </w:r>
          </w:p>
        </w:tc>
        <w:tc>
          <w:tcPr>
            <w:tcW w:w="352" w:type="dxa"/>
            <w:tcBorders>
              <w:top w:val="nil"/>
              <w:left w:val="nil"/>
              <w:bottom w:val="nil"/>
              <w:right w:val="nil"/>
            </w:tcBorders>
            <w:shd w:val="clear" w:color="000000" w:fill="FFFFFF"/>
            <w:vAlign w:val="center"/>
            <w:hideMark/>
          </w:tcPr>
          <w:p w14:paraId="71070EC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6CF025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-0.044 (-0.115; 0.027)</w:t>
            </w:r>
          </w:p>
        </w:tc>
        <w:tc>
          <w:tcPr>
            <w:tcW w:w="352" w:type="dxa"/>
            <w:tcBorders>
              <w:top w:val="nil"/>
              <w:left w:val="nil"/>
              <w:bottom w:val="nil"/>
              <w:right w:val="nil"/>
            </w:tcBorders>
            <w:shd w:val="clear" w:color="000000" w:fill="FFFFFF"/>
            <w:vAlign w:val="center"/>
            <w:hideMark/>
          </w:tcPr>
          <w:p w14:paraId="3E99D53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E948FD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21FB2A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4ED75A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352" w:type="dxa"/>
            <w:tcBorders>
              <w:top w:val="nil"/>
              <w:left w:val="nil"/>
              <w:bottom w:val="nil"/>
              <w:right w:val="nil"/>
            </w:tcBorders>
            <w:shd w:val="clear" w:color="000000" w:fill="FFFFFF"/>
            <w:vAlign w:val="center"/>
            <w:hideMark/>
          </w:tcPr>
          <w:p w14:paraId="64C8A14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FE0E1E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0.225</w:t>
            </w:r>
          </w:p>
        </w:tc>
        <w:tc>
          <w:tcPr>
            <w:tcW w:w="352" w:type="dxa"/>
            <w:tcBorders>
              <w:top w:val="nil"/>
              <w:left w:val="nil"/>
              <w:bottom w:val="nil"/>
              <w:right w:val="nil"/>
            </w:tcBorders>
            <w:shd w:val="clear" w:color="000000" w:fill="FFFFFF"/>
            <w:vAlign w:val="center"/>
            <w:hideMark/>
          </w:tcPr>
          <w:p w14:paraId="71487B4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4AED4A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195D0273" w14:textId="77777777" w:rsidTr="00BB6575">
        <w:trPr>
          <w:trHeight w:val="270"/>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551570C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2957B4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2BA6667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9B50A9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2164214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9BDAA5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033B9F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Anemia during pregnancy</w:t>
            </w:r>
          </w:p>
        </w:tc>
        <w:tc>
          <w:tcPr>
            <w:tcW w:w="352" w:type="dxa"/>
            <w:tcBorders>
              <w:top w:val="nil"/>
              <w:left w:val="nil"/>
              <w:bottom w:val="nil"/>
              <w:right w:val="nil"/>
            </w:tcBorders>
            <w:shd w:val="clear" w:color="000000" w:fill="FFFFFF"/>
            <w:vAlign w:val="center"/>
            <w:hideMark/>
          </w:tcPr>
          <w:p w14:paraId="7B71F77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E2EAB8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-0.042 (-0.11; 0.026)</w:t>
            </w:r>
          </w:p>
        </w:tc>
        <w:tc>
          <w:tcPr>
            <w:tcW w:w="352" w:type="dxa"/>
            <w:tcBorders>
              <w:top w:val="nil"/>
              <w:left w:val="nil"/>
              <w:bottom w:val="nil"/>
              <w:right w:val="nil"/>
            </w:tcBorders>
            <w:shd w:val="clear" w:color="000000" w:fill="FFFFFF"/>
            <w:vAlign w:val="center"/>
            <w:hideMark/>
          </w:tcPr>
          <w:p w14:paraId="3F772F1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A563F0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C21A27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C3BC20A"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(current birth for index mother)</w:t>
            </w:r>
          </w:p>
        </w:tc>
        <w:tc>
          <w:tcPr>
            <w:tcW w:w="352" w:type="dxa"/>
            <w:tcBorders>
              <w:top w:val="nil"/>
              <w:left w:val="nil"/>
              <w:bottom w:val="nil"/>
              <w:right w:val="nil"/>
            </w:tcBorders>
            <w:shd w:val="clear" w:color="000000" w:fill="FFFFFF"/>
            <w:vAlign w:val="center"/>
            <w:hideMark/>
          </w:tcPr>
          <w:p w14:paraId="5B8FC09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4DC3B3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0.223</w:t>
            </w:r>
          </w:p>
        </w:tc>
        <w:tc>
          <w:tcPr>
            <w:tcW w:w="352" w:type="dxa"/>
            <w:tcBorders>
              <w:top w:val="nil"/>
              <w:left w:val="nil"/>
              <w:bottom w:val="nil"/>
              <w:right w:val="nil"/>
            </w:tcBorders>
            <w:shd w:val="clear" w:color="000000" w:fill="FFFFFF"/>
            <w:vAlign w:val="center"/>
            <w:hideMark/>
          </w:tcPr>
          <w:p w14:paraId="7FD8AF6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6CEF1D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6BF5951E"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7163BB9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A20D82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7910A4C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E8E865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0CC490D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815B9B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7669A4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Body mass index (kg/m</w:t>
            </w:r>
            <w:r w:rsidRPr="003D7162">
              <w:rPr>
                <w:rFonts w:ascii="Helvetica" w:eastAsia="Times New Roman" w:hAnsi="Helvetica" w:cs="Helvetica"/>
                <w:color w:val="000000"/>
                <w:sz w:val="20"/>
                <w:szCs w:val="20"/>
                <w:vertAlign w:val="superscript"/>
                <w:lang w:eastAsia="en-US"/>
              </w:rPr>
              <w:t>2</w:t>
            </w:r>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4638A14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5900FB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0.033 (0.027; 0.038)</w:t>
            </w:r>
          </w:p>
        </w:tc>
        <w:tc>
          <w:tcPr>
            <w:tcW w:w="352" w:type="dxa"/>
            <w:tcBorders>
              <w:top w:val="nil"/>
              <w:left w:val="nil"/>
              <w:bottom w:val="nil"/>
              <w:right w:val="nil"/>
            </w:tcBorders>
            <w:shd w:val="clear" w:color="000000" w:fill="FFFFFF"/>
            <w:vAlign w:val="center"/>
            <w:hideMark/>
          </w:tcPr>
          <w:p w14:paraId="02B6A63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4122B5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0.012 (0.006; 0.018)</w:t>
            </w:r>
          </w:p>
        </w:tc>
      </w:tr>
      <w:tr w:rsidR="00265001" w:rsidRPr="003D7162" w14:paraId="619793A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48398A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352" w:type="dxa"/>
            <w:tcBorders>
              <w:top w:val="nil"/>
              <w:left w:val="nil"/>
              <w:bottom w:val="nil"/>
              <w:right w:val="nil"/>
            </w:tcBorders>
            <w:shd w:val="clear" w:color="000000" w:fill="FFFFFF"/>
            <w:vAlign w:val="center"/>
            <w:hideMark/>
          </w:tcPr>
          <w:p w14:paraId="3783DDF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8E809E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58D0B85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A3C97C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689E345C"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F07FF6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0DED44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F83C12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C94CE1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3B2ACD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04B9BE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84B8F5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Height (cm)</w:t>
            </w:r>
          </w:p>
        </w:tc>
        <w:tc>
          <w:tcPr>
            <w:tcW w:w="352" w:type="dxa"/>
            <w:tcBorders>
              <w:top w:val="nil"/>
              <w:left w:val="nil"/>
              <w:bottom w:val="nil"/>
              <w:right w:val="nil"/>
            </w:tcBorders>
            <w:shd w:val="clear" w:color="000000" w:fill="FFFFFF"/>
            <w:vAlign w:val="center"/>
            <w:hideMark/>
          </w:tcPr>
          <w:p w14:paraId="25C7590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BAFE3A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0.081 (0.076; 0.086)</w:t>
            </w:r>
          </w:p>
        </w:tc>
        <w:tc>
          <w:tcPr>
            <w:tcW w:w="352" w:type="dxa"/>
            <w:tcBorders>
              <w:top w:val="nil"/>
              <w:left w:val="nil"/>
              <w:bottom w:val="nil"/>
              <w:right w:val="nil"/>
            </w:tcBorders>
            <w:shd w:val="clear" w:color="000000" w:fill="FFFFFF"/>
            <w:vAlign w:val="center"/>
            <w:hideMark/>
          </w:tcPr>
          <w:p w14:paraId="55BE0D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7248D3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0.055 (0.048; 0.061)</w:t>
            </w:r>
          </w:p>
        </w:tc>
      </w:tr>
      <w:tr w:rsidR="00265001" w:rsidRPr="003D7162" w14:paraId="686F9D8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FA9BE9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352" w:type="dxa"/>
            <w:tcBorders>
              <w:top w:val="nil"/>
              <w:left w:val="nil"/>
              <w:bottom w:val="nil"/>
              <w:right w:val="nil"/>
            </w:tcBorders>
            <w:shd w:val="clear" w:color="000000" w:fill="FFFFFF"/>
            <w:vAlign w:val="center"/>
            <w:hideMark/>
          </w:tcPr>
          <w:p w14:paraId="2E02A65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6B423A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7C8CBE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D426D8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32E131F1"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CFABEE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A795CC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7CE85FF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9B61FE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AF2E25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80CAC0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445AF5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Parity (No. children)</w:t>
            </w:r>
          </w:p>
        </w:tc>
        <w:tc>
          <w:tcPr>
            <w:tcW w:w="352" w:type="dxa"/>
            <w:tcBorders>
              <w:top w:val="nil"/>
              <w:left w:val="nil"/>
              <w:bottom w:val="nil"/>
              <w:right w:val="nil"/>
            </w:tcBorders>
            <w:shd w:val="clear" w:color="000000" w:fill="FFFFFF"/>
            <w:vAlign w:val="center"/>
            <w:hideMark/>
          </w:tcPr>
          <w:p w14:paraId="0064465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1EB581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-0.161 (-0.174; -0.149)</w:t>
            </w:r>
          </w:p>
        </w:tc>
        <w:tc>
          <w:tcPr>
            <w:tcW w:w="352" w:type="dxa"/>
            <w:tcBorders>
              <w:top w:val="nil"/>
              <w:left w:val="nil"/>
              <w:bottom w:val="nil"/>
              <w:right w:val="nil"/>
            </w:tcBorders>
            <w:shd w:val="clear" w:color="000000" w:fill="FFFFFF"/>
            <w:vAlign w:val="center"/>
            <w:hideMark/>
          </w:tcPr>
          <w:p w14:paraId="5CA0289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741880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-0.029 (-0.05; -0.008)</w:t>
            </w:r>
          </w:p>
        </w:tc>
      </w:tr>
      <w:tr w:rsidR="00265001" w:rsidRPr="003D7162" w14:paraId="30F290E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930F59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352" w:type="dxa"/>
            <w:tcBorders>
              <w:top w:val="nil"/>
              <w:left w:val="nil"/>
              <w:bottom w:val="nil"/>
              <w:right w:val="nil"/>
            </w:tcBorders>
            <w:shd w:val="clear" w:color="000000" w:fill="FFFFFF"/>
            <w:vAlign w:val="center"/>
            <w:hideMark/>
          </w:tcPr>
          <w:p w14:paraId="064B7D2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90CF0F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208555F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63F2EC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0.007</w:t>
            </w:r>
          </w:p>
        </w:tc>
      </w:tr>
      <w:tr w:rsidR="00265001" w:rsidRPr="003D7162" w14:paraId="79789DF2"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64AD335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396CF5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2B9D34C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8FF10B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C30DC1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74D9127"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350384A"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Interpregnancy interval (months)</w:t>
            </w:r>
          </w:p>
        </w:tc>
        <w:tc>
          <w:tcPr>
            <w:tcW w:w="352" w:type="dxa"/>
            <w:tcBorders>
              <w:top w:val="nil"/>
              <w:left w:val="nil"/>
              <w:bottom w:val="nil"/>
              <w:right w:val="nil"/>
            </w:tcBorders>
            <w:shd w:val="clear" w:color="000000" w:fill="FFFFFF"/>
            <w:vAlign w:val="center"/>
            <w:hideMark/>
          </w:tcPr>
          <w:p w14:paraId="578C2D9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7BE21B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0.006 (0.005; 0.006)</w:t>
            </w:r>
          </w:p>
        </w:tc>
        <w:tc>
          <w:tcPr>
            <w:tcW w:w="352" w:type="dxa"/>
            <w:tcBorders>
              <w:top w:val="nil"/>
              <w:left w:val="nil"/>
              <w:bottom w:val="nil"/>
              <w:right w:val="nil"/>
            </w:tcBorders>
            <w:shd w:val="clear" w:color="000000" w:fill="FFFFFF"/>
            <w:vAlign w:val="center"/>
            <w:hideMark/>
          </w:tcPr>
          <w:p w14:paraId="141F7EB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74CC5D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 (0.002; 0.003)</w:t>
            </w:r>
          </w:p>
        </w:tc>
      </w:tr>
      <w:tr w:rsidR="00265001" w:rsidRPr="003D7162" w14:paraId="6FBD2DB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5C6882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(index mother)</w:t>
            </w:r>
          </w:p>
        </w:tc>
        <w:tc>
          <w:tcPr>
            <w:tcW w:w="352" w:type="dxa"/>
            <w:tcBorders>
              <w:top w:val="nil"/>
              <w:left w:val="nil"/>
              <w:bottom w:val="nil"/>
              <w:right w:val="nil"/>
            </w:tcBorders>
            <w:shd w:val="clear" w:color="000000" w:fill="FFFFFF"/>
            <w:vAlign w:val="center"/>
            <w:hideMark/>
          </w:tcPr>
          <w:p w14:paraId="5C61BA6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C38B57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69785D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DF5F4C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054CDBAB"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78EDB9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E8BB05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FF8A3B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0AD807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B263F0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8E8C5B4" w14:textId="77777777" w:rsidTr="00BB6575">
        <w:trPr>
          <w:trHeight w:val="405"/>
        </w:trPr>
        <w:tc>
          <w:tcPr>
            <w:tcW w:w="2950" w:type="dxa"/>
            <w:tcBorders>
              <w:top w:val="nil"/>
              <w:left w:val="single" w:sz="4" w:space="0" w:color="auto"/>
              <w:bottom w:val="single" w:sz="4" w:space="0" w:color="auto"/>
              <w:right w:val="nil"/>
            </w:tcBorders>
            <w:shd w:val="clear" w:color="000000" w:fill="D9D9D9"/>
            <w:vAlign w:val="center"/>
            <w:hideMark/>
          </w:tcPr>
          <w:p w14:paraId="7093E6CA"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of residual variance explained by covariables</w:t>
            </w:r>
            <w:r w:rsidRPr="003D7162">
              <w:rPr>
                <w:rFonts w:ascii="Helvetica" w:eastAsia="Times New Roman" w:hAnsi="Helvetica" w:cs="Helvetica"/>
                <w:b/>
                <w:bCs/>
                <w:color w:val="000000"/>
                <w:sz w:val="20"/>
                <w:szCs w:val="20"/>
                <w:vertAlign w:val="superscript"/>
                <w:lang w:eastAsia="en-US"/>
              </w:rPr>
              <w:t>2</w:t>
            </w:r>
          </w:p>
        </w:tc>
        <w:tc>
          <w:tcPr>
            <w:tcW w:w="352" w:type="dxa"/>
            <w:tcBorders>
              <w:top w:val="nil"/>
              <w:left w:val="nil"/>
              <w:bottom w:val="single" w:sz="4" w:space="0" w:color="auto"/>
              <w:right w:val="nil"/>
            </w:tcBorders>
            <w:shd w:val="clear" w:color="000000" w:fill="D9D9D9"/>
            <w:vAlign w:val="center"/>
            <w:hideMark/>
          </w:tcPr>
          <w:p w14:paraId="7509D202"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D9D9D9"/>
            <w:vAlign w:val="center"/>
            <w:hideMark/>
          </w:tcPr>
          <w:p w14:paraId="14CA9608"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3AEA7BC3"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D9D9D9"/>
            <w:vAlign w:val="center"/>
            <w:hideMark/>
          </w:tcPr>
          <w:p w14:paraId="509AACEC" w14:textId="77777777" w:rsidR="00265001" w:rsidRPr="003D7162" w:rsidRDefault="00265001" w:rsidP="00BB65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35.3%</w:t>
            </w:r>
          </w:p>
        </w:tc>
      </w:tr>
      <w:tr w:rsidR="00265001" w:rsidRPr="003D7162" w14:paraId="38BCF72F" w14:textId="77777777" w:rsidTr="00BB6575">
        <w:trPr>
          <w:trHeight w:val="255"/>
        </w:trPr>
        <w:tc>
          <w:tcPr>
            <w:tcW w:w="2950" w:type="dxa"/>
            <w:tcBorders>
              <w:top w:val="nil"/>
              <w:left w:val="single" w:sz="4" w:space="0" w:color="auto"/>
              <w:bottom w:val="single" w:sz="4" w:space="0" w:color="auto"/>
              <w:right w:val="nil"/>
            </w:tcBorders>
            <w:shd w:val="clear" w:color="000000" w:fill="808080"/>
            <w:vAlign w:val="center"/>
            <w:hideMark/>
          </w:tcPr>
          <w:p w14:paraId="74F580C6"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w:t>
            </w:r>
          </w:p>
        </w:tc>
        <w:tc>
          <w:tcPr>
            <w:tcW w:w="352" w:type="dxa"/>
            <w:tcBorders>
              <w:top w:val="nil"/>
              <w:left w:val="nil"/>
              <w:bottom w:val="single" w:sz="4" w:space="0" w:color="auto"/>
              <w:right w:val="nil"/>
            </w:tcBorders>
            <w:shd w:val="clear" w:color="000000" w:fill="808080"/>
            <w:vAlign w:val="center"/>
            <w:hideMark/>
          </w:tcPr>
          <w:p w14:paraId="095A2BD6"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930" w:type="dxa"/>
            <w:tcBorders>
              <w:top w:val="nil"/>
              <w:left w:val="nil"/>
              <w:bottom w:val="single" w:sz="4" w:space="0" w:color="auto"/>
              <w:right w:val="nil"/>
            </w:tcBorders>
            <w:shd w:val="clear" w:color="000000" w:fill="808080"/>
            <w:vAlign w:val="center"/>
            <w:hideMark/>
          </w:tcPr>
          <w:p w14:paraId="6350669D"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352" w:type="dxa"/>
            <w:tcBorders>
              <w:top w:val="nil"/>
              <w:left w:val="nil"/>
              <w:bottom w:val="single" w:sz="4" w:space="0" w:color="auto"/>
              <w:right w:val="nil"/>
            </w:tcBorders>
            <w:shd w:val="clear" w:color="000000" w:fill="808080"/>
            <w:vAlign w:val="center"/>
            <w:hideMark/>
          </w:tcPr>
          <w:p w14:paraId="1E7D85E1"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3327" w:type="dxa"/>
            <w:tcBorders>
              <w:top w:val="nil"/>
              <w:left w:val="nil"/>
              <w:bottom w:val="single" w:sz="4" w:space="0" w:color="auto"/>
              <w:right w:val="single" w:sz="4" w:space="0" w:color="auto"/>
            </w:tcBorders>
            <w:shd w:val="clear" w:color="000000" w:fill="808080"/>
            <w:vAlign w:val="center"/>
            <w:hideMark/>
          </w:tcPr>
          <w:p w14:paraId="5085D158"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r>
      <w:tr w:rsidR="00265001" w:rsidRPr="003D7162" w14:paraId="53C2133B" w14:textId="77777777" w:rsidTr="00BB6575">
        <w:trPr>
          <w:trHeight w:val="255"/>
        </w:trPr>
        <w:tc>
          <w:tcPr>
            <w:tcW w:w="2950" w:type="dxa"/>
            <w:tcBorders>
              <w:top w:val="nil"/>
              <w:left w:val="single" w:sz="4" w:space="0" w:color="auto"/>
              <w:bottom w:val="single" w:sz="4" w:space="0" w:color="auto"/>
              <w:right w:val="nil"/>
            </w:tcBorders>
            <w:shd w:val="clear" w:color="000000" w:fill="D9D9D9"/>
            <w:vAlign w:val="center"/>
            <w:hideMark/>
          </w:tcPr>
          <w:p w14:paraId="44639439"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Time</w:t>
            </w:r>
          </w:p>
        </w:tc>
        <w:tc>
          <w:tcPr>
            <w:tcW w:w="352" w:type="dxa"/>
            <w:tcBorders>
              <w:top w:val="nil"/>
              <w:left w:val="nil"/>
              <w:bottom w:val="single" w:sz="4" w:space="0" w:color="auto"/>
              <w:right w:val="nil"/>
            </w:tcBorders>
            <w:shd w:val="clear" w:color="000000" w:fill="D9D9D9"/>
            <w:vAlign w:val="center"/>
            <w:hideMark/>
          </w:tcPr>
          <w:p w14:paraId="3B3A39DB"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nil"/>
            </w:tcBorders>
            <w:shd w:val="clear" w:color="000000" w:fill="D9D9D9"/>
            <w:vAlign w:val="center"/>
            <w:hideMark/>
          </w:tcPr>
          <w:p w14:paraId="43CA56A8"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446B4B8A"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D9D9D9"/>
            <w:vAlign w:val="center"/>
            <w:hideMark/>
          </w:tcPr>
          <w:p w14:paraId="633DC52C"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265001" w:rsidRPr="003D7162" w14:paraId="627020A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768AE0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Year</w:t>
            </w:r>
          </w:p>
        </w:tc>
        <w:tc>
          <w:tcPr>
            <w:tcW w:w="352" w:type="dxa"/>
            <w:tcBorders>
              <w:top w:val="nil"/>
              <w:left w:val="nil"/>
              <w:bottom w:val="nil"/>
              <w:right w:val="nil"/>
            </w:tcBorders>
            <w:shd w:val="clear" w:color="000000" w:fill="FFFFFF"/>
            <w:vAlign w:val="center"/>
            <w:hideMark/>
          </w:tcPr>
          <w:p w14:paraId="65E8219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55DBE2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0.038 (0.034; 0.041)</w:t>
            </w:r>
          </w:p>
        </w:tc>
        <w:tc>
          <w:tcPr>
            <w:tcW w:w="352" w:type="dxa"/>
            <w:tcBorders>
              <w:top w:val="nil"/>
              <w:left w:val="nil"/>
              <w:bottom w:val="nil"/>
              <w:right w:val="nil"/>
            </w:tcBorders>
            <w:shd w:val="clear" w:color="000000" w:fill="FFFFFF"/>
            <w:vAlign w:val="center"/>
            <w:hideMark/>
          </w:tcPr>
          <w:p w14:paraId="4853BFC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FF0C2D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0.015 (0.009; 0.021)</w:t>
            </w:r>
          </w:p>
        </w:tc>
      </w:tr>
      <w:tr w:rsidR="00265001" w:rsidRPr="003D7162" w14:paraId="117D4210"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2A273E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2D4428D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ADFE9D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B19F7B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E417DA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546CB6DE"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D5C189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128E66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91AB23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033AA7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691E8F4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bl>
    <w:p w14:paraId="69B05570" w14:textId="77777777" w:rsidR="00265001" w:rsidRPr="003D7162" w:rsidRDefault="00265001" w:rsidP="00265001">
      <w:pPr>
        <w:rPr>
          <w:rFonts w:ascii="Helvetica" w:hAnsi="Helvetica" w:cs="Helvetica"/>
        </w:rPr>
      </w:pPr>
    </w:p>
    <w:p w14:paraId="2CCA8E05" w14:textId="77777777" w:rsidR="00265001" w:rsidRDefault="00265001" w:rsidP="00265001">
      <w:pPr>
        <w:spacing w:after="160" w:line="259" w:lineRule="auto"/>
        <w:rPr>
          <w:rFonts w:ascii="Helvetica" w:hAnsi="Helvetica" w:cs="Helvetica"/>
          <w:b/>
        </w:rPr>
      </w:pPr>
      <w:r>
        <w:rPr>
          <w:rFonts w:ascii="Helvetica" w:hAnsi="Helvetica" w:cs="Helvetica"/>
          <w:b/>
        </w:rPr>
        <w:br w:type="page"/>
      </w:r>
    </w:p>
    <w:p w14:paraId="2D34F198" w14:textId="2A3E0DB7" w:rsidR="00265001" w:rsidRDefault="00265001" w:rsidP="00265001">
      <w:pPr>
        <w:pStyle w:val="Heading2"/>
        <w:rPr>
          <w:rFonts w:cs="Helvetica"/>
          <w:szCs w:val="24"/>
        </w:rPr>
      </w:pPr>
      <w:bookmarkStart w:id="40" w:name="_Toc40953329"/>
      <w:r>
        <w:rPr>
          <w:rFonts w:cs="Helvetica"/>
          <w:b/>
          <w:szCs w:val="24"/>
        </w:rPr>
        <w:t xml:space="preserve">Supplementary </w:t>
      </w:r>
      <w:r w:rsidRPr="003D7162">
        <w:rPr>
          <w:rFonts w:cs="Helvetica"/>
          <w:b/>
          <w:szCs w:val="24"/>
        </w:rPr>
        <w:t xml:space="preserve">Appendix </w:t>
      </w:r>
      <w:r>
        <w:rPr>
          <w:rFonts w:cs="Helvetica"/>
          <w:b/>
          <w:szCs w:val="24"/>
        </w:rPr>
        <w:t>Table</w:t>
      </w:r>
      <w:r w:rsidRPr="003D7162">
        <w:rPr>
          <w:rFonts w:cs="Helvetica"/>
          <w:b/>
          <w:szCs w:val="24"/>
        </w:rPr>
        <w:t xml:space="preserve"> </w:t>
      </w:r>
      <w:r>
        <w:rPr>
          <w:rFonts w:cs="Helvetica"/>
          <w:b/>
          <w:szCs w:val="24"/>
        </w:rPr>
        <w:t>11</w:t>
      </w:r>
      <w:r w:rsidRPr="003D7162">
        <w:rPr>
          <w:rFonts w:cs="Helvetica"/>
          <w:b/>
          <w:szCs w:val="24"/>
        </w:rPr>
        <w:t>:</w:t>
      </w:r>
      <w:r w:rsidRPr="003D7162">
        <w:rPr>
          <w:rFonts w:cs="Helvetica"/>
          <w:szCs w:val="24"/>
        </w:rPr>
        <w:t xml:space="preserve"> Multilevel linear models for under-5 stunting prevalence (2 years’ time-lag), period 2000-2016</w:t>
      </w:r>
      <w:bookmarkEnd w:id="39"/>
      <w:bookmarkEnd w:id="40"/>
    </w:p>
    <w:p w14:paraId="20D459F0" w14:textId="77777777" w:rsidR="00265001" w:rsidRPr="004F3CF2" w:rsidRDefault="00265001" w:rsidP="00265001">
      <w:pPr>
        <w:rPr>
          <w:rFonts w:ascii="Helvetica" w:hAnsi="Helvetica" w:cs="Helvetica"/>
        </w:rPr>
      </w:pPr>
      <w:r w:rsidRPr="004F3CF2">
        <w:rPr>
          <w:rFonts w:ascii="Helvetica" w:hAnsi="Helvetica" w:cs="Helvetica"/>
          <w:i/>
        </w:rPr>
        <w:t>*factors statistically significant at p&lt;0.05 are highlighted in red</w:t>
      </w:r>
    </w:p>
    <w:tbl>
      <w:tblPr>
        <w:tblW w:w="9314" w:type="dxa"/>
        <w:tblLook w:val="04A0" w:firstRow="1" w:lastRow="0" w:firstColumn="1" w:lastColumn="0" w:noHBand="0" w:noVBand="1"/>
      </w:tblPr>
      <w:tblGrid>
        <w:gridCol w:w="4044"/>
        <w:gridCol w:w="272"/>
        <w:gridCol w:w="2499"/>
        <w:gridCol w:w="2499"/>
      </w:tblGrid>
      <w:tr w:rsidR="00265001" w:rsidRPr="00265001" w14:paraId="1C614639" w14:textId="77777777" w:rsidTr="00265001">
        <w:trPr>
          <w:trHeight w:val="294"/>
        </w:trPr>
        <w:tc>
          <w:tcPr>
            <w:tcW w:w="4049" w:type="dxa"/>
            <w:vMerge w:val="restart"/>
            <w:tcBorders>
              <w:top w:val="single" w:sz="8" w:space="0" w:color="auto"/>
              <w:left w:val="single" w:sz="8" w:space="0" w:color="auto"/>
              <w:bottom w:val="single" w:sz="8" w:space="0" w:color="000000"/>
              <w:right w:val="single" w:sz="8" w:space="0" w:color="000000"/>
            </w:tcBorders>
            <w:shd w:val="clear" w:color="000000" w:fill="808080"/>
            <w:vAlign w:val="center"/>
            <w:hideMark/>
          </w:tcPr>
          <w:p w14:paraId="63251BD9"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Domain/Indicator</w:t>
            </w:r>
          </w:p>
        </w:tc>
        <w:tc>
          <w:tcPr>
            <w:tcW w:w="5265" w:type="dxa"/>
            <w:gridSpan w:val="3"/>
            <w:tcBorders>
              <w:top w:val="single" w:sz="8" w:space="0" w:color="auto"/>
              <w:left w:val="nil"/>
              <w:bottom w:val="nil"/>
              <w:right w:val="single" w:sz="8" w:space="0" w:color="000000"/>
            </w:tcBorders>
            <w:shd w:val="clear" w:color="000000" w:fill="808080"/>
            <w:vAlign w:val="center"/>
            <w:hideMark/>
          </w:tcPr>
          <w:p w14:paraId="21AA468D"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Outcome = Stunting</w:t>
            </w:r>
          </w:p>
        </w:tc>
      </w:tr>
      <w:tr w:rsidR="00265001" w:rsidRPr="00265001" w14:paraId="58BB1AA0" w14:textId="77777777" w:rsidTr="00265001">
        <w:trPr>
          <w:trHeight w:val="309"/>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5ACFB89F"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5265" w:type="dxa"/>
            <w:gridSpan w:val="3"/>
            <w:tcBorders>
              <w:top w:val="nil"/>
              <w:left w:val="nil"/>
              <w:bottom w:val="single" w:sz="8" w:space="0" w:color="auto"/>
              <w:right w:val="single" w:sz="8" w:space="0" w:color="000000"/>
            </w:tcBorders>
            <w:shd w:val="clear" w:color="000000" w:fill="808080"/>
            <w:vAlign w:val="center"/>
            <w:hideMark/>
          </w:tcPr>
          <w:p w14:paraId="6DEA8347"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(Percentage of stunting among under-5 children</w:t>
            </w:r>
            <w:r w:rsidRPr="00265001">
              <w:rPr>
                <w:rFonts w:ascii="Helvetica" w:eastAsia="Times New Roman" w:hAnsi="Helvetica" w:cs="Helvetica"/>
                <w:b/>
                <w:bCs/>
                <w:color w:val="FFFFFF"/>
                <w:sz w:val="20"/>
                <w:szCs w:val="20"/>
                <w:vertAlign w:val="superscript"/>
                <w:lang w:val="en-CA" w:eastAsia="en-CA"/>
              </w:rPr>
              <w:t>1</w:t>
            </w:r>
            <w:r w:rsidRPr="00265001">
              <w:rPr>
                <w:rFonts w:ascii="Helvetica" w:eastAsia="Times New Roman" w:hAnsi="Helvetica" w:cs="Helvetica"/>
                <w:b/>
                <w:bCs/>
                <w:color w:val="FFFFFF"/>
                <w:sz w:val="20"/>
                <w:szCs w:val="20"/>
                <w:lang w:val="en-CA" w:eastAsia="en-CA"/>
              </w:rPr>
              <w:t>)</w:t>
            </w:r>
          </w:p>
        </w:tc>
      </w:tr>
      <w:tr w:rsidR="00265001" w:rsidRPr="00265001" w14:paraId="4998ACE0" w14:textId="77777777" w:rsidTr="00265001">
        <w:trPr>
          <w:trHeight w:val="309"/>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1CF95241"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5265" w:type="dxa"/>
            <w:gridSpan w:val="3"/>
            <w:tcBorders>
              <w:top w:val="single" w:sz="8" w:space="0" w:color="auto"/>
              <w:left w:val="nil"/>
              <w:bottom w:val="single" w:sz="8" w:space="0" w:color="auto"/>
              <w:right w:val="single" w:sz="8" w:space="0" w:color="000000"/>
            </w:tcBorders>
            <w:shd w:val="clear" w:color="000000" w:fill="808080"/>
            <w:vAlign w:val="center"/>
            <w:hideMark/>
          </w:tcPr>
          <w:p w14:paraId="23D55132"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Period 2000-2016</w:t>
            </w:r>
            <w:r w:rsidRPr="00265001">
              <w:rPr>
                <w:rFonts w:ascii="Helvetica" w:eastAsia="Times New Roman" w:hAnsi="Helvetica" w:cs="Helvetica"/>
                <w:b/>
                <w:bCs/>
                <w:color w:val="FFFFFF"/>
                <w:sz w:val="20"/>
                <w:szCs w:val="20"/>
                <w:vertAlign w:val="superscript"/>
                <w:lang w:val="en-CA" w:eastAsia="en-CA"/>
              </w:rPr>
              <w:t>a</w:t>
            </w:r>
          </w:p>
        </w:tc>
      </w:tr>
      <w:tr w:rsidR="00265001" w:rsidRPr="00265001" w14:paraId="0FA1B234" w14:textId="77777777" w:rsidTr="00265001">
        <w:trPr>
          <w:trHeight w:val="294"/>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012CF2AF"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763" w:type="dxa"/>
            <w:gridSpan w:val="2"/>
            <w:vMerge w:val="restart"/>
            <w:tcBorders>
              <w:top w:val="single" w:sz="8" w:space="0" w:color="auto"/>
              <w:left w:val="single" w:sz="8" w:space="0" w:color="000000"/>
              <w:bottom w:val="single" w:sz="8" w:space="0" w:color="000000"/>
              <w:right w:val="single" w:sz="8" w:space="0" w:color="000000"/>
            </w:tcBorders>
            <w:shd w:val="clear" w:color="000000" w:fill="808080"/>
            <w:vAlign w:val="center"/>
            <w:hideMark/>
          </w:tcPr>
          <w:p w14:paraId="3466C6DE"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Time-adjusted regression coefficient</w:t>
            </w:r>
          </w:p>
        </w:tc>
        <w:tc>
          <w:tcPr>
            <w:tcW w:w="2502" w:type="dxa"/>
            <w:tcBorders>
              <w:top w:val="nil"/>
              <w:left w:val="nil"/>
              <w:bottom w:val="nil"/>
              <w:right w:val="single" w:sz="8" w:space="0" w:color="000000"/>
            </w:tcBorders>
            <w:shd w:val="clear" w:color="000000" w:fill="808080"/>
            <w:vAlign w:val="center"/>
            <w:hideMark/>
          </w:tcPr>
          <w:p w14:paraId="65E7FB54"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w:t>
            </w:r>
          </w:p>
        </w:tc>
      </w:tr>
      <w:tr w:rsidR="00265001" w:rsidRPr="00265001" w14:paraId="4FEEC28B" w14:textId="77777777" w:rsidTr="00265001">
        <w:trPr>
          <w:trHeight w:val="309"/>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493E273E"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763" w:type="dxa"/>
            <w:gridSpan w:val="2"/>
            <w:vMerge/>
            <w:tcBorders>
              <w:top w:val="single" w:sz="8" w:space="0" w:color="auto"/>
              <w:left w:val="single" w:sz="8" w:space="0" w:color="000000"/>
              <w:bottom w:val="single" w:sz="8" w:space="0" w:color="000000"/>
              <w:right w:val="single" w:sz="8" w:space="0" w:color="000000"/>
            </w:tcBorders>
            <w:vAlign w:val="center"/>
            <w:hideMark/>
          </w:tcPr>
          <w:p w14:paraId="707451C2"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502" w:type="dxa"/>
            <w:tcBorders>
              <w:top w:val="nil"/>
              <w:left w:val="nil"/>
              <w:bottom w:val="single" w:sz="8" w:space="0" w:color="auto"/>
              <w:right w:val="single" w:sz="8" w:space="0" w:color="000000"/>
            </w:tcBorders>
            <w:shd w:val="clear" w:color="000000" w:fill="808080"/>
            <w:vAlign w:val="center"/>
            <w:hideMark/>
          </w:tcPr>
          <w:p w14:paraId="39717052"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w:t>
            </w:r>
          </w:p>
        </w:tc>
      </w:tr>
      <w:tr w:rsidR="00265001" w:rsidRPr="00265001" w14:paraId="7E3A8662" w14:textId="77777777" w:rsidTr="00265001">
        <w:trPr>
          <w:trHeight w:val="294"/>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15AA36A6"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61" w:type="dxa"/>
            <w:vMerge w:val="restart"/>
            <w:tcBorders>
              <w:top w:val="nil"/>
              <w:left w:val="single" w:sz="8" w:space="0" w:color="000000"/>
              <w:bottom w:val="single" w:sz="8" w:space="0" w:color="000000"/>
              <w:right w:val="nil"/>
            </w:tcBorders>
            <w:shd w:val="clear" w:color="000000" w:fill="808080"/>
            <w:vAlign w:val="center"/>
            <w:hideMark/>
          </w:tcPr>
          <w:p w14:paraId="3DFF4437"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02" w:type="dxa"/>
            <w:tcBorders>
              <w:top w:val="nil"/>
              <w:left w:val="nil"/>
              <w:bottom w:val="nil"/>
              <w:right w:val="single" w:sz="8" w:space="0" w:color="auto"/>
            </w:tcBorders>
            <w:shd w:val="clear" w:color="000000" w:fill="808080"/>
            <w:vAlign w:val="center"/>
            <w:hideMark/>
          </w:tcPr>
          <w:p w14:paraId="04E8B785"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b estimate (95% CI)</w:t>
            </w:r>
          </w:p>
        </w:tc>
        <w:tc>
          <w:tcPr>
            <w:tcW w:w="2502" w:type="dxa"/>
            <w:tcBorders>
              <w:top w:val="nil"/>
              <w:left w:val="nil"/>
              <w:bottom w:val="nil"/>
              <w:right w:val="single" w:sz="8" w:space="0" w:color="auto"/>
            </w:tcBorders>
            <w:shd w:val="clear" w:color="000000" w:fill="808080"/>
            <w:vAlign w:val="center"/>
            <w:hideMark/>
          </w:tcPr>
          <w:p w14:paraId="6ED50C01"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xml:space="preserve">b estimate (95% CI) </w:t>
            </w:r>
          </w:p>
        </w:tc>
      </w:tr>
      <w:tr w:rsidR="00265001" w:rsidRPr="00265001" w14:paraId="3DE4A47D" w14:textId="77777777" w:rsidTr="00265001">
        <w:trPr>
          <w:trHeight w:val="294"/>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26425FE7"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61" w:type="dxa"/>
            <w:vMerge/>
            <w:tcBorders>
              <w:top w:val="nil"/>
              <w:left w:val="single" w:sz="8" w:space="0" w:color="000000"/>
              <w:bottom w:val="single" w:sz="8" w:space="0" w:color="000000"/>
              <w:right w:val="nil"/>
            </w:tcBorders>
            <w:vAlign w:val="center"/>
            <w:hideMark/>
          </w:tcPr>
          <w:p w14:paraId="5B65F5F6" w14:textId="77777777" w:rsidR="00265001" w:rsidRPr="00265001" w:rsidRDefault="00265001" w:rsidP="00F03326">
            <w:pPr>
              <w:rPr>
                <w:rFonts w:ascii="Helvetica" w:eastAsia="Times New Roman" w:hAnsi="Helvetica" w:cs="Helvetica"/>
                <w:color w:val="FFFFFF"/>
                <w:sz w:val="20"/>
                <w:szCs w:val="20"/>
                <w:lang w:val="en-CA" w:eastAsia="en-CA"/>
              </w:rPr>
            </w:pPr>
          </w:p>
        </w:tc>
        <w:tc>
          <w:tcPr>
            <w:tcW w:w="2502" w:type="dxa"/>
            <w:tcBorders>
              <w:top w:val="nil"/>
              <w:left w:val="nil"/>
              <w:bottom w:val="nil"/>
              <w:right w:val="single" w:sz="8" w:space="0" w:color="auto"/>
            </w:tcBorders>
            <w:shd w:val="clear" w:color="000000" w:fill="808080"/>
            <w:vAlign w:val="center"/>
            <w:hideMark/>
          </w:tcPr>
          <w:p w14:paraId="7199BE6C" w14:textId="77777777" w:rsidR="00265001" w:rsidRPr="00265001" w:rsidRDefault="00265001" w:rsidP="00F03326">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c>
          <w:tcPr>
            <w:tcW w:w="2502" w:type="dxa"/>
            <w:tcBorders>
              <w:top w:val="nil"/>
              <w:left w:val="nil"/>
              <w:bottom w:val="nil"/>
              <w:right w:val="single" w:sz="8" w:space="0" w:color="auto"/>
            </w:tcBorders>
            <w:shd w:val="clear" w:color="000000" w:fill="808080"/>
            <w:vAlign w:val="center"/>
            <w:hideMark/>
          </w:tcPr>
          <w:p w14:paraId="322B3031" w14:textId="77777777" w:rsidR="00265001" w:rsidRPr="00265001" w:rsidRDefault="00265001" w:rsidP="00F03326">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r>
      <w:tr w:rsidR="00265001" w:rsidRPr="00265001" w14:paraId="515FF847" w14:textId="77777777" w:rsidTr="00265001">
        <w:trPr>
          <w:trHeight w:val="309"/>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07871D57"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61" w:type="dxa"/>
            <w:vMerge/>
            <w:tcBorders>
              <w:top w:val="nil"/>
              <w:left w:val="single" w:sz="8" w:space="0" w:color="000000"/>
              <w:bottom w:val="single" w:sz="8" w:space="0" w:color="000000"/>
              <w:right w:val="nil"/>
            </w:tcBorders>
            <w:vAlign w:val="center"/>
            <w:hideMark/>
          </w:tcPr>
          <w:p w14:paraId="657D427C" w14:textId="77777777" w:rsidR="00265001" w:rsidRPr="00265001" w:rsidRDefault="00265001" w:rsidP="00F03326">
            <w:pPr>
              <w:rPr>
                <w:rFonts w:ascii="Helvetica" w:eastAsia="Times New Roman" w:hAnsi="Helvetica" w:cs="Helvetica"/>
                <w:color w:val="FFFFFF"/>
                <w:sz w:val="20"/>
                <w:szCs w:val="20"/>
                <w:lang w:val="en-CA" w:eastAsia="en-CA"/>
              </w:rPr>
            </w:pPr>
          </w:p>
        </w:tc>
        <w:tc>
          <w:tcPr>
            <w:tcW w:w="2502" w:type="dxa"/>
            <w:tcBorders>
              <w:top w:val="nil"/>
              <w:left w:val="nil"/>
              <w:bottom w:val="single" w:sz="8" w:space="0" w:color="auto"/>
              <w:right w:val="single" w:sz="8" w:space="0" w:color="auto"/>
            </w:tcBorders>
            <w:shd w:val="clear" w:color="000000" w:fill="808080"/>
            <w:vAlign w:val="center"/>
            <w:hideMark/>
          </w:tcPr>
          <w:p w14:paraId="116C6B83"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02" w:type="dxa"/>
            <w:tcBorders>
              <w:top w:val="nil"/>
              <w:left w:val="nil"/>
              <w:bottom w:val="single" w:sz="8" w:space="0" w:color="auto"/>
              <w:right w:val="single" w:sz="8" w:space="0" w:color="auto"/>
            </w:tcBorders>
            <w:shd w:val="clear" w:color="000000" w:fill="808080"/>
            <w:vAlign w:val="center"/>
            <w:hideMark/>
          </w:tcPr>
          <w:p w14:paraId="0765399D"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Effect size</w:t>
            </w:r>
            <w:r w:rsidRPr="00265001">
              <w:rPr>
                <w:rFonts w:ascii="Helvetica" w:eastAsia="Times New Roman" w:hAnsi="Helvetica" w:cs="Helvetica"/>
                <w:color w:val="FFFFFF"/>
                <w:sz w:val="20"/>
                <w:szCs w:val="20"/>
                <w:vertAlign w:val="superscript"/>
                <w:lang w:val="en-CA" w:eastAsia="en-CA"/>
              </w:rPr>
              <w:t>2</w:t>
            </w:r>
          </w:p>
        </w:tc>
      </w:tr>
      <w:tr w:rsidR="00265001" w:rsidRPr="00265001" w14:paraId="35E6B6F0" w14:textId="77777777" w:rsidTr="00F03326">
        <w:trPr>
          <w:trHeight w:val="309"/>
        </w:trPr>
        <w:tc>
          <w:tcPr>
            <w:tcW w:w="9314" w:type="dxa"/>
            <w:gridSpan w:val="4"/>
            <w:tcBorders>
              <w:top w:val="nil"/>
              <w:left w:val="single" w:sz="8" w:space="0" w:color="auto"/>
              <w:bottom w:val="nil"/>
              <w:right w:val="single" w:sz="8" w:space="0" w:color="000000"/>
            </w:tcBorders>
            <w:shd w:val="clear" w:color="000000" w:fill="808080"/>
            <w:vAlign w:val="center"/>
            <w:hideMark/>
          </w:tcPr>
          <w:p w14:paraId="69C49721"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4 Model - Distal: National level &amp; Macro variables</w:t>
            </w:r>
            <w:r w:rsidRPr="00265001">
              <w:rPr>
                <w:rFonts w:ascii="Helvetica" w:eastAsia="Times New Roman" w:hAnsi="Helvetica" w:cs="Helvetica"/>
                <w:b/>
                <w:bCs/>
                <w:color w:val="FFFFFF"/>
                <w:sz w:val="20"/>
                <w:szCs w:val="20"/>
                <w:vertAlign w:val="superscript"/>
                <w:lang w:val="en-CA" w:eastAsia="en-CA"/>
              </w:rPr>
              <w:t>b</w:t>
            </w:r>
          </w:p>
        </w:tc>
      </w:tr>
      <w:tr w:rsidR="00265001" w:rsidRPr="00265001" w14:paraId="2A66FBD2"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6F04E8E1"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Basic causes &amp; Income poverty</w:t>
            </w:r>
          </w:p>
        </w:tc>
      </w:tr>
      <w:tr w:rsidR="00265001" w:rsidRPr="00265001" w14:paraId="5B818343"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4BD7795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Log Gross domestic product (GDP) per capita</w:t>
            </w:r>
          </w:p>
        </w:tc>
        <w:tc>
          <w:tcPr>
            <w:tcW w:w="261" w:type="dxa"/>
            <w:tcBorders>
              <w:top w:val="nil"/>
              <w:left w:val="nil"/>
              <w:bottom w:val="nil"/>
              <w:right w:val="nil"/>
            </w:tcBorders>
            <w:shd w:val="clear" w:color="000000" w:fill="FFFFFF"/>
            <w:vAlign w:val="center"/>
            <w:hideMark/>
          </w:tcPr>
          <w:p w14:paraId="2456AE1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C62482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-1.379 (-5.893;2.136)</w:t>
            </w:r>
          </w:p>
        </w:tc>
        <w:tc>
          <w:tcPr>
            <w:tcW w:w="2502" w:type="dxa"/>
            <w:tcBorders>
              <w:top w:val="nil"/>
              <w:left w:val="nil"/>
              <w:bottom w:val="nil"/>
              <w:right w:val="single" w:sz="8" w:space="0" w:color="auto"/>
            </w:tcBorders>
            <w:shd w:val="clear" w:color="000000" w:fill="FFFFFF"/>
            <w:vAlign w:val="center"/>
            <w:hideMark/>
          </w:tcPr>
          <w:p w14:paraId="5176F42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7E3E86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2958E4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1" w:type="dxa"/>
            <w:tcBorders>
              <w:top w:val="nil"/>
              <w:left w:val="nil"/>
              <w:bottom w:val="nil"/>
              <w:right w:val="nil"/>
            </w:tcBorders>
            <w:shd w:val="clear" w:color="000000" w:fill="FFFFFF"/>
            <w:vAlign w:val="center"/>
            <w:hideMark/>
          </w:tcPr>
          <w:p w14:paraId="0E80646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E98B41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0.55</w:t>
            </w:r>
          </w:p>
        </w:tc>
        <w:tc>
          <w:tcPr>
            <w:tcW w:w="2502" w:type="dxa"/>
            <w:tcBorders>
              <w:top w:val="nil"/>
              <w:left w:val="nil"/>
              <w:bottom w:val="nil"/>
              <w:right w:val="single" w:sz="8" w:space="0" w:color="auto"/>
            </w:tcBorders>
            <w:shd w:val="clear" w:color="000000" w:fill="FFFFFF"/>
            <w:vAlign w:val="center"/>
            <w:hideMark/>
          </w:tcPr>
          <w:p w14:paraId="7342773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4B091A4"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5D584BAD"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1F5C20E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C6673A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71701A5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B8DD84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4D0266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Poverty line </w:t>
            </w:r>
          </w:p>
        </w:tc>
        <w:tc>
          <w:tcPr>
            <w:tcW w:w="261" w:type="dxa"/>
            <w:tcBorders>
              <w:top w:val="nil"/>
              <w:left w:val="nil"/>
              <w:bottom w:val="nil"/>
              <w:right w:val="nil"/>
            </w:tcBorders>
            <w:shd w:val="clear" w:color="000000" w:fill="FFFFFF"/>
            <w:vAlign w:val="center"/>
            <w:hideMark/>
          </w:tcPr>
          <w:p w14:paraId="305E37E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994584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0.195 (0.106;0.285)</w:t>
            </w:r>
          </w:p>
        </w:tc>
        <w:tc>
          <w:tcPr>
            <w:tcW w:w="2502" w:type="dxa"/>
            <w:tcBorders>
              <w:top w:val="nil"/>
              <w:left w:val="nil"/>
              <w:bottom w:val="nil"/>
              <w:right w:val="single" w:sz="8" w:space="0" w:color="auto"/>
            </w:tcBorders>
            <w:shd w:val="clear" w:color="000000" w:fill="FFFFFF"/>
            <w:vAlign w:val="center"/>
            <w:hideMark/>
          </w:tcPr>
          <w:p w14:paraId="3B0AE206"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0.182 (0.111;0.254)</w:t>
            </w:r>
          </w:p>
        </w:tc>
      </w:tr>
      <w:tr w:rsidR="00265001" w:rsidRPr="00265001" w14:paraId="2B8D4891"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BAFA67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families below)</w:t>
            </w:r>
          </w:p>
        </w:tc>
        <w:tc>
          <w:tcPr>
            <w:tcW w:w="261" w:type="dxa"/>
            <w:tcBorders>
              <w:top w:val="nil"/>
              <w:left w:val="nil"/>
              <w:bottom w:val="nil"/>
              <w:right w:val="nil"/>
            </w:tcBorders>
            <w:shd w:val="clear" w:color="000000" w:fill="FFFFFF"/>
            <w:vAlign w:val="center"/>
            <w:hideMark/>
          </w:tcPr>
          <w:p w14:paraId="1C91E851"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48A3130"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648DB60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265001" w:rsidRPr="00265001" w14:paraId="763ED097"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625BF9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133C05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965FA08" w14:textId="77777777" w:rsidR="00265001" w:rsidRPr="00265001" w:rsidRDefault="00265001" w:rsidP="00F03326">
            <w:pPr>
              <w:jc w:val="center"/>
              <w:rPr>
                <w:rFonts w:ascii="Helvetica" w:eastAsia="Times New Roman" w:hAnsi="Helvetica" w:cs="Helvetica"/>
                <w:i/>
                <w:iCs/>
                <w:color w:val="FF0000"/>
                <w:sz w:val="20"/>
                <w:szCs w:val="20"/>
                <w:lang w:val="en-CA" w:eastAsia="en-CA"/>
              </w:rPr>
            </w:pPr>
            <w:r w:rsidRPr="00265001">
              <w:rPr>
                <w:rFonts w:ascii="Helvetica" w:eastAsia="Times New Roman" w:hAnsi="Helvetica" w:cs="Helvetica"/>
                <w:i/>
                <w:iCs/>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835E27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0.08</w:t>
            </w:r>
          </w:p>
        </w:tc>
      </w:tr>
      <w:tr w:rsidR="00265001" w:rsidRPr="00265001" w14:paraId="2C49019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2D5225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Gini coefficient for income</w:t>
            </w:r>
          </w:p>
          <w:p w14:paraId="2594778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 (perfect equality) – 1 (perfect inequality)</w:t>
            </w:r>
          </w:p>
        </w:tc>
        <w:tc>
          <w:tcPr>
            <w:tcW w:w="261" w:type="dxa"/>
            <w:tcBorders>
              <w:top w:val="nil"/>
              <w:left w:val="nil"/>
              <w:bottom w:val="nil"/>
              <w:right w:val="nil"/>
            </w:tcBorders>
            <w:shd w:val="clear" w:color="000000" w:fill="FFFFFF"/>
            <w:vAlign w:val="center"/>
            <w:hideMark/>
          </w:tcPr>
          <w:p w14:paraId="4BBAF1F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DE0EB0A"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0.038 (-0.201;0.276)</w:t>
            </w:r>
          </w:p>
        </w:tc>
        <w:tc>
          <w:tcPr>
            <w:tcW w:w="2502" w:type="dxa"/>
            <w:tcBorders>
              <w:top w:val="nil"/>
              <w:left w:val="nil"/>
              <w:bottom w:val="nil"/>
              <w:right w:val="single" w:sz="8" w:space="0" w:color="auto"/>
            </w:tcBorders>
            <w:shd w:val="clear" w:color="000000" w:fill="FFFFFF"/>
            <w:vAlign w:val="center"/>
            <w:hideMark/>
          </w:tcPr>
          <w:p w14:paraId="18A5D0D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E194E5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7CF2759"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nil"/>
              <w:right w:val="nil"/>
            </w:tcBorders>
            <w:shd w:val="clear" w:color="000000" w:fill="FFFFFF"/>
            <w:vAlign w:val="center"/>
            <w:hideMark/>
          </w:tcPr>
          <w:p w14:paraId="31252FD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AAA036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0.758</w:t>
            </w:r>
          </w:p>
        </w:tc>
        <w:tc>
          <w:tcPr>
            <w:tcW w:w="2502" w:type="dxa"/>
            <w:tcBorders>
              <w:top w:val="nil"/>
              <w:left w:val="nil"/>
              <w:bottom w:val="nil"/>
              <w:right w:val="single" w:sz="8" w:space="0" w:color="auto"/>
            </w:tcBorders>
            <w:shd w:val="clear" w:color="000000" w:fill="FFFFFF"/>
            <w:vAlign w:val="center"/>
            <w:hideMark/>
          </w:tcPr>
          <w:p w14:paraId="6751899E"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6B010C0"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BDF0E3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673106B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EDB268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86285B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A8D49D8"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B7F5EB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years of schooling among</w:t>
            </w:r>
          </w:p>
        </w:tc>
        <w:tc>
          <w:tcPr>
            <w:tcW w:w="261" w:type="dxa"/>
            <w:tcBorders>
              <w:top w:val="nil"/>
              <w:left w:val="nil"/>
              <w:bottom w:val="nil"/>
              <w:right w:val="nil"/>
            </w:tcBorders>
            <w:shd w:val="clear" w:color="000000" w:fill="FFFFFF"/>
            <w:vAlign w:val="center"/>
            <w:hideMark/>
          </w:tcPr>
          <w:p w14:paraId="606202A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B0B941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-2.218 (-3.266;-1.170)</w:t>
            </w:r>
          </w:p>
        </w:tc>
        <w:tc>
          <w:tcPr>
            <w:tcW w:w="2502" w:type="dxa"/>
            <w:tcBorders>
              <w:top w:val="nil"/>
              <w:left w:val="nil"/>
              <w:bottom w:val="nil"/>
              <w:right w:val="single" w:sz="8" w:space="0" w:color="auto"/>
            </w:tcBorders>
            <w:shd w:val="clear" w:color="000000" w:fill="FFFFFF"/>
            <w:vAlign w:val="center"/>
            <w:hideMark/>
          </w:tcPr>
          <w:p w14:paraId="763DC3C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-1.937 (-2.816;-1.057)</w:t>
            </w:r>
          </w:p>
        </w:tc>
      </w:tr>
      <w:tr w:rsidR="00265001" w:rsidRPr="00265001" w14:paraId="0EDB269B"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956AA2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women 15 years or older</w:t>
            </w:r>
          </w:p>
        </w:tc>
        <w:tc>
          <w:tcPr>
            <w:tcW w:w="261" w:type="dxa"/>
            <w:tcBorders>
              <w:top w:val="nil"/>
              <w:left w:val="nil"/>
              <w:bottom w:val="nil"/>
              <w:right w:val="nil"/>
            </w:tcBorders>
            <w:shd w:val="clear" w:color="000000" w:fill="FFFFFF"/>
            <w:vAlign w:val="center"/>
            <w:hideMark/>
          </w:tcPr>
          <w:p w14:paraId="6CC9727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7399EE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4891724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265001" w:rsidRPr="00265001" w14:paraId="21CCF2B4" w14:textId="77777777" w:rsidTr="00265001">
        <w:trPr>
          <w:trHeight w:val="309"/>
        </w:trPr>
        <w:tc>
          <w:tcPr>
            <w:tcW w:w="4049" w:type="dxa"/>
            <w:tcBorders>
              <w:top w:val="nil"/>
              <w:left w:val="single" w:sz="8" w:space="0" w:color="auto"/>
              <w:bottom w:val="nil"/>
              <w:right w:val="single" w:sz="8" w:space="0" w:color="auto"/>
            </w:tcBorders>
            <w:shd w:val="clear" w:color="000000" w:fill="FFFFFF"/>
            <w:vAlign w:val="center"/>
            <w:hideMark/>
          </w:tcPr>
          <w:p w14:paraId="0864BCFD"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1BB2DDA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7ED00F1"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A49F1C6"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w:t>
            </w:r>
          </w:p>
        </w:tc>
      </w:tr>
      <w:tr w:rsidR="00265001" w:rsidRPr="00265001" w14:paraId="7DED256C" w14:textId="77777777" w:rsidTr="00265001">
        <w:trPr>
          <w:trHeight w:val="309"/>
        </w:trPr>
        <w:tc>
          <w:tcPr>
            <w:tcW w:w="4049" w:type="dxa"/>
            <w:tcBorders>
              <w:top w:val="single" w:sz="8" w:space="0" w:color="auto"/>
              <w:left w:val="single" w:sz="8" w:space="0" w:color="auto"/>
              <w:bottom w:val="single" w:sz="8" w:space="0" w:color="auto"/>
              <w:right w:val="nil"/>
            </w:tcBorders>
            <w:shd w:val="clear" w:color="000000" w:fill="D9D9D9"/>
            <w:vAlign w:val="center"/>
            <w:hideMark/>
          </w:tcPr>
          <w:p w14:paraId="4E879897" w14:textId="77777777" w:rsidR="00265001" w:rsidRPr="00265001" w:rsidRDefault="00265001" w:rsidP="00F03326">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1" w:type="dxa"/>
            <w:tcBorders>
              <w:top w:val="nil"/>
              <w:left w:val="nil"/>
              <w:bottom w:val="single" w:sz="8" w:space="0" w:color="auto"/>
              <w:right w:val="nil"/>
            </w:tcBorders>
            <w:shd w:val="clear" w:color="000000" w:fill="D9D9D9"/>
            <w:vAlign w:val="center"/>
            <w:hideMark/>
          </w:tcPr>
          <w:p w14:paraId="42F5B159"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single" w:sz="8" w:space="0" w:color="auto"/>
              <w:left w:val="nil"/>
              <w:bottom w:val="single" w:sz="8" w:space="0" w:color="auto"/>
              <w:right w:val="single" w:sz="8" w:space="0" w:color="auto"/>
            </w:tcBorders>
            <w:shd w:val="clear" w:color="000000" w:fill="D9D9D9"/>
            <w:vAlign w:val="center"/>
            <w:hideMark/>
          </w:tcPr>
          <w:p w14:paraId="66A16AA9"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single" w:sz="8" w:space="0" w:color="auto"/>
              <w:left w:val="nil"/>
              <w:bottom w:val="single" w:sz="8" w:space="0" w:color="auto"/>
              <w:right w:val="single" w:sz="8" w:space="0" w:color="auto"/>
            </w:tcBorders>
            <w:shd w:val="clear" w:color="000000" w:fill="D9D9D9"/>
            <w:vAlign w:val="center"/>
            <w:hideMark/>
          </w:tcPr>
          <w:p w14:paraId="5985D299" w14:textId="77777777" w:rsidR="00265001" w:rsidRPr="00265001" w:rsidRDefault="00265001" w:rsidP="00F03326">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64%</w:t>
            </w:r>
          </w:p>
        </w:tc>
      </w:tr>
      <w:tr w:rsidR="00265001" w:rsidRPr="00265001" w14:paraId="59D8678D" w14:textId="77777777" w:rsidTr="00F03326">
        <w:trPr>
          <w:trHeight w:val="309"/>
        </w:trPr>
        <w:tc>
          <w:tcPr>
            <w:tcW w:w="9314" w:type="dxa"/>
            <w:gridSpan w:val="4"/>
            <w:tcBorders>
              <w:top w:val="single" w:sz="8" w:space="0" w:color="auto"/>
              <w:left w:val="single" w:sz="8" w:space="0" w:color="auto"/>
              <w:bottom w:val="nil"/>
              <w:right w:val="single" w:sz="8" w:space="0" w:color="000000"/>
            </w:tcBorders>
            <w:shd w:val="clear" w:color="000000" w:fill="808080"/>
            <w:vAlign w:val="center"/>
            <w:hideMark/>
          </w:tcPr>
          <w:p w14:paraId="0DC1AB61"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3 Model - Intermediate I: Nutrition sensitive and specific programs</w:t>
            </w:r>
            <w:r w:rsidRPr="00265001">
              <w:rPr>
                <w:rFonts w:ascii="Helvetica" w:eastAsia="Times New Roman" w:hAnsi="Helvetica" w:cs="Helvetica"/>
                <w:b/>
                <w:bCs/>
                <w:color w:val="FFFFFF"/>
                <w:sz w:val="20"/>
                <w:szCs w:val="20"/>
                <w:vertAlign w:val="superscript"/>
                <w:lang w:val="en-CA" w:eastAsia="en-CA"/>
              </w:rPr>
              <w:t>c</w:t>
            </w:r>
          </w:p>
        </w:tc>
      </w:tr>
      <w:tr w:rsidR="00265001" w:rsidRPr="00265001" w14:paraId="2C690549"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5E0978B8"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Nutrition specific and sensitive programs</w:t>
            </w:r>
          </w:p>
        </w:tc>
      </w:tr>
      <w:tr w:rsidR="00265001" w:rsidRPr="00265001" w14:paraId="7B29E64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3FC7E3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Conditional cash transfer “Juntos” program</w:t>
            </w:r>
          </w:p>
        </w:tc>
        <w:tc>
          <w:tcPr>
            <w:tcW w:w="261" w:type="dxa"/>
            <w:tcBorders>
              <w:top w:val="nil"/>
              <w:left w:val="nil"/>
              <w:bottom w:val="nil"/>
              <w:right w:val="nil"/>
            </w:tcBorders>
            <w:shd w:val="clear" w:color="000000" w:fill="FFFFFF"/>
            <w:vAlign w:val="center"/>
            <w:hideMark/>
          </w:tcPr>
          <w:p w14:paraId="1882BC6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A828CA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-0.052 (-0.079;-0.026)</w:t>
            </w:r>
          </w:p>
        </w:tc>
        <w:tc>
          <w:tcPr>
            <w:tcW w:w="2502" w:type="dxa"/>
            <w:tcBorders>
              <w:top w:val="nil"/>
              <w:left w:val="nil"/>
              <w:bottom w:val="nil"/>
              <w:right w:val="single" w:sz="8" w:space="0" w:color="auto"/>
            </w:tcBorders>
            <w:shd w:val="clear" w:color="000000" w:fill="FFFFFF"/>
            <w:vAlign w:val="center"/>
            <w:hideMark/>
          </w:tcPr>
          <w:p w14:paraId="2D5A4586"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-0.046 (-0.072;-0.021)</w:t>
            </w:r>
          </w:p>
        </w:tc>
      </w:tr>
      <w:tr w:rsidR="00265001" w:rsidRPr="00265001" w14:paraId="60F76BDD"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173AE9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families/1000 rural population</w:t>
            </w:r>
          </w:p>
        </w:tc>
        <w:tc>
          <w:tcPr>
            <w:tcW w:w="261" w:type="dxa"/>
            <w:tcBorders>
              <w:top w:val="nil"/>
              <w:left w:val="nil"/>
              <w:bottom w:val="nil"/>
              <w:right w:val="nil"/>
            </w:tcBorders>
            <w:shd w:val="clear" w:color="000000" w:fill="FFFFFF"/>
            <w:vAlign w:val="center"/>
            <w:hideMark/>
          </w:tcPr>
          <w:p w14:paraId="1DFCF83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CCB6CB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731753D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265001" w:rsidRPr="00265001" w14:paraId="1369A0BA"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0EF1EFB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72858DE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8A0C12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A1E31C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1.64</w:t>
            </w:r>
          </w:p>
        </w:tc>
      </w:tr>
      <w:tr w:rsidR="00265001" w:rsidRPr="00265001" w14:paraId="35021B6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647C0D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SIS</w:t>
            </w:r>
            <w:r w:rsidRPr="00265001">
              <w:rPr>
                <w:rFonts w:ascii="Helvetica" w:eastAsia="Times New Roman" w:hAnsi="Helvetica" w:cs="Helvetica"/>
                <w:color w:val="000000"/>
                <w:sz w:val="20"/>
                <w:szCs w:val="20"/>
                <w:vertAlign w:val="superscript"/>
                <w:lang w:val="en-CA" w:eastAsia="en-CA"/>
              </w:rPr>
              <w:t>4</w:t>
            </w:r>
            <w:r w:rsidRPr="00265001">
              <w:rPr>
                <w:rFonts w:ascii="Helvetica" w:eastAsia="Times New Roman" w:hAnsi="Helvetica" w:cs="Helvetica"/>
                <w:color w:val="000000"/>
                <w:sz w:val="20"/>
                <w:szCs w:val="20"/>
                <w:lang w:val="en-CA" w:eastAsia="en-CA"/>
              </w:rPr>
              <w:t xml:space="preserve"> coverage</w:t>
            </w:r>
          </w:p>
        </w:tc>
        <w:tc>
          <w:tcPr>
            <w:tcW w:w="261" w:type="dxa"/>
            <w:tcBorders>
              <w:top w:val="nil"/>
              <w:left w:val="nil"/>
              <w:bottom w:val="nil"/>
              <w:right w:val="nil"/>
            </w:tcBorders>
            <w:shd w:val="clear" w:color="000000" w:fill="FFFFFF"/>
            <w:vAlign w:val="center"/>
            <w:hideMark/>
          </w:tcPr>
          <w:p w14:paraId="19BD8D3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7E0192E"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0.021 (0.010;0.032)</w:t>
            </w:r>
          </w:p>
        </w:tc>
        <w:tc>
          <w:tcPr>
            <w:tcW w:w="2502" w:type="dxa"/>
            <w:tcBorders>
              <w:top w:val="nil"/>
              <w:left w:val="nil"/>
              <w:bottom w:val="nil"/>
              <w:right w:val="single" w:sz="8" w:space="0" w:color="auto"/>
            </w:tcBorders>
            <w:shd w:val="clear" w:color="000000" w:fill="FFFFFF"/>
            <w:vAlign w:val="center"/>
            <w:hideMark/>
          </w:tcPr>
          <w:p w14:paraId="0B32C02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-0.012 (-0.025;-0.001)</w:t>
            </w:r>
          </w:p>
        </w:tc>
      </w:tr>
      <w:tr w:rsidR="00265001" w:rsidRPr="00265001" w14:paraId="4DEED91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CE19DE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under-5 attendances/under-5 population)</w:t>
            </w:r>
          </w:p>
        </w:tc>
        <w:tc>
          <w:tcPr>
            <w:tcW w:w="261" w:type="dxa"/>
            <w:tcBorders>
              <w:top w:val="nil"/>
              <w:left w:val="nil"/>
              <w:bottom w:val="nil"/>
              <w:right w:val="nil"/>
            </w:tcBorders>
            <w:shd w:val="clear" w:color="000000" w:fill="FFFFFF"/>
            <w:vAlign w:val="center"/>
            <w:hideMark/>
          </w:tcPr>
          <w:p w14:paraId="667360D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356DB3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6625A9C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0.08</w:t>
            </w:r>
          </w:p>
        </w:tc>
      </w:tr>
      <w:tr w:rsidR="00265001" w:rsidRPr="00265001" w14:paraId="50944B76" w14:textId="77777777" w:rsidTr="00265001">
        <w:trPr>
          <w:trHeight w:val="309"/>
        </w:trPr>
        <w:tc>
          <w:tcPr>
            <w:tcW w:w="4049" w:type="dxa"/>
            <w:tcBorders>
              <w:top w:val="nil"/>
              <w:left w:val="single" w:sz="8" w:space="0" w:color="auto"/>
              <w:bottom w:val="nil"/>
              <w:right w:val="single" w:sz="8" w:space="0" w:color="auto"/>
            </w:tcBorders>
            <w:shd w:val="clear" w:color="000000" w:fill="FFFFFF"/>
            <w:vAlign w:val="center"/>
            <w:hideMark/>
          </w:tcPr>
          <w:p w14:paraId="5F0AF7C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42CFB45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546C999" w14:textId="77777777" w:rsidR="00265001" w:rsidRPr="00265001" w:rsidRDefault="00265001" w:rsidP="00F03326">
            <w:pPr>
              <w:jc w:val="center"/>
              <w:rPr>
                <w:rFonts w:ascii="Helvetica" w:eastAsia="Times New Roman" w:hAnsi="Helvetica" w:cs="Helvetica"/>
                <w:i/>
                <w:iCs/>
                <w:color w:val="FF0000"/>
                <w:sz w:val="20"/>
                <w:szCs w:val="20"/>
                <w:lang w:val="en-CA" w:eastAsia="en-CA"/>
              </w:rPr>
            </w:pPr>
            <w:r w:rsidRPr="00265001">
              <w:rPr>
                <w:rFonts w:ascii="Helvetica" w:eastAsia="Times New Roman" w:hAnsi="Helvetica" w:cs="Helvetica"/>
                <w:i/>
                <w:iCs/>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7B0B172"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1.64</w:t>
            </w:r>
          </w:p>
        </w:tc>
      </w:tr>
      <w:tr w:rsidR="00265001" w:rsidRPr="00265001" w14:paraId="3E5E35ED" w14:textId="77777777" w:rsidTr="00265001">
        <w:trPr>
          <w:trHeight w:val="294"/>
        </w:trPr>
        <w:tc>
          <w:tcPr>
            <w:tcW w:w="4049" w:type="dxa"/>
            <w:tcBorders>
              <w:top w:val="single" w:sz="8" w:space="0" w:color="auto"/>
              <w:left w:val="single" w:sz="8" w:space="0" w:color="auto"/>
              <w:bottom w:val="nil"/>
              <w:right w:val="single" w:sz="8" w:space="0" w:color="auto"/>
            </w:tcBorders>
            <w:shd w:val="clear" w:color="000000" w:fill="FFFFFF"/>
            <w:vAlign w:val="center"/>
            <w:hideMark/>
          </w:tcPr>
          <w:p w14:paraId="641FE12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Articulated Nutrition Program (PAN</w:t>
            </w:r>
            <w:r w:rsidRPr="00265001">
              <w:rPr>
                <w:rFonts w:ascii="Helvetica" w:eastAsia="Times New Roman" w:hAnsi="Helvetica" w:cs="Helvetica"/>
                <w:color w:val="000000"/>
                <w:sz w:val="20"/>
                <w:szCs w:val="20"/>
                <w:vertAlign w:val="superscript"/>
                <w:lang w:val="en-CA" w:eastAsia="en-CA"/>
              </w:rPr>
              <w:t>5</w:t>
            </w:r>
            <w:r w:rsidRPr="00265001">
              <w:rPr>
                <w:rFonts w:ascii="Helvetica" w:eastAsia="Times New Roman" w:hAnsi="Helvetica" w:cs="Helvetica"/>
                <w:color w:val="000000"/>
                <w:sz w:val="20"/>
                <w:szCs w:val="20"/>
                <w:lang w:val="en-CA" w:eastAsia="en-CA"/>
              </w:rPr>
              <w:t xml:space="preserve"> log expenditure, per capita)</w:t>
            </w:r>
          </w:p>
        </w:tc>
        <w:tc>
          <w:tcPr>
            <w:tcW w:w="261" w:type="dxa"/>
            <w:tcBorders>
              <w:top w:val="nil"/>
              <w:left w:val="nil"/>
              <w:bottom w:val="nil"/>
              <w:right w:val="nil"/>
            </w:tcBorders>
            <w:shd w:val="clear" w:color="000000" w:fill="FFFFFF"/>
            <w:vAlign w:val="center"/>
            <w:hideMark/>
          </w:tcPr>
          <w:p w14:paraId="360E907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7C89DC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-0.768 (-1.161;-0.375)</w:t>
            </w:r>
          </w:p>
        </w:tc>
        <w:tc>
          <w:tcPr>
            <w:tcW w:w="2502" w:type="dxa"/>
            <w:tcBorders>
              <w:top w:val="single" w:sz="8" w:space="0" w:color="auto"/>
              <w:left w:val="nil"/>
              <w:bottom w:val="nil"/>
              <w:right w:val="single" w:sz="8" w:space="0" w:color="auto"/>
            </w:tcBorders>
            <w:shd w:val="clear" w:color="000000" w:fill="FFFFFF"/>
            <w:vAlign w:val="center"/>
            <w:hideMark/>
          </w:tcPr>
          <w:p w14:paraId="165B0F1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-0.348 (-0.700;0.005)</w:t>
            </w:r>
          </w:p>
        </w:tc>
      </w:tr>
      <w:tr w:rsidR="00265001" w:rsidRPr="00265001" w14:paraId="39A8E1B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F479FC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1" w:type="dxa"/>
            <w:tcBorders>
              <w:top w:val="nil"/>
              <w:left w:val="nil"/>
              <w:bottom w:val="nil"/>
              <w:right w:val="nil"/>
            </w:tcBorders>
            <w:shd w:val="clear" w:color="000000" w:fill="FFFFFF"/>
            <w:vAlign w:val="center"/>
            <w:hideMark/>
          </w:tcPr>
          <w:p w14:paraId="39C8CD7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77E141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6AD6488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0.05</w:t>
            </w:r>
          </w:p>
        </w:tc>
      </w:tr>
      <w:tr w:rsidR="00265001" w:rsidRPr="00265001" w14:paraId="2A78E7D5"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EE73951"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278E8F2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315890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C36B98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1.64</w:t>
            </w:r>
          </w:p>
        </w:tc>
      </w:tr>
      <w:tr w:rsidR="00265001" w:rsidRPr="00265001" w14:paraId="36EBABE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B62A42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Strategic Program of Maternal and Newborn Health (PSMN</w:t>
            </w:r>
            <w:r w:rsidRPr="00265001">
              <w:rPr>
                <w:rFonts w:ascii="Helvetica" w:eastAsia="Times New Roman" w:hAnsi="Helvetica" w:cs="Helvetica"/>
                <w:color w:val="000000"/>
                <w:sz w:val="20"/>
                <w:szCs w:val="20"/>
                <w:vertAlign w:val="superscript"/>
                <w:lang w:val="en-CA" w:eastAsia="en-CA"/>
              </w:rPr>
              <w:t>6</w:t>
            </w:r>
            <w:r w:rsidRPr="00265001">
              <w:rPr>
                <w:rFonts w:ascii="Helvetica" w:eastAsia="Times New Roman" w:hAnsi="Helvetica" w:cs="Helvetica"/>
                <w:color w:val="000000"/>
                <w:sz w:val="20"/>
                <w:szCs w:val="20"/>
                <w:lang w:val="en-CA" w:eastAsia="en-CA"/>
              </w:rPr>
              <w:t xml:space="preserve"> log expenditure, per capita</w:t>
            </w:r>
          </w:p>
        </w:tc>
        <w:tc>
          <w:tcPr>
            <w:tcW w:w="261" w:type="dxa"/>
            <w:tcBorders>
              <w:top w:val="nil"/>
              <w:left w:val="nil"/>
              <w:bottom w:val="nil"/>
              <w:right w:val="nil"/>
            </w:tcBorders>
            <w:shd w:val="clear" w:color="000000" w:fill="FFFFFF"/>
            <w:vAlign w:val="center"/>
            <w:hideMark/>
          </w:tcPr>
          <w:p w14:paraId="12405AD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9E9A88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-0.595 (-0.951;-0.239)</w:t>
            </w:r>
          </w:p>
        </w:tc>
        <w:tc>
          <w:tcPr>
            <w:tcW w:w="2502" w:type="dxa"/>
            <w:tcBorders>
              <w:top w:val="nil"/>
              <w:left w:val="nil"/>
              <w:bottom w:val="nil"/>
              <w:right w:val="single" w:sz="8" w:space="0" w:color="auto"/>
            </w:tcBorders>
            <w:shd w:val="clear" w:color="000000" w:fill="FFFFFF"/>
            <w:vAlign w:val="center"/>
            <w:hideMark/>
          </w:tcPr>
          <w:p w14:paraId="23F2DBE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82BB46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A2E751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1" w:type="dxa"/>
            <w:tcBorders>
              <w:top w:val="nil"/>
              <w:left w:val="nil"/>
              <w:bottom w:val="nil"/>
              <w:right w:val="nil"/>
            </w:tcBorders>
            <w:shd w:val="clear" w:color="000000" w:fill="FFFFFF"/>
            <w:vAlign w:val="center"/>
            <w:hideMark/>
          </w:tcPr>
          <w:p w14:paraId="334FBC3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4F46C4A"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0.001</w:t>
            </w:r>
          </w:p>
        </w:tc>
        <w:tc>
          <w:tcPr>
            <w:tcW w:w="2502" w:type="dxa"/>
            <w:tcBorders>
              <w:top w:val="nil"/>
              <w:left w:val="nil"/>
              <w:bottom w:val="nil"/>
              <w:right w:val="single" w:sz="8" w:space="0" w:color="auto"/>
            </w:tcBorders>
            <w:shd w:val="clear" w:color="000000" w:fill="FFFFFF"/>
            <w:vAlign w:val="center"/>
            <w:hideMark/>
          </w:tcPr>
          <w:p w14:paraId="7FEB125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A437EE2" w14:textId="77777777" w:rsidTr="00265001">
        <w:trPr>
          <w:trHeight w:val="309"/>
        </w:trPr>
        <w:tc>
          <w:tcPr>
            <w:tcW w:w="4049" w:type="dxa"/>
            <w:tcBorders>
              <w:top w:val="nil"/>
              <w:left w:val="single" w:sz="8" w:space="0" w:color="auto"/>
              <w:bottom w:val="nil"/>
              <w:right w:val="single" w:sz="8" w:space="0" w:color="auto"/>
            </w:tcBorders>
            <w:shd w:val="clear" w:color="000000" w:fill="FFFFFF"/>
            <w:vAlign w:val="center"/>
            <w:hideMark/>
          </w:tcPr>
          <w:p w14:paraId="3FB4A5C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10481BA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959D280" w14:textId="77777777" w:rsidR="00265001" w:rsidRPr="00265001" w:rsidRDefault="00265001" w:rsidP="00F03326">
            <w:pPr>
              <w:jc w:val="center"/>
              <w:rPr>
                <w:rFonts w:ascii="Helvetica" w:eastAsia="Times New Roman" w:hAnsi="Helvetica" w:cs="Helvetica"/>
                <w:i/>
                <w:iCs/>
                <w:color w:val="808080"/>
                <w:sz w:val="20"/>
                <w:szCs w:val="20"/>
                <w:lang w:val="en-CA" w:eastAsia="en-CA"/>
              </w:rPr>
            </w:pPr>
            <w:r w:rsidRPr="00265001">
              <w:rPr>
                <w:rFonts w:ascii="Helvetica" w:eastAsia="Times New Roman" w:hAnsi="Helvetica" w:cs="Helvetica"/>
                <w:i/>
                <w:iCs/>
                <w:color w:val="80808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5ED4381"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C0D2FA9" w14:textId="77777777" w:rsidTr="00265001">
        <w:trPr>
          <w:trHeight w:val="309"/>
        </w:trPr>
        <w:tc>
          <w:tcPr>
            <w:tcW w:w="4049" w:type="dxa"/>
            <w:tcBorders>
              <w:top w:val="single" w:sz="8" w:space="0" w:color="auto"/>
              <w:left w:val="single" w:sz="8" w:space="0" w:color="auto"/>
              <w:bottom w:val="single" w:sz="8" w:space="0" w:color="auto"/>
              <w:right w:val="nil"/>
            </w:tcBorders>
            <w:shd w:val="clear" w:color="000000" w:fill="D9D9D9"/>
            <w:vAlign w:val="center"/>
            <w:hideMark/>
          </w:tcPr>
          <w:p w14:paraId="4A6787D5" w14:textId="77777777" w:rsidR="00265001" w:rsidRPr="00265001" w:rsidRDefault="00265001" w:rsidP="00F03326">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1" w:type="dxa"/>
            <w:tcBorders>
              <w:top w:val="nil"/>
              <w:left w:val="nil"/>
              <w:bottom w:val="single" w:sz="8" w:space="0" w:color="auto"/>
              <w:right w:val="nil"/>
            </w:tcBorders>
            <w:shd w:val="clear" w:color="000000" w:fill="D9D9D9"/>
            <w:vAlign w:val="center"/>
            <w:hideMark/>
          </w:tcPr>
          <w:p w14:paraId="00D2C728"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312EF5AA"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71935412" w14:textId="77777777" w:rsidR="00265001" w:rsidRPr="00265001" w:rsidRDefault="00265001" w:rsidP="00F03326">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68%</w:t>
            </w:r>
          </w:p>
        </w:tc>
      </w:tr>
      <w:tr w:rsidR="00265001" w:rsidRPr="00265001" w14:paraId="16670732" w14:textId="77777777" w:rsidTr="00F03326">
        <w:trPr>
          <w:trHeight w:val="309"/>
        </w:trPr>
        <w:tc>
          <w:tcPr>
            <w:tcW w:w="9314" w:type="dxa"/>
            <w:gridSpan w:val="4"/>
            <w:tcBorders>
              <w:top w:val="single" w:sz="8" w:space="0" w:color="auto"/>
              <w:left w:val="single" w:sz="8" w:space="0" w:color="auto"/>
              <w:bottom w:val="single" w:sz="8" w:space="0" w:color="auto"/>
              <w:right w:val="single" w:sz="8" w:space="0" w:color="000000"/>
            </w:tcBorders>
            <w:shd w:val="clear" w:color="000000" w:fill="808080"/>
            <w:vAlign w:val="center"/>
            <w:hideMark/>
          </w:tcPr>
          <w:p w14:paraId="60EA4507"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2 Model - Intermediate II: Community and Household-level variables</w:t>
            </w:r>
            <w:r w:rsidRPr="00265001">
              <w:rPr>
                <w:rFonts w:ascii="Helvetica" w:eastAsia="Times New Roman" w:hAnsi="Helvetica" w:cs="Helvetica"/>
                <w:b/>
                <w:bCs/>
                <w:color w:val="FFFFFF"/>
                <w:sz w:val="20"/>
                <w:szCs w:val="20"/>
                <w:vertAlign w:val="superscript"/>
                <w:lang w:val="en-CA" w:eastAsia="en-CA"/>
              </w:rPr>
              <w:t>d</w:t>
            </w:r>
          </w:p>
        </w:tc>
      </w:tr>
      <w:tr w:rsidR="00265001" w:rsidRPr="00265001" w14:paraId="517769C0"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098BC0FD"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Inadequate health services</w:t>
            </w:r>
          </w:p>
        </w:tc>
      </w:tr>
      <w:tr w:rsidR="00265001" w:rsidRPr="00265001" w14:paraId="1432112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D20BB4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DPT vaccine</w:t>
            </w:r>
          </w:p>
        </w:tc>
        <w:tc>
          <w:tcPr>
            <w:tcW w:w="261" w:type="dxa"/>
            <w:tcBorders>
              <w:top w:val="nil"/>
              <w:left w:val="nil"/>
              <w:bottom w:val="nil"/>
              <w:right w:val="nil"/>
            </w:tcBorders>
            <w:shd w:val="clear" w:color="000000" w:fill="FFFFFF"/>
            <w:vAlign w:val="center"/>
            <w:hideMark/>
          </w:tcPr>
          <w:p w14:paraId="1BBE3691"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B40182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-0.048 (-0.133;0.038)</w:t>
            </w:r>
          </w:p>
        </w:tc>
        <w:tc>
          <w:tcPr>
            <w:tcW w:w="2502" w:type="dxa"/>
            <w:tcBorders>
              <w:top w:val="nil"/>
              <w:left w:val="nil"/>
              <w:bottom w:val="nil"/>
              <w:right w:val="single" w:sz="8" w:space="0" w:color="auto"/>
            </w:tcBorders>
            <w:shd w:val="clear" w:color="000000" w:fill="FFFFFF"/>
            <w:vAlign w:val="center"/>
            <w:hideMark/>
          </w:tcPr>
          <w:p w14:paraId="14EAF12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709CF1E"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FC8D08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3 doses)</w:t>
            </w:r>
          </w:p>
        </w:tc>
        <w:tc>
          <w:tcPr>
            <w:tcW w:w="261" w:type="dxa"/>
            <w:tcBorders>
              <w:top w:val="nil"/>
              <w:left w:val="nil"/>
              <w:bottom w:val="nil"/>
              <w:right w:val="nil"/>
            </w:tcBorders>
            <w:shd w:val="clear" w:color="000000" w:fill="FFFFFF"/>
            <w:vAlign w:val="center"/>
            <w:hideMark/>
          </w:tcPr>
          <w:p w14:paraId="35F55A5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0984A8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0.277</w:t>
            </w:r>
          </w:p>
        </w:tc>
        <w:tc>
          <w:tcPr>
            <w:tcW w:w="2502" w:type="dxa"/>
            <w:tcBorders>
              <w:top w:val="nil"/>
              <w:left w:val="nil"/>
              <w:bottom w:val="nil"/>
              <w:right w:val="single" w:sz="8" w:space="0" w:color="auto"/>
            </w:tcBorders>
            <w:shd w:val="clear" w:color="000000" w:fill="FFFFFF"/>
            <w:vAlign w:val="center"/>
            <w:hideMark/>
          </w:tcPr>
          <w:p w14:paraId="0D70AF82"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77D410C"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0E5B70E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650791A1"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E6AB869" w14:textId="77777777" w:rsidR="00265001" w:rsidRPr="00265001" w:rsidRDefault="00265001" w:rsidP="00F03326">
            <w:pPr>
              <w:jc w:val="center"/>
              <w:rPr>
                <w:rFonts w:ascii="Helvetica" w:eastAsia="Times New Roman" w:hAnsi="Helvetica" w:cs="Helvetica"/>
                <w:i/>
                <w:iCs/>
                <w:color w:val="808080"/>
                <w:sz w:val="20"/>
                <w:szCs w:val="20"/>
                <w:lang w:val="en-CA" w:eastAsia="en-CA"/>
              </w:rPr>
            </w:pPr>
            <w:r w:rsidRPr="00265001">
              <w:rPr>
                <w:rFonts w:ascii="Helvetica" w:eastAsia="Times New Roman" w:hAnsi="Helvetica" w:cs="Helvetica"/>
                <w:i/>
                <w:iCs/>
                <w:color w:val="80808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F3175B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1ADFC0E"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B354E3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Measles vaccine</w:t>
            </w:r>
          </w:p>
        </w:tc>
        <w:tc>
          <w:tcPr>
            <w:tcW w:w="261" w:type="dxa"/>
            <w:tcBorders>
              <w:top w:val="nil"/>
              <w:left w:val="nil"/>
              <w:bottom w:val="nil"/>
              <w:right w:val="nil"/>
            </w:tcBorders>
            <w:shd w:val="clear" w:color="000000" w:fill="FFFFFF"/>
            <w:vAlign w:val="center"/>
            <w:hideMark/>
          </w:tcPr>
          <w:p w14:paraId="67065A5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9C4849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-0.085 (-0.169;-0.001)</w:t>
            </w:r>
          </w:p>
        </w:tc>
        <w:tc>
          <w:tcPr>
            <w:tcW w:w="2502" w:type="dxa"/>
            <w:tcBorders>
              <w:top w:val="nil"/>
              <w:left w:val="nil"/>
              <w:bottom w:val="nil"/>
              <w:right w:val="single" w:sz="8" w:space="0" w:color="auto"/>
            </w:tcBorders>
            <w:shd w:val="clear" w:color="000000" w:fill="FFFFFF"/>
            <w:vAlign w:val="center"/>
            <w:hideMark/>
          </w:tcPr>
          <w:p w14:paraId="031F4530"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4052133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AAB991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w:t>
            </w:r>
          </w:p>
        </w:tc>
        <w:tc>
          <w:tcPr>
            <w:tcW w:w="261" w:type="dxa"/>
            <w:tcBorders>
              <w:top w:val="nil"/>
              <w:left w:val="nil"/>
              <w:bottom w:val="nil"/>
              <w:right w:val="nil"/>
            </w:tcBorders>
            <w:shd w:val="clear" w:color="000000" w:fill="FFFFFF"/>
            <w:vAlign w:val="center"/>
            <w:hideMark/>
          </w:tcPr>
          <w:p w14:paraId="541C65A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074021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0.047</w:t>
            </w:r>
          </w:p>
        </w:tc>
        <w:tc>
          <w:tcPr>
            <w:tcW w:w="2502" w:type="dxa"/>
            <w:tcBorders>
              <w:top w:val="nil"/>
              <w:left w:val="nil"/>
              <w:bottom w:val="nil"/>
              <w:right w:val="single" w:sz="8" w:space="0" w:color="auto"/>
            </w:tcBorders>
            <w:shd w:val="clear" w:color="000000" w:fill="FFFFFF"/>
            <w:vAlign w:val="center"/>
            <w:hideMark/>
          </w:tcPr>
          <w:p w14:paraId="5D81316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C345C41"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27B7FF0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8C02F9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FEDE76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4D4364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05BD6A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FC3DE2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Pneumococcal vaccine</w:t>
            </w:r>
          </w:p>
        </w:tc>
        <w:tc>
          <w:tcPr>
            <w:tcW w:w="261" w:type="dxa"/>
            <w:tcBorders>
              <w:top w:val="nil"/>
              <w:left w:val="nil"/>
              <w:bottom w:val="nil"/>
              <w:right w:val="nil"/>
            </w:tcBorders>
            <w:shd w:val="clear" w:color="000000" w:fill="FFFFFF"/>
            <w:vAlign w:val="center"/>
            <w:hideMark/>
          </w:tcPr>
          <w:p w14:paraId="382DCB3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FD9E96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-0.064 (-0.098;-0.029)</w:t>
            </w:r>
          </w:p>
        </w:tc>
        <w:tc>
          <w:tcPr>
            <w:tcW w:w="2502" w:type="dxa"/>
            <w:tcBorders>
              <w:top w:val="nil"/>
              <w:left w:val="nil"/>
              <w:bottom w:val="nil"/>
              <w:right w:val="single" w:sz="8" w:space="0" w:color="auto"/>
            </w:tcBorders>
            <w:shd w:val="clear" w:color="000000" w:fill="FFFFFF"/>
            <w:vAlign w:val="center"/>
            <w:hideMark/>
          </w:tcPr>
          <w:p w14:paraId="75DBE7E3"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-0.051 (-0.096;-0.006)</w:t>
            </w:r>
          </w:p>
        </w:tc>
      </w:tr>
      <w:tr w:rsidR="00265001" w:rsidRPr="00265001" w14:paraId="68E9F6EE"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E46301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1" w:type="dxa"/>
            <w:tcBorders>
              <w:top w:val="nil"/>
              <w:left w:val="nil"/>
              <w:bottom w:val="nil"/>
              <w:right w:val="nil"/>
            </w:tcBorders>
            <w:shd w:val="clear" w:color="000000" w:fill="FFFFFF"/>
            <w:vAlign w:val="center"/>
            <w:hideMark/>
          </w:tcPr>
          <w:p w14:paraId="55AEB18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9DD481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29241943"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0.072</w:t>
            </w:r>
          </w:p>
        </w:tc>
      </w:tr>
      <w:tr w:rsidR="00265001" w:rsidRPr="00265001" w14:paraId="4E83FF4A"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72B2EF4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591BF4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363A37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083E20E"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0.02</w:t>
            </w:r>
          </w:p>
        </w:tc>
      </w:tr>
      <w:tr w:rsidR="00265001" w:rsidRPr="00265001" w14:paraId="047C678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8E5894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Rotavirus vaccine</w:t>
            </w:r>
          </w:p>
        </w:tc>
        <w:tc>
          <w:tcPr>
            <w:tcW w:w="261" w:type="dxa"/>
            <w:tcBorders>
              <w:top w:val="nil"/>
              <w:left w:val="nil"/>
              <w:bottom w:val="nil"/>
              <w:right w:val="nil"/>
            </w:tcBorders>
            <w:shd w:val="clear" w:color="000000" w:fill="FFFFFF"/>
            <w:vAlign w:val="center"/>
            <w:hideMark/>
          </w:tcPr>
          <w:p w14:paraId="58D163D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3F09F5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-0.027 (-0.096;-0.029)</w:t>
            </w:r>
          </w:p>
        </w:tc>
        <w:tc>
          <w:tcPr>
            <w:tcW w:w="2502" w:type="dxa"/>
            <w:tcBorders>
              <w:top w:val="nil"/>
              <w:left w:val="nil"/>
              <w:bottom w:val="nil"/>
              <w:right w:val="single" w:sz="8" w:space="0" w:color="auto"/>
            </w:tcBorders>
            <w:shd w:val="clear" w:color="000000" w:fill="FFFFFF"/>
            <w:vAlign w:val="center"/>
            <w:hideMark/>
          </w:tcPr>
          <w:p w14:paraId="711D1A07"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714F6233"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39C1F3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1" w:type="dxa"/>
            <w:tcBorders>
              <w:top w:val="nil"/>
              <w:left w:val="nil"/>
              <w:bottom w:val="nil"/>
              <w:right w:val="nil"/>
            </w:tcBorders>
            <w:shd w:val="clear" w:color="000000" w:fill="FFFFFF"/>
            <w:vAlign w:val="center"/>
            <w:hideMark/>
          </w:tcPr>
          <w:p w14:paraId="0766B99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AEB385E"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7CDE2571"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6005C051"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0D772C0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nil"/>
              <w:right w:val="nil"/>
            </w:tcBorders>
            <w:shd w:val="clear" w:color="000000" w:fill="FFFFFF"/>
            <w:vAlign w:val="center"/>
            <w:hideMark/>
          </w:tcPr>
          <w:p w14:paraId="2FDFBE0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58953E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064A473"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10BF748B"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57AFDD09" w14:textId="77777777" w:rsidR="00265001" w:rsidRPr="00265001" w:rsidRDefault="00265001" w:rsidP="00F03326">
            <w:pPr>
              <w:rPr>
                <w:rFonts w:ascii="Helvetica" w:eastAsia="Times New Roman" w:hAnsi="Helvetica" w:cs="Helvetica"/>
                <w:b/>
                <w:bCs/>
                <w:sz w:val="20"/>
                <w:szCs w:val="20"/>
                <w:lang w:val="en-CA" w:eastAsia="en-CA"/>
              </w:rPr>
            </w:pPr>
            <w:r w:rsidRPr="00265001">
              <w:rPr>
                <w:rFonts w:ascii="Helvetica" w:eastAsia="Times New Roman" w:hAnsi="Helvetica" w:cs="Helvetica"/>
                <w:b/>
                <w:bCs/>
                <w:color w:val="000000"/>
                <w:sz w:val="20"/>
                <w:szCs w:val="20"/>
                <w:lang w:val="en-CA" w:eastAsia="en-CA"/>
              </w:rPr>
              <w:t>Composite Coverage</w:t>
            </w:r>
          </w:p>
        </w:tc>
      </w:tr>
      <w:tr w:rsidR="00265001" w:rsidRPr="00265001" w14:paraId="6478E53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BE6BCE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Composite coverage index</w:t>
            </w:r>
            <w:r w:rsidRPr="00265001">
              <w:rPr>
                <w:rFonts w:ascii="Helvetica" w:eastAsia="Times New Roman" w:hAnsi="Helvetica" w:cs="Helvetica"/>
                <w:color w:val="000000"/>
                <w:sz w:val="20"/>
                <w:szCs w:val="20"/>
                <w:vertAlign w:val="superscript"/>
                <w:lang w:val="en-CA" w:eastAsia="en-CA"/>
              </w:rPr>
              <w:t>6</w:t>
            </w:r>
          </w:p>
        </w:tc>
        <w:tc>
          <w:tcPr>
            <w:tcW w:w="261" w:type="dxa"/>
            <w:tcBorders>
              <w:top w:val="nil"/>
              <w:left w:val="nil"/>
              <w:bottom w:val="nil"/>
              <w:right w:val="nil"/>
            </w:tcBorders>
            <w:shd w:val="clear" w:color="000000" w:fill="FFFFFF"/>
            <w:vAlign w:val="center"/>
            <w:hideMark/>
          </w:tcPr>
          <w:p w14:paraId="7DE9E3E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0D8E3A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-0.185 (-0.388;0.018)</w:t>
            </w:r>
          </w:p>
        </w:tc>
        <w:tc>
          <w:tcPr>
            <w:tcW w:w="2502" w:type="dxa"/>
            <w:tcBorders>
              <w:top w:val="nil"/>
              <w:left w:val="nil"/>
              <w:bottom w:val="nil"/>
              <w:right w:val="single" w:sz="8" w:space="0" w:color="auto"/>
            </w:tcBorders>
            <w:shd w:val="clear" w:color="000000" w:fill="FFFFFF"/>
            <w:vAlign w:val="center"/>
            <w:hideMark/>
          </w:tcPr>
          <w:p w14:paraId="6BA2ED5C"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0.178 (-0.009;0.364)</w:t>
            </w:r>
          </w:p>
        </w:tc>
      </w:tr>
      <w:tr w:rsidR="00265001" w:rsidRPr="00265001" w14:paraId="43B01798"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CFF816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nil"/>
              <w:right w:val="nil"/>
            </w:tcBorders>
            <w:shd w:val="clear" w:color="000000" w:fill="FFFFFF"/>
            <w:vAlign w:val="center"/>
            <w:hideMark/>
          </w:tcPr>
          <w:p w14:paraId="4114D66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772739A"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0.075</w:t>
            </w:r>
          </w:p>
        </w:tc>
        <w:tc>
          <w:tcPr>
            <w:tcW w:w="2502" w:type="dxa"/>
            <w:tcBorders>
              <w:top w:val="nil"/>
              <w:left w:val="nil"/>
              <w:bottom w:val="nil"/>
              <w:right w:val="single" w:sz="8" w:space="0" w:color="auto"/>
            </w:tcBorders>
            <w:shd w:val="clear" w:color="000000" w:fill="FFFFFF"/>
            <w:vAlign w:val="center"/>
            <w:hideMark/>
          </w:tcPr>
          <w:p w14:paraId="5CC9C5A4"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0.058</w:t>
            </w:r>
          </w:p>
        </w:tc>
      </w:tr>
      <w:tr w:rsidR="00265001" w:rsidRPr="00265001" w14:paraId="6412E2A0"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5585F51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0F18492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1BB0FD2"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705ABD09"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0.02</w:t>
            </w:r>
          </w:p>
        </w:tc>
      </w:tr>
      <w:tr w:rsidR="00265001" w:rsidRPr="00265001" w14:paraId="13FBC717"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438D04BE" w14:textId="77777777" w:rsidR="00265001" w:rsidRPr="00265001" w:rsidRDefault="00265001" w:rsidP="00F03326">
            <w:pPr>
              <w:rPr>
                <w:rFonts w:ascii="Helvetica" w:eastAsia="Times New Roman" w:hAnsi="Helvetica" w:cs="Helvetica"/>
                <w:b/>
                <w:bCs/>
                <w:sz w:val="20"/>
                <w:szCs w:val="20"/>
                <w:lang w:val="en-CA" w:eastAsia="en-CA"/>
              </w:rPr>
            </w:pPr>
            <w:r w:rsidRPr="00265001">
              <w:rPr>
                <w:rFonts w:ascii="Helvetica" w:eastAsia="Times New Roman" w:hAnsi="Helvetica" w:cs="Helvetica"/>
                <w:b/>
                <w:bCs/>
                <w:color w:val="000000"/>
                <w:sz w:val="20"/>
                <w:szCs w:val="20"/>
                <w:lang w:val="en-CA" w:eastAsia="en-CA"/>
              </w:rPr>
              <w:t>Reproductive and maternal care</w:t>
            </w:r>
          </w:p>
        </w:tc>
      </w:tr>
      <w:tr w:rsidR="00265001" w:rsidRPr="00265001" w14:paraId="63E6245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D117D9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Skilled attendant for last birth</w:t>
            </w:r>
          </w:p>
        </w:tc>
        <w:tc>
          <w:tcPr>
            <w:tcW w:w="261" w:type="dxa"/>
            <w:tcBorders>
              <w:top w:val="nil"/>
              <w:left w:val="nil"/>
              <w:bottom w:val="nil"/>
              <w:right w:val="nil"/>
            </w:tcBorders>
            <w:shd w:val="clear" w:color="000000" w:fill="FFFFFF"/>
            <w:vAlign w:val="center"/>
            <w:hideMark/>
          </w:tcPr>
          <w:p w14:paraId="630B171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B80B68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-0.223 (-0.319;-0.127)</w:t>
            </w:r>
          </w:p>
        </w:tc>
        <w:tc>
          <w:tcPr>
            <w:tcW w:w="2502" w:type="dxa"/>
            <w:tcBorders>
              <w:top w:val="nil"/>
              <w:left w:val="nil"/>
              <w:bottom w:val="nil"/>
              <w:right w:val="single" w:sz="8" w:space="0" w:color="auto"/>
            </w:tcBorders>
            <w:shd w:val="clear" w:color="000000" w:fill="FFFFFF"/>
            <w:vAlign w:val="center"/>
            <w:hideMark/>
          </w:tcPr>
          <w:p w14:paraId="53E71A3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-0.15 (-0.242;-0.057)</w:t>
            </w:r>
          </w:p>
        </w:tc>
      </w:tr>
      <w:tr w:rsidR="00265001" w:rsidRPr="00265001" w14:paraId="107DAD81"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F0C444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1" w:type="dxa"/>
            <w:tcBorders>
              <w:top w:val="nil"/>
              <w:left w:val="nil"/>
              <w:bottom w:val="nil"/>
              <w:right w:val="nil"/>
            </w:tcBorders>
            <w:shd w:val="clear" w:color="000000" w:fill="FFFFFF"/>
            <w:vAlign w:val="center"/>
            <w:hideMark/>
          </w:tcPr>
          <w:p w14:paraId="64A4B74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E18FEC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3FF40C0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0.004</w:t>
            </w:r>
          </w:p>
        </w:tc>
      </w:tr>
      <w:tr w:rsidR="00265001" w:rsidRPr="00265001" w14:paraId="69E212A2"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4075DC3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048F211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1F4949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EF64C8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0.07</w:t>
            </w:r>
          </w:p>
        </w:tc>
      </w:tr>
      <w:tr w:rsidR="00265001" w:rsidRPr="00265001" w14:paraId="20F8DA0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0F1C7E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4+ antenatal care visits for last birth</w:t>
            </w:r>
          </w:p>
        </w:tc>
        <w:tc>
          <w:tcPr>
            <w:tcW w:w="261" w:type="dxa"/>
            <w:tcBorders>
              <w:top w:val="nil"/>
              <w:left w:val="nil"/>
              <w:bottom w:val="nil"/>
              <w:right w:val="nil"/>
            </w:tcBorders>
            <w:shd w:val="clear" w:color="000000" w:fill="FFFFFF"/>
            <w:vAlign w:val="center"/>
            <w:hideMark/>
          </w:tcPr>
          <w:p w14:paraId="768F278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CEC903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0.016 (-0.132;0.163)</w:t>
            </w:r>
          </w:p>
        </w:tc>
        <w:tc>
          <w:tcPr>
            <w:tcW w:w="2502" w:type="dxa"/>
            <w:tcBorders>
              <w:top w:val="nil"/>
              <w:left w:val="nil"/>
              <w:bottom w:val="nil"/>
              <w:right w:val="single" w:sz="8" w:space="0" w:color="auto"/>
            </w:tcBorders>
            <w:shd w:val="clear" w:color="000000" w:fill="FFFFFF"/>
            <w:vAlign w:val="center"/>
            <w:hideMark/>
          </w:tcPr>
          <w:p w14:paraId="4A65083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927499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5D22E2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1" w:type="dxa"/>
            <w:tcBorders>
              <w:top w:val="nil"/>
              <w:left w:val="nil"/>
              <w:bottom w:val="nil"/>
              <w:right w:val="nil"/>
            </w:tcBorders>
            <w:shd w:val="clear" w:color="000000" w:fill="FFFFFF"/>
            <w:vAlign w:val="center"/>
            <w:hideMark/>
          </w:tcPr>
          <w:p w14:paraId="6B40F9D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6BE6482"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0.835</w:t>
            </w:r>
          </w:p>
        </w:tc>
        <w:tc>
          <w:tcPr>
            <w:tcW w:w="2502" w:type="dxa"/>
            <w:tcBorders>
              <w:top w:val="nil"/>
              <w:left w:val="nil"/>
              <w:bottom w:val="nil"/>
              <w:right w:val="single" w:sz="8" w:space="0" w:color="auto"/>
            </w:tcBorders>
            <w:shd w:val="clear" w:color="000000" w:fill="FFFFFF"/>
            <w:vAlign w:val="center"/>
            <w:hideMark/>
          </w:tcPr>
          <w:p w14:paraId="4122A52B"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33152E1"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233E55E9"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2972866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99A6D6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4635E9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687C2A2"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66452ACC"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Human resources for health</w:t>
            </w:r>
          </w:p>
        </w:tc>
      </w:tr>
      <w:tr w:rsidR="00265001" w:rsidRPr="00265001" w14:paraId="0920952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142714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Density of human resources for health</w:t>
            </w:r>
          </w:p>
        </w:tc>
        <w:tc>
          <w:tcPr>
            <w:tcW w:w="261" w:type="dxa"/>
            <w:tcBorders>
              <w:top w:val="nil"/>
              <w:left w:val="nil"/>
              <w:bottom w:val="nil"/>
              <w:right w:val="nil"/>
            </w:tcBorders>
            <w:shd w:val="clear" w:color="000000" w:fill="FFFFFF"/>
            <w:vAlign w:val="center"/>
            <w:hideMark/>
          </w:tcPr>
          <w:p w14:paraId="0CFFB17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848F14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-0.197 (-0.376;-0.018)</w:t>
            </w:r>
          </w:p>
        </w:tc>
        <w:tc>
          <w:tcPr>
            <w:tcW w:w="2502" w:type="dxa"/>
            <w:tcBorders>
              <w:top w:val="nil"/>
              <w:left w:val="nil"/>
              <w:bottom w:val="nil"/>
              <w:right w:val="single" w:sz="8" w:space="0" w:color="auto"/>
            </w:tcBorders>
            <w:shd w:val="clear" w:color="000000" w:fill="FFFFFF"/>
            <w:vAlign w:val="center"/>
            <w:hideMark/>
          </w:tcPr>
          <w:p w14:paraId="315E48EE"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50B423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42069F9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(Doctors, nurses and midwives per 10,000 </w:t>
            </w:r>
          </w:p>
        </w:tc>
        <w:tc>
          <w:tcPr>
            <w:tcW w:w="261" w:type="dxa"/>
            <w:tcBorders>
              <w:top w:val="nil"/>
              <w:left w:val="nil"/>
              <w:bottom w:val="nil"/>
              <w:right w:val="nil"/>
            </w:tcBorders>
            <w:shd w:val="clear" w:color="000000" w:fill="FFFFFF"/>
            <w:vAlign w:val="center"/>
            <w:hideMark/>
          </w:tcPr>
          <w:p w14:paraId="1325DE1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EC6F27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0.031</w:t>
            </w:r>
          </w:p>
        </w:tc>
        <w:tc>
          <w:tcPr>
            <w:tcW w:w="2502" w:type="dxa"/>
            <w:tcBorders>
              <w:top w:val="nil"/>
              <w:left w:val="nil"/>
              <w:bottom w:val="nil"/>
              <w:right w:val="single" w:sz="8" w:space="0" w:color="auto"/>
            </w:tcBorders>
            <w:shd w:val="clear" w:color="000000" w:fill="FFFFFF"/>
            <w:vAlign w:val="center"/>
            <w:hideMark/>
          </w:tcPr>
          <w:p w14:paraId="214FFF8B"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49B086A"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BF77C09"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population)</w:t>
            </w:r>
          </w:p>
        </w:tc>
        <w:tc>
          <w:tcPr>
            <w:tcW w:w="261" w:type="dxa"/>
            <w:tcBorders>
              <w:top w:val="nil"/>
              <w:left w:val="nil"/>
              <w:bottom w:val="single" w:sz="8" w:space="0" w:color="auto"/>
              <w:right w:val="nil"/>
            </w:tcBorders>
            <w:shd w:val="clear" w:color="000000" w:fill="FFFFFF"/>
            <w:vAlign w:val="center"/>
            <w:hideMark/>
          </w:tcPr>
          <w:p w14:paraId="105E597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E9BB966"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7243F3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4F39C85D"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1A9E8AA6"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Care seeking interventions for childhood illness &amp; child micronutrient intake</w:t>
            </w:r>
          </w:p>
        </w:tc>
      </w:tr>
      <w:tr w:rsidR="00265001" w:rsidRPr="00265001" w14:paraId="7E8F70D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6C86B41"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Care seeking for pneumonia</w:t>
            </w:r>
          </w:p>
        </w:tc>
        <w:tc>
          <w:tcPr>
            <w:tcW w:w="261" w:type="dxa"/>
            <w:tcBorders>
              <w:top w:val="nil"/>
              <w:left w:val="nil"/>
              <w:bottom w:val="nil"/>
              <w:right w:val="nil"/>
            </w:tcBorders>
            <w:shd w:val="clear" w:color="000000" w:fill="FFFFFF"/>
            <w:vAlign w:val="center"/>
            <w:hideMark/>
          </w:tcPr>
          <w:p w14:paraId="01C783C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E17BADE"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0.014 (-0.027;0.054)</w:t>
            </w:r>
          </w:p>
        </w:tc>
        <w:tc>
          <w:tcPr>
            <w:tcW w:w="2502" w:type="dxa"/>
            <w:tcBorders>
              <w:top w:val="nil"/>
              <w:left w:val="nil"/>
              <w:bottom w:val="nil"/>
              <w:right w:val="single" w:sz="8" w:space="0" w:color="auto"/>
            </w:tcBorders>
            <w:shd w:val="clear" w:color="000000" w:fill="FFFFFF"/>
            <w:vAlign w:val="center"/>
            <w:hideMark/>
          </w:tcPr>
          <w:p w14:paraId="4F68B25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45824C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FE9379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pneumonia seeking care)</w:t>
            </w:r>
          </w:p>
        </w:tc>
        <w:tc>
          <w:tcPr>
            <w:tcW w:w="261" w:type="dxa"/>
            <w:tcBorders>
              <w:top w:val="nil"/>
              <w:left w:val="nil"/>
              <w:bottom w:val="nil"/>
              <w:right w:val="nil"/>
            </w:tcBorders>
            <w:shd w:val="clear" w:color="000000" w:fill="FFFFFF"/>
            <w:vAlign w:val="center"/>
            <w:hideMark/>
          </w:tcPr>
          <w:p w14:paraId="1106279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42AC61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0.507</w:t>
            </w:r>
          </w:p>
        </w:tc>
        <w:tc>
          <w:tcPr>
            <w:tcW w:w="2502" w:type="dxa"/>
            <w:tcBorders>
              <w:top w:val="nil"/>
              <w:left w:val="nil"/>
              <w:bottom w:val="nil"/>
              <w:right w:val="single" w:sz="8" w:space="0" w:color="auto"/>
            </w:tcBorders>
            <w:shd w:val="clear" w:color="000000" w:fill="FFFFFF"/>
            <w:vAlign w:val="center"/>
            <w:hideMark/>
          </w:tcPr>
          <w:p w14:paraId="67FE5D8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52BA008"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488648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F854E4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81905B0"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2FBE92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D2FC05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5A7353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Oral rehydration therapy</w:t>
            </w:r>
          </w:p>
        </w:tc>
        <w:tc>
          <w:tcPr>
            <w:tcW w:w="261" w:type="dxa"/>
            <w:tcBorders>
              <w:top w:val="nil"/>
              <w:left w:val="nil"/>
              <w:bottom w:val="nil"/>
              <w:right w:val="nil"/>
            </w:tcBorders>
            <w:shd w:val="clear" w:color="000000" w:fill="FFFFFF"/>
            <w:vAlign w:val="center"/>
            <w:hideMark/>
          </w:tcPr>
          <w:p w14:paraId="0AB13E7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CB56F7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4.77e-6 (-0.056;0.056)</w:t>
            </w:r>
          </w:p>
        </w:tc>
        <w:tc>
          <w:tcPr>
            <w:tcW w:w="2502" w:type="dxa"/>
            <w:tcBorders>
              <w:top w:val="nil"/>
              <w:left w:val="nil"/>
              <w:bottom w:val="nil"/>
              <w:right w:val="single" w:sz="8" w:space="0" w:color="auto"/>
            </w:tcBorders>
            <w:shd w:val="clear" w:color="000000" w:fill="FFFFFF"/>
            <w:vAlign w:val="center"/>
            <w:hideMark/>
          </w:tcPr>
          <w:p w14:paraId="6782BA3E"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9CAD7A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4BF22E4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diarrhea receiving ORT)</w:t>
            </w:r>
          </w:p>
        </w:tc>
        <w:tc>
          <w:tcPr>
            <w:tcW w:w="261" w:type="dxa"/>
            <w:tcBorders>
              <w:top w:val="nil"/>
              <w:left w:val="nil"/>
              <w:bottom w:val="nil"/>
              <w:right w:val="nil"/>
            </w:tcBorders>
            <w:shd w:val="clear" w:color="000000" w:fill="FFFFFF"/>
            <w:vAlign w:val="center"/>
            <w:hideMark/>
          </w:tcPr>
          <w:p w14:paraId="24E5685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FE11E6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w:t>
            </w:r>
          </w:p>
        </w:tc>
        <w:tc>
          <w:tcPr>
            <w:tcW w:w="2502" w:type="dxa"/>
            <w:tcBorders>
              <w:top w:val="nil"/>
              <w:left w:val="nil"/>
              <w:bottom w:val="nil"/>
              <w:right w:val="single" w:sz="8" w:space="0" w:color="auto"/>
            </w:tcBorders>
            <w:shd w:val="clear" w:color="000000" w:fill="FFFFFF"/>
            <w:vAlign w:val="center"/>
            <w:hideMark/>
          </w:tcPr>
          <w:p w14:paraId="4A577FB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F349BCC"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5C03BE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0AC5ACD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C83500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4A1D351"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ECE6F8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049C4FD"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receiving antibiotic treatment</w:t>
            </w:r>
          </w:p>
        </w:tc>
        <w:tc>
          <w:tcPr>
            <w:tcW w:w="261" w:type="dxa"/>
            <w:tcBorders>
              <w:top w:val="nil"/>
              <w:left w:val="nil"/>
              <w:bottom w:val="nil"/>
              <w:right w:val="nil"/>
            </w:tcBorders>
            <w:shd w:val="clear" w:color="000000" w:fill="FFFFFF"/>
            <w:vAlign w:val="center"/>
            <w:hideMark/>
          </w:tcPr>
          <w:p w14:paraId="0916FCA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1E62A0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0.183 (-0.179;0.545)</w:t>
            </w:r>
          </w:p>
        </w:tc>
        <w:tc>
          <w:tcPr>
            <w:tcW w:w="2502" w:type="dxa"/>
            <w:tcBorders>
              <w:top w:val="nil"/>
              <w:left w:val="nil"/>
              <w:bottom w:val="nil"/>
              <w:right w:val="single" w:sz="8" w:space="0" w:color="auto"/>
            </w:tcBorders>
            <w:shd w:val="clear" w:color="000000" w:fill="FFFFFF"/>
            <w:vAlign w:val="center"/>
            <w:hideMark/>
          </w:tcPr>
          <w:p w14:paraId="05E6B58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7DCED0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099816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ARI receiving antibiotics)</w:t>
            </w:r>
          </w:p>
        </w:tc>
        <w:tc>
          <w:tcPr>
            <w:tcW w:w="261" w:type="dxa"/>
            <w:tcBorders>
              <w:top w:val="nil"/>
              <w:left w:val="nil"/>
              <w:bottom w:val="nil"/>
              <w:right w:val="nil"/>
            </w:tcBorders>
            <w:shd w:val="clear" w:color="000000" w:fill="FFFFFF"/>
            <w:vAlign w:val="center"/>
            <w:hideMark/>
          </w:tcPr>
          <w:p w14:paraId="2C074EA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F620409"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0.322</w:t>
            </w:r>
          </w:p>
        </w:tc>
        <w:tc>
          <w:tcPr>
            <w:tcW w:w="2502" w:type="dxa"/>
            <w:tcBorders>
              <w:top w:val="nil"/>
              <w:left w:val="nil"/>
              <w:bottom w:val="nil"/>
              <w:right w:val="single" w:sz="8" w:space="0" w:color="auto"/>
            </w:tcBorders>
            <w:shd w:val="clear" w:color="000000" w:fill="FFFFFF"/>
            <w:vAlign w:val="center"/>
            <w:hideMark/>
          </w:tcPr>
          <w:p w14:paraId="5E41A82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4B19C25"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17E385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3243C1F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C75C7B9"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7D7BE29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4B3CBDD"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CBFFBB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Vitamin A supplementation</w:t>
            </w:r>
          </w:p>
        </w:tc>
        <w:tc>
          <w:tcPr>
            <w:tcW w:w="261" w:type="dxa"/>
            <w:tcBorders>
              <w:top w:val="nil"/>
              <w:left w:val="nil"/>
              <w:bottom w:val="nil"/>
              <w:right w:val="nil"/>
            </w:tcBorders>
            <w:shd w:val="clear" w:color="000000" w:fill="FFFFFF"/>
            <w:vAlign w:val="center"/>
            <w:hideMark/>
          </w:tcPr>
          <w:p w14:paraId="6C27EE1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2E5260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-0.145 (-0.264;-0.027)</w:t>
            </w:r>
          </w:p>
        </w:tc>
        <w:tc>
          <w:tcPr>
            <w:tcW w:w="2502" w:type="dxa"/>
            <w:tcBorders>
              <w:top w:val="nil"/>
              <w:left w:val="nil"/>
              <w:bottom w:val="nil"/>
              <w:right w:val="single" w:sz="8" w:space="0" w:color="auto"/>
            </w:tcBorders>
            <w:shd w:val="clear" w:color="000000" w:fill="FFFFFF"/>
            <w:vAlign w:val="center"/>
            <w:hideMark/>
          </w:tcPr>
          <w:p w14:paraId="3BF1576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82F95EB"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0A099E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1" w:type="dxa"/>
            <w:tcBorders>
              <w:top w:val="nil"/>
              <w:left w:val="nil"/>
              <w:bottom w:val="nil"/>
              <w:right w:val="nil"/>
            </w:tcBorders>
            <w:shd w:val="clear" w:color="000000" w:fill="FFFFFF"/>
            <w:vAlign w:val="center"/>
            <w:hideMark/>
          </w:tcPr>
          <w:p w14:paraId="5C3D0AB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CD1A3A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0.016</w:t>
            </w:r>
          </w:p>
        </w:tc>
        <w:tc>
          <w:tcPr>
            <w:tcW w:w="2502" w:type="dxa"/>
            <w:tcBorders>
              <w:top w:val="nil"/>
              <w:left w:val="nil"/>
              <w:bottom w:val="nil"/>
              <w:right w:val="single" w:sz="8" w:space="0" w:color="auto"/>
            </w:tcBorders>
            <w:shd w:val="clear" w:color="000000" w:fill="FFFFFF"/>
            <w:vAlign w:val="center"/>
            <w:hideMark/>
          </w:tcPr>
          <w:p w14:paraId="017FA02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E84F3DA"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7497101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625239A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779DF49"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977A86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6D1AA6F"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3D8BCA03"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Unhealthy household environment</w:t>
            </w:r>
          </w:p>
        </w:tc>
      </w:tr>
      <w:tr w:rsidR="00265001" w:rsidRPr="00265001" w14:paraId="75BE00F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48439E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Urbanization</w:t>
            </w:r>
          </w:p>
        </w:tc>
        <w:tc>
          <w:tcPr>
            <w:tcW w:w="261" w:type="dxa"/>
            <w:tcBorders>
              <w:top w:val="nil"/>
              <w:left w:val="nil"/>
              <w:bottom w:val="nil"/>
              <w:right w:val="nil"/>
            </w:tcBorders>
            <w:shd w:val="clear" w:color="000000" w:fill="FFFFFF"/>
            <w:vAlign w:val="center"/>
            <w:hideMark/>
          </w:tcPr>
          <w:p w14:paraId="7FADCA4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936CA1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-0.492 (-0.586;-0.398)</w:t>
            </w:r>
          </w:p>
        </w:tc>
        <w:tc>
          <w:tcPr>
            <w:tcW w:w="2502" w:type="dxa"/>
            <w:tcBorders>
              <w:top w:val="nil"/>
              <w:left w:val="nil"/>
              <w:bottom w:val="nil"/>
              <w:right w:val="single" w:sz="8" w:space="0" w:color="auto"/>
            </w:tcBorders>
            <w:shd w:val="clear" w:color="000000" w:fill="FFFFFF"/>
            <w:vAlign w:val="center"/>
            <w:hideMark/>
          </w:tcPr>
          <w:p w14:paraId="55F366D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-0.284 (-0.397;-0.172)</w:t>
            </w:r>
          </w:p>
        </w:tc>
      </w:tr>
      <w:tr w:rsidR="00265001" w:rsidRPr="00265001" w14:paraId="3443684A"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5377439"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 of urban population) </w:t>
            </w:r>
          </w:p>
        </w:tc>
        <w:tc>
          <w:tcPr>
            <w:tcW w:w="261" w:type="dxa"/>
            <w:tcBorders>
              <w:top w:val="nil"/>
              <w:left w:val="nil"/>
              <w:bottom w:val="nil"/>
              <w:right w:val="nil"/>
            </w:tcBorders>
            <w:shd w:val="clear" w:color="000000" w:fill="FFFFFF"/>
            <w:vAlign w:val="center"/>
            <w:hideMark/>
          </w:tcPr>
          <w:p w14:paraId="0B72719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07D9C1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2DDA8C4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265001" w:rsidRPr="00265001" w14:paraId="11EA1657"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904AE1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6397353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AE26EA7"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BBBE26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w:t>
            </w:r>
          </w:p>
        </w:tc>
      </w:tr>
      <w:tr w:rsidR="00265001" w:rsidRPr="00265001" w14:paraId="7AE1F37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C67B78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Open defecation</w:t>
            </w:r>
          </w:p>
        </w:tc>
        <w:tc>
          <w:tcPr>
            <w:tcW w:w="261" w:type="dxa"/>
            <w:tcBorders>
              <w:top w:val="nil"/>
              <w:left w:val="nil"/>
              <w:bottom w:val="nil"/>
              <w:right w:val="nil"/>
            </w:tcBorders>
            <w:shd w:val="clear" w:color="000000" w:fill="FFFFFF"/>
            <w:vAlign w:val="center"/>
            <w:hideMark/>
          </w:tcPr>
          <w:p w14:paraId="11F9CC6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7228080"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0.451 (0.256;0.646)</w:t>
            </w:r>
          </w:p>
        </w:tc>
        <w:tc>
          <w:tcPr>
            <w:tcW w:w="2502" w:type="dxa"/>
            <w:tcBorders>
              <w:top w:val="nil"/>
              <w:left w:val="nil"/>
              <w:bottom w:val="nil"/>
              <w:right w:val="single" w:sz="8" w:space="0" w:color="auto"/>
            </w:tcBorders>
            <w:shd w:val="clear" w:color="000000" w:fill="FFFFFF"/>
            <w:vAlign w:val="center"/>
            <w:hideMark/>
          </w:tcPr>
          <w:p w14:paraId="41A8917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0.283 (0.159;0.407)</w:t>
            </w:r>
          </w:p>
        </w:tc>
      </w:tr>
      <w:tr w:rsidR="00265001" w:rsidRPr="00265001" w14:paraId="5871EBC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49474AD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of population )</w:t>
            </w:r>
          </w:p>
        </w:tc>
        <w:tc>
          <w:tcPr>
            <w:tcW w:w="261" w:type="dxa"/>
            <w:tcBorders>
              <w:top w:val="nil"/>
              <w:left w:val="nil"/>
              <w:bottom w:val="nil"/>
              <w:right w:val="nil"/>
            </w:tcBorders>
            <w:shd w:val="clear" w:color="000000" w:fill="FFFFFF"/>
            <w:vAlign w:val="center"/>
            <w:hideMark/>
          </w:tcPr>
          <w:p w14:paraId="4F0F161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0D0219E"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1BA65E0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0.002</w:t>
            </w:r>
          </w:p>
        </w:tc>
      </w:tr>
      <w:tr w:rsidR="00265001" w:rsidRPr="00265001" w14:paraId="46E1B36E"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256F758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3FFCB16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C2DC14F"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25DE33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w:t>
            </w:r>
          </w:p>
        </w:tc>
      </w:tr>
      <w:tr w:rsidR="00265001" w:rsidRPr="00265001" w14:paraId="311B275D"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BAD5AA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Improved drinking water source</w:t>
            </w:r>
          </w:p>
        </w:tc>
        <w:tc>
          <w:tcPr>
            <w:tcW w:w="261" w:type="dxa"/>
            <w:tcBorders>
              <w:top w:val="nil"/>
              <w:left w:val="nil"/>
              <w:bottom w:val="nil"/>
              <w:right w:val="nil"/>
            </w:tcBorders>
            <w:shd w:val="clear" w:color="000000" w:fill="FFFFFF"/>
            <w:vAlign w:val="center"/>
            <w:hideMark/>
          </w:tcPr>
          <w:p w14:paraId="247A99E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E6EC40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-0.141 (-0.241;-0.041)</w:t>
            </w:r>
          </w:p>
        </w:tc>
        <w:tc>
          <w:tcPr>
            <w:tcW w:w="2502" w:type="dxa"/>
            <w:tcBorders>
              <w:top w:val="nil"/>
              <w:left w:val="nil"/>
              <w:bottom w:val="nil"/>
              <w:right w:val="single" w:sz="8" w:space="0" w:color="auto"/>
            </w:tcBorders>
            <w:shd w:val="clear" w:color="000000" w:fill="FFFFFF"/>
            <w:vAlign w:val="center"/>
            <w:hideMark/>
          </w:tcPr>
          <w:p w14:paraId="4A621DB9"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0C8732FD"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9C1D68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of population)</w:t>
            </w:r>
          </w:p>
        </w:tc>
        <w:tc>
          <w:tcPr>
            <w:tcW w:w="261" w:type="dxa"/>
            <w:tcBorders>
              <w:top w:val="nil"/>
              <w:left w:val="nil"/>
              <w:bottom w:val="nil"/>
              <w:right w:val="nil"/>
            </w:tcBorders>
            <w:shd w:val="clear" w:color="000000" w:fill="FFFFFF"/>
            <w:vAlign w:val="center"/>
            <w:hideMark/>
          </w:tcPr>
          <w:p w14:paraId="1C4EE3C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985767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0.006</w:t>
            </w:r>
          </w:p>
        </w:tc>
        <w:tc>
          <w:tcPr>
            <w:tcW w:w="2502" w:type="dxa"/>
            <w:tcBorders>
              <w:top w:val="nil"/>
              <w:left w:val="nil"/>
              <w:bottom w:val="nil"/>
              <w:right w:val="single" w:sz="8" w:space="0" w:color="auto"/>
            </w:tcBorders>
            <w:shd w:val="clear" w:color="000000" w:fill="FFFFFF"/>
            <w:vAlign w:val="center"/>
            <w:hideMark/>
          </w:tcPr>
          <w:p w14:paraId="301E1137"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16D06F6E"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39BBDCB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77102DC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2B91372"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12BC279" w14:textId="77777777" w:rsidR="00265001" w:rsidRPr="00265001" w:rsidRDefault="00265001" w:rsidP="00F03326">
            <w:pP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658E9BD1" w14:textId="77777777" w:rsidTr="00265001">
        <w:trPr>
          <w:trHeight w:val="309"/>
        </w:trPr>
        <w:tc>
          <w:tcPr>
            <w:tcW w:w="4049" w:type="dxa"/>
            <w:tcBorders>
              <w:top w:val="nil"/>
              <w:left w:val="single" w:sz="8" w:space="0" w:color="auto"/>
              <w:bottom w:val="single" w:sz="8" w:space="0" w:color="auto"/>
              <w:right w:val="nil"/>
            </w:tcBorders>
            <w:shd w:val="clear" w:color="000000" w:fill="D9D9D9"/>
            <w:vAlign w:val="center"/>
            <w:hideMark/>
          </w:tcPr>
          <w:p w14:paraId="554F8FC6" w14:textId="77777777" w:rsidR="00265001" w:rsidRPr="00265001" w:rsidRDefault="00265001" w:rsidP="00F03326">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1" w:type="dxa"/>
            <w:tcBorders>
              <w:top w:val="nil"/>
              <w:left w:val="nil"/>
              <w:bottom w:val="single" w:sz="8" w:space="0" w:color="auto"/>
              <w:right w:val="nil"/>
            </w:tcBorders>
            <w:shd w:val="clear" w:color="000000" w:fill="D9D9D9"/>
            <w:vAlign w:val="center"/>
            <w:hideMark/>
          </w:tcPr>
          <w:p w14:paraId="684B7D56"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3314475A"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2C020BE2" w14:textId="77777777" w:rsidR="00265001" w:rsidRPr="00265001" w:rsidRDefault="00265001" w:rsidP="00F03326">
            <w:pPr>
              <w:jc w:val="center"/>
              <w:rPr>
                <w:rFonts w:ascii="Helvetica" w:eastAsia="Times New Roman" w:hAnsi="Helvetica" w:cs="Helvetica"/>
                <w:b/>
                <w:bCs/>
                <w:sz w:val="20"/>
                <w:szCs w:val="20"/>
                <w:lang w:val="en-CA" w:eastAsia="en-CA"/>
              </w:rPr>
            </w:pPr>
            <w:r w:rsidRPr="00265001">
              <w:rPr>
                <w:rFonts w:ascii="Helvetica" w:eastAsia="Times New Roman" w:hAnsi="Helvetica" w:cs="Helvetica"/>
                <w:b/>
                <w:bCs/>
                <w:sz w:val="20"/>
                <w:szCs w:val="20"/>
                <w:lang w:val="en-CA" w:eastAsia="en-CA"/>
              </w:rPr>
              <w:t>75%</w:t>
            </w:r>
          </w:p>
        </w:tc>
      </w:tr>
      <w:tr w:rsidR="00265001" w:rsidRPr="00265001" w14:paraId="5907B1FC" w14:textId="77777777" w:rsidTr="00265001">
        <w:trPr>
          <w:trHeight w:val="309"/>
        </w:trPr>
        <w:tc>
          <w:tcPr>
            <w:tcW w:w="4049" w:type="dxa"/>
            <w:tcBorders>
              <w:top w:val="nil"/>
              <w:left w:val="single" w:sz="8" w:space="0" w:color="auto"/>
              <w:bottom w:val="single" w:sz="8" w:space="0" w:color="auto"/>
              <w:right w:val="nil"/>
            </w:tcBorders>
            <w:shd w:val="clear" w:color="000000" w:fill="808080"/>
            <w:vAlign w:val="center"/>
            <w:hideMark/>
          </w:tcPr>
          <w:p w14:paraId="2AFC7C0A"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1 Model - Proximal: Individual-level variables</w:t>
            </w:r>
            <w:r w:rsidRPr="00265001">
              <w:rPr>
                <w:rFonts w:ascii="Helvetica" w:eastAsia="Times New Roman" w:hAnsi="Helvetica" w:cs="Helvetica"/>
                <w:b/>
                <w:bCs/>
                <w:color w:val="000000"/>
                <w:sz w:val="20"/>
                <w:szCs w:val="20"/>
                <w:vertAlign w:val="superscript"/>
                <w:lang w:val="en-CA" w:eastAsia="en-CA"/>
              </w:rPr>
              <w:t>e</w:t>
            </w:r>
          </w:p>
        </w:tc>
        <w:tc>
          <w:tcPr>
            <w:tcW w:w="261" w:type="dxa"/>
            <w:tcBorders>
              <w:top w:val="nil"/>
              <w:left w:val="nil"/>
              <w:bottom w:val="single" w:sz="8" w:space="0" w:color="auto"/>
              <w:right w:val="nil"/>
            </w:tcBorders>
            <w:shd w:val="clear" w:color="000000" w:fill="808080"/>
            <w:vAlign w:val="center"/>
            <w:hideMark/>
          </w:tcPr>
          <w:p w14:paraId="332F60AD"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w:t>
            </w:r>
          </w:p>
        </w:tc>
        <w:tc>
          <w:tcPr>
            <w:tcW w:w="2502" w:type="dxa"/>
            <w:tcBorders>
              <w:top w:val="nil"/>
              <w:left w:val="nil"/>
              <w:bottom w:val="single" w:sz="8" w:space="0" w:color="auto"/>
              <w:right w:val="nil"/>
            </w:tcBorders>
            <w:shd w:val="clear" w:color="000000" w:fill="808080"/>
            <w:vAlign w:val="center"/>
            <w:hideMark/>
          </w:tcPr>
          <w:p w14:paraId="3B9CACE8"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w:t>
            </w:r>
          </w:p>
        </w:tc>
        <w:tc>
          <w:tcPr>
            <w:tcW w:w="2502" w:type="dxa"/>
            <w:tcBorders>
              <w:top w:val="nil"/>
              <w:left w:val="nil"/>
              <w:bottom w:val="single" w:sz="8" w:space="0" w:color="auto"/>
              <w:right w:val="single" w:sz="8" w:space="0" w:color="auto"/>
            </w:tcBorders>
            <w:shd w:val="clear" w:color="000000" w:fill="808080"/>
            <w:vAlign w:val="center"/>
            <w:hideMark/>
          </w:tcPr>
          <w:p w14:paraId="04A214E1" w14:textId="77777777" w:rsidR="00265001" w:rsidRPr="00265001" w:rsidRDefault="00265001" w:rsidP="00F03326">
            <w:pPr>
              <w:rPr>
                <w:rFonts w:ascii="Helvetica" w:eastAsia="Times New Roman" w:hAnsi="Helvetica" w:cs="Helvetica"/>
                <w:b/>
                <w:bCs/>
                <w:sz w:val="20"/>
                <w:szCs w:val="20"/>
                <w:lang w:val="en-CA" w:eastAsia="en-CA"/>
              </w:rPr>
            </w:pPr>
            <w:r w:rsidRPr="00265001">
              <w:rPr>
                <w:rFonts w:ascii="Helvetica" w:eastAsia="Times New Roman" w:hAnsi="Helvetica" w:cs="Helvetica"/>
                <w:b/>
                <w:bCs/>
                <w:sz w:val="20"/>
                <w:szCs w:val="20"/>
                <w:lang w:val="en-CA" w:eastAsia="en-CA"/>
              </w:rPr>
              <w:t> </w:t>
            </w:r>
          </w:p>
        </w:tc>
      </w:tr>
      <w:tr w:rsidR="00265001" w:rsidRPr="00265001" w14:paraId="266F0804"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1743FDDF" w14:textId="77777777" w:rsidR="00265001" w:rsidRPr="00265001" w:rsidRDefault="00265001" w:rsidP="00F03326">
            <w:pPr>
              <w:rPr>
                <w:rFonts w:ascii="Helvetica" w:eastAsia="Times New Roman" w:hAnsi="Helvetica" w:cs="Helvetica"/>
                <w:b/>
                <w:bCs/>
                <w:sz w:val="20"/>
                <w:szCs w:val="20"/>
                <w:lang w:val="en-CA" w:eastAsia="en-CA"/>
              </w:rPr>
            </w:pPr>
            <w:r w:rsidRPr="00265001">
              <w:rPr>
                <w:rFonts w:ascii="Helvetica" w:eastAsia="Times New Roman" w:hAnsi="Helvetica" w:cs="Helvetica"/>
                <w:b/>
                <w:bCs/>
                <w:color w:val="000000"/>
                <w:sz w:val="20"/>
                <w:szCs w:val="20"/>
                <w:lang w:val="en-CA" w:eastAsia="en-CA"/>
              </w:rPr>
              <w:t>Infections</w:t>
            </w:r>
          </w:p>
        </w:tc>
      </w:tr>
      <w:tr w:rsidR="00265001" w:rsidRPr="00265001" w14:paraId="4A67843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C93372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infection</w:t>
            </w:r>
          </w:p>
        </w:tc>
        <w:tc>
          <w:tcPr>
            <w:tcW w:w="261" w:type="dxa"/>
            <w:tcBorders>
              <w:top w:val="nil"/>
              <w:left w:val="nil"/>
              <w:bottom w:val="nil"/>
              <w:right w:val="nil"/>
            </w:tcBorders>
            <w:shd w:val="clear" w:color="000000" w:fill="FFFFFF"/>
            <w:vAlign w:val="center"/>
            <w:hideMark/>
          </w:tcPr>
          <w:p w14:paraId="06B89C4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34F3A7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0.244 (0.027;0.460)</w:t>
            </w:r>
          </w:p>
        </w:tc>
        <w:tc>
          <w:tcPr>
            <w:tcW w:w="2502" w:type="dxa"/>
            <w:tcBorders>
              <w:top w:val="nil"/>
              <w:left w:val="nil"/>
              <w:bottom w:val="nil"/>
              <w:right w:val="single" w:sz="8" w:space="0" w:color="auto"/>
            </w:tcBorders>
            <w:shd w:val="clear" w:color="000000" w:fill="FFFFFF"/>
            <w:vAlign w:val="center"/>
            <w:hideMark/>
          </w:tcPr>
          <w:p w14:paraId="41829A5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0.165 (0.053;0.277)</w:t>
            </w:r>
          </w:p>
        </w:tc>
      </w:tr>
      <w:tr w:rsidR="00265001" w:rsidRPr="00265001" w14:paraId="76DCE021"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048544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1" w:type="dxa"/>
            <w:tcBorders>
              <w:top w:val="nil"/>
              <w:left w:val="nil"/>
              <w:bottom w:val="nil"/>
              <w:right w:val="nil"/>
            </w:tcBorders>
            <w:shd w:val="clear" w:color="000000" w:fill="FFFFFF"/>
            <w:vAlign w:val="center"/>
            <w:hideMark/>
          </w:tcPr>
          <w:p w14:paraId="71D5EBE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6C7DB0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0.028</w:t>
            </w:r>
          </w:p>
        </w:tc>
        <w:tc>
          <w:tcPr>
            <w:tcW w:w="2502" w:type="dxa"/>
            <w:tcBorders>
              <w:top w:val="nil"/>
              <w:left w:val="nil"/>
              <w:bottom w:val="nil"/>
              <w:right w:val="single" w:sz="8" w:space="0" w:color="auto"/>
            </w:tcBorders>
            <w:shd w:val="clear" w:color="000000" w:fill="FFFFFF"/>
            <w:vAlign w:val="center"/>
            <w:hideMark/>
          </w:tcPr>
          <w:p w14:paraId="2C2A892A"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0.004</w:t>
            </w:r>
          </w:p>
        </w:tc>
      </w:tr>
      <w:tr w:rsidR="00265001" w:rsidRPr="00265001" w14:paraId="7FF497CB"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28F43F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1D2ECC1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7598AFE"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13601E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w:t>
            </w:r>
          </w:p>
        </w:tc>
      </w:tr>
      <w:tr w:rsidR="00265001" w:rsidRPr="00265001" w14:paraId="6B49024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570378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Diarrhoea infection</w:t>
            </w:r>
          </w:p>
        </w:tc>
        <w:tc>
          <w:tcPr>
            <w:tcW w:w="261" w:type="dxa"/>
            <w:tcBorders>
              <w:top w:val="nil"/>
              <w:left w:val="nil"/>
              <w:bottom w:val="nil"/>
              <w:right w:val="nil"/>
            </w:tcBorders>
            <w:shd w:val="clear" w:color="000000" w:fill="FFFFFF"/>
            <w:vAlign w:val="center"/>
            <w:hideMark/>
          </w:tcPr>
          <w:p w14:paraId="1D0E84A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104530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0.284 (0.107;0.462)</w:t>
            </w:r>
          </w:p>
        </w:tc>
        <w:tc>
          <w:tcPr>
            <w:tcW w:w="2502" w:type="dxa"/>
            <w:tcBorders>
              <w:top w:val="nil"/>
              <w:left w:val="nil"/>
              <w:bottom w:val="nil"/>
              <w:right w:val="single" w:sz="8" w:space="0" w:color="auto"/>
            </w:tcBorders>
            <w:shd w:val="clear" w:color="000000" w:fill="FFFFFF"/>
            <w:vAlign w:val="center"/>
            <w:hideMark/>
          </w:tcPr>
          <w:p w14:paraId="2DF3567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CD35748"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AE9189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1" w:type="dxa"/>
            <w:tcBorders>
              <w:top w:val="nil"/>
              <w:left w:val="nil"/>
              <w:bottom w:val="nil"/>
              <w:right w:val="nil"/>
            </w:tcBorders>
            <w:shd w:val="clear" w:color="000000" w:fill="FFFFFF"/>
            <w:vAlign w:val="center"/>
            <w:hideMark/>
          </w:tcPr>
          <w:p w14:paraId="0B62092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B05764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0.002</w:t>
            </w:r>
          </w:p>
        </w:tc>
        <w:tc>
          <w:tcPr>
            <w:tcW w:w="2502" w:type="dxa"/>
            <w:tcBorders>
              <w:top w:val="nil"/>
              <w:left w:val="nil"/>
              <w:bottom w:val="nil"/>
              <w:right w:val="single" w:sz="8" w:space="0" w:color="auto"/>
            </w:tcBorders>
            <w:shd w:val="clear" w:color="000000" w:fill="FFFFFF"/>
            <w:vAlign w:val="center"/>
            <w:hideMark/>
          </w:tcPr>
          <w:p w14:paraId="2B97779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A7FAD61"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02C8624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C6F718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A63D85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36F28D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B899C1D"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0F2B4F30"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Child characteristics</w:t>
            </w:r>
          </w:p>
        </w:tc>
      </w:tr>
      <w:tr w:rsidR="00265001" w:rsidRPr="00265001" w14:paraId="18B82A6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936B67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Low birthweight</w:t>
            </w:r>
          </w:p>
        </w:tc>
        <w:tc>
          <w:tcPr>
            <w:tcW w:w="261" w:type="dxa"/>
            <w:tcBorders>
              <w:top w:val="nil"/>
              <w:left w:val="nil"/>
              <w:bottom w:val="nil"/>
              <w:right w:val="nil"/>
            </w:tcBorders>
            <w:shd w:val="clear" w:color="000000" w:fill="FFFFFF"/>
            <w:vAlign w:val="center"/>
            <w:hideMark/>
          </w:tcPr>
          <w:p w14:paraId="0301BF7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51B8E8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-0.214 (-0.526;0.099)</w:t>
            </w:r>
          </w:p>
        </w:tc>
        <w:tc>
          <w:tcPr>
            <w:tcW w:w="2502" w:type="dxa"/>
            <w:tcBorders>
              <w:top w:val="nil"/>
              <w:left w:val="nil"/>
              <w:bottom w:val="nil"/>
              <w:right w:val="single" w:sz="8" w:space="0" w:color="auto"/>
            </w:tcBorders>
            <w:shd w:val="clear" w:color="000000" w:fill="FFFFFF"/>
            <w:vAlign w:val="center"/>
            <w:hideMark/>
          </w:tcPr>
          <w:p w14:paraId="3D37976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059D65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C3F7F0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1" w:type="dxa"/>
            <w:tcBorders>
              <w:top w:val="nil"/>
              <w:left w:val="nil"/>
              <w:bottom w:val="nil"/>
              <w:right w:val="nil"/>
            </w:tcBorders>
            <w:shd w:val="clear" w:color="000000" w:fill="FFFFFF"/>
            <w:vAlign w:val="center"/>
            <w:hideMark/>
          </w:tcPr>
          <w:p w14:paraId="5AF9A9B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6F1319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0.181</w:t>
            </w:r>
          </w:p>
        </w:tc>
        <w:tc>
          <w:tcPr>
            <w:tcW w:w="2502" w:type="dxa"/>
            <w:tcBorders>
              <w:top w:val="nil"/>
              <w:left w:val="nil"/>
              <w:bottom w:val="nil"/>
              <w:right w:val="single" w:sz="8" w:space="0" w:color="auto"/>
            </w:tcBorders>
            <w:shd w:val="clear" w:color="000000" w:fill="FFFFFF"/>
            <w:vAlign w:val="center"/>
            <w:hideMark/>
          </w:tcPr>
          <w:p w14:paraId="5E0852B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28867B4"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1800F9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78E1BFE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78B2EA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188A75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110C085"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75FF5FF2"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Maternal characteristics</w:t>
            </w:r>
          </w:p>
        </w:tc>
      </w:tr>
      <w:tr w:rsidR="00265001" w:rsidRPr="00265001" w14:paraId="23FC2B6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AB6A70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Anemia</w:t>
            </w:r>
          </w:p>
        </w:tc>
        <w:tc>
          <w:tcPr>
            <w:tcW w:w="261" w:type="dxa"/>
            <w:tcBorders>
              <w:top w:val="nil"/>
              <w:left w:val="nil"/>
              <w:bottom w:val="nil"/>
              <w:right w:val="nil"/>
            </w:tcBorders>
            <w:shd w:val="clear" w:color="000000" w:fill="FFFFFF"/>
            <w:vAlign w:val="center"/>
            <w:hideMark/>
          </w:tcPr>
          <w:p w14:paraId="2C3282E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8D5673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0.133 (0.017;0.249)</w:t>
            </w:r>
          </w:p>
        </w:tc>
        <w:tc>
          <w:tcPr>
            <w:tcW w:w="2502" w:type="dxa"/>
            <w:tcBorders>
              <w:top w:val="nil"/>
              <w:left w:val="nil"/>
              <w:bottom w:val="nil"/>
              <w:right w:val="single" w:sz="8" w:space="0" w:color="auto"/>
            </w:tcBorders>
            <w:shd w:val="clear" w:color="000000" w:fill="FFFFFF"/>
            <w:vAlign w:val="center"/>
            <w:hideMark/>
          </w:tcPr>
          <w:p w14:paraId="1DE637E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F8BA413"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C190F7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women 15-49 years)</w:t>
            </w:r>
          </w:p>
        </w:tc>
        <w:tc>
          <w:tcPr>
            <w:tcW w:w="261" w:type="dxa"/>
            <w:tcBorders>
              <w:top w:val="nil"/>
              <w:left w:val="nil"/>
              <w:bottom w:val="nil"/>
              <w:right w:val="nil"/>
            </w:tcBorders>
            <w:shd w:val="clear" w:color="000000" w:fill="FFFFFF"/>
            <w:vAlign w:val="center"/>
            <w:hideMark/>
          </w:tcPr>
          <w:p w14:paraId="087413C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827FD0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0.024</w:t>
            </w:r>
          </w:p>
        </w:tc>
        <w:tc>
          <w:tcPr>
            <w:tcW w:w="2502" w:type="dxa"/>
            <w:tcBorders>
              <w:top w:val="nil"/>
              <w:left w:val="nil"/>
              <w:bottom w:val="nil"/>
              <w:right w:val="single" w:sz="8" w:space="0" w:color="auto"/>
            </w:tcBorders>
            <w:shd w:val="clear" w:color="000000" w:fill="FFFFFF"/>
            <w:vAlign w:val="center"/>
            <w:hideMark/>
          </w:tcPr>
          <w:p w14:paraId="6121FA49"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F6881BD"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5B2259C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4FDAD7E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99A4E2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FB50AB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E43C63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746348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Young mother births (&lt;18 years)</w:t>
            </w:r>
          </w:p>
        </w:tc>
        <w:tc>
          <w:tcPr>
            <w:tcW w:w="261" w:type="dxa"/>
            <w:tcBorders>
              <w:top w:val="nil"/>
              <w:left w:val="nil"/>
              <w:bottom w:val="nil"/>
              <w:right w:val="nil"/>
            </w:tcBorders>
            <w:shd w:val="clear" w:color="000000" w:fill="FFFFFF"/>
            <w:vAlign w:val="center"/>
            <w:hideMark/>
          </w:tcPr>
          <w:p w14:paraId="7B593B0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939CF7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0.072 (-0.686;0.829)</w:t>
            </w:r>
          </w:p>
        </w:tc>
        <w:tc>
          <w:tcPr>
            <w:tcW w:w="2502" w:type="dxa"/>
            <w:tcBorders>
              <w:top w:val="nil"/>
              <w:left w:val="nil"/>
              <w:bottom w:val="nil"/>
              <w:right w:val="single" w:sz="8" w:space="0" w:color="auto"/>
            </w:tcBorders>
            <w:shd w:val="clear" w:color="000000" w:fill="FFFFFF"/>
            <w:vAlign w:val="center"/>
            <w:hideMark/>
          </w:tcPr>
          <w:p w14:paraId="29D9A961"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8A656D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9179C2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births within last 5 years)</w:t>
            </w:r>
          </w:p>
        </w:tc>
        <w:tc>
          <w:tcPr>
            <w:tcW w:w="261" w:type="dxa"/>
            <w:tcBorders>
              <w:top w:val="nil"/>
              <w:left w:val="nil"/>
              <w:bottom w:val="nil"/>
              <w:right w:val="nil"/>
            </w:tcBorders>
            <w:shd w:val="clear" w:color="000000" w:fill="FFFFFF"/>
            <w:vAlign w:val="center"/>
            <w:hideMark/>
          </w:tcPr>
          <w:p w14:paraId="09CF115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7D7EEEB"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0.853</w:t>
            </w:r>
          </w:p>
        </w:tc>
        <w:tc>
          <w:tcPr>
            <w:tcW w:w="2502" w:type="dxa"/>
            <w:tcBorders>
              <w:top w:val="nil"/>
              <w:left w:val="nil"/>
              <w:bottom w:val="nil"/>
              <w:right w:val="single" w:sz="8" w:space="0" w:color="auto"/>
            </w:tcBorders>
            <w:shd w:val="clear" w:color="000000" w:fill="FFFFFF"/>
            <w:vAlign w:val="center"/>
            <w:hideMark/>
          </w:tcPr>
          <w:p w14:paraId="61F5AAC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137A5E2"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05F0E5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29B5DFF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15E080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F67EE8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F3881BA"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EE3C95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BMI</w:t>
            </w:r>
          </w:p>
        </w:tc>
        <w:tc>
          <w:tcPr>
            <w:tcW w:w="261" w:type="dxa"/>
            <w:tcBorders>
              <w:top w:val="nil"/>
              <w:left w:val="nil"/>
              <w:bottom w:val="nil"/>
              <w:right w:val="nil"/>
            </w:tcBorders>
            <w:shd w:val="clear" w:color="000000" w:fill="FFFFFF"/>
            <w:vAlign w:val="center"/>
            <w:hideMark/>
          </w:tcPr>
          <w:p w14:paraId="73AEBF5A"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1EFCFDE"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-1.837 (-3.513;-0.160)</w:t>
            </w:r>
          </w:p>
        </w:tc>
        <w:tc>
          <w:tcPr>
            <w:tcW w:w="2502" w:type="dxa"/>
            <w:tcBorders>
              <w:top w:val="nil"/>
              <w:left w:val="nil"/>
              <w:bottom w:val="nil"/>
              <w:right w:val="single" w:sz="8" w:space="0" w:color="auto"/>
            </w:tcBorders>
            <w:shd w:val="clear" w:color="000000" w:fill="FFFFFF"/>
            <w:vAlign w:val="center"/>
            <w:hideMark/>
          </w:tcPr>
          <w:p w14:paraId="380627FA"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DAFB7E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5D5A99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1" w:type="dxa"/>
            <w:tcBorders>
              <w:top w:val="nil"/>
              <w:left w:val="nil"/>
              <w:bottom w:val="nil"/>
              <w:right w:val="nil"/>
            </w:tcBorders>
            <w:shd w:val="clear" w:color="000000" w:fill="FFFFFF"/>
            <w:vAlign w:val="center"/>
            <w:hideMark/>
          </w:tcPr>
          <w:p w14:paraId="40D7EAB6"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6540E5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0.032</w:t>
            </w:r>
          </w:p>
        </w:tc>
        <w:tc>
          <w:tcPr>
            <w:tcW w:w="2502" w:type="dxa"/>
            <w:tcBorders>
              <w:top w:val="nil"/>
              <w:left w:val="nil"/>
              <w:bottom w:val="nil"/>
              <w:right w:val="single" w:sz="8" w:space="0" w:color="auto"/>
            </w:tcBorders>
            <w:shd w:val="clear" w:color="000000" w:fill="FFFFFF"/>
            <w:vAlign w:val="center"/>
            <w:hideMark/>
          </w:tcPr>
          <w:p w14:paraId="51B6678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AC697A7"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392E384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3D31300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30CD75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EADC0B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7FFE1FB"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FB4A87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Height</w:t>
            </w:r>
          </w:p>
        </w:tc>
        <w:tc>
          <w:tcPr>
            <w:tcW w:w="261" w:type="dxa"/>
            <w:tcBorders>
              <w:top w:val="nil"/>
              <w:left w:val="nil"/>
              <w:bottom w:val="nil"/>
              <w:right w:val="nil"/>
            </w:tcBorders>
            <w:shd w:val="clear" w:color="000000" w:fill="FFFFFF"/>
            <w:vAlign w:val="center"/>
            <w:hideMark/>
          </w:tcPr>
          <w:p w14:paraId="70B01CB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F4BAFB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-1.491 (-3.354;0.372)</w:t>
            </w:r>
          </w:p>
        </w:tc>
        <w:tc>
          <w:tcPr>
            <w:tcW w:w="2502" w:type="dxa"/>
            <w:tcBorders>
              <w:top w:val="nil"/>
              <w:left w:val="nil"/>
              <w:bottom w:val="nil"/>
              <w:right w:val="single" w:sz="8" w:space="0" w:color="auto"/>
            </w:tcBorders>
            <w:shd w:val="clear" w:color="000000" w:fill="FFFFFF"/>
            <w:vAlign w:val="center"/>
            <w:hideMark/>
          </w:tcPr>
          <w:p w14:paraId="05A0E1B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1C8F28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E8D0C0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1" w:type="dxa"/>
            <w:tcBorders>
              <w:top w:val="nil"/>
              <w:left w:val="nil"/>
              <w:bottom w:val="nil"/>
              <w:right w:val="nil"/>
            </w:tcBorders>
            <w:shd w:val="clear" w:color="000000" w:fill="FFFFFF"/>
            <w:vAlign w:val="center"/>
            <w:hideMark/>
          </w:tcPr>
          <w:p w14:paraId="0412A0E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9B3F1F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0.117</w:t>
            </w:r>
          </w:p>
        </w:tc>
        <w:tc>
          <w:tcPr>
            <w:tcW w:w="2502" w:type="dxa"/>
            <w:tcBorders>
              <w:top w:val="nil"/>
              <w:left w:val="nil"/>
              <w:bottom w:val="nil"/>
              <w:right w:val="single" w:sz="8" w:space="0" w:color="auto"/>
            </w:tcBorders>
            <w:shd w:val="clear" w:color="000000" w:fill="FFFFFF"/>
            <w:vAlign w:val="center"/>
            <w:hideMark/>
          </w:tcPr>
          <w:p w14:paraId="6756A370"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8AAC22B"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50DF68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3B72A5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4E0ADF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A7EAC7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07227A8"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9E7D84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Interpregnancy interval</w:t>
            </w:r>
          </w:p>
        </w:tc>
        <w:tc>
          <w:tcPr>
            <w:tcW w:w="261" w:type="dxa"/>
            <w:tcBorders>
              <w:top w:val="nil"/>
              <w:left w:val="nil"/>
              <w:bottom w:val="nil"/>
              <w:right w:val="nil"/>
            </w:tcBorders>
            <w:shd w:val="clear" w:color="000000" w:fill="FFFFFF"/>
            <w:vAlign w:val="center"/>
            <w:hideMark/>
          </w:tcPr>
          <w:p w14:paraId="3E60911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9AA871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-0.089 (-0.354;0.177)</w:t>
            </w:r>
          </w:p>
        </w:tc>
        <w:tc>
          <w:tcPr>
            <w:tcW w:w="2502" w:type="dxa"/>
            <w:tcBorders>
              <w:top w:val="nil"/>
              <w:left w:val="nil"/>
              <w:bottom w:val="nil"/>
              <w:right w:val="single" w:sz="8" w:space="0" w:color="auto"/>
            </w:tcBorders>
            <w:shd w:val="clear" w:color="000000" w:fill="FFFFFF"/>
            <w:vAlign w:val="center"/>
            <w:hideMark/>
          </w:tcPr>
          <w:p w14:paraId="3E0CE9C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449B4A9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66804C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mothers 15-49 years)</w:t>
            </w:r>
          </w:p>
        </w:tc>
        <w:tc>
          <w:tcPr>
            <w:tcW w:w="261" w:type="dxa"/>
            <w:tcBorders>
              <w:top w:val="nil"/>
              <w:left w:val="nil"/>
              <w:bottom w:val="nil"/>
              <w:right w:val="nil"/>
            </w:tcBorders>
            <w:shd w:val="clear" w:color="000000" w:fill="FFFFFF"/>
            <w:vAlign w:val="center"/>
            <w:hideMark/>
          </w:tcPr>
          <w:p w14:paraId="5F8B978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94155CA"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0.512</w:t>
            </w:r>
          </w:p>
        </w:tc>
        <w:tc>
          <w:tcPr>
            <w:tcW w:w="2502" w:type="dxa"/>
            <w:tcBorders>
              <w:top w:val="nil"/>
              <w:left w:val="nil"/>
              <w:bottom w:val="nil"/>
              <w:right w:val="single" w:sz="8" w:space="0" w:color="auto"/>
            </w:tcBorders>
            <w:shd w:val="clear" w:color="000000" w:fill="FFFFFF"/>
            <w:vAlign w:val="center"/>
            <w:hideMark/>
          </w:tcPr>
          <w:p w14:paraId="2A84D2E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C91405E"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48A8EC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22943A0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B8371FE"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CB8E76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9B619A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B5F1E9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Age</w:t>
            </w:r>
          </w:p>
        </w:tc>
        <w:tc>
          <w:tcPr>
            <w:tcW w:w="261" w:type="dxa"/>
            <w:tcBorders>
              <w:top w:val="nil"/>
              <w:left w:val="nil"/>
              <w:bottom w:val="nil"/>
              <w:right w:val="nil"/>
            </w:tcBorders>
            <w:shd w:val="clear" w:color="000000" w:fill="FFFFFF"/>
            <w:vAlign w:val="center"/>
            <w:hideMark/>
          </w:tcPr>
          <w:p w14:paraId="4B25EC9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8F20CE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-1.758 (-2.726;-0.790)</w:t>
            </w:r>
          </w:p>
        </w:tc>
        <w:tc>
          <w:tcPr>
            <w:tcW w:w="2502" w:type="dxa"/>
            <w:tcBorders>
              <w:top w:val="nil"/>
              <w:left w:val="nil"/>
              <w:bottom w:val="nil"/>
              <w:right w:val="single" w:sz="8" w:space="0" w:color="auto"/>
            </w:tcBorders>
            <w:shd w:val="clear" w:color="000000" w:fill="FFFFFF"/>
            <w:vAlign w:val="center"/>
            <w:hideMark/>
          </w:tcPr>
          <w:p w14:paraId="48E52480"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-0.965 (-1.853;-0.077)</w:t>
            </w:r>
          </w:p>
        </w:tc>
      </w:tr>
      <w:tr w:rsidR="00265001" w:rsidRPr="00265001" w14:paraId="01CB16C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A028BE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w:t>
            </w:r>
          </w:p>
        </w:tc>
        <w:tc>
          <w:tcPr>
            <w:tcW w:w="261" w:type="dxa"/>
            <w:tcBorders>
              <w:top w:val="nil"/>
              <w:left w:val="nil"/>
              <w:bottom w:val="nil"/>
              <w:right w:val="nil"/>
            </w:tcBorders>
            <w:shd w:val="clear" w:color="000000" w:fill="FFFFFF"/>
            <w:vAlign w:val="center"/>
            <w:hideMark/>
          </w:tcPr>
          <w:p w14:paraId="4EBF241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5D97A1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532D0950"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0.033</w:t>
            </w:r>
          </w:p>
        </w:tc>
      </w:tr>
      <w:tr w:rsidR="00265001" w:rsidRPr="00265001" w14:paraId="502BA4A8"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736C76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3B8BDFA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0110855"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8794A7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w:t>
            </w:r>
          </w:p>
        </w:tc>
      </w:tr>
      <w:tr w:rsidR="00265001" w:rsidRPr="00265001" w14:paraId="6717D9B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558A33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Total fertility rate</w:t>
            </w:r>
          </w:p>
        </w:tc>
        <w:tc>
          <w:tcPr>
            <w:tcW w:w="261" w:type="dxa"/>
            <w:tcBorders>
              <w:top w:val="nil"/>
              <w:left w:val="nil"/>
              <w:bottom w:val="nil"/>
              <w:right w:val="nil"/>
            </w:tcBorders>
            <w:shd w:val="clear" w:color="000000" w:fill="FFFFFF"/>
            <w:vAlign w:val="center"/>
            <w:hideMark/>
          </w:tcPr>
          <w:p w14:paraId="2479405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AA5B2D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4.539 (2.732;6.347)</w:t>
            </w:r>
          </w:p>
        </w:tc>
        <w:tc>
          <w:tcPr>
            <w:tcW w:w="2502" w:type="dxa"/>
            <w:tcBorders>
              <w:top w:val="nil"/>
              <w:left w:val="nil"/>
              <w:bottom w:val="nil"/>
              <w:right w:val="single" w:sz="8" w:space="0" w:color="auto"/>
            </w:tcBorders>
            <w:shd w:val="clear" w:color="000000" w:fill="FFFFFF"/>
            <w:vAlign w:val="center"/>
            <w:hideMark/>
          </w:tcPr>
          <w:p w14:paraId="21CA407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879045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9081C1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(mean, mothers 15-49 years)</w:t>
            </w:r>
          </w:p>
        </w:tc>
        <w:tc>
          <w:tcPr>
            <w:tcW w:w="261" w:type="dxa"/>
            <w:tcBorders>
              <w:top w:val="nil"/>
              <w:left w:val="nil"/>
              <w:bottom w:val="nil"/>
              <w:right w:val="nil"/>
            </w:tcBorders>
            <w:shd w:val="clear" w:color="000000" w:fill="FFFFFF"/>
            <w:vAlign w:val="center"/>
            <w:hideMark/>
          </w:tcPr>
          <w:p w14:paraId="6729A92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44BAD2A"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263EF63B"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9E85879"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35A814F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0C39D4C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1A57A5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4541CF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0114927" w14:textId="77777777" w:rsidTr="00265001">
        <w:trPr>
          <w:trHeight w:val="309"/>
        </w:trPr>
        <w:tc>
          <w:tcPr>
            <w:tcW w:w="4049" w:type="dxa"/>
            <w:tcBorders>
              <w:top w:val="nil"/>
              <w:left w:val="single" w:sz="8" w:space="0" w:color="auto"/>
              <w:bottom w:val="single" w:sz="8" w:space="0" w:color="auto"/>
              <w:right w:val="nil"/>
            </w:tcBorders>
            <w:shd w:val="clear" w:color="000000" w:fill="D9D9D9"/>
            <w:vAlign w:val="center"/>
            <w:hideMark/>
          </w:tcPr>
          <w:p w14:paraId="3196CF88" w14:textId="77777777" w:rsidR="00265001" w:rsidRPr="00265001" w:rsidRDefault="00265001" w:rsidP="00F03326">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1" w:type="dxa"/>
            <w:tcBorders>
              <w:top w:val="nil"/>
              <w:left w:val="nil"/>
              <w:bottom w:val="single" w:sz="8" w:space="0" w:color="auto"/>
              <w:right w:val="nil"/>
            </w:tcBorders>
            <w:shd w:val="clear" w:color="000000" w:fill="D9D9D9"/>
            <w:vAlign w:val="center"/>
            <w:hideMark/>
          </w:tcPr>
          <w:p w14:paraId="01A46961"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1B6B60F8"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0173BC73" w14:textId="77777777" w:rsidR="00265001" w:rsidRPr="00265001" w:rsidRDefault="00265001" w:rsidP="00F03326">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75%</w:t>
            </w:r>
          </w:p>
        </w:tc>
      </w:tr>
      <w:tr w:rsidR="00265001" w:rsidRPr="00265001" w14:paraId="4E9FD621" w14:textId="77777777" w:rsidTr="00F03326">
        <w:trPr>
          <w:trHeight w:val="309"/>
        </w:trPr>
        <w:tc>
          <w:tcPr>
            <w:tcW w:w="9314" w:type="dxa"/>
            <w:gridSpan w:val="4"/>
            <w:tcBorders>
              <w:top w:val="single" w:sz="8" w:space="0" w:color="auto"/>
              <w:left w:val="single" w:sz="8" w:space="0" w:color="auto"/>
              <w:bottom w:val="single" w:sz="8" w:space="0" w:color="auto"/>
              <w:right w:val="single" w:sz="8" w:space="0" w:color="000000"/>
            </w:tcBorders>
            <w:shd w:val="clear" w:color="000000" w:fill="808080"/>
            <w:vAlign w:val="center"/>
            <w:hideMark/>
          </w:tcPr>
          <w:p w14:paraId="4230364C"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w:t>
            </w:r>
          </w:p>
        </w:tc>
      </w:tr>
      <w:tr w:rsidR="00265001" w:rsidRPr="00265001" w14:paraId="7AA162ED"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64E685A1"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Time</w:t>
            </w:r>
          </w:p>
        </w:tc>
      </w:tr>
      <w:tr w:rsidR="00265001" w:rsidRPr="00265001" w14:paraId="78390580"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C5D1E7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Year</w:t>
            </w:r>
          </w:p>
        </w:tc>
        <w:tc>
          <w:tcPr>
            <w:tcW w:w="261" w:type="dxa"/>
            <w:tcBorders>
              <w:top w:val="nil"/>
              <w:left w:val="nil"/>
              <w:bottom w:val="nil"/>
              <w:right w:val="nil"/>
            </w:tcBorders>
            <w:shd w:val="clear" w:color="000000" w:fill="FFFFFF"/>
            <w:vAlign w:val="center"/>
            <w:hideMark/>
          </w:tcPr>
          <w:p w14:paraId="3B66017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352E3F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-1.283 (-1.549;-1.016)</w:t>
            </w:r>
          </w:p>
        </w:tc>
        <w:tc>
          <w:tcPr>
            <w:tcW w:w="2502" w:type="dxa"/>
            <w:tcBorders>
              <w:top w:val="nil"/>
              <w:left w:val="nil"/>
              <w:bottom w:val="nil"/>
              <w:right w:val="single" w:sz="8" w:space="0" w:color="auto"/>
            </w:tcBorders>
            <w:shd w:val="clear" w:color="000000" w:fill="FFFFFF"/>
            <w:vAlign w:val="center"/>
            <w:hideMark/>
          </w:tcPr>
          <w:p w14:paraId="2E01056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0.187 (-0.177;0.552)</w:t>
            </w:r>
          </w:p>
        </w:tc>
      </w:tr>
      <w:tr w:rsidR="00265001" w:rsidRPr="00265001" w14:paraId="6103A74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E94EB7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nil"/>
              <w:right w:val="nil"/>
            </w:tcBorders>
            <w:shd w:val="clear" w:color="000000" w:fill="FFFFFF"/>
            <w:vAlign w:val="center"/>
            <w:hideMark/>
          </w:tcPr>
          <w:p w14:paraId="721A510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6A4669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1C00AD4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0.313</w:t>
            </w:r>
          </w:p>
        </w:tc>
      </w:tr>
      <w:tr w:rsidR="00265001" w:rsidRPr="00265001" w14:paraId="1B5F8FFD"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436052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077043E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78EA624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2C99B81"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0.15</w:t>
            </w:r>
          </w:p>
        </w:tc>
      </w:tr>
    </w:tbl>
    <w:p w14:paraId="3C239482" w14:textId="77777777" w:rsidR="00265001" w:rsidRPr="003D7162" w:rsidRDefault="00265001" w:rsidP="00265001">
      <w:pPr>
        <w:rPr>
          <w:rFonts w:ascii="Helvetica" w:hAnsi="Helvetica" w:cs="Helvetica"/>
          <w:sz w:val="18"/>
          <w:szCs w:val="18"/>
        </w:rPr>
      </w:pPr>
      <w:r w:rsidRPr="003D7162">
        <w:rPr>
          <w:rFonts w:ascii="Helvetica" w:hAnsi="Helvetica" w:cs="Helvetica"/>
          <w:sz w:val="18"/>
          <w:szCs w:val="18"/>
        </w:rPr>
        <w:t>*factors statistically significant at p&lt;0.05 are highlighted in red</w:t>
      </w:r>
    </w:p>
    <w:tbl>
      <w:tblPr>
        <w:tblW w:w="14234" w:type="dxa"/>
        <w:tblLayout w:type="fixed"/>
        <w:tblLook w:val="04A0" w:firstRow="1" w:lastRow="0" w:firstColumn="1" w:lastColumn="0" w:noHBand="0" w:noVBand="1"/>
      </w:tblPr>
      <w:tblGrid>
        <w:gridCol w:w="13980"/>
        <w:gridCol w:w="254"/>
      </w:tblGrid>
      <w:tr w:rsidR="00265001" w:rsidRPr="003D7162" w14:paraId="2957C198" w14:textId="77777777" w:rsidTr="00F03326">
        <w:trPr>
          <w:trHeight w:val="188"/>
        </w:trPr>
        <w:tc>
          <w:tcPr>
            <w:tcW w:w="14234" w:type="dxa"/>
            <w:gridSpan w:val="2"/>
            <w:tcBorders>
              <w:top w:val="nil"/>
              <w:left w:val="nil"/>
              <w:bottom w:val="nil"/>
              <w:right w:val="nil"/>
            </w:tcBorders>
            <w:shd w:val="clear" w:color="000000" w:fill="FFFFFF"/>
            <w:noWrap/>
            <w:vAlign w:val="center"/>
            <w:hideMark/>
          </w:tcPr>
          <w:p w14:paraId="3C051086" w14:textId="77777777" w:rsidR="00265001" w:rsidRPr="003D7162" w:rsidRDefault="00265001" w:rsidP="00F03326">
            <w:pPr>
              <w:ind w:right="4478"/>
              <w:rPr>
                <w:rFonts w:ascii="Helvetica" w:eastAsia="Times New Roman" w:hAnsi="Helvetica" w:cs="Helvetica"/>
                <w:color w:val="000000"/>
                <w:sz w:val="18"/>
                <w:szCs w:val="18"/>
                <w:u w:val="single"/>
              </w:rPr>
            </w:pPr>
            <w:r w:rsidRPr="003D7162">
              <w:rPr>
                <w:rFonts w:ascii="Helvetica" w:eastAsia="Times New Roman" w:hAnsi="Helvetica" w:cs="Helvetica"/>
                <w:color w:val="000000"/>
                <w:sz w:val="18"/>
                <w:szCs w:val="18"/>
                <w:u w:val="single"/>
              </w:rPr>
              <w:t>*</w:t>
            </w:r>
            <w:r w:rsidRPr="003D7162">
              <w:rPr>
                <w:rFonts w:ascii="Helvetica" w:eastAsia="Times New Roman" w:hAnsi="Helvetica" w:cs="Helvetica"/>
                <w:color w:val="000000"/>
                <w:sz w:val="18"/>
                <w:szCs w:val="18"/>
              </w:rPr>
              <w:t>Variables significant at p&lt;0.20 in bivariate analysis were entered into linear multilevel mixed-effects models.</w:t>
            </w:r>
          </w:p>
        </w:tc>
      </w:tr>
      <w:tr w:rsidR="00265001" w:rsidRPr="003D7162" w14:paraId="7C93B482" w14:textId="77777777" w:rsidTr="00F03326">
        <w:trPr>
          <w:trHeight w:val="215"/>
        </w:trPr>
        <w:tc>
          <w:tcPr>
            <w:tcW w:w="13980" w:type="dxa"/>
            <w:tcBorders>
              <w:top w:val="nil"/>
              <w:left w:val="nil"/>
              <w:bottom w:val="nil"/>
              <w:right w:val="nil"/>
            </w:tcBorders>
            <w:shd w:val="clear" w:color="000000" w:fill="FFFFFF"/>
            <w:noWrap/>
            <w:vAlign w:val="center"/>
            <w:hideMark/>
          </w:tcPr>
          <w:p w14:paraId="26AAA0B0"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1 </w:t>
            </w:r>
            <w:r w:rsidRPr="003D7162">
              <w:rPr>
                <w:rFonts w:ascii="Helvetica" w:eastAsia="Times New Roman" w:hAnsi="Helvetica" w:cs="Helvetica"/>
                <w:color w:val="000000"/>
                <w:sz w:val="18"/>
                <w:szCs w:val="18"/>
              </w:rPr>
              <w:t>Variables in each group are adjusted for all other variables in the same group or above.</w:t>
            </w:r>
          </w:p>
        </w:tc>
        <w:tc>
          <w:tcPr>
            <w:tcW w:w="254" w:type="dxa"/>
            <w:tcBorders>
              <w:top w:val="nil"/>
              <w:left w:val="nil"/>
              <w:bottom w:val="nil"/>
              <w:right w:val="nil"/>
            </w:tcBorders>
            <w:shd w:val="clear" w:color="000000" w:fill="FFFFFF"/>
            <w:noWrap/>
            <w:vAlign w:val="center"/>
            <w:hideMark/>
          </w:tcPr>
          <w:p w14:paraId="7AE349D0"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w:t>
            </w:r>
          </w:p>
        </w:tc>
      </w:tr>
      <w:tr w:rsidR="00265001" w:rsidRPr="003D7162" w14:paraId="6F4A993E" w14:textId="77777777" w:rsidTr="00F03326">
        <w:trPr>
          <w:trHeight w:val="635"/>
        </w:trPr>
        <w:tc>
          <w:tcPr>
            <w:tcW w:w="14234" w:type="dxa"/>
            <w:gridSpan w:val="2"/>
            <w:tcBorders>
              <w:top w:val="nil"/>
              <w:left w:val="nil"/>
              <w:bottom w:val="nil"/>
              <w:right w:val="nil"/>
            </w:tcBorders>
            <w:shd w:val="clear" w:color="000000" w:fill="FFFFFF"/>
            <w:vAlign w:val="center"/>
            <w:hideMark/>
          </w:tcPr>
          <w:p w14:paraId="4980DA7C"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2 </w:t>
            </w:r>
            <w:r w:rsidRPr="003D7162">
              <w:rPr>
                <w:rFonts w:ascii="Helvetica" w:eastAsia="Times New Roman" w:hAnsi="Helvetica" w:cs="Helvetica"/>
                <w:color w:val="000000"/>
                <w:sz w:val="18"/>
                <w:szCs w:val="18"/>
              </w:rPr>
              <w:t>Calculated using Cohen’s F</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to estimate effect size as ([R</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of the full model – R</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of the restricted model]/[1 - R</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of the full model]) with the restricted model excluding the variable to be evaluated (without the effect of interest) and with the random intercept variance constrained to be the same as the full model, and defined as: small effect with F</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r w:rsidRPr="003D7162">
              <w:rPr>
                <w:rFonts w:ascii="Helvetica" w:eastAsia="Calibri" w:hAnsi="Helvetica" w:cs="Helvetica"/>
                <w:color w:val="000000" w:themeColor="text1"/>
                <w:sz w:val="18"/>
                <w:szCs w:val="18"/>
                <w:lang w:val="en-GB"/>
              </w:rPr>
              <w:sym w:font="Symbol" w:char="F0B3"/>
            </w:r>
            <w:r w:rsidRPr="003D7162">
              <w:rPr>
                <w:rFonts w:ascii="Helvetica" w:eastAsia="Times New Roman" w:hAnsi="Helvetica" w:cs="Helvetica"/>
                <w:color w:val="000000"/>
                <w:sz w:val="18"/>
                <w:szCs w:val="18"/>
              </w:rPr>
              <w:t xml:space="preserve"> 0.02, medium effect with F</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r w:rsidRPr="003D7162">
              <w:rPr>
                <w:rFonts w:ascii="Helvetica" w:eastAsia="Calibri" w:hAnsi="Helvetica" w:cs="Helvetica"/>
                <w:color w:val="000000" w:themeColor="text1"/>
                <w:sz w:val="18"/>
                <w:szCs w:val="18"/>
                <w:lang w:val="en-GB"/>
              </w:rPr>
              <w:sym w:font="Symbol" w:char="F0B3"/>
            </w:r>
            <w:r w:rsidRPr="003D7162">
              <w:rPr>
                <w:rFonts w:ascii="Helvetica" w:eastAsia="Times New Roman" w:hAnsi="Helvetica" w:cs="Helvetica"/>
                <w:color w:val="000000"/>
                <w:sz w:val="18"/>
                <w:szCs w:val="18"/>
              </w:rPr>
              <w:t xml:space="preserve">  0.15, and large effect with F</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r w:rsidRPr="003D7162">
              <w:rPr>
                <w:rFonts w:ascii="Helvetica" w:eastAsia="Calibri" w:hAnsi="Helvetica" w:cs="Helvetica"/>
                <w:color w:val="000000" w:themeColor="text1"/>
                <w:sz w:val="18"/>
                <w:szCs w:val="18"/>
                <w:lang w:val="en-GB"/>
              </w:rPr>
              <w:sym w:font="Symbol" w:char="F0B3"/>
            </w:r>
            <w:r w:rsidRPr="003D7162">
              <w:rPr>
                <w:rFonts w:ascii="Helvetica" w:eastAsia="Times New Roman" w:hAnsi="Helvetica" w:cs="Helvetica"/>
                <w:color w:val="000000"/>
                <w:sz w:val="18"/>
                <w:szCs w:val="18"/>
              </w:rPr>
              <w:t xml:space="preserve"> 0.35 (Cohen J.E., 1988).</w:t>
            </w:r>
          </w:p>
        </w:tc>
      </w:tr>
      <w:tr w:rsidR="00265001" w:rsidRPr="003D7162" w14:paraId="58834541" w14:textId="77777777" w:rsidTr="00F03326">
        <w:trPr>
          <w:trHeight w:val="418"/>
        </w:trPr>
        <w:tc>
          <w:tcPr>
            <w:tcW w:w="14234" w:type="dxa"/>
            <w:gridSpan w:val="2"/>
            <w:tcBorders>
              <w:top w:val="nil"/>
              <w:left w:val="nil"/>
              <w:bottom w:val="nil"/>
              <w:right w:val="nil"/>
            </w:tcBorders>
            <w:shd w:val="clear" w:color="000000" w:fill="FFFFFF"/>
            <w:vAlign w:val="center"/>
            <w:hideMark/>
          </w:tcPr>
          <w:p w14:paraId="1BE5C355"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3 </w:t>
            </w:r>
            <w:r w:rsidRPr="003D7162">
              <w:rPr>
                <w:rFonts w:ascii="Helvetica" w:eastAsia="Times New Roman" w:hAnsi="Helvetica" w:cs="Helvetica"/>
                <w:color w:val="000000"/>
                <w:sz w:val="18"/>
                <w:szCs w:val="18"/>
              </w:rPr>
              <w:t>Calculated as ([residual variance component of null model - residual variance covariable model]/[residual variance null model]),  with the null model being (outcome and department).</w:t>
            </w:r>
          </w:p>
        </w:tc>
      </w:tr>
      <w:tr w:rsidR="00265001" w:rsidRPr="003D7162" w14:paraId="34C72D63"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3F04C35A"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4</w:t>
            </w:r>
            <w:r w:rsidRPr="003D7162">
              <w:rPr>
                <w:rFonts w:ascii="Helvetica" w:eastAsia="Times New Roman" w:hAnsi="Helvetica" w:cs="Helvetica"/>
                <w:color w:val="000000"/>
                <w:sz w:val="18"/>
                <w:szCs w:val="18"/>
              </w:rPr>
              <w:t xml:space="preserve">Comprehensive Health Insurance “Seguro Integral de Salud” (SIS, acronym in Spanish). </w:t>
            </w:r>
          </w:p>
        </w:tc>
      </w:tr>
      <w:tr w:rsidR="00265001" w:rsidRPr="003D7162" w14:paraId="1C7F9EA9" w14:textId="77777777" w:rsidTr="00F03326">
        <w:trPr>
          <w:trHeight w:val="215"/>
        </w:trPr>
        <w:tc>
          <w:tcPr>
            <w:tcW w:w="14234" w:type="dxa"/>
            <w:gridSpan w:val="2"/>
            <w:tcBorders>
              <w:top w:val="nil"/>
              <w:left w:val="nil"/>
              <w:bottom w:val="nil"/>
              <w:right w:val="nil"/>
            </w:tcBorders>
            <w:shd w:val="clear" w:color="000000" w:fill="FFFFFF"/>
            <w:vAlign w:val="center"/>
            <w:hideMark/>
          </w:tcPr>
          <w:p w14:paraId="5824F2B3"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5</w:t>
            </w:r>
            <w:r w:rsidRPr="003D7162">
              <w:rPr>
                <w:rFonts w:ascii="Helvetica" w:eastAsia="Times New Roman" w:hAnsi="Helvetica" w:cs="Helvetica"/>
                <w:color w:val="000000"/>
                <w:sz w:val="18"/>
                <w:szCs w:val="18"/>
              </w:rPr>
              <w:t>Articulated Nutrition Program (PAN, acronym in Spanish)</w:t>
            </w:r>
          </w:p>
        </w:tc>
      </w:tr>
      <w:tr w:rsidR="00265001" w:rsidRPr="003D7162" w14:paraId="1AA0EBCF" w14:textId="77777777" w:rsidTr="00F03326">
        <w:trPr>
          <w:trHeight w:val="215"/>
        </w:trPr>
        <w:tc>
          <w:tcPr>
            <w:tcW w:w="14234" w:type="dxa"/>
            <w:gridSpan w:val="2"/>
            <w:tcBorders>
              <w:top w:val="nil"/>
              <w:left w:val="nil"/>
              <w:bottom w:val="nil"/>
              <w:right w:val="nil"/>
            </w:tcBorders>
            <w:shd w:val="clear" w:color="000000" w:fill="FFFFFF"/>
            <w:vAlign w:val="center"/>
            <w:hideMark/>
          </w:tcPr>
          <w:p w14:paraId="66F686DE"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6</w:t>
            </w:r>
            <w:r w:rsidRPr="003D7162">
              <w:rPr>
                <w:rFonts w:ascii="Helvetica" w:eastAsia="Times New Roman" w:hAnsi="Helvetica" w:cs="Helvetica"/>
                <w:color w:val="000000"/>
                <w:sz w:val="18"/>
                <w:szCs w:val="18"/>
              </w:rPr>
              <w:t>Strategic Program of Maternal and Neonatal Health  (PSMN, acronym in Spanish)</w:t>
            </w:r>
          </w:p>
        </w:tc>
      </w:tr>
      <w:tr w:rsidR="00265001" w:rsidRPr="003D7162" w14:paraId="06494A52" w14:textId="77777777" w:rsidTr="00F03326">
        <w:trPr>
          <w:trHeight w:val="621"/>
        </w:trPr>
        <w:tc>
          <w:tcPr>
            <w:tcW w:w="14234" w:type="dxa"/>
            <w:gridSpan w:val="2"/>
            <w:tcBorders>
              <w:top w:val="nil"/>
              <w:left w:val="nil"/>
              <w:bottom w:val="nil"/>
              <w:right w:val="nil"/>
            </w:tcBorders>
            <w:shd w:val="clear" w:color="000000" w:fill="FFFFFF"/>
            <w:vAlign w:val="center"/>
            <w:hideMark/>
          </w:tcPr>
          <w:p w14:paraId="2A833307"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7</w:t>
            </w:r>
            <w:r w:rsidRPr="003D7162">
              <w:rPr>
                <w:rFonts w:ascii="Helvetica" w:eastAsia="Times New Roman" w:hAnsi="Helvetica" w:cs="Helvetica"/>
                <w:color w:val="000000"/>
                <w:sz w:val="18"/>
                <w:szCs w:val="18"/>
              </w:rPr>
              <w:t>Composite coverage index: Summary measure of intervention coverage along the reproductive, maternal, newborn, and child health continuum. It is a weighted mean of the coverage for interventions from 4 domains: i) reproductive services (family planning coverage), ii) maternal and newborn care (antenatal care and skilled birth attendant), iii) immunization (BCG, three doses of DPT3, and measles vaccines), and iv) management of illness (ORT and care seeking for pneumonia).</w:t>
            </w:r>
          </w:p>
        </w:tc>
      </w:tr>
      <w:tr w:rsidR="00265001" w:rsidRPr="003D7162" w14:paraId="68A133FD" w14:textId="77777777" w:rsidTr="00F03326">
        <w:trPr>
          <w:trHeight w:val="391"/>
        </w:trPr>
        <w:tc>
          <w:tcPr>
            <w:tcW w:w="14234" w:type="dxa"/>
            <w:gridSpan w:val="2"/>
            <w:tcBorders>
              <w:top w:val="nil"/>
              <w:left w:val="nil"/>
              <w:bottom w:val="nil"/>
              <w:right w:val="nil"/>
            </w:tcBorders>
            <w:shd w:val="clear" w:color="000000" w:fill="FFFFFF"/>
            <w:vAlign w:val="center"/>
            <w:hideMark/>
          </w:tcPr>
          <w:p w14:paraId="44B4D6CC"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a </w:t>
            </w:r>
            <w:r w:rsidRPr="003D7162">
              <w:rPr>
                <w:rFonts w:ascii="Helvetica" w:eastAsia="Times New Roman" w:hAnsi="Helvetica" w:cs="Helvetica"/>
                <w:color w:val="000000"/>
                <w:sz w:val="18"/>
                <w:szCs w:val="18"/>
              </w:rPr>
              <w:t>Given that we considered a two-year time lag between predictors and outcome, our units of analysis are: 360 for the full time period (24 departments x 15 years, 2000 to 2016), 192 for the pre-PAN time period (24 departments x 8 years, 2000 to 2007), and 168 for the post-PAN time period (24 departments x 7 years, 2008 to 2016).</w:t>
            </w:r>
          </w:p>
        </w:tc>
      </w:tr>
      <w:tr w:rsidR="00265001" w:rsidRPr="003D7162" w14:paraId="3C7F5104"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0B544FA0"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b </w:t>
            </w:r>
            <w:r w:rsidRPr="003D7162">
              <w:rPr>
                <w:rFonts w:ascii="Helvetica" w:eastAsia="Times New Roman" w:hAnsi="Helvetica" w:cs="Helvetica"/>
                <w:color w:val="000000"/>
                <w:sz w:val="18"/>
                <w:szCs w:val="18"/>
              </w:rPr>
              <w:t>Level 4 multivariable model includes all statistically significant (p&lt;0.1) distal variables as listed.</w:t>
            </w:r>
          </w:p>
        </w:tc>
      </w:tr>
      <w:tr w:rsidR="00265001" w:rsidRPr="003D7162" w14:paraId="5BD90E87"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7B53E083"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c </w:t>
            </w:r>
            <w:r w:rsidRPr="003D7162">
              <w:rPr>
                <w:rFonts w:ascii="Helvetica" w:eastAsia="Times New Roman" w:hAnsi="Helvetica" w:cs="Helvetica"/>
                <w:color w:val="000000"/>
                <w:sz w:val="18"/>
                <w:szCs w:val="18"/>
              </w:rPr>
              <w:t>Level 3 multivariable model includes level 4 model + all statistically significant (p&lt;0.1) intermediate I variables as listed.</w:t>
            </w:r>
          </w:p>
        </w:tc>
      </w:tr>
      <w:tr w:rsidR="00265001" w:rsidRPr="003D7162" w14:paraId="31C4058C"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310F4482"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d </w:t>
            </w:r>
            <w:r w:rsidRPr="003D7162">
              <w:rPr>
                <w:rFonts w:ascii="Helvetica" w:eastAsia="Times New Roman" w:hAnsi="Helvetica" w:cs="Helvetica"/>
                <w:color w:val="000000"/>
                <w:sz w:val="18"/>
                <w:szCs w:val="18"/>
              </w:rPr>
              <w:t>Level 2 multivariable model includes level 4 model + 3 model + all statistically significant (p&lt;0.1) intermediate II variables as listed.</w:t>
            </w:r>
          </w:p>
        </w:tc>
      </w:tr>
      <w:tr w:rsidR="00265001" w:rsidRPr="003D7162" w14:paraId="7D32C75B"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481588ED"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e </w:t>
            </w:r>
            <w:r w:rsidRPr="003D7162">
              <w:rPr>
                <w:rFonts w:ascii="Helvetica" w:eastAsia="Times New Roman" w:hAnsi="Helvetica" w:cs="Helvetica"/>
                <w:color w:val="000000"/>
                <w:sz w:val="18"/>
                <w:szCs w:val="18"/>
              </w:rPr>
              <w:t>Level 1 multivariable model includes level 4 model + 3 model + 2 model + all statistically significant (p&lt;0.1) proximal variables as listed.</w:t>
            </w:r>
          </w:p>
        </w:tc>
      </w:tr>
    </w:tbl>
    <w:p w14:paraId="2016F768" w14:textId="39A16146" w:rsidR="00265001" w:rsidRDefault="00265001" w:rsidP="00265001">
      <w:pPr>
        <w:rPr>
          <w:rFonts w:ascii="Helvetica" w:hAnsi="Helvetica" w:cs="Helvetica"/>
        </w:rPr>
      </w:pPr>
    </w:p>
    <w:p w14:paraId="7F1D843B" w14:textId="1CAAFD8F" w:rsidR="00F927D8" w:rsidRDefault="00F927D8" w:rsidP="00265001">
      <w:pPr>
        <w:rPr>
          <w:rFonts w:ascii="Helvetica" w:hAnsi="Helvetica" w:cs="Helvetica"/>
        </w:rPr>
      </w:pPr>
    </w:p>
    <w:p w14:paraId="66CE1510" w14:textId="0B0AF6E9" w:rsidR="00F927D8" w:rsidRDefault="00F927D8" w:rsidP="00265001">
      <w:pPr>
        <w:rPr>
          <w:rFonts w:ascii="Helvetica" w:hAnsi="Helvetica" w:cs="Helvetica"/>
        </w:rPr>
      </w:pPr>
    </w:p>
    <w:p w14:paraId="3EAEF1EE" w14:textId="58841485" w:rsidR="00F927D8" w:rsidRDefault="00F927D8" w:rsidP="00265001">
      <w:pPr>
        <w:rPr>
          <w:rFonts w:ascii="Helvetica" w:hAnsi="Helvetica" w:cs="Helvetica"/>
        </w:rPr>
      </w:pPr>
    </w:p>
    <w:p w14:paraId="5E142315" w14:textId="4592C4A1" w:rsidR="00F927D8" w:rsidRDefault="00F927D8" w:rsidP="00265001">
      <w:pPr>
        <w:rPr>
          <w:rFonts w:ascii="Helvetica" w:hAnsi="Helvetica" w:cs="Helvetica"/>
        </w:rPr>
      </w:pPr>
    </w:p>
    <w:p w14:paraId="2A8E32D3" w14:textId="2C40966E" w:rsidR="00F927D8" w:rsidRDefault="00F927D8" w:rsidP="00265001">
      <w:pPr>
        <w:rPr>
          <w:rFonts w:ascii="Helvetica" w:hAnsi="Helvetica" w:cs="Helvetica"/>
        </w:rPr>
      </w:pPr>
    </w:p>
    <w:p w14:paraId="44D7C244" w14:textId="24448F69" w:rsidR="00F927D8" w:rsidRDefault="00F927D8" w:rsidP="00265001">
      <w:pPr>
        <w:rPr>
          <w:rFonts w:ascii="Helvetica" w:hAnsi="Helvetica" w:cs="Helvetica"/>
        </w:rPr>
      </w:pPr>
    </w:p>
    <w:p w14:paraId="753E676A" w14:textId="76123727" w:rsidR="00F927D8" w:rsidRDefault="00F927D8" w:rsidP="00265001">
      <w:pPr>
        <w:rPr>
          <w:rFonts w:ascii="Helvetica" w:hAnsi="Helvetica" w:cs="Helvetica"/>
        </w:rPr>
      </w:pPr>
    </w:p>
    <w:p w14:paraId="33DAD7DE" w14:textId="6D982D7F" w:rsidR="00F927D8" w:rsidRDefault="00F927D8" w:rsidP="00265001">
      <w:pPr>
        <w:rPr>
          <w:rFonts w:ascii="Helvetica" w:hAnsi="Helvetica" w:cs="Helvetica"/>
        </w:rPr>
      </w:pPr>
    </w:p>
    <w:p w14:paraId="021656C7" w14:textId="2E0BCAAA" w:rsidR="00F927D8" w:rsidRDefault="00F927D8" w:rsidP="00265001">
      <w:pPr>
        <w:rPr>
          <w:rFonts w:ascii="Helvetica" w:hAnsi="Helvetica" w:cs="Helvetica"/>
        </w:rPr>
      </w:pPr>
    </w:p>
    <w:p w14:paraId="156AA258" w14:textId="36E2D87F" w:rsidR="00F927D8" w:rsidRDefault="00F927D8" w:rsidP="00265001">
      <w:pPr>
        <w:rPr>
          <w:rFonts w:ascii="Helvetica" w:hAnsi="Helvetica" w:cs="Helvetica"/>
        </w:rPr>
      </w:pPr>
    </w:p>
    <w:p w14:paraId="37984166" w14:textId="6711C7E9" w:rsidR="00F927D8" w:rsidRDefault="00F927D8" w:rsidP="00265001">
      <w:pPr>
        <w:rPr>
          <w:rFonts w:ascii="Helvetica" w:hAnsi="Helvetica" w:cs="Helvetica"/>
        </w:rPr>
      </w:pPr>
    </w:p>
    <w:p w14:paraId="302F1807" w14:textId="19B98AFA" w:rsidR="00F927D8" w:rsidRDefault="00F927D8" w:rsidP="00265001">
      <w:pPr>
        <w:rPr>
          <w:rFonts w:ascii="Helvetica" w:hAnsi="Helvetica" w:cs="Helvetica"/>
        </w:rPr>
      </w:pPr>
    </w:p>
    <w:p w14:paraId="7E1568C4" w14:textId="16612024" w:rsidR="00F927D8" w:rsidRDefault="00F927D8" w:rsidP="00265001">
      <w:pPr>
        <w:rPr>
          <w:rFonts w:ascii="Helvetica" w:hAnsi="Helvetica" w:cs="Helvetica"/>
        </w:rPr>
      </w:pPr>
    </w:p>
    <w:p w14:paraId="271ABF26" w14:textId="4823E5E0" w:rsidR="00F927D8" w:rsidRDefault="00F927D8" w:rsidP="00265001">
      <w:pPr>
        <w:rPr>
          <w:rFonts w:ascii="Helvetica" w:hAnsi="Helvetica" w:cs="Helvetica"/>
        </w:rPr>
      </w:pPr>
    </w:p>
    <w:p w14:paraId="2436B0BF" w14:textId="61275837" w:rsidR="00F927D8" w:rsidRDefault="00F927D8" w:rsidP="00265001">
      <w:pPr>
        <w:rPr>
          <w:rFonts w:ascii="Helvetica" w:hAnsi="Helvetica" w:cs="Helvetica"/>
        </w:rPr>
      </w:pPr>
    </w:p>
    <w:p w14:paraId="3D702519" w14:textId="124C183C" w:rsidR="00F927D8" w:rsidRDefault="00F927D8" w:rsidP="00265001">
      <w:pPr>
        <w:rPr>
          <w:rFonts w:ascii="Helvetica" w:hAnsi="Helvetica" w:cs="Helvetica"/>
        </w:rPr>
      </w:pPr>
    </w:p>
    <w:p w14:paraId="0C4A7BB5" w14:textId="2078944A" w:rsidR="00F927D8" w:rsidRDefault="00F927D8" w:rsidP="00265001">
      <w:pPr>
        <w:rPr>
          <w:rFonts w:ascii="Helvetica" w:hAnsi="Helvetica" w:cs="Helvetica"/>
        </w:rPr>
      </w:pPr>
    </w:p>
    <w:p w14:paraId="4CDDA3F0" w14:textId="77777777" w:rsidR="00F927D8" w:rsidRPr="003D7162" w:rsidRDefault="00F927D8" w:rsidP="00265001">
      <w:pPr>
        <w:rPr>
          <w:rFonts w:ascii="Helvetica" w:hAnsi="Helvetica" w:cs="Helvetica"/>
        </w:rPr>
      </w:pPr>
    </w:p>
    <w:p w14:paraId="2C1E024F" w14:textId="77777777" w:rsidR="00265001" w:rsidRPr="003D7162" w:rsidRDefault="00265001" w:rsidP="00265001">
      <w:pPr>
        <w:rPr>
          <w:rFonts w:ascii="Helvetica" w:hAnsi="Helvetica" w:cs="Helvetica"/>
        </w:rPr>
      </w:pPr>
    </w:p>
    <w:p w14:paraId="6FD55548" w14:textId="2A221A71" w:rsidR="004F3CF2" w:rsidRDefault="004F3CF2" w:rsidP="004F3CF2">
      <w:pPr>
        <w:pStyle w:val="Heading2"/>
        <w:rPr>
          <w:rFonts w:cs="Helvetica"/>
          <w:szCs w:val="24"/>
        </w:rPr>
      </w:pPr>
      <w:bookmarkStart w:id="41" w:name="_Toc40953330"/>
      <w:r>
        <w:rPr>
          <w:rFonts w:cs="Helvetica"/>
          <w:b/>
          <w:szCs w:val="24"/>
        </w:rPr>
        <w:t xml:space="preserve">Supplementary </w:t>
      </w:r>
      <w:r w:rsidRPr="003D7162">
        <w:rPr>
          <w:rFonts w:cs="Helvetica"/>
          <w:b/>
          <w:szCs w:val="24"/>
        </w:rPr>
        <w:t xml:space="preserve">Appendix </w:t>
      </w:r>
      <w:r>
        <w:rPr>
          <w:rFonts w:cs="Helvetica"/>
          <w:b/>
          <w:szCs w:val="24"/>
        </w:rPr>
        <w:t>Table</w:t>
      </w:r>
      <w:r w:rsidRPr="003D7162">
        <w:rPr>
          <w:rFonts w:cs="Helvetica"/>
          <w:b/>
          <w:szCs w:val="24"/>
        </w:rPr>
        <w:t xml:space="preserve"> </w:t>
      </w:r>
      <w:r>
        <w:rPr>
          <w:rFonts w:cs="Helvetica"/>
          <w:b/>
          <w:szCs w:val="24"/>
        </w:rPr>
        <w:t>12</w:t>
      </w:r>
      <w:r w:rsidRPr="003D7162">
        <w:rPr>
          <w:rFonts w:cs="Helvetica"/>
          <w:b/>
          <w:szCs w:val="24"/>
        </w:rPr>
        <w:t>:</w:t>
      </w:r>
      <w:r w:rsidRPr="003D7162">
        <w:rPr>
          <w:rFonts w:cs="Helvetica"/>
          <w:szCs w:val="24"/>
        </w:rPr>
        <w:t xml:space="preserve"> </w:t>
      </w:r>
      <w:r w:rsidRPr="004F3CF2">
        <w:rPr>
          <w:rFonts w:cs="Helvetica"/>
        </w:rPr>
        <w:t xml:space="preserve">Multilevel linear models for </w:t>
      </w:r>
      <w:r w:rsidR="00265001">
        <w:rPr>
          <w:rFonts w:cs="Helvetica"/>
        </w:rPr>
        <w:t xml:space="preserve">under-5 </w:t>
      </w:r>
      <w:r w:rsidRPr="004F3CF2">
        <w:rPr>
          <w:rFonts w:cs="Helvetica"/>
        </w:rPr>
        <w:t>stunting prevalence (2 years’ time-lag), period 2000-2007</w:t>
      </w:r>
      <w:bookmarkEnd w:id="41"/>
    </w:p>
    <w:p w14:paraId="3C907ACB" w14:textId="0EBC3090" w:rsidR="004F3CF2" w:rsidRDefault="004F3CF2" w:rsidP="004F3CF2">
      <w:pPr>
        <w:rPr>
          <w:rFonts w:ascii="Helvetica" w:hAnsi="Helvetica" w:cs="Helvetica"/>
          <w:i/>
        </w:rPr>
      </w:pPr>
      <w:r w:rsidRPr="004F3CF2">
        <w:rPr>
          <w:rFonts w:ascii="Helvetica" w:hAnsi="Helvetica" w:cs="Helvetica"/>
          <w:i/>
        </w:rPr>
        <w:t>*factors statistically significant at p&lt;0.05 are highlighted in red</w:t>
      </w:r>
    </w:p>
    <w:p w14:paraId="649FB1A4" w14:textId="77777777" w:rsidR="00265001" w:rsidRPr="004F3CF2" w:rsidRDefault="00265001" w:rsidP="004F3CF2">
      <w:pPr>
        <w:rPr>
          <w:rFonts w:ascii="Helvetica" w:hAnsi="Helvetica" w:cs="Helvetica"/>
        </w:rPr>
      </w:pPr>
    </w:p>
    <w:tbl>
      <w:tblPr>
        <w:tblW w:w="9730" w:type="dxa"/>
        <w:tblLook w:val="04A0" w:firstRow="1" w:lastRow="0" w:firstColumn="1" w:lastColumn="0" w:noHBand="0" w:noVBand="1"/>
      </w:tblPr>
      <w:tblGrid>
        <w:gridCol w:w="4104"/>
        <w:gridCol w:w="272"/>
        <w:gridCol w:w="2540"/>
        <w:gridCol w:w="272"/>
        <w:gridCol w:w="2542"/>
      </w:tblGrid>
      <w:tr w:rsidR="004F3CF2" w:rsidRPr="004F3CF2" w14:paraId="02296364" w14:textId="77777777" w:rsidTr="00281F74">
        <w:trPr>
          <w:trHeight w:val="292"/>
        </w:trPr>
        <w:tc>
          <w:tcPr>
            <w:tcW w:w="4108" w:type="dxa"/>
            <w:vMerge w:val="restart"/>
            <w:tcBorders>
              <w:top w:val="single" w:sz="8" w:space="0" w:color="auto"/>
              <w:left w:val="single" w:sz="8" w:space="0" w:color="auto"/>
              <w:bottom w:val="single" w:sz="8" w:space="0" w:color="000000"/>
              <w:right w:val="single" w:sz="8" w:space="0" w:color="auto"/>
            </w:tcBorders>
            <w:shd w:val="clear" w:color="000000" w:fill="808080"/>
            <w:vAlign w:val="center"/>
            <w:hideMark/>
          </w:tcPr>
          <w:p w14:paraId="0DC3A41A"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Domain/Indicator</w:t>
            </w:r>
          </w:p>
        </w:tc>
        <w:tc>
          <w:tcPr>
            <w:tcW w:w="5622" w:type="dxa"/>
            <w:gridSpan w:val="4"/>
            <w:tcBorders>
              <w:top w:val="single" w:sz="8" w:space="0" w:color="auto"/>
              <w:left w:val="nil"/>
              <w:bottom w:val="nil"/>
              <w:right w:val="single" w:sz="8" w:space="0" w:color="000000"/>
            </w:tcBorders>
            <w:shd w:val="clear" w:color="000000" w:fill="808080"/>
            <w:vAlign w:val="center"/>
            <w:hideMark/>
          </w:tcPr>
          <w:p w14:paraId="257B3192"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Outcome = Stunting</w:t>
            </w:r>
          </w:p>
        </w:tc>
      </w:tr>
      <w:tr w:rsidR="004F3CF2" w:rsidRPr="004F3CF2" w14:paraId="176B2F3E"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08D6B365"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5621" w:type="dxa"/>
            <w:gridSpan w:val="4"/>
            <w:tcBorders>
              <w:top w:val="nil"/>
              <w:left w:val="nil"/>
              <w:bottom w:val="single" w:sz="8" w:space="0" w:color="auto"/>
              <w:right w:val="single" w:sz="8" w:space="0" w:color="000000"/>
            </w:tcBorders>
            <w:shd w:val="clear" w:color="000000" w:fill="808080"/>
            <w:vAlign w:val="center"/>
            <w:hideMark/>
          </w:tcPr>
          <w:p w14:paraId="2FACE8C9"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(Percentage of stunting among under-5 children</w:t>
            </w:r>
            <w:r w:rsidRPr="00265001">
              <w:rPr>
                <w:rFonts w:ascii="Helvetica" w:eastAsia="Times New Roman" w:hAnsi="Helvetica" w:cs="Helvetica"/>
                <w:b/>
                <w:bCs/>
                <w:color w:val="FFFFFF"/>
                <w:sz w:val="20"/>
                <w:szCs w:val="20"/>
                <w:vertAlign w:val="superscript"/>
                <w:lang w:val="en-CA" w:eastAsia="en-CA"/>
              </w:rPr>
              <w:t>1</w:t>
            </w:r>
            <w:r w:rsidRPr="00265001">
              <w:rPr>
                <w:rFonts w:ascii="Helvetica" w:eastAsia="Times New Roman" w:hAnsi="Helvetica" w:cs="Helvetica"/>
                <w:b/>
                <w:bCs/>
                <w:color w:val="FFFFFF"/>
                <w:sz w:val="20"/>
                <w:szCs w:val="20"/>
                <w:lang w:val="en-CA" w:eastAsia="en-CA"/>
              </w:rPr>
              <w:t>)</w:t>
            </w:r>
          </w:p>
        </w:tc>
      </w:tr>
      <w:tr w:rsidR="004F3CF2" w:rsidRPr="004F3CF2" w14:paraId="11970376"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06002C04"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5621" w:type="dxa"/>
            <w:gridSpan w:val="4"/>
            <w:tcBorders>
              <w:top w:val="single" w:sz="8" w:space="0" w:color="auto"/>
              <w:left w:val="nil"/>
              <w:bottom w:val="single" w:sz="8" w:space="0" w:color="auto"/>
              <w:right w:val="single" w:sz="8" w:space="0" w:color="000000"/>
            </w:tcBorders>
            <w:shd w:val="clear" w:color="000000" w:fill="808080"/>
            <w:vAlign w:val="center"/>
            <w:hideMark/>
          </w:tcPr>
          <w:p w14:paraId="4FA5400D"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Period 2000-2007</w:t>
            </w:r>
            <w:r w:rsidRPr="00265001">
              <w:rPr>
                <w:rFonts w:ascii="Helvetica" w:eastAsia="Times New Roman" w:hAnsi="Helvetica" w:cs="Helvetica"/>
                <w:b/>
                <w:bCs/>
                <w:color w:val="FFFFFF"/>
                <w:sz w:val="20"/>
                <w:szCs w:val="20"/>
                <w:vertAlign w:val="superscript"/>
                <w:lang w:val="en-CA" w:eastAsia="en-CA"/>
              </w:rPr>
              <w:t>a</w:t>
            </w:r>
          </w:p>
        </w:tc>
      </w:tr>
      <w:tr w:rsidR="004F3CF2" w:rsidRPr="004F3CF2" w14:paraId="35B720D4"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696C81A8"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0" w:type="dxa"/>
            <w:gridSpan w:val="2"/>
            <w:vMerge w:val="restart"/>
            <w:tcBorders>
              <w:top w:val="single" w:sz="8" w:space="0" w:color="auto"/>
              <w:left w:val="single" w:sz="8" w:space="0" w:color="auto"/>
              <w:bottom w:val="single" w:sz="8" w:space="0" w:color="000000"/>
              <w:right w:val="single" w:sz="8" w:space="0" w:color="000000"/>
            </w:tcBorders>
            <w:shd w:val="clear" w:color="000000" w:fill="808080"/>
            <w:vAlign w:val="center"/>
            <w:hideMark/>
          </w:tcPr>
          <w:p w14:paraId="02B7084A"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Time-adjusted regression coefficient</w:t>
            </w:r>
          </w:p>
        </w:tc>
        <w:tc>
          <w:tcPr>
            <w:tcW w:w="2811" w:type="dxa"/>
            <w:gridSpan w:val="2"/>
            <w:tcBorders>
              <w:top w:val="single" w:sz="8" w:space="0" w:color="auto"/>
              <w:left w:val="nil"/>
              <w:bottom w:val="nil"/>
              <w:right w:val="single" w:sz="8" w:space="0" w:color="000000"/>
            </w:tcBorders>
            <w:shd w:val="clear" w:color="000000" w:fill="808080"/>
            <w:vAlign w:val="center"/>
            <w:hideMark/>
          </w:tcPr>
          <w:p w14:paraId="42C5B4D5"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 and confounder-adjusted</w:t>
            </w:r>
            <w:r w:rsidRPr="00265001">
              <w:rPr>
                <w:rFonts w:ascii="Helvetica" w:eastAsia="Times New Roman" w:hAnsi="Helvetica" w:cs="Helvetica"/>
                <w:b/>
                <w:bCs/>
                <w:color w:val="FFFFFF"/>
                <w:sz w:val="20"/>
                <w:szCs w:val="20"/>
                <w:vertAlign w:val="superscript"/>
                <w:lang w:val="en-CA" w:eastAsia="en-CA"/>
              </w:rPr>
              <w:t>1</w:t>
            </w:r>
          </w:p>
        </w:tc>
      </w:tr>
      <w:tr w:rsidR="004F3CF2" w:rsidRPr="004F3CF2" w14:paraId="3D987257"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4D734081"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0" w:type="dxa"/>
            <w:gridSpan w:val="2"/>
            <w:vMerge/>
            <w:tcBorders>
              <w:top w:val="single" w:sz="8" w:space="0" w:color="auto"/>
              <w:left w:val="single" w:sz="8" w:space="0" w:color="auto"/>
              <w:bottom w:val="single" w:sz="8" w:space="0" w:color="000000"/>
              <w:right w:val="single" w:sz="8" w:space="0" w:color="000000"/>
            </w:tcBorders>
            <w:vAlign w:val="center"/>
            <w:hideMark/>
          </w:tcPr>
          <w:p w14:paraId="597E6662"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1" w:type="dxa"/>
            <w:gridSpan w:val="2"/>
            <w:tcBorders>
              <w:top w:val="nil"/>
              <w:left w:val="nil"/>
              <w:bottom w:val="single" w:sz="8" w:space="0" w:color="auto"/>
              <w:right w:val="single" w:sz="8" w:space="0" w:color="000000"/>
            </w:tcBorders>
            <w:shd w:val="clear" w:color="000000" w:fill="808080"/>
            <w:vAlign w:val="center"/>
            <w:hideMark/>
          </w:tcPr>
          <w:p w14:paraId="612AAF6A"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regression coefficient</w:t>
            </w:r>
          </w:p>
        </w:tc>
      </w:tr>
      <w:tr w:rsidR="004F3CF2" w:rsidRPr="004F3CF2" w14:paraId="1C42A012"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1C673E9C"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val="restart"/>
            <w:tcBorders>
              <w:top w:val="nil"/>
              <w:left w:val="single" w:sz="8" w:space="0" w:color="auto"/>
              <w:bottom w:val="single" w:sz="8" w:space="0" w:color="000000"/>
              <w:right w:val="nil"/>
            </w:tcBorders>
            <w:shd w:val="clear" w:color="000000" w:fill="808080"/>
            <w:vAlign w:val="center"/>
            <w:hideMark/>
          </w:tcPr>
          <w:p w14:paraId="3FD9B9B1"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41" w:type="dxa"/>
            <w:tcBorders>
              <w:top w:val="nil"/>
              <w:left w:val="nil"/>
              <w:bottom w:val="nil"/>
              <w:right w:val="single" w:sz="8" w:space="0" w:color="auto"/>
            </w:tcBorders>
            <w:shd w:val="clear" w:color="000000" w:fill="808080"/>
            <w:vAlign w:val="center"/>
            <w:hideMark/>
          </w:tcPr>
          <w:p w14:paraId="1EB59F08"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b estimate (95% CI)</w:t>
            </w:r>
          </w:p>
        </w:tc>
        <w:tc>
          <w:tcPr>
            <w:tcW w:w="268" w:type="dxa"/>
            <w:vMerge w:val="restart"/>
            <w:tcBorders>
              <w:top w:val="nil"/>
              <w:left w:val="single" w:sz="8" w:space="0" w:color="auto"/>
              <w:bottom w:val="single" w:sz="8" w:space="0" w:color="000000"/>
              <w:right w:val="nil"/>
            </w:tcBorders>
            <w:shd w:val="clear" w:color="000000" w:fill="808080"/>
            <w:vAlign w:val="center"/>
            <w:hideMark/>
          </w:tcPr>
          <w:p w14:paraId="38A2C6AE"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42" w:type="dxa"/>
            <w:tcBorders>
              <w:top w:val="nil"/>
              <w:left w:val="nil"/>
              <w:bottom w:val="nil"/>
              <w:right w:val="single" w:sz="8" w:space="0" w:color="auto"/>
            </w:tcBorders>
            <w:shd w:val="clear" w:color="000000" w:fill="808080"/>
            <w:vAlign w:val="center"/>
            <w:hideMark/>
          </w:tcPr>
          <w:p w14:paraId="57ACD3B5"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xml:space="preserve">b estimate (95% CI) </w:t>
            </w:r>
          </w:p>
        </w:tc>
      </w:tr>
      <w:tr w:rsidR="004F3CF2" w:rsidRPr="004F3CF2" w14:paraId="307D5FE6"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430399CC"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tcBorders>
              <w:top w:val="nil"/>
              <w:left w:val="single" w:sz="8" w:space="0" w:color="auto"/>
              <w:bottom w:val="single" w:sz="8" w:space="0" w:color="000000"/>
              <w:right w:val="nil"/>
            </w:tcBorders>
            <w:vAlign w:val="center"/>
            <w:hideMark/>
          </w:tcPr>
          <w:p w14:paraId="7C2FF6FB"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1" w:type="dxa"/>
            <w:tcBorders>
              <w:top w:val="nil"/>
              <w:left w:val="nil"/>
              <w:bottom w:val="nil"/>
              <w:right w:val="single" w:sz="8" w:space="0" w:color="auto"/>
            </w:tcBorders>
            <w:shd w:val="clear" w:color="000000" w:fill="808080"/>
            <w:vAlign w:val="center"/>
            <w:hideMark/>
          </w:tcPr>
          <w:p w14:paraId="5722ED26" w14:textId="77777777" w:rsidR="004F3CF2" w:rsidRPr="00265001" w:rsidRDefault="004F3CF2" w:rsidP="00281F74">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c>
          <w:tcPr>
            <w:tcW w:w="268" w:type="dxa"/>
            <w:vMerge/>
            <w:tcBorders>
              <w:top w:val="nil"/>
              <w:left w:val="single" w:sz="8" w:space="0" w:color="auto"/>
              <w:bottom w:val="single" w:sz="8" w:space="0" w:color="000000"/>
              <w:right w:val="nil"/>
            </w:tcBorders>
            <w:vAlign w:val="center"/>
            <w:hideMark/>
          </w:tcPr>
          <w:p w14:paraId="71F0AF48"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2" w:type="dxa"/>
            <w:tcBorders>
              <w:top w:val="nil"/>
              <w:left w:val="nil"/>
              <w:bottom w:val="nil"/>
              <w:right w:val="single" w:sz="8" w:space="0" w:color="auto"/>
            </w:tcBorders>
            <w:shd w:val="clear" w:color="000000" w:fill="808080"/>
            <w:vAlign w:val="center"/>
            <w:hideMark/>
          </w:tcPr>
          <w:p w14:paraId="39814D40" w14:textId="77777777" w:rsidR="004F3CF2" w:rsidRPr="00265001" w:rsidRDefault="004F3CF2" w:rsidP="00281F74">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r>
      <w:tr w:rsidR="004F3CF2" w:rsidRPr="004F3CF2" w14:paraId="5D31FF7C"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54D4D79D"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tcBorders>
              <w:top w:val="nil"/>
              <w:left w:val="single" w:sz="8" w:space="0" w:color="auto"/>
              <w:bottom w:val="single" w:sz="8" w:space="0" w:color="000000"/>
              <w:right w:val="nil"/>
            </w:tcBorders>
            <w:vAlign w:val="center"/>
            <w:hideMark/>
          </w:tcPr>
          <w:p w14:paraId="046092CE"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1" w:type="dxa"/>
            <w:tcBorders>
              <w:top w:val="nil"/>
              <w:left w:val="nil"/>
              <w:bottom w:val="single" w:sz="8" w:space="0" w:color="auto"/>
              <w:right w:val="single" w:sz="8" w:space="0" w:color="auto"/>
            </w:tcBorders>
            <w:shd w:val="clear" w:color="000000" w:fill="808080"/>
            <w:vAlign w:val="center"/>
            <w:hideMark/>
          </w:tcPr>
          <w:p w14:paraId="07ECAA7A"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68" w:type="dxa"/>
            <w:vMerge/>
            <w:tcBorders>
              <w:top w:val="nil"/>
              <w:left w:val="single" w:sz="8" w:space="0" w:color="auto"/>
              <w:bottom w:val="single" w:sz="8" w:space="0" w:color="000000"/>
              <w:right w:val="nil"/>
            </w:tcBorders>
            <w:vAlign w:val="center"/>
            <w:hideMark/>
          </w:tcPr>
          <w:p w14:paraId="1D54C24B"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2" w:type="dxa"/>
            <w:tcBorders>
              <w:top w:val="nil"/>
              <w:left w:val="nil"/>
              <w:bottom w:val="single" w:sz="8" w:space="0" w:color="auto"/>
              <w:right w:val="single" w:sz="8" w:space="0" w:color="auto"/>
            </w:tcBorders>
            <w:shd w:val="clear" w:color="000000" w:fill="808080"/>
            <w:vAlign w:val="center"/>
            <w:hideMark/>
          </w:tcPr>
          <w:p w14:paraId="57AE8505"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Effect size</w:t>
            </w:r>
            <w:r w:rsidRPr="00265001">
              <w:rPr>
                <w:rFonts w:ascii="Helvetica" w:eastAsia="Times New Roman" w:hAnsi="Helvetica" w:cs="Helvetica"/>
                <w:color w:val="FFFFFF"/>
                <w:sz w:val="20"/>
                <w:szCs w:val="20"/>
                <w:vertAlign w:val="superscript"/>
                <w:lang w:val="en-CA" w:eastAsia="en-CA"/>
              </w:rPr>
              <w:t>2</w:t>
            </w:r>
          </w:p>
        </w:tc>
      </w:tr>
      <w:tr w:rsidR="004F3CF2" w:rsidRPr="004F3CF2" w14:paraId="7812D062"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62231CC0"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4 Model - Distal: National level &amp; Macro variables</w:t>
            </w:r>
            <w:r w:rsidRPr="00265001">
              <w:rPr>
                <w:rFonts w:ascii="Helvetica" w:eastAsia="Times New Roman" w:hAnsi="Helvetica" w:cs="Helvetica"/>
                <w:b/>
                <w:bCs/>
                <w:color w:val="FFFFFF"/>
                <w:sz w:val="20"/>
                <w:szCs w:val="20"/>
                <w:vertAlign w:val="superscript"/>
                <w:lang w:val="en-CA" w:eastAsia="en-CA"/>
              </w:rPr>
              <w:t>b</w:t>
            </w:r>
          </w:p>
        </w:tc>
      </w:tr>
      <w:tr w:rsidR="004F3CF2" w:rsidRPr="004F3CF2" w14:paraId="67285A95"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04D12941"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Basic causes &amp; Income poverty</w:t>
            </w:r>
          </w:p>
        </w:tc>
      </w:tr>
      <w:tr w:rsidR="004F3CF2" w:rsidRPr="004F3CF2" w14:paraId="6B8629C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227FA4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Log Gross domestic product (GDP) per capita</w:t>
            </w:r>
          </w:p>
        </w:tc>
        <w:tc>
          <w:tcPr>
            <w:tcW w:w="268" w:type="dxa"/>
            <w:tcBorders>
              <w:top w:val="nil"/>
              <w:left w:val="nil"/>
              <w:bottom w:val="nil"/>
              <w:right w:val="nil"/>
            </w:tcBorders>
            <w:shd w:val="clear" w:color="000000" w:fill="FFFFFF"/>
            <w:vAlign w:val="center"/>
            <w:hideMark/>
          </w:tcPr>
          <w:p w14:paraId="22B8F16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C10AE3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-2.861 (-5.336;-0.385)</w:t>
            </w:r>
          </w:p>
        </w:tc>
        <w:tc>
          <w:tcPr>
            <w:tcW w:w="268" w:type="dxa"/>
            <w:tcBorders>
              <w:top w:val="nil"/>
              <w:left w:val="single" w:sz="8" w:space="0" w:color="auto"/>
              <w:bottom w:val="nil"/>
              <w:right w:val="nil"/>
            </w:tcBorders>
            <w:shd w:val="clear" w:color="000000" w:fill="FFFFFF"/>
            <w:vAlign w:val="center"/>
            <w:hideMark/>
          </w:tcPr>
          <w:p w14:paraId="16F8529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F863AA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-3.173 (-6.210;-0.136)</w:t>
            </w:r>
          </w:p>
        </w:tc>
      </w:tr>
      <w:tr w:rsidR="004F3CF2" w:rsidRPr="004F3CF2" w14:paraId="7518588D"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14FCDDA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43D12CC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AAEF26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0.024</w:t>
            </w:r>
          </w:p>
        </w:tc>
        <w:tc>
          <w:tcPr>
            <w:tcW w:w="268" w:type="dxa"/>
            <w:tcBorders>
              <w:top w:val="nil"/>
              <w:left w:val="single" w:sz="8" w:space="0" w:color="auto"/>
              <w:bottom w:val="nil"/>
              <w:right w:val="nil"/>
            </w:tcBorders>
            <w:shd w:val="clear" w:color="000000" w:fill="FFFFFF"/>
            <w:vAlign w:val="center"/>
            <w:hideMark/>
          </w:tcPr>
          <w:p w14:paraId="34974BA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B3D98B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w:t>
            </w:r>
          </w:p>
        </w:tc>
      </w:tr>
      <w:tr w:rsidR="004F3CF2" w:rsidRPr="004F3CF2" w14:paraId="36DB5F2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20A22A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9DFCC8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9B59CC0"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74B3F7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6CCE067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w:t>
            </w:r>
          </w:p>
        </w:tc>
      </w:tr>
      <w:tr w:rsidR="004F3CF2" w:rsidRPr="004F3CF2" w14:paraId="7A488E0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8DDECC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Poverty line </w:t>
            </w:r>
          </w:p>
        </w:tc>
        <w:tc>
          <w:tcPr>
            <w:tcW w:w="268" w:type="dxa"/>
            <w:tcBorders>
              <w:top w:val="nil"/>
              <w:left w:val="nil"/>
              <w:bottom w:val="nil"/>
              <w:right w:val="nil"/>
            </w:tcBorders>
            <w:shd w:val="clear" w:color="000000" w:fill="FFFFFF"/>
            <w:vAlign w:val="center"/>
            <w:hideMark/>
          </w:tcPr>
          <w:p w14:paraId="14D15C1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EC5E6D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0.129 (0.031;0.226)</w:t>
            </w:r>
          </w:p>
        </w:tc>
        <w:tc>
          <w:tcPr>
            <w:tcW w:w="268" w:type="dxa"/>
            <w:tcBorders>
              <w:top w:val="nil"/>
              <w:left w:val="single" w:sz="8" w:space="0" w:color="auto"/>
              <w:bottom w:val="nil"/>
              <w:right w:val="nil"/>
            </w:tcBorders>
            <w:shd w:val="clear" w:color="000000" w:fill="FFFFFF"/>
            <w:vAlign w:val="center"/>
            <w:hideMark/>
          </w:tcPr>
          <w:p w14:paraId="4935D12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0A6639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0.158 (0.056;0.260)</w:t>
            </w:r>
          </w:p>
        </w:tc>
      </w:tr>
      <w:tr w:rsidR="004F3CF2" w:rsidRPr="004F3CF2" w14:paraId="2DE80409"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4C7E408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families below)</w:t>
            </w:r>
          </w:p>
        </w:tc>
        <w:tc>
          <w:tcPr>
            <w:tcW w:w="268" w:type="dxa"/>
            <w:tcBorders>
              <w:top w:val="nil"/>
              <w:left w:val="nil"/>
              <w:bottom w:val="nil"/>
              <w:right w:val="nil"/>
            </w:tcBorders>
            <w:shd w:val="clear" w:color="000000" w:fill="FFFFFF"/>
            <w:vAlign w:val="center"/>
            <w:hideMark/>
          </w:tcPr>
          <w:p w14:paraId="227EFAC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C67557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w:t>
            </w:r>
          </w:p>
        </w:tc>
        <w:tc>
          <w:tcPr>
            <w:tcW w:w="268" w:type="dxa"/>
            <w:tcBorders>
              <w:top w:val="nil"/>
              <w:left w:val="single" w:sz="8" w:space="0" w:color="auto"/>
              <w:bottom w:val="nil"/>
              <w:right w:val="nil"/>
            </w:tcBorders>
            <w:shd w:val="clear" w:color="000000" w:fill="FFFFFF"/>
            <w:vAlign w:val="center"/>
            <w:hideMark/>
          </w:tcPr>
          <w:p w14:paraId="2345D64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939150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0.002</w:t>
            </w:r>
          </w:p>
        </w:tc>
      </w:tr>
      <w:tr w:rsidR="004F3CF2" w:rsidRPr="004F3CF2" w14:paraId="325FD1C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8EF8EF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94D18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7DB13D1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13807DD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43691BE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0.05</w:t>
            </w:r>
          </w:p>
        </w:tc>
      </w:tr>
      <w:tr w:rsidR="004F3CF2" w:rsidRPr="004F3CF2" w14:paraId="72194C39"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1003C0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Gini coefficient for income</w:t>
            </w:r>
          </w:p>
          <w:p w14:paraId="210BA5D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 (perfect equality) – 1 (perfect inequality)</w:t>
            </w:r>
          </w:p>
        </w:tc>
        <w:tc>
          <w:tcPr>
            <w:tcW w:w="268" w:type="dxa"/>
            <w:tcBorders>
              <w:top w:val="nil"/>
              <w:left w:val="nil"/>
              <w:bottom w:val="nil"/>
              <w:right w:val="nil"/>
            </w:tcBorders>
            <w:shd w:val="clear" w:color="000000" w:fill="FFFFFF"/>
            <w:vAlign w:val="center"/>
            <w:hideMark/>
          </w:tcPr>
          <w:p w14:paraId="56E720D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BE4E2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-0.046 (-0.414;0.322)</w:t>
            </w:r>
          </w:p>
        </w:tc>
        <w:tc>
          <w:tcPr>
            <w:tcW w:w="268" w:type="dxa"/>
            <w:tcBorders>
              <w:top w:val="nil"/>
              <w:left w:val="single" w:sz="8" w:space="0" w:color="auto"/>
              <w:bottom w:val="nil"/>
              <w:right w:val="nil"/>
            </w:tcBorders>
            <w:shd w:val="clear" w:color="000000" w:fill="FFFFFF"/>
            <w:vAlign w:val="center"/>
            <w:hideMark/>
          </w:tcPr>
          <w:p w14:paraId="16C1F5A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9F9E02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r>
      <w:tr w:rsidR="004F3CF2" w:rsidRPr="004F3CF2" w14:paraId="3A8D79D3"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4F8E23E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1B048F9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904731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0.807</w:t>
            </w:r>
          </w:p>
        </w:tc>
        <w:tc>
          <w:tcPr>
            <w:tcW w:w="268" w:type="dxa"/>
            <w:tcBorders>
              <w:top w:val="nil"/>
              <w:left w:val="single" w:sz="8" w:space="0" w:color="auto"/>
              <w:bottom w:val="nil"/>
              <w:right w:val="nil"/>
            </w:tcBorders>
            <w:shd w:val="clear" w:color="000000" w:fill="FFFFFF"/>
            <w:vAlign w:val="center"/>
            <w:hideMark/>
          </w:tcPr>
          <w:p w14:paraId="5ABEE7E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8D47B5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r>
      <w:tr w:rsidR="004F3CF2" w:rsidRPr="004F3CF2" w14:paraId="3211D258"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08761B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4BD00C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21D299F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27699F3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A0E4FA3"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r>
      <w:tr w:rsidR="004F3CF2" w:rsidRPr="004F3CF2" w14:paraId="5CA2BBD8"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70BF414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years of schooling among</w:t>
            </w:r>
          </w:p>
        </w:tc>
        <w:tc>
          <w:tcPr>
            <w:tcW w:w="268" w:type="dxa"/>
            <w:tcBorders>
              <w:top w:val="nil"/>
              <w:left w:val="nil"/>
              <w:bottom w:val="nil"/>
              <w:right w:val="nil"/>
            </w:tcBorders>
            <w:shd w:val="clear" w:color="000000" w:fill="FFFFFF"/>
            <w:vAlign w:val="center"/>
            <w:hideMark/>
          </w:tcPr>
          <w:p w14:paraId="7438FD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96E027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-2.201 (-3.233;-1.169)</w:t>
            </w:r>
          </w:p>
        </w:tc>
        <w:tc>
          <w:tcPr>
            <w:tcW w:w="268" w:type="dxa"/>
            <w:tcBorders>
              <w:top w:val="nil"/>
              <w:left w:val="single" w:sz="8" w:space="0" w:color="auto"/>
              <w:bottom w:val="nil"/>
              <w:right w:val="nil"/>
            </w:tcBorders>
            <w:shd w:val="clear" w:color="000000" w:fill="FFFFFF"/>
            <w:vAlign w:val="center"/>
            <w:hideMark/>
          </w:tcPr>
          <w:p w14:paraId="1C62148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79B9814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-2.082 (-3.141;-1.022)</w:t>
            </w:r>
          </w:p>
        </w:tc>
      </w:tr>
      <w:tr w:rsidR="004F3CF2" w:rsidRPr="004F3CF2" w14:paraId="33E31D1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A0D28F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women 15 years or older</w:t>
            </w:r>
          </w:p>
        </w:tc>
        <w:tc>
          <w:tcPr>
            <w:tcW w:w="268" w:type="dxa"/>
            <w:tcBorders>
              <w:top w:val="nil"/>
              <w:left w:val="nil"/>
              <w:bottom w:val="nil"/>
              <w:right w:val="nil"/>
            </w:tcBorders>
            <w:shd w:val="clear" w:color="000000" w:fill="FFFFFF"/>
            <w:vAlign w:val="center"/>
            <w:hideMark/>
          </w:tcPr>
          <w:p w14:paraId="15E9108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92BD67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68" w:type="dxa"/>
            <w:tcBorders>
              <w:top w:val="nil"/>
              <w:left w:val="single" w:sz="8" w:space="0" w:color="auto"/>
              <w:bottom w:val="nil"/>
              <w:right w:val="nil"/>
            </w:tcBorders>
            <w:shd w:val="clear" w:color="000000" w:fill="FFFFFF"/>
            <w:vAlign w:val="center"/>
            <w:hideMark/>
          </w:tcPr>
          <w:p w14:paraId="11D09C9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B14B15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4F3CF2" w:rsidRPr="004F3CF2" w14:paraId="44CFEBC0"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ADF925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5DFEA43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CEDE4A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1D6A00B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6AA0D6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w:t>
            </w:r>
          </w:p>
        </w:tc>
      </w:tr>
      <w:tr w:rsidR="004F3CF2" w:rsidRPr="004F3CF2" w14:paraId="67CB1EC2" w14:textId="77777777" w:rsidTr="00281F74">
        <w:trPr>
          <w:trHeight w:val="307"/>
        </w:trPr>
        <w:tc>
          <w:tcPr>
            <w:tcW w:w="4108" w:type="dxa"/>
            <w:tcBorders>
              <w:top w:val="single" w:sz="8" w:space="0" w:color="auto"/>
              <w:left w:val="single" w:sz="8" w:space="0" w:color="auto"/>
              <w:bottom w:val="single" w:sz="8" w:space="0" w:color="auto"/>
              <w:right w:val="nil"/>
            </w:tcBorders>
            <w:shd w:val="clear" w:color="000000" w:fill="D9D9D9"/>
            <w:vAlign w:val="center"/>
            <w:hideMark/>
          </w:tcPr>
          <w:p w14:paraId="7793F059"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single" w:sz="8" w:space="0" w:color="auto"/>
              <w:left w:val="nil"/>
              <w:bottom w:val="single" w:sz="8" w:space="0" w:color="auto"/>
              <w:right w:val="nil"/>
            </w:tcBorders>
            <w:shd w:val="clear" w:color="000000" w:fill="D9D9D9"/>
            <w:vAlign w:val="center"/>
            <w:hideMark/>
          </w:tcPr>
          <w:p w14:paraId="0178911A"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1" w:type="dxa"/>
            <w:tcBorders>
              <w:top w:val="single" w:sz="8" w:space="0" w:color="auto"/>
              <w:left w:val="nil"/>
              <w:bottom w:val="single" w:sz="8" w:space="0" w:color="auto"/>
              <w:right w:val="nil"/>
            </w:tcBorders>
            <w:shd w:val="clear" w:color="000000" w:fill="D9D9D9"/>
            <w:vAlign w:val="center"/>
            <w:hideMark/>
          </w:tcPr>
          <w:p w14:paraId="09635536"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D9D9D9"/>
            <w:vAlign w:val="center"/>
            <w:hideMark/>
          </w:tcPr>
          <w:p w14:paraId="42C8A606"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single" w:sz="8" w:space="0" w:color="auto"/>
              <w:left w:val="nil"/>
              <w:bottom w:val="single" w:sz="8" w:space="0" w:color="auto"/>
              <w:right w:val="single" w:sz="8" w:space="0" w:color="auto"/>
            </w:tcBorders>
            <w:shd w:val="clear" w:color="000000" w:fill="D9D9D9"/>
            <w:vAlign w:val="center"/>
            <w:hideMark/>
          </w:tcPr>
          <w:p w14:paraId="26961C5F"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10%</w:t>
            </w:r>
          </w:p>
        </w:tc>
      </w:tr>
      <w:tr w:rsidR="004F3CF2" w:rsidRPr="004F3CF2" w14:paraId="0AE79D7A"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7667E5CB"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3 Model - Intermediate I: Nutrition sensitive and specific programs</w:t>
            </w:r>
            <w:r w:rsidRPr="00265001">
              <w:rPr>
                <w:rFonts w:ascii="Helvetica" w:eastAsia="Times New Roman" w:hAnsi="Helvetica" w:cs="Helvetica"/>
                <w:b/>
                <w:bCs/>
                <w:color w:val="FFFFFF"/>
                <w:sz w:val="20"/>
                <w:szCs w:val="20"/>
                <w:vertAlign w:val="superscript"/>
                <w:lang w:val="en-CA" w:eastAsia="en-CA"/>
              </w:rPr>
              <w:t>c</w:t>
            </w:r>
          </w:p>
        </w:tc>
      </w:tr>
      <w:tr w:rsidR="004F3CF2" w:rsidRPr="004F3CF2" w14:paraId="40CDD3A5"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72910731"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Nutrition specific and sensitive programs</w:t>
            </w:r>
          </w:p>
        </w:tc>
      </w:tr>
      <w:tr w:rsidR="004F3CF2" w:rsidRPr="004F3CF2" w14:paraId="0512A97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33D29B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Conditional cash transfer “Juntos” program</w:t>
            </w:r>
          </w:p>
        </w:tc>
        <w:tc>
          <w:tcPr>
            <w:tcW w:w="268" w:type="dxa"/>
            <w:tcBorders>
              <w:top w:val="nil"/>
              <w:left w:val="nil"/>
              <w:bottom w:val="nil"/>
              <w:right w:val="nil"/>
            </w:tcBorders>
            <w:shd w:val="clear" w:color="000000" w:fill="FFFFFF"/>
            <w:vAlign w:val="center"/>
            <w:hideMark/>
          </w:tcPr>
          <w:p w14:paraId="4C7579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1CF0C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-0.002 (-0.037;0.033)</w:t>
            </w:r>
          </w:p>
        </w:tc>
        <w:tc>
          <w:tcPr>
            <w:tcW w:w="268" w:type="dxa"/>
            <w:tcBorders>
              <w:top w:val="nil"/>
              <w:left w:val="single" w:sz="8" w:space="0" w:color="auto"/>
              <w:bottom w:val="nil"/>
              <w:right w:val="nil"/>
            </w:tcBorders>
            <w:shd w:val="clear" w:color="000000" w:fill="FFFFFF"/>
            <w:vAlign w:val="center"/>
            <w:hideMark/>
          </w:tcPr>
          <w:p w14:paraId="0F2C334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DB7F3D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BF3DE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7FD229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families/1000 rural population</w:t>
            </w:r>
          </w:p>
        </w:tc>
        <w:tc>
          <w:tcPr>
            <w:tcW w:w="268" w:type="dxa"/>
            <w:tcBorders>
              <w:top w:val="nil"/>
              <w:left w:val="nil"/>
              <w:bottom w:val="nil"/>
              <w:right w:val="nil"/>
            </w:tcBorders>
            <w:shd w:val="clear" w:color="000000" w:fill="FFFFFF"/>
            <w:vAlign w:val="center"/>
            <w:hideMark/>
          </w:tcPr>
          <w:p w14:paraId="0523B55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5F0D24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0.927</w:t>
            </w:r>
          </w:p>
        </w:tc>
        <w:tc>
          <w:tcPr>
            <w:tcW w:w="268" w:type="dxa"/>
            <w:tcBorders>
              <w:top w:val="nil"/>
              <w:left w:val="single" w:sz="8" w:space="0" w:color="auto"/>
              <w:bottom w:val="nil"/>
              <w:right w:val="nil"/>
            </w:tcBorders>
            <w:shd w:val="clear" w:color="000000" w:fill="FFFFFF"/>
            <w:vAlign w:val="center"/>
            <w:hideMark/>
          </w:tcPr>
          <w:p w14:paraId="42C0ABF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7490F97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EBDFAA9"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BB74B9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1DBDD5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AC7F5C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342CA79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30260C9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42FE9C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945FE4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SIS</w:t>
            </w:r>
            <w:r w:rsidRPr="00265001">
              <w:rPr>
                <w:rFonts w:ascii="Helvetica" w:eastAsia="Times New Roman" w:hAnsi="Helvetica" w:cs="Helvetica"/>
                <w:color w:val="000000"/>
                <w:sz w:val="20"/>
                <w:szCs w:val="20"/>
                <w:vertAlign w:val="superscript"/>
                <w:lang w:val="en-CA" w:eastAsia="en-CA"/>
              </w:rPr>
              <w:t>4</w:t>
            </w:r>
            <w:r w:rsidRPr="00265001">
              <w:rPr>
                <w:rFonts w:ascii="Helvetica" w:eastAsia="Times New Roman" w:hAnsi="Helvetica" w:cs="Helvetica"/>
                <w:color w:val="000000"/>
                <w:sz w:val="20"/>
                <w:szCs w:val="20"/>
                <w:lang w:val="en-CA" w:eastAsia="en-CA"/>
              </w:rPr>
              <w:t xml:space="preserve"> coverage</w:t>
            </w:r>
          </w:p>
        </w:tc>
        <w:tc>
          <w:tcPr>
            <w:tcW w:w="268" w:type="dxa"/>
            <w:tcBorders>
              <w:top w:val="nil"/>
              <w:left w:val="nil"/>
              <w:bottom w:val="nil"/>
              <w:right w:val="nil"/>
            </w:tcBorders>
            <w:shd w:val="clear" w:color="000000" w:fill="FFFFFF"/>
            <w:vAlign w:val="center"/>
            <w:hideMark/>
          </w:tcPr>
          <w:p w14:paraId="2D38142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B69DE6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0.006 (-0.002;0.013)</w:t>
            </w:r>
          </w:p>
        </w:tc>
        <w:tc>
          <w:tcPr>
            <w:tcW w:w="268" w:type="dxa"/>
            <w:tcBorders>
              <w:top w:val="nil"/>
              <w:left w:val="single" w:sz="8" w:space="0" w:color="auto"/>
              <w:bottom w:val="nil"/>
              <w:right w:val="nil"/>
            </w:tcBorders>
            <w:shd w:val="clear" w:color="000000" w:fill="FFFFFF"/>
            <w:vAlign w:val="center"/>
            <w:hideMark/>
          </w:tcPr>
          <w:p w14:paraId="0786052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B7FE2E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D9ADDAE"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D27F31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under-5 attendances/under-5 population)</w:t>
            </w:r>
          </w:p>
        </w:tc>
        <w:tc>
          <w:tcPr>
            <w:tcW w:w="268" w:type="dxa"/>
            <w:tcBorders>
              <w:top w:val="nil"/>
              <w:left w:val="nil"/>
              <w:bottom w:val="nil"/>
              <w:right w:val="nil"/>
            </w:tcBorders>
            <w:shd w:val="clear" w:color="000000" w:fill="FFFFFF"/>
            <w:vAlign w:val="center"/>
            <w:hideMark/>
          </w:tcPr>
          <w:p w14:paraId="70A5D95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58F3DC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0.138</w:t>
            </w:r>
          </w:p>
        </w:tc>
        <w:tc>
          <w:tcPr>
            <w:tcW w:w="268" w:type="dxa"/>
            <w:tcBorders>
              <w:top w:val="nil"/>
              <w:left w:val="single" w:sz="8" w:space="0" w:color="auto"/>
              <w:bottom w:val="nil"/>
              <w:right w:val="nil"/>
            </w:tcBorders>
            <w:shd w:val="clear" w:color="000000" w:fill="FFFFFF"/>
            <w:vAlign w:val="center"/>
            <w:hideMark/>
          </w:tcPr>
          <w:p w14:paraId="034232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DA9291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CAF6D56"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39374A2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1923BF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B8250A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215CD21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0F4716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269FBB9" w14:textId="77777777" w:rsidTr="00281F74">
        <w:trPr>
          <w:trHeight w:val="292"/>
        </w:trPr>
        <w:tc>
          <w:tcPr>
            <w:tcW w:w="4108" w:type="dxa"/>
            <w:tcBorders>
              <w:top w:val="single" w:sz="8" w:space="0" w:color="auto"/>
              <w:left w:val="single" w:sz="8" w:space="0" w:color="auto"/>
              <w:bottom w:val="nil"/>
              <w:right w:val="single" w:sz="8" w:space="0" w:color="auto"/>
            </w:tcBorders>
            <w:shd w:val="clear" w:color="000000" w:fill="FFFFFF"/>
            <w:vAlign w:val="center"/>
            <w:hideMark/>
          </w:tcPr>
          <w:p w14:paraId="31024BD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Articulated Nutrition Program (PAN</w:t>
            </w:r>
            <w:r w:rsidRPr="00265001">
              <w:rPr>
                <w:rFonts w:ascii="Helvetica" w:eastAsia="Times New Roman" w:hAnsi="Helvetica" w:cs="Helvetica"/>
                <w:color w:val="000000"/>
                <w:sz w:val="20"/>
                <w:szCs w:val="20"/>
                <w:vertAlign w:val="superscript"/>
                <w:lang w:val="en-CA" w:eastAsia="en-CA"/>
              </w:rPr>
              <w:t>5</w:t>
            </w:r>
            <w:r w:rsidRPr="00265001">
              <w:rPr>
                <w:rFonts w:ascii="Helvetica" w:eastAsia="Times New Roman" w:hAnsi="Helvetica" w:cs="Helvetica"/>
                <w:color w:val="000000"/>
                <w:sz w:val="20"/>
                <w:szCs w:val="20"/>
                <w:lang w:val="en-CA" w:eastAsia="en-CA"/>
              </w:rPr>
              <w:t xml:space="preserve"> log expenditure, per capita)</w:t>
            </w:r>
          </w:p>
        </w:tc>
        <w:tc>
          <w:tcPr>
            <w:tcW w:w="268" w:type="dxa"/>
            <w:tcBorders>
              <w:top w:val="single" w:sz="8" w:space="0" w:color="auto"/>
              <w:left w:val="nil"/>
              <w:bottom w:val="nil"/>
              <w:right w:val="nil"/>
            </w:tcBorders>
            <w:shd w:val="clear" w:color="000000" w:fill="FFFFFF"/>
            <w:vAlign w:val="center"/>
            <w:hideMark/>
          </w:tcPr>
          <w:p w14:paraId="402372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single" w:sz="8" w:space="0" w:color="auto"/>
              <w:left w:val="nil"/>
              <w:bottom w:val="nil"/>
              <w:right w:val="nil"/>
            </w:tcBorders>
            <w:shd w:val="clear" w:color="000000" w:fill="FFFFFF"/>
            <w:vAlign w:val="center"/>
            <w:hideMark/>
          </w:tcPr>
          <w:p w14:paraId="2AEBC58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single" w:sz="8" w:space="0" w:color="auto"/>
              <w:left w:val="single" w:sz="8" w:space="0" w:color="auto"/>
              <w:bottom w:val="nil"/>
              <w:right w:val="nil"/>
            </w:tcBorders>
            <w:shd w:val="clear" w:color="000000" w:fill="FFFFFF"/>
            <w:vAlign w:val="center"/>
            <w:hideMark/>
          </w:tcPr>
          <w:p w14:paraId="3206AF8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single" w:sz="8" w:space="0" w:color="auto"/>
              <w:left w:val="nil"/>
              <w:bottom w:val="nil"/>
              <w:right w:val="single" w:sz="8" w:space="0" w:color="auto"/>
            </w:tcBorders>
            <w:shd w:val="clear" w:color="000000" w:fill="FFFFFF"/>
            <w:vAlign w:val="center"/>
            <w:hideMark/>
          </w:tcPr>
          <w:p w14:paraId="4587B65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40F1F1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6EAA7D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6335054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419159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515D372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01A17C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CCBB771"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3294BA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247ABF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429C8D6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AE87EB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451AFA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EB9EC4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E49188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Strategic Program of Maternal and Newborn Health (PSMN</w:t>
            </w:r>
            <w:r w:rsidRPr="00265001">
              <w:rPr>
                <w:rFonts w:ascii="Helvetica" w:eastAsia="Times New Roman" w:hAnsi="Helvetica" w:cs="Helvetica"/>
                <w:color w:val="000000"/>
                <w:sz w:val="20"/>
                <w:szCs w:val="20"/>
                <w:vertAlign w:val="superscript"/>
                <w:lang w:val="en-CA" w:eastAsia="en-CA"/>
              </w:rPr>
              <w:t>6</w:t>
            </w:r>
            <w:r w:rsidRPr="00265001">
              <w:rPr>
                <w:rFonts w:ascii="Helvetica" w:eastAsia="Times New Roman" w:hAnsi="Helvetica" w:cs="Helvetica"/>
                <w:color w:val="000000"/>
                <w:sz w:val="20"/>
                <w:szCs w:val="20"/>
                <w:lang w:val="en-CA" w:eastAsia="en-CA"/>
              </w:rPr>
              <w:t xml:space="preserve"> log expenditure, per capita</w:t>
            </w:r>
          </w:p>
        </w:tc>
        <w:tc>
          <w:tcPr>
            <w:tcW w:w="268" w:type="dxa"/>
            <w:tcBorders>
              <w:top w:val="nil"/>
              <w:left w:val="nil"/>
              <w:bottom w:val="nil"/>
              <w:right w:val="nil"/>
            </w:tcBorders>
            <w:shd w:val="clear" w:color="000000" w:fill="FFFFFF"/>
            <w:vAlign w:val="center"/>
            <w:hideMark/>
          </w:tcPr>
          <w:p w14:paraId="653DFE6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654B03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49F849A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52E5D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FD3A38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DA9501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137200C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794D9B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4470176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B3E4B1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12C9C38"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353604C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4632F9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C25D57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727B7B8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063E5AC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FA049FA" w14:textId="77777777" w:rsidTr="00281F74">
        <w:trPr>
          <w:trHeight w:val="307"/>
        </w:trPr>
        <w:tc>
          <w:tcPr>
            <w:tcW w:w="4108" w:type="dxa"/>
            <w:tcBorders>
              <w:top w:val="single" w:sz="8" w:space="0" w:color="auto"/>
              <w:left w:val="single" w:sz="8" w:space="0" w:color="auto"/>
              <w:bottom w:val="single" w:sz="8" w:space="0" w:color="auto"/>
              <w:right w:val="nil"/>
            </w:tcBorders>
            <w:shd w:val="clear" w:color="000000" w:fill="D9D9D9"/>
            <w:vAlign w:val="center"/>
            <w:hideMark/>
          </w:tcPr>
          <w:p w14:paraId="4771DEB8"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767A1288"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1" w:type="dxa"/>
            <w:tcBorders>
              <w:top w:val="nil"/>
              <w:left w:val="nil"/>
              <w:bottom w:val="single" w:sz="8" w:space="0" w:color="auto"/>
              <w:right w:val="nil"/>
            </w:tcBorders>
            <w:shd w:val="clear" w:color="000000" w:fill="D9D9D9"/>
            <w:vAlign w:val="center"/>
            <w:hideMark/>
          </w:tcPr>
          <w:p w14:paraId="4425D581"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D9D9D9"/>
            <w:vAlign w:val="center"/>
            <w:hideMark/>
          </w:tcPr>
          <w:p w14:paraId="7A7C977E"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D9D9D9"/>
            <w:vAlign w:val="center"/>
            <w:hideMark/>
          </w:tcPr>
          <w:p w14:paraId="18CCB09E"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r>
      <w:tr w:rsidR="004F3CF2" w:rsidRPr="004F3CF2" w14:paraId="7C3B5EF4"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4342FEF2"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2 Model - Intermediate II: Community and Household-level variables</w:t>
            </w:r>
            <w:r w:rsidRPr="00265001">
              <w:rPr>
                <w:rFonts w:ascii="Helvetica" w:eastAsia="Times New Roman" w:hAnsi="Helvetica" w:cs="Helvetica"/>
                <w:b/>
                <w:bCs/>
                <w:color w:val="FFFFFF"/>
                <w:sz w:val="20"/>
                <w:szCs w:val="20"/>
                <w:vertAlign w:val="superscript"/>
                <w:lang w:val="en-CA" w:eastAsia="en-CA"/>
              </w:rPr>
              <w:t>d</w:t>
            </w:r>
          </w:p>
        </w:tc>
      </w:tr>
      <w:tr w:rsidR="004F3CF2" w:rsidRPr="004F3CF2" w14:paraId="597FE38E"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0CB6BD11"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Inadequate health services</w:t>
            </w:r>
          </w:p>
        </w:tc>
      </w:tr>
      <w:tr w:rsidR="004F3CF2" w:rsidRPr="004F3CF2" w14:paraId="17986634"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A49A92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DPT vaccine</w:t>
            </w:r>
          </w:p>
        </w:tc>
        <w:tc>
          <w:tcPr>
            <w:tcW w:w="268" w:type="dxa"/>
            <w:tcBorders>
              <w:top w:val="nil"/>
              <w:left w:val="nil"/>
              <w:bottom w:val="nil"/>
              <w:right w:val="nil"/>
            </w:tcBorders>
            <w:shd w:val="clear" w:color="000000" w:fill="FFFFFF"/>
            <w:vAlign w:val="center"/>
            <w:hideMark/>
          </w:tcPr>
          <w:p w14:paraId="16EA626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8CEF1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0.041 (-0.082;0.164)</w:t>
            </w:r>
          </w:p>
        </w:tc>
        <w:tc>
          <w:tcPr>
            <w:tcW w:w="268" w:type="dxa"/>
            <w:tcBorders>
              <w:top w:val="nil"/>
              <w:left w:val="single" w:sz="8" w:space="0" w:color="auto"/>
              <w:bottom w:val="nil"/>
              <w:right w:val="nil"/>
            </w:tcBorders>
            <w:shd w:val="clear" w:color="000000" w:fill="FFFFFF"/>
            <w:vAlign w:val="center"/>
            <w:hideMark/>
          </w:tcPr>
          <w:p w14:paraId="76033AF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74F935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6427B1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C959D2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3 doses)</w:t>
            </w:r>
          </w:p>
        </w:tc>
        <w:tc>
          <w:tcPr>
            <w:tcW w:w="268" w:type="dxa"/>
            <w:tcBorders>
              <w:top w:val="nil"/>
              <w:left w:val="nil"/>
              <w:bottom w:val="nil"/>
              <w:right w:val="nil"/>
            </w:tcBorders>
            <w:shd w:val="clear" w:color="000000" w:fill="FFFFFF"/>
            <w:vAlign w:val="center"/>
            <w:hideMark/>
          </w:tcPr>
          <w:p w14:paraId="22BAA6D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D9FD02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0.515</w:t>
            </w:r>
          </w:p>
        </w:tc>
        <w:tc>
          <w:tcPr>
            <w:tcW w:w="268" w:type="dxa"/>
            <w:tcBorders>
              <w:top w:val="nil"/>
              <w:left w:val="single" w:sz="8" w:space="0" w:color="auto"/>
              <w:bottom w:val="nil"/>
              <w:right w:val="nil"/>
            </w:tcBorders>
            <w:shd w:val="clear" w:color="000000" w:fill="FFFFFF"/>
            <w:vAlign w:val="center"/>
            <w:hideMark/>
          </w:tcPr>
          <w:p w14:paraId="270296D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9622C1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0F85E1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F78400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33D01E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467E6E4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7B58991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0F4F8C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009CD6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33E0E2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Measles vaccine</w:t>
            </w:r>
          </w:p>
        </w:tc>
        <w:tc>
          <w:tcPr>
            <w:tcW w:w="268" w:type="dxa"/>
            <w:tcBorders>
              <w:top w:val="nil"/>
              <w:left w:val="nil"/>
              <w:bottom w:val="nil"/>
              <w:right w:val="nil"/>
            </w:tcBorders>
            <w:shd w:val="clear" w:color="000000" w:fill="FFFFFF"/>
            <w:vAlign w:val="center"/>
            <w:hideMark/>
          </w:tcPr>
          <w:p w14:paraId="2EB2467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846EC2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0.005 (-0.136;0.147)</w:t>
            </w:r>
          </w:p>
        </w:tc>
        <w:tc>
          <w:tcPr>
            <w:tcW w:w="268" w:type="dxa"/>
            <w:tcBorders>
              <w:top w:val="nil"/>
              <w:left w:val="single" w:sz="8" w:space="0" w:color="auto"/>
              <w:bottom w:val="nil"/>
              <w:right w:val="nil"/>
            </w:tcBorders>
            <w:shd w:val="clear" w:color="000000" w:fill="FFFFFF"/>
            <w:vAlign w:val="center"/>
            <w:hideMark/>
          </w:tcPr>
          <w:p w14:paraId="23DF27C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304F3C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2AE03B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319984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w:t>
            </w:r>
          </w:p>
        </w:tc>
        <w:tc>
          <w:tcPr>
            <w:tcW w:w="268" w:type="dxa"/>
            <w:tcBorders>
              <w:top w:val="nil"/>
              <w:left w:val="nil"/>
              <w:bottom w:val="nil"/>
              <w:right w:val="nil"/>
            </w:tcBorders>
            <w:shd w:val="clear" w:color="000000" w:fill="FFFFFF"/>
            <w:vAlign w:val="center"/>
            <w:hideMark/>
          </w:tcPr>
          <w:p w14:paraId="07F478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8AF29E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0.944</w:t>
            </w:r>
          </w:p>
        </w:tc>
        <w:tc>
          <w:tcPr>
            <w:tcW w:w="268" w:type="dxa"/>
            <w:tcBorders>
              <w:top w:val="nil"/>
              <w:left w:val="single" w:sz="8" w:space="0" w:color="auto"/>
              <w:bottom w:val="nil"/>
              <w:right w:val="nil"/>
            </w:tcBorders>
            <w:shd w:val="clear" w:color="000000" w:fill="FFFFFF"/>
            <w:vAlign w:val="center"/>
            <w:hideMark/>
          </w:tcPr>
          <w:p w14:paraId="02E83C5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25F723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3891DD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8D29DB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2F93B7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E6B10B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C6DC13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699AD27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7A5AE6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E4B59B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Pneumococcal vaccine</w:t>
            </w:r>
          </w:p>
        </w:tc>
        <w:tc>
          <w:tcPr>
            <w:tcW w:w="268" w:type="dxa"/>
            <w:tcBorders>
              <w:top w:val="nil"/>
              <w:left w:val="nil"/>
              <w:bottom w:val="nil"/>
              <w:right w:val="nil"/>
            </w:tcBorders>
            <w:shd w:val="clear" w:color="000000" w:fill="FFFFFF"/>
            <w:vAlign w:val="center"/>
            <w:hideMark/>
          </w:tcPr>
          <w:p w14:paraId="5BBD7E6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FA6DC7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0F64405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404CFD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53FB75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A20ED6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8" w:type="dxa"/>
            <w:tcBorders>
              <w:top w:val="nil"/>
              <w:left w:val="nil"/>
              <w:bottom w:val="nil"/>
              <w:right w:val="nil"/>
            </w:tcBorders>
            <w:shd w:val="clear" w:color="000000" w:fill="FFFFFF"/>
            <w:vAlign w:val="center"/>
            <w:hideMark/>
          </w:tcPr>
          <w:p w14:paraId="6C405A8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BDE3CF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17D5D20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0E751F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964B873"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86932D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6D023D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9FAEE3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5A92171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318C960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80F82F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805042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Rotavirus vaccine</w:t>
            </w:r>
          </w:p>
        </w:tc>
        <w:tc>
          <w:tcPr>
            <w:tcW w:w="268" w:type="dxa"/>
            <w:tcBorders>
              <w:top w:val="nil"/>
              <w:left w:val="nil"/>
              <w:bottom w:val="nil"/>
              <w:right w:val="nil"/>
            </w:tcBorders>
            <w:shd w:val="clear" w:color="000000" w:fill="FFFFFF"/>
            <w:vAlign w:val="center"/>
            <w:hideMark/>
          </w:tcPr>
          <w:p w14:paraId="637DD12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CCD450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19DD9CB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5D218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E698E9B"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1620F50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8" w:type="dxa"/>
            <w:tcBorders>
              <w:top w:val="nil"/>
              <w:left w:val="nil"/>
              <w:bottom w:val="nil"/>
              <w:right w:val="nil"/>
            </w:tcBorders>
            <w:shd w:val="clear" w:color="000000" w:fill="FFFFFF"/>
            <w:vAlign w:val="center"/>
            <w:hideMark/>
          </w:tcPr>
          <w:p w14:paraId="09660F6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B6A8D4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31BBD8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E7A21A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6F3BEAA"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290BE1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75D8E32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C8F198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38D1FE2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B109A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6B12A2B"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7FE67205"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Composite Coverage</w:t>
            </w:r>
          </w:p>
        </w:tc>
      </w:tr>
      <w:tr w:rsidR="004F3CF2" w:rsidRPr="004F3CF2" w14:paraId="02B63FB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5AB934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Composite coverage index</w:t>
            </w:r>
            <w:r w:rsidRPr="00265001">
              <w:rPr>
                <w:rFonts w:ascii="Helvetica" w:eastAsia="Times New Roman" w:hAnsi="Helvetica" w:cs="Helvetica"/>
                <w:color w:val="000000"/>
                <w:sz w:val="20"/>
                <w:szCs w:val="20"/>
                <w:vertAlign w:val="superscript"/>
                <w:lang w:val="en-CA" w:eastAsia="en-CA"/>
              </w:rPr>
              <w:t>6</w:t>
            </w:r>
          </w:p>
        </w:tc>
        <w:tc>
          <w:tcPr>
            <w:tcW w:w="268" w:type="dxa"/>
            <w:tcBorders>
              <w:top w:val="nil"/>
              <w:left w:val="nil"/>
              <w:bottom w:val="nil"/>
              <w:right w:val="nil"/>
            </w:tcBorders>
            <w:shd w:val="clear" w:color="000000" w:fill="FFFFFF"/>
            <w:vAlign w:val="center"/>
            <w:hideMark/>
          </w:tcPr>
          <w:p w14:paraId="723EEF7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374FFF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0.163 (-0.035;0.361)</w:t>
            </w:r>
          </w:p>
        </w:tc>
        <w:tc>
          <w:tcPr>
            <w:tcW w:w="268" w:type="dxa"/>
            <w:tcBorders>
              <w:top w:val="nil"/>
              <w:left w:val="single" w:sz="8" w:space="0" w:color="auto"/>
              <w:bottom w:val="nil"/>
              <w:right w:val="nil"/>
            </w:tcBorders>
            <w:shd w:val="clear" w:color="000000" w:fill="FFFFFF"/>
            <w:vAlign w:val="center"/>
            <w:hideMark/>
          </w:tcPr>
          <w:p w14:paraId="6A8D9E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611C4C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0.197 (0.025;0.369)</w:t>
            </w:r>
          </w:p>
        </w:tc>
      </w:tr>
      <w:tr w:rsidR="004F3CF2" w:rsidRPr="004F3CF2" w14:paraId="276DBA9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4B6FEE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1B5E09A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1A5812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0.107</w:t>
            </w:r>
          </w:p>
        </w:tc>
        <w:tc>
          <w:tcPr>
            <w:tcW w:w="268" w:type="dxa"/>
            <w:tcBorders>
              <w:top w:val="nil"/>
              <w:left w:val="single" w:sz="8" w:space="0" w:color="auto"/>
              <w:bottom w:val="nil"/>
              <w:right w:val="nil"/>
            </w:tcBorders>
            <w:shd w:val="clear" w:color="000000" w:fill="FFFFFF"/>
            <w:vAlign w:val="center"/>
            <w:hideMark/>
          </w:tcPr>
          <w:p w14:paraId="45583FB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591DA3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0.024</w:t>
            </w:r>
          </w:p>
        </w:tc>
      </w:tr>
      <w:tr w:rsidR="004F3CF2" w:rsidRPr="004F3CF2" w14:paraId="06D7F01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79BEC5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3C6123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0B53DD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1413338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3FADBA7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w:t>
            </w:r>
          </w:p>
        </w:tc>
      </w:tr>
      <w:tr w:rsidR="004F3CF2" w:rsidRPr="004F3CF2" w14:paraId="48D52E98"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522F31C"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Reproductive and maternal care</w:t>
            </w:r>
          </w:p>
        </w:tc>
      </w:tr>
      <w:tr w:rsidR="004F3CF2" w:rsidRPr="004F3CF2" w14:paraId="7744C87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5696A9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Skilled attendant for last birth</w:t>
            </w:r>
          </w:p>
        </w:tc>
        <w:tc>
          <w:tcPr>
            <w:tcW w:w="268" w:type="dxa"/>
            <w:tcBorders>
              <w:top w:val="nil"/>
              <w:left w:val="nil"/>
              <w:bottom w:val="nil"/>
              <w:right w:val="nil"/>
            </w:tcBorders>
            <w:shd w:val="clear" w:color="000000" w:fill="FFFFFF"/>
            <w:vAlign w:val="center"/>
            <w:hideMark/>
          </w:tcPr>
          <w:p w14:paraId="282BEA5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7CAF01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-0.053 (-0.176;0.070)</w:t>
            </w:r>
          </w:p>
        </w:tc>
        <w:tc>
          <w:tcPr>
            <w:tcW w:w="268" w:type="dxa"/>
            <w:tcBorders>
              <w:top w:val="nil"/>
              <w:left w:val="single" w:sz="8" w:space="0" w:color="auto"/>
              <w:bottom w:val="nil"/>
              <w:right w:val="nil"/>
            </w:tcBorders>
            <w:shd w:val="clear" w:color="000000" w:fill="FFFFFF"/>
            <w:vAlign w:val="center"/>
            <w:hideMark/>
          </w:tcPr>
          <w:p w14:paraId="7F6A6B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0B6FE4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14E6C1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4CBA10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8" w:type="dxa"/>
            <w:tcBorders>
              <w:top w:val="nil"/>
              <w:left w:val="nil"/>
              <w:bottom w:val="nil"/>
              <w:right w:val="nil"/>
            </w:tcBorders>
            <w:shd w:val="clear" w:color="000000" w:fill="FFFFFF"/>
            <w:vAlign w:val="center"/>
            <w:hideMark/>
          </w:tcPr>
          <w:p w14:paraId="32ED3FB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2B235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0.401</w:t>
            </w:r>
          </w:p>
        </w:tc>
        <w:tc>
          <w:tcPr>
            <w:tcW w:w="268" w:type="dxa"/>
            <w:tcBorders>
              <w:top w:val="nil"/>
              <w:left w:val="single" w:sz="8" w:space="0" w:color="auto"/>
              <w:bottom w:val="nil"/>
              <w:right w:val="nil"/>
            </w:tcBorders>
            <w:shd w:val="clear" w:color="000000" w:fill="FFFFFF"/>
            <w:vAlign w:val="center"/>
            <w:hideMark/>
          </w:tcPr>
          <w:p w14:paraId="19C80AD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A559C0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20D951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894874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516134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AEF0B0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5F87AD4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730FD93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10EE69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E1E239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4+ antenatal care visits for last birth</w:t>
            </w:r>
          </w:p>
        </w:tc>
        <w:tc>
          <w:tcPr>
            <w:tcW w:w="268" w:type="dxa"/>
            <w:tcBorders>
              <w:top w:val="nil"/>
              <w:left w:val="nil"/>
              <w:bottom w:val="nil"/>
              <w:right w:val="nil"/>
            </w:tcBorders>
            <w:shd w:val="clear" w:color="000000" w:fill="FFFFFF"/>
            <w:vAlign w:val="center"/>
            <w:hideMark/>
          </w:tcPr>
          <w:p w14:paraId="05476E1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055FD0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0.049 (-0.126;0.225)</w:t>
            </w:r>
          </w:p>
        </w:tc>
        <w:tc>
          <w:tcPr>
            <w:tcW w:w="268" w:type="dxa"/>
            <w:tcBorders>
              <w:top w:val="nil"/>
              <w:left w:val="single" w:sz="8" w:space="0" w:color="auto"/>
              <w:bottom w:val="nil"/>
              <w:right w:val="nil"/>
            </w:tcBorders>
            <w:shd w:val="clear" w:color="000000" w:fill="FFFFFF"/>
            <w:vAlign w:val="center"/>
            <w:hideMark/>
          </w:tcPr>
          <w:p w14:paraId="1DD7FB1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1C942A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0491E1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3B04A1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8" w:type="dxa"/>
            <w:tcBorders>
              <w:top w:val="nil"/>
              <w:left w:val="nil"/>
              <w:bottom w:val="nil"/>
              <w:right w:val="nil"/>
            </w:tcBorders>
            <w:shd w:val="clear" w:color="000000" w:fill="FFFFFF"/>
            <w:vAlign w:val="center"/>
            <w:hideMark/>
          </w:tcPr>
          <w:p w14:paraId="2D16C65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DC3F91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0.581</w:t>
            </w:r>
          </w:p>
        </w:tc>
        <w:tc>
          <w:tcPr>
            <w:tcW w:w="268" w:type="dxa"/>
            <w:tcBorders>
              <w:top w:val="nil"/>
              <w:left w:val="single" w:sz="8" w:space="0" w:color="auto"/>
              <w:bottom w:val="nil"/>
              <w:right w:val="nil"/>
            </w:tcBorders>
            <w:shd w:val="clear" w:color="000000" w:fill="FFFFFF"/>
            <w:vAlign w:val="center"/>
            <w:hideMark/>
          </w:tcPr>
          <w:p w14:paraId="42376FA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3C3F98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BB1B0B4"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01434F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240D50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C3A2E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F06DE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582884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EA607DD"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7AD4BEBB"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Human resources for health</w:t>
            </w:r>
          </w:p>
        </w:tc>
      </w:tr>
      <w:tr w:rsidR="004F3CF2" w:rsidRPr="004F3CF2" w14:paraId="1F4364A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28893E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Density of human resources for health</w:t>
            </w:r>
          </w:p>
        </w:tc>
        <w:tc>
          <w:tcPr>
            <w:tcW w:w="268" w:type="dxa"/>
            <w:tcBorders>
              <w:top w:val="nil"/>
              <w:left w:val="nil"/>
              <w:bottom w:val="nil"/>
              <w:right w:val="nil"/>
            </w:tcBorders>
            <w:shd w:val="clear" w:color="000000" w:fill="FFFFFF"/>
            <w:vAlign w:val="center"/>
            <w:hideMark/>
          </w:tcPr>
          <w:p w14:paraId="5C9F175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E4EC88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-0.564 (-1.024;-0.104)</w:t>
            </w:r>
          </w:p>
        </w:tc>
        <w:tc>
          <w:tcPr>
            <w:tcW w:w="268" w:type="dxa"/>
            <w:tcBorders>
              <w:top w:val="nil"/>
              <w:left w:val="single" w:sz="8" w:space="0" w:color="auto"/>
              <w:bottom w:val="nil"/>
              <w:right w:val="nil"/>
            </w:tcBorders>
            <w:shd w:val="clear" w:color="000000" w:fill="FFFFFF"/>
            <w:vAlign w:val="center"/>
            <w:hideMark/>
          </w:tcPr>
          <w:p w14:paraId="0F6EF8A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F45AE7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-0.47 (-0.921;-0.018)</w:t>
            </w:r>
          </w:p>
        </w:tc>
      </w:tr>
      <w:tr w:rsidR="004F3CF2" w:rsidRPr="004F3CF2" w14:paraId="34DE4E0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779F8F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(Doctors, nurses and midwives per 10,000 </w:t>
            </w:r>
          </w:p>
        </w:tc>
        <w:tc>
          <w:tcPr>
            <w:tcW w:w="268" w:type="dxa"/>
            <w:tcBorders>
              <w:top w:val="nil"/>
              <w:left w:val="nil"/>
              <w:bottom w:val="nil"/>
              <w:right w:val="nil"/>
            </w:tcBorders>
            <w:shd w:val="clear" w:color="000000" w:fill="FFFFFF"/>
            <w:vAlign w:val="center"/>
            <w:hideMark/>
          </w:tcPr>
          <w:p w14:paraId="1D511DC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BF14E4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0.016</w:t>
            </w:r>
          </w:p>
        </w:tc>
        <w:tc>
          <w:tcPr>
            <w:tcW w:w="268" w:type="dxa"/>
            <w:tcBorders>
              <w:top w:val="nil"/>
              <w:left w:val="single" w:sz="8" w:space="0" w:color="auto"/>
              <w:bottom w:val="nil"/>
              <w:right w:val="nil"/>
            </w:tcBorders>
            <w:shd w:val="clear" w:color="000000" w:fill="FFFFFF"/>
            <w:vAlign w:val="center"/>
            <w:hideMark/>
          </w:tcPr>
          <w:p w14:paraId="035445C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306545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0.042</w:t>
            </w:r>
          </w:p>
        </w:tc>
      </w:tr>
      <w:tr w:rsidR="004F3CF2" w:rsidRPr="004F3CF2" w14:paraId="75F98A4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F64F4E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population)</w:t>
            </w:r>
          </w:p>
        </w:tc>
        <w:tc>
          <w:tcPr>
            <w:tcW w:w="268" w:type="dxa"/>
            <w:tcBorders>
              <w:top w:val="nil"/>
              <w:left w:val="nil"/>
              <w:bottom w:val="single" w:sz="8" w:space="0" w:color="auto"/>
              <w:right w:val="nil"/>
            </w:tcBorders>
            <w:shd w:val="clear" w:color="000000" w:fill="FFFFFF"/>
            <w:vAlign w:val="center"/>
            <w:hideMark/>
          </w:tcPr>
          <w:p w14:paraId="6F152EB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AAF188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A4C9CED"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782D1E8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w:t>
            </w:r>
          </w:p>
        </w:tc>
      </w:tr>
      <w:tr w:rsidR="004F3CF2" w:rsidRPr="004F3CF2" w14:paraId="5A9EF4FE"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013B4A53"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Care seeking interventions for childhood illness &amp; child micronutrient intake</w:t>
            </w:r>
          </w:p>
        </w:tc>
      </w:tr>
      <w:tr w:rsidR="004F3CF2" w:rsidRPr="004F3CF2" w14:paraId="2CB47A2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F299FE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Care seeking for pneumonia</w:t>
            </w:r>
          </w:p>
        </w:tc>
        <w:tc>
          <w:tcPr>
            <w:tcW w:w="268" w:type="dxa"/>
            <w:tcBorders>
              <w:top w:val="nil"/>
              <w:left w:val="nil"/>
              <w:bottom w:val="nil"/>
              <w:right w:val="nil"/>
            </w:tcBorders>
            <w:shd w:val="clear" w:color="000000" w:fill="FFFFFF"/>
            <w:vAlign w:val="center"/>
            <w:hideMark/>
          </w:tcPr>
          <w:p w14:paraId="1AE70D0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CEB5E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0.047 (-0.009;0.103)</w:t>
            </w:r>
          </w:p>
        </w:tc>
        <w:tc>
          <w:tcPr>
            <w:tcW w:w="268" w:type="dxa"/>
            <w:tcBorders>
              <w:top w:val="nil"/>
              <w:left w:val="single" w:sz="8" w:space="0" w:color="auto"/>
              <w:bottom w:val="nil"/>
              <w:right w:val="nil"/>
            </w:tcBorders>
            <w:shd w:val="clear" w:color="000000" w:fill="FFFFFF"/>
            <w:vAlign w:val="center"/>
            <w:hideMark/>
          </w:tcPr>
          <w:p w14:paraId="5CA6337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F1250D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069B88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2BE5A5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pneumonia seeking care)</w:t>
            </w:r>
          </w:p>
        </w:tc>
        <w:tc>
          <w:tcPr>
            <w:tcW w:w="268" w:type="dxa"/>
            <w:tcBorders>
              <w:top w:val="nil"/>
              <w:left w:val="nil"/>
              <w:bottom w:val="nil"/>
              <w:right w:val="nil"/>
            </w:tcBorders>
            <w:shd w:val="clear" w:color="000000" w:fill="FFFFFF"/>
            <w:vAlign w:val="center"/>
            <w:hideMark/>
          </w:tcPr>
          <w:p w14:paraId="7B9DB7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C89B3F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w:t>
            </w:r>
          </w:p>
        </w:tc>
        <w:tc>
          <w:tcPr>
            <w:tcW w:w="268" w:type="dxa"/>
            <w:tcBorders>
              <w:top w:val="nil"/>
              <w:left w:val="single" w:sz="8" w:space="0" w:color="auto"/>
              <w:bottom w:val="nil"/>
              <w:right w:val="nil"/>
            </w:tcBorders>
            <w:shd w:val="clear" w:color="000000" w:fill="FFFFFF"/>
            <w:vAlign w:val="center"/>
            <w:hideMark/>
          </w:tcPr>
          <w:p w14:paraId="79CA94A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BB596D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6F0DD20"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2D848C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E6D470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14987C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5CEA4FF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40A371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54E913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15FF80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Oral rehydration therapy</w:t>
            </w:r>
          </w:p>
        </w:tc>
        <w:tc>
          <w:tcPr>
            <w:tcW w:w="268" w:type="dxa"/>
            <w:tcBorders>
              <w:top w:val="nil"/>
              <w:left w:val="nil"/>
              <w:bottom w:val="nil"/>
              <w:right w:val="nil"/>
            </w:tcBorders>
            <w:shd w:val="clear" w:color="000000" w:fill="FFFFFF"/>
            <w:vAlign w:val="center"/>
            <w:hideMark/>
          </w:tcPr>
          <w:p w14:paraId="69BC0C5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E32954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0.009 (-0.053;0.071)</w:t>
            </w:r>
          </w:p>
        </w:tc>
        <w:tc>
          <w:tcPr>
            <w:tcW w:w="268" w:type="dxa"/>
            <w:tcBorders>
              <w:top w:val="nil"/>
              <w:left w:val="single" w:sz="8" w:space="0" w:color="auto"/>
              <w:bottom w:val="nil"/>
              <w:right w:val="nil"/>
            </w:tcBorders>
            <w:shd w:val="clear" w:color="000000" w:fill="FFFFFF"/>
            <w:vAlign w:val="center"/>
            <w:hideMark/>
          </w:tcPr>
          <w:p w14:paraId="2596F5E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B638E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7F0C20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22515A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diarrhea receiving ORT)</w:t>
            </w:r>
          </w:p>
        </w:tc>
        <w:tc>
          <w:tcPr>
            <w:tcW w:w="268" w:type="dxa"/>
            <w:tcBorders>
              <w:top w:val="nil"/>
              <w:left w:val="nil"/>
              <w:bottom w:val="nil"/>
              <w:right w:val="nil"/>
            </w:tcBorders>
            <w:shd w:val="clear" w:color="000000" w:fill="FFFFFF"/>
            <w:vAlign w:val="center"/>
            <w:hideMark/>
          </w:tcPr>
          <w:p w14:paraId="73BBEC5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B660B6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0.776</w:t>
            </w:r>
          </w:p>
        </w:tc>
        <w:tc>
          <w:tcPr>
            <w:tcW w:w="268" w:type="dxa"/>
            <w:tcBorders>
              <w:top w:val="nil"/>
              <w:left w:val="single" w:sz="8" w:space="0" w:color="auto"/>
              <w:bottom w:val="nil"/>
              <w:right w:val="nil"/>
            </w:tcBorders>
            <w:shd w:val="clear" w:color="000000" w:fill="FFFFFF"/>
            <w:vAlign w:val="center"/>
            <w:hideMark/>
          </w:tcPr>
          <w:p w14:paraId="64CFA9B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DAE6F4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F1679BA"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A5147D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B3DB1C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8DA4C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9A56FD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AC1278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BE73C6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C48AEE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receiving antibiotic treatment</w:t>
            </w:r>
          </w:p>
        </w:tc>
        <w:tc>
          <w:tcPr>
            <w:tcW w:w="268" w:type="dxa"/>
            <w:tcBorders>
              <w:top w:val="nil"/>
              <w:left w:val="nil"/>
              <w:bottom w:val="nil"/>
              <w:right w:val="nil"/>
            </w:tcBorders>
            <w:shd w:val="clear" w:color="000000" w:fill="FFFFFF"/>
            <w:vAlign w:val="center"/>
            <w:hideMark/>
          </w:tcPr>
          <w:p w14:paraId="7B6BE2E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4ECE78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0.020 (-0.702;0.742)</w:t>
            </w:r>
          </w:p>
        </w:tc>
        <w:tc>
          <w:tcPr>
            <w:tcW w:w="268" w:type="dxa"/>
            <w:tcBorders>
              <w:top w:val="nil"/>
              <w:left w:val="single" w:sz="8" w:space="0" w:color="auto"/>
              <w:bottom w:val="nil"/>
              <w:right w:val="nil"/>
            </w:tcBorders>
            <w:shd w:val="clear" w:color="000000" w:fill="FFFFFF"/>
            <w:vAlign w:val="center"/>
            <w:hideMark/>
          </w:tcPr>
          <w:p w14:paraId="3F7BDD1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DDCD5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6C8C10A"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1060B7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ARI receiving antibiotics)</w:t>
            </w:r>
          </w:p>
        </w:tc>
        <w:tc>
          <w:tcPr>
            <w:tcW w:w="268" w:type="dxa"/>
            <w:tcBorders>
              <w:top w:val="nil"/>
              <w:left w:val="nil"/>
              <w:bottom w:val="nil"/>
              <w:right w:val="nil"/>
            </w:tcBorders>
            <w:shd w:val="clear" w:color="000000" w:fill="FFFFFF"/>
            <w:vAlign w:val="center"/>
            <w:hideMark/>
          </w:tcPr>
          <w:p w14:paraId="7FF2EDC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5980C4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0.957</w:t>
            </w:r>
          </w:p>
        </w:tc>
        <w:tc>
          <w:tcPr>
            <w:tcW w:w="268" w:type="dxa"/>
            <w:tcBorders>
              <w:top w:val="nil"/>
              <w:left w:val="single" w:sz="8" w:space="0" w:color="auto"/>
              <w:bottom w:val="nil"/>
              <w:right w:val="nil"/>
            </w:tcBorders>
            <w:shd w:val="clear" w:color="000000" w:fill="FFFFFF"/>
            <w:vAlign w:val="center"/>
            <w:hideMark/>
          </w:tcPr>
          <w:p w14:paraId="551C1A1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220FE4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3954D71"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EA27A2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A34AB4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19C2B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3F3E6DE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590AEF9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0E70E4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1C8B1A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Vitamin A supplementation</w:t>
            </w:r>
          </w:p>
        </w:tc>
        <w:tc>
          <w:tcPr>
            <w:tcW w:w="268" w:type="dxa"/>
            <w:tcBorders>
              <w:top w:val="nil"/>
              <w:left w:val="nil"/>
              <w:bottom w:val="nil"/>
              <w:right w:val="nil"/>
            </w:tcBorders>
            <w:shd w:val="clear" w:color="000000" w:fill="FFFFFF"/>
            <w:vAlign w:val="center"/>
            <w:hideMark/>
          </w:tcPr>
          <w:p w14:paraId="6B53559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7065A9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-0.016 (-0.179;0.146)</w:t>
            </w:r>
          </w:p>
        </w:tc>
        <w:tc>
          <w:tcPr>
            <w:tcW w:w="268" w:type="dxa"/>
            <w:tcBorders>
              <w:top w:val="nil"/>
              <w:left w:val="single" w:sz="8" w:space="0" w:color="auto"/>
              <w:bottom w:val="nil"/>
              <w:right w:val="nil"/>
            </w:tcBorders>
            <w:shd w:val="clear" w:color="000000" w:fill="FFFFFF"/>
            <w:vAlign w:val="center"/>
            <w:hideMark/>
          </w:tcPr>
          <w:p w14:paraId="49CF290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B66C6D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78C046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B1ABFE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8" w:type="dxa"/>
            <w:tcBorders>
              <w:top w:val="nil"/>
              <w:left w:val="nil"/>
              <w:bottom w:val="nil"/>
              <w:right w:val="nil"/>
            </w:tcBorders>
            <w:shd w:val="clear" w:color="000000" w:fill="FFFFFF"/>
            <w:vAlign w:val="center"/>
            <w:hideMark/>
          </w:tcPr>
          <w:p w14:paraId="2C402D0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50B220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0.843</w:t>
            </w:r>
          </w:p>
        </w:tc>
        <w:tc>
          <w:tcPr>
            <w:tcW w:w="268" w:type="dxa"/>
            <w:tcBorders>
              <w:top w:val="nil"/>
              <w:left w:val="single" w:sz="8" w:space="0" w:color="auto"/>
              <w:bottom w:val="nil"/>
              <w:right w:val="nil"/>
            </w:tcBorders>
            <w:shd w:val="clear" w:color="000000" w:fill="FFFFFF"/>
            <w:vAlign w:val="center"/>
            <w:hideMark/>
          </w:tcPr>
          <w:p w14:paraId="072650C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3F48B2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392EE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190DE9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DB75F0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7EC48CA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5554635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173F2E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73DB202"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44CA12B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Unhealthy household environment</w:t>
            </w:r>
          </w:p>
        </w:tc>
      </w:tr>
      <w:tr w:rsidR="004F3CF2" w:rsidRPr="004F3CF2" w14:paraId="0CC4D1A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4E2A5E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Urbanization</w:t>
            </w:r>
          </w:p>
        </w:tc>
        <w:tc>
          <w:tcPr>
            <w:tcW w:w="268" w:type="dxa"/>
            <w:tcBorders>
              <w:top w:val="nil"/>
              <w:left w:val="nil"/>
              <w:bottom w:val="nil"/>
              <w:right w:val="nil"/>
            </w:tcBorders>
            <w:shd w:val="clear" w:color="000000" w:fill="FFFFFF"/>
            <w:vAlign w:val="center"/>
            <w:hideMark/>
          </w:tcPr>
          <w:p w14:paraId="760485E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692FFF0"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-0.548 (-0.635;-0.459)</w:t>
            </w:r>
          </w:p>
        </w:tc>
        <w:tc>
          <w:tcPr>
            <w:tcW w:w="268" w:type="dxa"/>
            <w:tcBorders>
              <w:top w:val="nil"/>
              <w:left w:val="single" w:sz="8" w:space="0" w:color="auto"/>
              <w:bottom w:val="nil"/>
              <w:right w:val="nil"/>
            </w:tcBorders>
            <w:shd w:val="clear" w:color="000000" w:fill="FFFFFF"/>
            <w:vAlign w:val="center"/>
            <w:hideMark/>
          </w:tcPr>
          <w:p w14:paraId="7071530E"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68C3B1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-0.441 (-0.621;-0.26)</w:t>
            </w:r>
          </w:p>
        </w:tc>
      </w:tr>
      <w:tr w:rsidR="004F3CF2" w:rsidRPr="004F3CF2" w14:paraId="2884954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5AADE4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 of urban population) </w:t>
            </w:r>
          </w:p>
        </w:tc>
        <w:tc>
          <w:tcPr>
            <w:tcW w:w="268" w:type="dxa"/>
            <w:tcBorders>
              <w:top w:val="nil"/>
              <w:left w:val="nil"/>
              <w:bottom w:val="nil"/>
              <w:right w:val="nil"/>
            </w:tcBorders>
            <w:shd w:val="clear" w:color="000000" w:fill="FFFFFF"/>
            <w:vAlign w:val="center"/>
            <w:hideMark/>
          </w:tcPr>
          <w:p w14:paraId="371D82D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231252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68" w:type="dxa"/>
            <w:tcBorders>
              <w:top w:val="nil"/>
              <w:left w:val="single" w:sz="8" w:space="0" w:color="auto"/>
              <w:bottom w:val="nil"/>
              <w:right w:val="nil"/>
            </w:tcBorders>
            <w:shd w:val="clear" w:color="000000" w:fill="FFFFFF"/>
            <w:vAlign w:val="center"/>
            <w:hideMark/>
          </w:tcPr>
          <w:p w14:paraId="326A5794"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4AE948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4F3CF2" w:rsidRPr="004F3CF2" w14:paraId="1366144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1605C6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8C696F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2599711F"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A9581D7"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4A2C4D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0.14</w:t>
            </w:r>
          </w:p>
        </w:tc>
      </w:tr>
      <w:tr w:rsidR="004F3CF2" w:rsidRPr="004F3CF2" w14:paraId="15A0D67A"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E245C5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Open defecation</w:t>
            </w:r>
          </w:p>
        </w:tc>
        <w:tc>
          <w:tcPr>
            <w:tcW w:w="268" w:type="dxa"/>
            <w:tcBorders>
              <w:top w:val="nil"/>
              <w:left w:val="nil"/>
              <w:bottom w:val="nil"/>
              <w:right w:val="nil"/>
            </w:tcBorders>
            <w:shd w:val="clear" w:color="000000" w:fill="FFFFFF"/>
            <w:vAlign w:val="center"/>
            <w:hideMark/>
          </w:tcPr>
          <w:p w14:paraId="63F6E45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1A3F2E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0.338 (0.065;0.610)</w:t>
            </w:r>
          </w:p>
        </w:tc>
        <w:tc>
          <w:tcPr>
            <w:tcW w:w="268" w:type="dxa"/>
            <w:tcBorders>
              <w:top w:val="nil"/>
              <w:left w:val="single" w:sz="8" w:space="0" w:color="auto"/>
              <w:bottom w:val="nil"/>
              <w:right w:val="nil"/>
            </w:tcBorders>
            <w:shd w:val="clear" w:color="000000" w:fill="FFFFFF"/>
            <w:vAlign w:val="center"/>
            <w:hideMark/>
          </w:tcPr>
          <w:p w14:paraId="59AA019F"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A0D271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0.236 (0.032;0.44)</w:t>
            </w:r>
          </w:p>
        </w:tc>
      </w:tr>
      <w:tr w:rsidR="004F3CF2" w:rsidRPr="004F3CF2" w14:paraId="63D2AAB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650C03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of population )</w:t>
            </w:r>
          </w:p>
        </w:tc>
        <w:tc>
          <w:tcPr>
            <w:tcW w:w="268" w:type="dxa"/>
            <w:tcBorders>
              <w:top w:val="nil"/>
              <w:left w:val="nil"/>
              <w:bottom w:val="nil"/>
              <w:right w:val="nil"/>
            </w:tcBorders>
            <w:shd w:val="clear" w:color="000000" w:fill="FFFFFF"/>
            <w:vAlign w:val="center"/>
            <w:hideMark/>
          </w:tcPr>
          <w:p w14:paraId="72EBCDA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B3D9CA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0.015</w:t>
            </w:r>
          </w:p>
        </w:tc>
        <w:tc>
          <w:tcPr>
            <w:tcW w:w="268" w:type="dxa"/>
            <w:tcBorders>
              <w:top w:val="nil"/>
              <w:left w:val="single" w:sz="8" w:space="0" w:color="auto"/>
              <w:bottom w:val="nil"/>
              <w:right w:val="nil"/>
            </w:tcBorders>
            <w:shd w:val="clear" w:color="000000" w:fill="FFFFFF"/>
            <w:vAlign w:val="center"/>
            <w:hideMark/>
          </w:tcPr>
          <w:p w14:paraId="65AF2E18"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C884BD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0.024</w:t>
            </w:r>
          </w:p>
        </w:tc>
      </w:tr>
      <w:tr w:rsidR="004F3CF2" w:rsidRPr="004F3CF2" w14:paraId="2DF6C8E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3EBCAA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7CA4DE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71B333E"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9899E54"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7F8BB6F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0.003</w:t>
            </w:r>
          </w:p>
        </w:tc>
      </w:tr>
      <w:tr w:rsidR="004F3CF2" w:rsidRPr="004F3CF2" w14:paraId="2C65B47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F86B93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Improved drinking water source</w:t>
            </w:r>
          </w:p>
        </w:tc>
        <w:tc>
          <w:tcPr>
            <w:tcW w:w="268" w:type="dxa"/>
            <w:tcBorders>
              <w:top w:val="nil"/>
              <w:left w:val="nil"/>
              <w:bottom w:val="nil"/>
              <w:right w:val="nil"/>
            </w:tcBorders>
            <w:shd w:val="clear" w:color="000000" w:fill="FFFFFF"/>
            <w:vAlign w:val="center"/>
            <w:hideMark/>
          </w:tcPr>
          <w:p w14:paraId="1E7C1E4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AA2D66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-0.031 (-0.131;0.069)</w:t>
            </w:r>
          </w:p>
        </w:tc>
        <w:tc>
          <w:tcPr>
            <w:tcW w:w="268" w:type="dxa"/>
            <w:tcBorders>
              <w:top w:val="nil"/>
              <w:left w:val="single" w:sz="8" w:space="0" w:color="auto"/>
              <w:bottom w:val="nil"/>
              <w:right w:val="nil"/>
            </w:tcBorders>
            <w:shd w:val="clear" w:color="000000" w:fill="FFFFFF"/>
            <w:vAlign w:val="center"/>
            <w:hideMark/>
          </w:tcPr>
          <w:p w14:paraId="7408C96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023119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077934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4C98D2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of population)</w:t>
            </w:r>
          </w:p>
        </w:tc>
        <w:tc>
          <w:tcPr>
            <w:tcW w:w="268" w:type="dxa"/>
            <w:tcBorders>
              <w:top w:val="nil"/>
              <w:left w:val="nil"/>
              <w:bottom w:val="nil"/>
              <w:right w:val="nil"/>
            </w:tcBorders>
            <w:shd w:val="clear" w:color="000000" w:fill="FFFFFF"/>
            <w:vAlign w:val="center"/>
            <w:hideMark/>
          </w:tcPr>
          <w:p w14:paraId="5337F88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5469FE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0.551</w:t>
            </w:r>
          </w:p>
        </w:tc>
        <w:tc>
          <w:tcPr>
            <w:tcW w:w="268" w:type="dxa"/>
            <w:tcBorders>
              <w:top w:val="nil"/>
              <w:left w:val="single" w:sz="8" w:space="0" w:color="auto"/>
              <w:bottom w:val="nil"/>
              <w:right w:val="nil"/>
            </w:tcBorders>
            <w:shd w:val="clear" w:color="000000" w:fill="FFFFFF"/>
            <w:vAlign w:val="center"/>
            <w:hideMark/>
          </w:tcPr>
          <w:p w14:paraId="2171054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7E3927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2D7CC8"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659409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910A79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EFB376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68976E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2A3923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A373144" w14:textId="77777777" w:rsidTr="00281F74">
        <w:trPr>
          <w:trHeight w:val="307"/>
        </w:trPr>
        <w:tc>
          <w:tcPr>
            <w:tcW w:w="4108" w:type="dxa"/>
            <w:tcBorders>
              <w:top w:val="nil"/>
              <w:left w:val="single" w:sz="8" w:space="0" w:color="auto"/>
              <w:bottom w:val="single" w:sz="8" w:space="0" w:color="auto"/>
              <w:right w:val="nil"/>
            </w:tcBorders>
            <w:shd w:val="clear" w:color="000000" w:fill="D9D9D9"/>
            <w:vAlign w:val="center"/>
            <w:hideMark/>
          </w:tcPr>
          <w:p w14:paraId="0418E9F7"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4AD44C05"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1" w:type="dxa"/>
            <w:tcBorders>
              <w:top w:val="nil"/>
              <w:left w:val="nil"/>
              <w:bottom w:val="single" w:sz="8" w:space="0" w:color="auto"/>
              <w:right w:val="nil"/>
            </w:tcBorders>
            <w:shd w:val="clear" w:color="000000" w:fill="D9D9D9"/>
            <w:vAlign w:val="center"/>
            <w:hideMark/>
          </w:tcPr>
          <w:p w14:paraId="4D754ADC"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D9D9D9"/>
            <w:vAlign w:val="center"/>
            <w:hideMark/>
          </w:tcPr>
          <w:p w14:paraId="27C5BB1B"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D9D9D9"/>
            <w:vAlign w:val="center"/>
            <w:hideMark/>
          </w:tcPr>
          <w:p w14:paraId="67A7C4D6"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42%</w:t>
            </w:r>
          </w:p>
        </w:tc>
      </w:tr>
      <w:tr w:rsidR="004F3CF2" w:rsidRPr="004F3CF2" w14:paraId="4F81F80F"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2269CA48"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1 Model - Proximal: Individual-level variables</w:t>
            </w:r>
            <w:r w:rsidRPr="00265001">
              <w:rPr>
                <w:rFonts w:ascii="Helvetica" w:eastAsia="Times New Roman" w:hAnsi="Helvetica" w:cs="Helvetica"/>
                <w:b/>
                <w:bCs/>
                <w:color w:val="000000"/>
                <w:sz w:val="20"/>
                <w:szCs w:val="20"/>
                <w:vertAlign w:val="superscript"/>
                <w:lang w:val="en-CA" w:eastAsia="en-CA"/>
              </w:rPr>
              <w:t>e</w:t>
            </w:r>
          </w:p>
        </w:tc>
      </w:tr>
      <w:tr w:rsidR="004F3CF2" w:rsidRPr="004F3CF2" w14:paraId="1670956E"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4816315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Infections</w:t>
            </w:r>
          </w:p>
        </w:tc>
      </w:tr>
      <w:tr w:rsidR="004F3CF2" w:rsidRPr="004F3CF2" w14:paraId="6A540BA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8214BD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infection</w:t>
            </w:r>
          </w:p>
        </w:tc>
        <w:tc>
          <w:tcPr>
            <w:tcW w:w="268" w:type="dxa"/>
            <w:tcBorders>
              <w:top w:val="nil"/>
              <w:left w:val="nil"/>
              <w:bottom w:val="nil"/>
              <w:right w:val="nil"/>
            </w:tcBorders>
            <w:shd w:val="clear" w:color="000000" w:fill="FFFFFF"/>
            <w:vAlign w:val="center"/>
            <w:hideMark/>
          </w:tcPr>
          <w:p w14:paraId="3068524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D28298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-0.012 (-0.225;0.201)</w:t>
            </w:r>
          </w:p>
        </w:tc>
        <w:tc>
          <w:tcPr>
            <w:tcW w:w="268" w:type="dxa"/>
            <w:tcBorders>
              <w:top w:val="nil"/>
              <w:left w:val="single" w:sz="8" w:space="0" w:color="auto"/>
              <w:bottom w:val="nil"/>
              <w:right w:val="nil"/>
            </w:tcBorders>
            <w:shd w:val="clear" w:color="000000" w:fill="FFFFFF"/>
            <w:vAlign w:val="center"/>
            <w:hideMark/>
          </w:tcPr>
          <w:p w14:paraId="78CF114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AD722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C41AFD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550D10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8" w:type="dxa"/>
            <w:tcBorders>
              <w:top w:val="nil"/>
              <w:left w:val="nil"/>
              <w:bottom w:val="nil"/>
              <w:right w:val="nil"/>
            </w:tcBorders>
            <w:shd w:val="clear" w:color="000000" w:fill="FFFFFF"/>
            <w:vAlign w:val="center"/>
            <w:hideMark/>
          </w:tcPr>
          <w:p w14:paraId="786ECF1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E0B298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0.909</w:t>
            </w:r>
          </w:p>
        </w:tc>
        <w:tc>
          <w:tcPr>
            <w:tcW w:w="268" w:type="dxa"/>
            <w:tcBorders>
              <w:top w:val="nil"/>
              <w:left w:val="single" w:sz="8" w:space="0" w:color="auto"/>
              <w:bottom w:val="nil"/>
              <w:right w:val="nil"/>
            </w:tcBorders>
            <w:shd w:val="clear" w:color="000000" w:fill="FFFFFF"/>
            <w:vAlign w:val="center"/>
            <w:hideMark/>
          </w:tcPr>
          <w:p w14:paraId="1D45E6A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DAE8C1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E16007A"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F02ADC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4D0B43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59F239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524F78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3639AFB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7A6A24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D1D26B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Diarrhoea infection</w:t>
            </w:r>
          </w:p>
        </w:tc>
        <w:tc>
          <w:tcPr>
            <w:tcW w:w="268" w:type="dxa"/>
            <w:tcBorders>
              <w:top w:val="nil"/>
              <w:left w:val="nil"/>
              <w:bottom w:val="nil"/>
              <w:right w:val="nil"/>
            </w:tcBorders>
            <w:shd w:val="clear" w:color="000000" w:fill="FFFFFF"/>
            <w:vAlign w:val="center"/>
            <w:hideMark/>
          </w:tcPr>
          <w:p w14:paraId="3263A8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44ADF6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0.132 (-0.139;0.403)</w:t>
            </w:r>
          </w:p>
        </w:tc>
        <w:tc>
          <w:tcPr>
            <w:tcW w:w="268" w:type="dxa"/>
            <w:tcBorders>
              <w:top w:val="nil"/>
              <w:left w:val="single" w:sz="8" w:space="0" w:color="auto"/>
              <w:bottom w:val="nil"/>
              <w:right w:val="nil"/>
            </w:tcBorders>
            <w:shd w:val="clear" w:color="000000" w:fill="FFFFFF"/>
            <w:vAlign w:val="center"/>
            <w:hideMark/>
          </w:tcPr>
          <w:p w14:paraId="37690AC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3CF02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364DEA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EAB77A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8" w:type="dxa"/>
            <w:tcBorders>
              <w:top w:val="nil"/>
              <w:left w:val="nil"/>
              <w:bottom w:val="nil"/>
              <w:right w:val="nil"/>
            </w:tcBorders>
            <w:shd w:val="clear" w:color="000000" w:fill="FFFFFF"/>
            <w:vAlign w:val="center"/>
            <w:hideMark/>
          </w:tcPr>
          <w:p w14:paraId="731AD6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79399E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0.341</w:t>
            </w:r>
          </w:p>
        </w:tc>
        <w:tc>
          <w:tcPr>
            <w:tcW w:w="268" w:type="dxa"/>
            <w:tcBorders>
              <w:top w:val="nil"/>
              <w:left w:val="single" w:sz="8" w:space="0" w:color="auto"/>
              <w:bottom w:val="nil"/>
              <w:right w:val="nil"/>
            </w:tcBorders>
            <w:shd w:val="clear" w:color="000000" w:fill="FFFFFF"/>
            <w:vAlign w:val="center"/>
            <w:hideMark/>
          </w:tcPr>
          <w:p w14:paraId="248313B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3976E0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A6119A7"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FBDA96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A18588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3097FA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1E73C5A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5A7234D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383B54"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A2212CE"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Child characteristics</w:t>
            </w:r>
          </w:p>
        </w:tc>
      </w:tr>
      <w:tr w:rsidR="004F3CF2" w:rsidRPr="004F3CF2" w14:paraId="01706BE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049053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Low birthweight</w:t>
            </w:r>
          </w:p>
        </w:tc>
        <w:tc>
          <w:tcPr>
            <w:tcW w:w="268" w:type="dxa"/>
            <w:tcBorders>
              <w:top w:val="nil"/>
              <w:left w:val="nil"/>
              <w:bottom w:val="nil"/>
              <w:right w:val="nil"/>
            </w:tcBorders>
            <w:shd w:val="clear" w:color="000000" w:fill="FFFFFF"/>
            <w:vAlign w:val="center"/>
            <w:hideMark/>
          </w:tcPr>
          <w:p w14:paraId="2C59166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0BDFD1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-0.121 (-0.583;0.341)</w:t>
            </w:r>
          </w:p>
        </w:tc>
        <w:tc>
          <w:tcPr>
            <w:tcW w:w="268" w:type="dxa"/>
            <w:tcBorders>
              <w:top w:val="nil"/>
              <w:left w:val="single" w:sz="8" w:space="0" w:color="auto"/>
              <w:bottom w:val="nil"/>
              <w:right w:val="nil"/>
            </w:tcBorders>
            <w:shd w:val="clear" w:color="000000" w:fill="FFFFFF"/>
            <w:vAlign w:val="center"/>
            <w:hideMark/>
          </w:tcPr>
          <w:p w14:paraId="43A3E6C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1D91E6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1487D6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0E7400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8" w:type="dxa"/>
            <w:tcBorders>
              <w:top w:val="nil"/>
              <w:left w:val="nil"/>
              <w:bottom w:val="nil"/>
              <w:right w:val="nil"/>
            </w:tcBorders>
            <w:shd w:val="clear" w:color="000000" w:fill="FFFFFF"/>
            <w:vAlign w:val="center"/>
            <w:hideMark/>
          </w:tcPr>
          <w:p w14:paraId="52901A3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D4B6AC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0.608</w:t>
            </w:r>
          </w:p>
        </w:tc>
        <w:tc>
          <w:tcPr>
            <w:tcW w:w="268" w:type="dxa"/>
            <w:tcBorders>
              <w:top w:val="nil"/>
              <w:left w:val="single" w:sz="8" w:space="0" w:color="auto"/>
              <w:bottom w:val="nil"/>
              <w:right w:val="nil"/>
            </w:tcBorders>
            <w:shd w:val="clear" w:color="000000" w:fill="FFFFFF"/>
            <w:vAlign w:val="center"/>
            <w:hideMark/>
          </w:tcPr>
          <w:p w14:paraId="514B4AB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07E888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85A1B66" w14:textId="77777777" w:rsidTr="00281F74">
        <w:trPr>
          <w:trHeight w:val="278"/>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4FFDAD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67C598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B846D6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626714C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7955E9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91C4724"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3D9E469"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Maternal characteristics</w:t>
            </w:r>
          </w:p>
        </w:tc>
      </w:tr>
      <w:tr w:rsidR="004F3CF2" w:rsidRPr="004F3CF2" w14:paraId="6B91F16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CE2165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Anemia</w:t>
            </w:r>
          </w:p>
        </w:tc>
        <w:tc>
          <w:tcPr>
            <w:tcW w:w="268" w:type="dxa"/>
            <w:tcBorders>
              <w:top w:val="nil"/>
              <w:left w:val="nil"/>
              <w:bottom w:val="nil"/>
              <w:right w:val="nil"/>
            </w:tcBorders>
            <w:shd w:val="clear" w:color="000000" w:fill="FFFFFF"/>
            <w:vAlign w:val="center"/>
            <w:hideMark/>
          </w:tcPr>
          <w:p w14:paraId="188078A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3A15F1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0.022 (-0.174;0.218)</w:t>
            </w:r>
          </w:p>
        </w:tc>
        <w:tc>
          <w:tcPr>
            <w:tcW w:w="268" w:type="dxa"/>
            <w:tcBorders>
              <w:top w:val="nil"/>
              <w:left w:val="single" w:sz="8" w:space="0" w:color="auto"/>
              <w:bottom w:val="nil"/>
              <w:right w:val="nil"/>
            </w:tcBorders>
            <w:shd w:val="clear" w:color="000000" w:fill="FFFFFF"/>
            <w:vAlign w:val="center"/>
            <w:hideMark/>
          </w:tcPr>
          <w:p w14:paraId="30CA70B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153EC0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88C76F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8E6CCB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women 15-49 years)</w:t>
            </w:r>
          </w:p>
        </w:tc>
        <w:tc>
          <w:tcPr>
            <w:tcW w:w="268" w:type="dxa"/>
            <w:tcBorders>
              <w:top w:val="nil"/>
              <w:left w:val="nil"/>
              <w:bottom w:val="nil"/>
              <w:right w:val="nil"/>
            </w:tcBorders>
            <w:shd w:val="clear" w:color="000000" w:fill="FFFFFF"/>
            <w:vAlign w:val="center"/>
            <w:hideMark/>
          </w:tcPr>
          <w:p w14:paraId="294964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F90F89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0.829</w:t>
            </w:r>
          </w:p>
        </w:tc>
        <w:tc>
          <w:tcPr>
            <w:tcW w:w="268" w:type="dxa"/>
            <w:tcBorders>
              <w:top w:val="nil"/>
              <w:left w:val="single" w:sz="8" w:space="0" w:color="auto"/>
              <w:bottom w:val="nil"/>
              <w:right w:val="nil"/>
            </w:tcBorders>
            <w:shd w:val="clear" w:color="000000" w:fill="FFFFFF"/>
            <w:vAlign w:val="center"/>
            <w:hideMark/>
          </w:tcPr>
          <w:p w14:paraId="779D312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472F0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777E6AE"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FBB8AD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8CA0FA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AC85B2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35ECCC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6E3AD3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F7D081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DD9455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Young mother births (&lt;18 years)</w:t>
            </w:r>
          </w:p>
        </w:tc>
        <w:tc>
          <w:tcPr>
            <w:tcW w:w="268" w:type="dxa"/>
            <w:tcBorders>
              <w:top w:val="nil"/>
              <w:left w:val="nil"/>
              <w:bottom w:val="nil"/>
              <w:right w:val="nil"/>
            </w:tcBorders>
            <w:shd w:val="clear" w:color="000000" w:fill="FFFFFF"/>
            <w:vAlign w:val="center"/>
            <w:hideMark/>
          </w:tcPr>
          <w:p w14:paraId="3345701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9EB2F7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0.221 (-0.543;0.985)</w:t>
            </w:r>
          </w:p>
        </w:tc>
        <w:tc>
          <w:tcPr>
            <w:tcW w:w="268" w:type="dxa"/>
            <w:tcBorders>
              <w:top w:val="nil"/>
              <w:left w:val="single" w:sz="8" w:space="0" w:color="auto"/>
              <w:bottom w:val="nil"/>
              <w:right w:val="nil"/>
            </w:tcBorders>
            <w:shd w:val="clear" w:color="000000" w:fill="FFFFFF"/>
            <w:vAlign w:val="center"/>
            <w:hideMark/>
          </w:tcPr>
          <w:p w14:paraId="1E89297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F08CBB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0D4C2C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AAD6DC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births within last 5 years)</w:t>
            </w:r>
          </w:p>
        </w:tc>
        <w:tc>
          <w:tcPr>
            <w:tcW w:w="268" w:type="dxa"/>
            <w:tcBorders>
              <w:top w:val="nil"/>
              <w:left w:val="nil"/>
              <w:bottom w:val="nil"/>
              <w:right w:val="nil"/>
            </w:tcBorders>
            <w:shd w:val="clear" w:color="000000" w:fill="FFFFFF"/>
            <w:vAlign w:val="center"/>
            <w:hideMark/>
          </w:tcPr>
          <w:p w14:paraId="4A58F69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1F9828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0.571</w:t>
            </w:r>
          </w:p>
        </w:tc>
        <w:tc>
          <w:tcPr>
            <w:tcW w:w="268" w:type="dxa"/>
            <w:tcBorders>
              <w:top w:val="nil"/>
              <w:left w:val="single" w:sz="8" w:space="0" w:color="auto"/>
              <w:bottom w:val="nil"/>
              <w:right w:val="nil"/>
            </w:tcBorders>
            <w:shd w:val="clear" w:color="000000" w:fill="FFFFFF"/>
            <w:vAlign w:val="center"/>
            <w:hideMark/>
          </w:tcPr>
          <w:p w14:paraId="6C12712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A8BD0C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7101CD9"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D40078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C6DC6B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A6C7B6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6EC6BEA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598C511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029DF5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02F98D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BMI</w:t>
            </w:r>
          </w:p>
        </w:tc>
        <w:tc>
          <w:tcPr>
            <w:tcW w:w="268" w:type="dxa"/>
            <w:tcBorders>
              <w:top w:val="nil"/>
              <w:left w:val="nil"/>
              <w:bottom w:val="nil"/>
              <w:right w:val="nil"/>
            </w:tcBorders>
            <w:shd w:val="clear" w:color="000000" w:fill="FFFFFF"/>
            <w:vAlign w:val="center"/>
            <w:hideMark/>
          </w:tcPr>
          <w:p w14:paraId="7D0701B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0D9974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-2.129 (-5.179;0.919)</w:t>
            </w:r>
          </w:p>
        </w:tc>
        <w:tc>
          <w:tcPr>
            <w:tcW w:w="268" w:type="dxa"/>
            <w:tcBorders>
              <w:top w:val="nil"/>
              <w:left w:val="single" w:sz="8" w:space="0" w:color="auto"/>
              <w:bottom w:val="nil"/>
              <w:right w:val="nil"/>
            </w:tcBorders>
            <w:shd w:val="clear" w:color="000000" w:fill="FFFFFF"/>
            <w:vAlign w:val="center"/>
            <w:hideMark/>
          </w:tcPr>
          <w:p w14:paraId="068C877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834799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8E0052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169D0A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8" w:type="dxa"/>
            <w:tcBorders>
              <w:top w:val="nil"/>
              <w:left w:val="nil"/>
              <w:bottom w:val="nil"/>
              <w:right w:val="nil"/>
            </w:tcBorders>
            <w:shd w:val="clear" w:color="000000" w:fill="FFFFFF"/>
            <w:vAlign w:val="center"/>
            <w:hideMark/>
          </w:tcPr>
          <w:p w14:paraId="2375FAB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020483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0.171</w:t>
            </w:r>
          </w:p>
        </w:tc>
        <w:tc>
          <w:tcPr>
            <w:tcW w:w="268" w:type="dxa"/>
            <w:tcBorders>
              <w:top w:val="nil"/>
              <w:left w:val="single" w:sz="8" w:space="0" w:color="auto"/>
              <w:bottom w:val="nil"/>
              <w:right w:val="nil"/>
            </w:tcBorders>
            <w:shd w:val="clear" w:color="000000" w:fill="FFFFFF"/>
            <w:vAlign w:val="center"/>
            <w:hideMark/>
          </w:tcPr>
          <w:p w14:paraId="717EA0D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1EC7F6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8774608"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532A39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2BB1D2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F59D1E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63D5A2D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5D506E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0B35F0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2C6608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Height</w:t>
            </w:r>
          </w:p>
        </w:tc>
        <w:tc>
          <w:tcPr>
            <w:tcW w:w="268" w:type="dxa"/>
            <w:tcBorders>
              <w:top w:val="nil"/>
              <w:left w:val="nil"/>
              <w:bottom w:val="nil"/>
              <w:right w:val="nil"/>
            </w:tcBorders>
            <w:shd w:val="clear" w:color="000000" w:fill="FFFFFF"/>
            <w:vAlign w:val="center"/>
            <w:hideMark/>
          </w:tcPr>
          <w:p w14:paraId="0F71B05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7862A1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-1.285 (-3.030;0.460)</w:t>
            </w:r>
          </w:p>
        </w:tc>
        <w:tc>
          <w:tcPr>
            <w:tcW w:w="268" w:type="dxa"/>
            <w:tcBorders>
              <w:top w:val="nil"/>
              <w:left w:val="single" w:sz="8" w:space="0" w:color="auto"/>
              <w:bottom w:val="nil"/>
              <w:right w:val="nil"/>
            </w:tcBorders>
            <w:shd w:val="clear" w:color="000000" w:fill="FFFFFF"/>
            <w:vAlign w:val="center"/>
            <w:hideMark/>
          </w:tcPr>
          <w:p w14:paraId="110A495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2AD62C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CE694B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C50AD1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8" w:type="dxa"/>
            <w:tcBorders>
              <w:top w:val="nil"/>
              <w:left w:val="nil"/>
              <w:bottom w:val="nil"/>
              <w:right w:val="nil"/>
            </w:tcBorders>
            <w:shd w:val="clear" w:color="000000" w:fill="FFFFFF"/>
            <w:vAlign w:val="center"/>
            <w:hideMark/>
          </w:tcPr>
          <w:p w14:paraId="1E0D0B4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5762D9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0.149</w:t>
            </w:r>
          </w:p>
        </w:tc>
        <w:tc>
          <w:tcPr>
            <w:tcW w:w="268" w:type="dxa"/>
            <w:tcBorders>
              <w:top w:val="nil"/>
              <w:left w:val="single" w:sz="8" w:space="0" w:color="auto"/>
              <w:bottom w:val="nil"/>
              <w:right w:val="nil"/>
            </w:tcBorders>
            <w:shd w:val="clear" w:color="000000" w:fill="FFFFFF"/>
            <w:vAlign w:val="center"/>
            <w:hideMark/>
          </w:tcPr>
          <w:p w14:paraId="51BF8CF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C8F9F7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4503A83"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4E4188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D8EE4F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DF2A85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31316F9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5093E1F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9C54E6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4E18A8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Interpregnancy interval</w:t>
            </w:r>
          </w:p>
        </w:tc>
        <w:tc>
          <w:tcPr>
            <w:tcW w:w="268" w:type="dxa"/>
            <w:tcBorders>
              <w:top w:val="nil"/>
              <w:left w:val="nil"/>
              <w:bottom w:val="nil"/>
              <w:right w:val="nil"/>
            </w:tcBorders>
            <w:shd w:val="clear" w:color="000000" w:fill="FFFFFF"/>
            <w:vAlign w:val="center"/>
            <w:hideMark/>
          </w:tcPr>
          <w:p w14:paraId="7B8B6BA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EAEAC8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0.161 (-0.083;0.404)</w:t>
            </w:r>
          </w:p>
        </w:tc>
        <w:tc>
          <w:tcPr>
            <w:tcW w:w="268" w:type="dxa"/>
            <w:tcBorders>
              <w:top w:val="nil"/>
              <w:left w:val="single" w:sz="8" w:space="0" w:color="auto"/>
              <w:bottom w:val="nil"/>
              <w:right w:val="nil"/>
            </w:tcBorders>
            <w:shd w:val="clear" w:color="000000" w:fill="FFFFFF"/>
            <w:vAlign w:val="center"/>
            <w:hideMark/>
          </w:tcPr>
          <w:p w14:paraId="7E1CB6F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EA4F7D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7A706F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15E521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mothers 15-49 years)</w:t>
            </w:r>
          </w:p>
        </w:tc>
        <w:tc>
          <w:tcPr>
            <w:tcW w:w="268" w:type="dxa"/>
            <w:tcBorders>
              <w:top w:val="nil"/>
              <w:left w:val="nil"/>
              <w:bottom w:val="nil"/>
              <w:right w:val="nil"/>
            </w:tcBorders>
            <w:shd w:val="clear" w:color="000000" w:fill="FFFFFF"/>
            <w:vAlign w:val="center"/>
            <w:hideMark/>
          </w:tcPr>
          <w:p w14:paraId="4A80E3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DB5AAC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0.196</w:t>
            </w:r>
          </w:p>
        </w:tc>
        <w:tc>
          <w:tcPr>
            <w:tcW w:w="268" w:type="dxa"/>
            <w:tcBorders>
              <w:top w:val="nil"/>
              <w:left w:val="single" w:sz="8" w:space="0" w:color="auto"/>
              <w:bottom w:val="nil"/>
              <w:right w:val="nil"/>
            </w:tcBorders>
            <w:shd w:val="clear" w:color="000000" w:fill="FFFFFF"/>
            <w:vAlign w:val="center"/>
            <w:hideMark/>
          </w:tcPr>
          <w:p w14:paraId="4D659BC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E15714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C9262B0"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DC3BDC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9533E2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9850C8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03D87A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389125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F7A11EA"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6E0B8C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Age</w:t>
            </w:r>
          </w:p>
        </w:tc>
        <w:tc>
          <w:tcPr>
            <w:tcW w:w="268" w:type="dxa"/>
            <w:tcBorders>
              <w:top w:val="nil"/>
              <w:left w:val="nil"/>
              <w:bottom w:val="nil"/>
              <w:right w:val="nil"/>
            </w:tcBorders>
            <w:shd w:val="clear" w:color="000000" w:fill="FFFFFF"/>
            <w:vAlign w:val="center"/>
            <w:hideMark/>
          </w:tcPr>
          <w:p w14:paraId="561E79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A28D67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-1.617 (-2.795;-0.439)</w:t>
            </w:r>
          </w:p>
        </w:tc>
        <w:tc>
          <w:tcPr>
            <w:tcW w:w="268" w:type="dxa"/>
            <w:tcBorders>
              <w:top w:val="nil"/>
              <w:left w:val="single" w:sz="8" w:space="0" w:color="auto"/>
              <w:bottom w:val="nil"/>
              <w:right w:val="nil"/>
            </w:tcBorders>
            <w:shd w:val="clear" w:color="000000" w:fill="FFFFFF"/>
            <w:vAlign w:val="center"/>
            <w:hideMark/>
          </w:tcPr>
          <w:p w14:paraId="3BB90D7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547685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-1.552 (-2.702;-0.402)</w:t>
            </w:r>
          </w:p>
        </w:tc>
      </w:tr>
      <w:tr w:rsidR="004F3CF2" w:rsidRPr="004F3CF2" w14:paraId="733E69E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90E2F1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w:t>
            </w:r>
          </w:p>
        </w:tc>
        <w:tc>
          <w:tcPr>
            <w:tcW w:w="268" w:type="dxa"/>
            <w:tcBorders>
              <w:top w:val="nil"/>
              <w:left w:val="nil"/>
              <w:bottom w:val="nil"/>
              <w:right w:val="nil"/>
            </w:tcBorders>
            <w:shd w:val="clear" w:color="000000" w:fill="FFFFFF"/>
            <w:vAlign w:val="center"/>
            <w:hideMark/>
          </w:tcPr>
          <w:p w14:paraId="6030C96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AABB55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0.007</w:t>
            </w:r>
          </w:p>
        </w:tc>
        <w:tc>
          <w:tcPr>
            <w:tcW w:w="268" w:type="dxa"/>
            <w:tcBorders>
              <w:top w:val="nil"/>
              <w:left w:val="single" w:sz="8" w:space="0" w:color="auto"/>
              <w:bottom w:val="nil"/>
              <w:right w:val="nil"/>
            </w:tcBorders>
            <w:shd w:val="clear" w:color="000000" w:fill="FFFFFF"/>
            <w:vAlign w:val="center"/>
            <w:hideMark/>
          </w:tcPr>
          <w:p w14:paraId="385959B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6D2E23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0.008</w:t>
            </w:r>
          </w:p>
        </w:tc>
      </w:tr>
      <w:tr w:rsidR="004F3CF2" w:rsidRPr="004F3CF2" w14:paraId="5E9F8061"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C715C5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3EF7F7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75F9011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6CABD6E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760260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0.08</w:t>
            </w:r>
          </w:p>
        </w:tc>
      </w:tr>
      <w:tr w:rsidR="004F3CF2" w:rsidRPr="004F3CF2" w14:paraId="50A45A9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80CFF0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Total fertility rate</w:t>
            </w:r>
          </w:p>
        </w:tc>
        <w:tc>
          <w:tcPr>
            <w:tcW w:w="268" w:type="dxa"/>
            <w:tcBorders>
              <w:top w:val="nil"/>
              <w:left w:val="nil"/>
              <w:bottom w:val="nil"/>
              <w:right w:val="nil"/>
            </w:tcBorders>
            <w:shd w:val="clear" w:color="000000" w:fill="FFFFFF"/>
            <w:vAlign w:val="center"/>
            <w:hideMark/>
          </w:tcPr>
          <w:p w14:paraId="15A077B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81CE4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2.291 (-0.429;5.011)</w:t>
            </w:r>
          </w:p>
        </w:tc>
        <w:tc>
          <w:tcPr>
            <w:tcW w:w="268" w:type="dxa"/>
            <w:tcBorders>
              <w:top w:val="nil"/>
              <w:left w:val="single" w:sz="8" w:space="0" w:color="auto"/>
              <w:bottom w:val="nil"/>
              <w:right w:val="nil"/>
            </w:tcBorders>
            <w:shd w:val="clear" w:color="000000" w:fill="FFFFFF"/>
            <w:vAlign w:val="center"/>
            <w:hideMark/>
          </w:tcPr>
          <w:p w14:paraId="178226A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77108AA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323DF7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C356EE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(mean, mothers 15-49 years)</w:t>
            </w:r>
          </w:p>
        </w:tc>
        <w:tc>
          <w:tcPr>
            <w:tcW w:w="268" w:type="dxa"/>
            <w:tcBorders>
              <w:top w:val="nil"/>
              <w:left w:val="nil"/>
              <w:bottom w:val="nil"/>
              <w:right w:val="nil"/>
            </w:tcBorders>
            <w:shd w:val="clear" w:color="000000" w:fill="FFFFFF"/>
            <w:vAlign w:val="center"/>
            <w:hideMark/>
          </w:tcPr>
          <w:p w14:paraId="38EBCE3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953B0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0.099</w:t>
            </w:r>
          </w:p>
        </w:tc>
        <w:tc>
          <w:tcPr>
            <w:tcW w:w="268" w:type="dxa"/>
            <w:tcBorders>
              <w:top w:val="nil"/>
              <w:left w:val="single" w:sz="8" w:space="0" w:color="auto"/>
              <w:bottom w:val="nil"/>
              <w:right w:val="nil"/>
            </w:tcBorders>
            <w:shd w:val="clear" w:color="000000" w:fill="FFFFFF"/>
            <w:vAlign w:val="center"/>
            <w:hideMark/>
          </w:tcPr>
          <w:p w14:paraId="2AA652F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49C9F0B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F43F54"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2419DC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A4F575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30D6F30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13663D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5EA19C4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2EB6D74" w14:textId="77777777" w:rsidTr="00281F74">
        <w:trPr>
          <w:trHeight w:val="307"/>
        </w:trPr>
        <w:tc>
          <w:tcPr>
            <w:tcW w:w="4108" w:type="dxa"/>
            <w:tcBorders>
              <w:top w:val="nil"/>
              <w:left w:val="single" w:sz="8" w:space="0" w:color="auto"/>
              <w:bottom w:val="single" w:sz="8" w:space="0" w:color="auto"/>
              <w:right w:val="nil"/>
            </w:tcBorders>
            <w:shd w:val="clear" w:color="000000" w:fill="D9D9D9"/>
            <w:vAlign w:val="center"/>
            <w:hideMark/>
          </w:tcPr>
          <w:p w14:paraId="4D2E71ED"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09D5670B"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nil"/>
            </w:tcBorders>
            <w:shd w:val="clear" w:color="000000" w:fill="D9D9D9"/>
            <w:vAlign w:val="center"/>
            <w:hideMark/>
          </w:tcPr>
          <w:p w14:paraId="5ADED195"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D9D9D9"/>
            <w:vAlign w:val="center"/>
            <w:hideMark/>
          </w:tcPr>
          <w:p w14:paraId="311B3100"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D9D9D9"/>
            <w:vAlign w:val="center"/>
            <w:hideMark/>
          </w:tcPr>
          <w:p w14:paraId="7B3387BE"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42%</w:t>
            </w:r>
          </w:p>
        </w:tc>
      </w:tr>
      <w:tr w:rsidR="004F3CF2" w:rsidRPr="004F3CF2" w14:paraId="57095186"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1CD29E22"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w:t>
            </w:r>
          </w:p>
        </w:tc>
      </w:tr>
      <w:tr w:rsidR="004F3CF2" w:rsidRPr="004F3CF2" w14:paraId="00CDA061"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1B8963F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Time</w:t>
            </w:r>
          </w:p>
        </w:tc>
      </w:tr>
      <w:tr w:rsidR="004F3CF2" w:rsidRPr="004F3CF2" w14:paraId="30185DC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B8E56F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Year</w:t>
            </w:r>
          </w:p>
        </w:tc>
        <w:tc>
          <w:tcPr>
            <w:tcW w:w="268" w:type="dxa"/>
            <w:tcBorders>
              <w:top w:val="nil"/>
              <w:left w:val="nil"/>
              <w:bottom w:val="nil"/>
              <w:right w:val="nil"/>
            </w:tcBorders>
            <w:shd w:val="clear" w:color="000000" w:fill="FFFFFF"/>
            <w:vAlign w:val="center"/>
            <w:hideMark/>
          </w:tcPr>
          <w:p w14:paraId="4EAA541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769A59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-0.722 (-1.112;-0.328)</w:t>
            </w:r>
          </w:p>
        </w:tc>
        <w:tc>
          <w:tcPr>
            <w:tcW w:w="268" w:type="dxa"/>
            <w:tcBorders>
              <w:top w:val="nil"/>
              <w:left w:val="single" w:sz="8" w:space="0" w:color="auto"/>
              <w:bottom w:val="nil"/>
              <w:right w:val="nil"/>
            </w:tcBorders>
            <w:shd w:val="clear" w:color="000000" w:fill="FFFFFF"/>
            <w:vAlign w:val="center"/>
            <w:hideMark/>
          </w:tcPr>
          <w:p w14:paraId="2B026F84"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177CF6E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0.077 (-0.509;0.662)</w:t>
            </w:r>
          </w:p>
        </w:tc>
      </w:tr>
      <w:tr w:rsidR="004F3CF2" w:rsidRPr="004F3CF2" w14:paraId="74F1D0E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1D3343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0E86613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44D63C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68" w:type="dxa"/>
            <w:tcBorders>
              <w:top w:val="nil"/>
              <w:left w:val="single" w:sz="8" w:space="0" w:color="auto"/>
              <w:bottom w:val="nil"/>
              <w:right w:val="nil"/>
            </w:tcBorders>
            <w:shd w:val="clear" w:color="000000" w:fill="FFFFFF"/>
            <w:vAlign w:val="center"/>
            <w:hideMark/>
          </w:tcPr>
          <w:p w14:paraId="37F8FA52"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65A7E46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0.798</w:t>
            </w:r>
          </w:p>
        </w:tc>
      </w:tr>
      <w:tr w:rsidR="004F3CF2" w:rsidRPr="004F3CF2" w14:paraId="38DBCDDF"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BE8226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37DC13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5A68FF37"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913C457"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565FEB8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0.001</w:t>
            </w:r>
          </w:p>
        </w:tc>
      </w:tr>
    </w:tbl>
    <w:p w14:paraId="6375BB74" w14:textId="77777777" w:rsidR="004F3CF2" w:rsidRPr="004F3CF2" w:rsidRDefault="004F3CF2" w:rsidP="004F3CF2">
      <w:pPr>
        <w:rPr>
          <w:rFonts w:ascii="Helvetica" w:hAnsi="Helvetica" w:cs="Helvetica"/>
          <w:color w:val="000000" w:themeColor="text1"/>
          <w:sz w:val="22"/>
          <w:szCs w:val="22"/>
        </w:rPr>
      </w:pPr>
    </w:p>
    <w:tbl>
      <w:tblPr>
        <w:tblW w:w="14234" w:type="dxa"/>
        <w:tblInd w:w="-450" w:type="dxa"/>
        <w:tblLayout w:type="fixed"/>
        <w:tblLook w:val="04A0" w:firstRow="1" w:lastRow="0" w:firstColumn="1" w:lastColumn="0" w:noHBand="0" w:noVBand="1"/>
      </w:tblPr>
      <w:tblGrid>
        <w:gridCol w:w="13980"/>
        <w:gridCol w:w="254"/>
      </w:tblGrid>
      <w:tr w:rsidR="004F3CF2" w:rsidRPr="00265001" w14:paraId="79495289" w14:textId="77777777" w:rsidTr="00281F74">
        <w:trPr>
          <w:trHeight w:val="188"/>
        </w:trPr>
        <w:tc>
          <w:tcPr>
            <w:tcW w:w="14234" w:type="dxa"/>
            <w:gridSpan w:val="2"/>
            <w:tcBorders>
              <w:top w:val="nil"/>
              <w:left w:val="nil"/>
              <w:bottom w:val="nil"/>
              <w:right w:val="nil"/>
            </w:tcBorders>
            <w:shd w:val="clear" w:color="000000" w:fill="FFFFFF"/>
            <w:noWrap/>
            <w:vAlign w:val="center"/>
            <w:hideMark/>
          </w:tcPr>
          <w:p w14:paraId="36A52A02" w14:textId="77777777" w:rsidR="004F3CF2" w:rsidRPr="00265001" w:rsidRDefault="004F3CF2" w:rsidP="00281F74">
            <w:pPr>
              <w:ind w:right="4478"/>
              <w:rPr>
                <w:rFonts w:ascii="Helvetica" w:eastAsia="Times New Roman" w:hAnsi="Helvetica" w:cs="Helvetica"/>
                <w:color w:val="000000"/>
                <w:sz w:val="18"/>
                <w:szCs w:val="18"/>
                <w:u w:val="single"/>
              </w:rPr>
            </w:pPr>
            <w:r w:rsidRPr="00265001">
              <w:rPr>
                <w:rFonts w:ascii="Helvetica" w:eastAsia="Times New Roman" w:hAnsi="Helvetica" w:cs="Helvetica"/>
                <w:color w:val="000000"/>
                <w:sz w:val="18"/>
                <w:szCs w:val="18"/>
                <w:u w:val="single"/>
              </w:rPr>
              <w:t>Note:</w:t>
            </w:r>
            <w:r w:rsidRPr="00265001">
              <w:rPr>
                <w:rFonts w:ascii="Helvetica" w:eastAsia="Times New Roman" w:hAnsi="Helvetica" w:cs="Helvetica"/>
                <w:color w:val="000000"/>
                <w:sz w:val="18"/>
                <w:szCs w:val="18"/>
              </w:rPr>
              <w:t xml:space="preserve"> Variables significant at p&lt;0.20 in bivariate analysis were entered into linear multilevel mixed-effects models.</w:t>
            </w:r>
          </w:p>
        </w:tc>
      </w:tr>
      <w:tr w:rsidR="004F3CF2" w:rsidRPr="00265001" w14:paraId="402C72D2" w14:textId="77777777" w:rsidTr="00281F74">
        <w:trPr>
          <w:trHeight w:val="215"/>
        </w:trPr>
        <w:tc>
          <w:tcPr>
            <w:tcW w:w="13980" w:type="dxa"/>
            <w:tcBorders>
              <w:top w:val="nil"/>
              <w:left w:val="nil"/>
              <w:bottom w:val="nil"/>
              <w:right w:val="nil"/>
            </w:tcBorders>
            <w:shd w:val="clear" w:color="000000" w:fill="FFFFFF"/>
            <w:noWrap/>
            <w:vAlign w:val="center"/>
            <w:hideMark/>
          </w:tcPr>
          <w:p w14:paraId="0CF03A5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1 </w:t>
            </w:r>
            <w:r w:rsidRPr="00265001">
              <w:rPr>
                <w:rFonts w:ascii="Helvetica" w:eastAsia="Times New Roman" w:hAnsi="Helvetica" w:cs="Helvetica"/>
                <w:color w:val="000000"/>
                <w:sz w:val="18"/>
                <w:szCs w:val="18"/>
              </w:rPr>
              <w:t>Variables in each group are adjusted for all other variables in the same group or above.</w:t>
            </w:r>
          </w:p>
        </w:tc>
        <w:tc>
          <w:tcPr>
            <w:tcW w:w="254" w:type="dxa"/>
            <w:tcBorders>
              <w:top w:val="nil"/>
              <w:left w:val="nil"/>
              <w:bottom w:val="nil"/>
              <w:right w:val="nil"/>
            </w:tcBorders>
            <w:shd w:val="clear" w:color="000000" w:fill="FFFFFF"/>
            <w:noWrap/>
            <w:vAlign w:val="center"/>
            <w:hideMark/>
          </w:tcPr>
          <w:p w14:paraId="76FC17DD"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w:t>
            </w:r>
          </w:p>
        </w:tc>
      </w:tr>
      <w:tr w:rsidR="004F3CF2" w:rsidRPr="00265001" w14:paraId="4D3F287D" w14:textId="77777777" w:rsidTr="00281F74">
        <w:trPr>
          <w:trHeight w:val="635"/>
        </w:trPr>
        <w:tc>
          <w:tcPr>
            <w:tcW w:w="14234" w:type="dxa"/>
            <w:gridSpan w:val="2"/>
            <w:tcBorders>
              <w:top w:val="nil"/>
              <w:left w:val="nil"/>
              <w:bottom w:val="nil"/>
              <w:right w:val="nil"/>
            </w:tcBorders>
            <w:shd w:val="clear" w:color="000000" w:fill="FFFFFF"/>
            <w:vAlign w:val="center"/>
            <w:hideMark/>
          </w:tcPr>
          <w:p w14:paraId="043DADB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2 </w:t>
            </w:r>
            <w:r w:rsidRPr="00265001">
              <w:rPr>
                <w:rFonts w:ascii="Helvetica" w:eastAsia="Times New Roman" w:hAnsi="Helvetica" w:cs="Helvetica"/>
                <w:color w:val="000000"/>
                <w:sz w:val="18"/>
                <w:szCs w:val="18"/>
              </w:rPr>
              <w:t>Calculated using Cohen’s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to estimate effect size as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of the full model –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of the restricted model]/[1 -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of the full model]) with the restricted model excluding the variable to be evaluated (without the effect of interest) and with the random intercept variance constrained to be the same as the full model, and defined as: small effect with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0.02, medium effect with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0.15, and large effect with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0.35 (Cohen J.E., 1988).</w:t>
            </w:r>
          </w:p>
        </w:tc>
      </w:tr>
      <w:tr w:rsidR="004F3CF2" w:rsidRPr="00265001" w14:paraId="48528950" w14:textId="77777777" w:rsidTr="00281F74">
        <w:trPr>
          <w:trHeight w:val="418"/>
        </w:trPr>
        <w:tc>
          <w:tcPr>
            <w:tcW w:w="14234" w:type="dxa"/>
            <w:gridSpan w:val="2"/>
            <w:tcBorders>
              <w:top w:val="nil"/>
              <w:left w:val="nil"/>
              <w:bottom w:val="nil"/>
              <w:right w:val="nil"/>
            </w:tcBorders>
            <w:shd w:val="clear" w:color="000000" w:fill="FFFFFF"/>
            <w:vAlign w:val="center"/>
            <w:hideMark/>
          </w:tcPr>
          <w:p w14:paraId="0B0134C8"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3 </w:t>
            </w:r>
            <w:r w:rsidRPr="00265001">
              <w:rPr>
                <w:rFonts w:ascii="Helvetica" w:eastAsia="Times New Roman" w:hAnsi="Helvetica" w:cs="Helvetica"/>
                <w:color w:val="000000"/>
                <w:sz w:val="18"/>
                <w:szCs w:val="18"/>
              </w:rPr>
              <w:t>Calculated as ([residual variance component of null model - residual variance covariable model]/[residual variance null model]),  with the null model being (outcome and department).</w:t>
            </w:r>
          </w:p>
        </w:tc>
      </w:tr>
      <w:tr w:rsidR="004F3CF2" w:rsidRPr="00265001" w14:paraId="13672D86"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216AA5CB"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4</w:t>
            </w:r>
            <w:r w:rsidRPr="00265001">
              <w:rPr>
                <w:rFonts w:ascii="Helvetica" w:eastAsia="Times New Roman" w:hAnsi="Helvetica" w:cs="Helvetica"/>
                <w:color w:val="000000"/>
                <w:sz w:val="18"/>
                <w:szCs w:val="18"/>
              </w:rPr>
              <w:t xml:space="preserve">Comprehensive Health Insurance “Seguro Integral de Salud” (SIS, acronym in Spanish). </w:t>
            </w:r>
          </w:p>
        </w:tc>
      </w:tr>
      <w:tr w:rsidR="004F3CF2" w:rsidRPr="00265001" w14:paraId="4DCD19E0" w14:textId="77777777" w:rsidTr="00281F74">
        <w:trPr>
          <w:trHeight w:val="215"/>
        </w:trPr>
        <w:tc>
          <w:tcPr>
            <w:tcW w:w="14234" w:type="dxa"/>
            <w:gridSpan w:val="2"/>
            <w:tcBorders>
              <w:top w:val="nil"/>
              <w:left w:val="nil"/>
              <w:bottom w:val="nil"/>
              <w:right w:val="nil"/>
            </w:tcBorders>
            <w:shd w:val="clear" w:color="000000" w:fill="FFFFFF"/>
            <w:vAlign w:val="center"/>
            <w:hideMark/>
          </w:tcPr>
          <w:p w14:paraId="784A19C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5</w:t>
            </w:r>
            <w:r w:rsidRPr="00265001">
              <w:rPr>
                <w:rFonts w:ascii="Helvetica" w:eastAsia="Times New Roman" w:hAnsi="Helvetica" w:cs="Helvetica"/>
                <w:color w:val="000000"/>
                <w:sz w:val="18"/>
                <w:szCs w:val="18"/>
              </w:rPr>
              <w:t>Articulated Nutrition Program (PAN, acronym in Spanish)</w:t>
            </w:r>
          </w:p>
        </w:tc>
      </w:tr>
      <w:tr w:rsidR="004F3CF2" w:rsidRPr="00265001" w14:paraId="0A486D84" w14:textId="77777777" w:rsidTr="00281F74">
        <w:trPr>
          <w:trHeight w:val="215"/>
        </w:trPr>
        <w:tc>
          <w:tcPr>
            <w:tcW w:w="14234" w:type="dxa"/>
            <w:gridSpan w:val="2"/>
            <w:tcBorders>
              <w:top w:val="nil"/>
              <w:left w:val="nil"/>
              <w:bottom w:val="nil"/>
              <w:right w:val="nil"/>
            </w:tcBorders>
            <w:shd w:val="clear" w:color="000000" w:fill="FFFFFF"/>
            <w:vAlign w:val="center"/>
            <w:hideMark/>
          </w:tcPr>
          <w:p w14:paraId="506693F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6</w:t>
            </w:r>
            <w:r w:rsidRPr="00265001">
              <w:rPr>
                <w:rFonts w:ascii="Helvetica" w:eastAsia="Times New Roman" w:hAnsi="Helvetica" w:cs="Helvetica"/>
                <w:color w:val="000000"/>
                <w:sz w:val="18"/>
                <w:szCs w:val="18"/>
              </w:rPr>
              <w:t>Strategic Program of Maternal and Neonatal Health  (PSMN, acronym in Spanish)</w:t>
            </w:r>
          </w:p>
        </w:tc>
      </w:tr>
      <w:tr w:rsidR="004F3CF2" w:rsidRPr="00265001" w14:paraId="24606A35" w14:textId="77777777" w:rsidTr="00281F74">
        <w:trPr>
          <w:trHeight w:val="621"/>
        </w:trPr>
        <w:tc>
          <w:tcPr>
            <w:tcW w:w="14234" w:type="dxa"/>
            <w:gridSpan w:val="2"/>
            <w:tcBorders>
              <w:top w:val="nil"/>
              <w:left w:val="nil"/>
              <w:bottom w:val="nil"/>
              <w:right w:val="nil"/>
            </w:tcBorders>
            <w:shd w:val="clear" w:color="000000" w:fill="FFFFFF"/>
            <w:vAlign w:val="center"/>
            <w:hideMark/>
          </w:tcPr>
          <w:p w14:paraId="179E0632"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7</w:t>
            </w:r>
            <w:r w:rsidRPr="00265001">
              <w:rPr>
                <w:rFonts w:ascii="Helvetica" w:eastAsia="Times New Roman" w:hAnsi="Helvetica" w:cs="Helvetica"/>
                <w:color w:val="000000"/>
                <w:sz w:val="18"/>
                <w:szCs w:val="18"/>
              </w:rPr>
              <w:t>Composite coverage index: Summary measure of intervention coverage along the reproductive, maternal, newborn, and child health continuum. It is a weighted mean of the coverage for interventions from 4 domains: i) reproductive services (family planning coverage), ii) maternal and newborn care (antenatal care and skilled birth attendant), iii) immunization (BCG, three doses of DPT3, and measles vaccines), and iv) management of illness (ORT and care seeking for pneumonia).</w:t>
            </w:r>
          </w:p>
        </w:tc>
      </w:tr>
      <w:tr w:rsidR="004F3CF2" w:rsidRPr="00265001" w14:paraId="58400B39" w14:textId="77777777" w:rsidTr="00281F74">
        <w:trPr>
          <w:trHeight w:val="391"/>
        </w:trPr>
        <w:tc>
          <w:tcPr>
            <w:tcW w:w="14234" w:type="dxa"/>
            <w:gridSpan w:val="2"/>
            <w:tcBorders>
              <w:top w:val="nil"/>
              <w:left w:val="nil"/>
              <w:bottom w:val="nil"/>
              <w:right w:val="nil"/>
            </w:tcBorders>
            <w:shd w:val="clear" w:color="000000" w:fill="FFFFFF"/>
            <w:vAlign w:val="center"/>
            <w:hideMark/>
          </w:tcPr>
          <w:p w14:paraId="21D73604"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a </w:t>
            </w:r>
            <w:r w:rsidRPr="00265001">
              <w:rPr>
                <w:rFonts w:ascii="Helvetica" w:eastAsia="Times New Roman" w:hAnsi="Helvetica" w:cs="Helvetica"/>
                <w:color w:val="000000"/>
                <w:sz w:val="18"/>
                <w:szCs w:val="18"/>
              </w:rPr>
              <w:t>Given that we considered a two-year time lag between predictors and outcome, our units of analysis are: 360 for the full time period (24 departments x 15 years, 2000 to 2016), 192 for the pre-PAN time period (24 departments x 8 years, 2000 to 2007), and 168 for the post-PAN time period (24 departments x 7 years, 2008 to 2016).</w:t>
            </w:r>
          </w:p>
        </w:tc>
      </w:tr>
      <w:tr w:rsidR="004F3CF2" w:rsidRPr="00265001" w14:paraId="6693FE9D"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2BFB6665"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b </w:t>
            </w:r>
            <w:r w:rsidRPr="00265001">
              <w:rPr>
                <w:rFonts w:ascii="Helvetica" w:eastAsia="Times New Roman" w:hAnsi="Helvetica" w:cs="Helvetica"/>
                <w:color w:val="000000"/>
                <w:sz w:val="18"/>
                <w:szCs w:val="18"/>
              </w:rPr>
              <w:t>Level 4 multivariable model includes all statistically significant (p&lt;0.1) distal variables as listed.</w:t>
            </w:r>
          </w:p>
        </w:tc>
      </w:tr>
      <w:tr w:rsidR="004F3CF2" w:rsidRPr="00265001" w14:paraId="3193750A"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569BC9A4"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c </w:t>
            </w:r>
            <w:r w:rsidRPr="00265001">
              <w:rPr>
                <w:rFonts w:ascii="Helvetica" w:eastAsia="Times New Roman" w:hAnsi="Helvetica" w:cs="Helvetica"/>
                <w:color w:val="000000"/>
                <w:sz w:val="18"/>
                <w:szCs w:val="18"/>
              </w:rPr>
              <w:t>Level 3 multivariable model includes level 4 model + all statistically significant (p&lt;0.1) intermediate I variables as listed.</w:t>
            </w:r>
          </w:p>
        </w:tc>
      </w:tr>
      <w:tr w:rsidR="004F3CF2" w:rsidRPr="00265001" w14:paraId="2687DC10"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00FDE005"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d </w:t>
            </w:r>
            <w:r w:rsidRPr="00265001">
              <w:rPr>
                <w:rFonts w:ascii="Helvetica" w:eastAsia="Times New Roman" w:hAnsi="Helvetica" w:cs="Helvetica"/>
                <w:color w:val="000000"/>
                <w:sz w:val="18"/>
                <w:szCs w:val="18"/>
              </w:rPr>
              <w:t>Level 2 multivariable model includes level 4 model + 3 model + all statistically significant (p&lt;0.1) intermediate II variables as listed.</w:t>
            </w:r>
          </w:p>
        </w:tc>
      </w:tr>
      <w:tr w:rsidR="004F3CF2" w:rsidRPr="00265001" w14:paraId="5F9B4278"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451206CA"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e </w:t>
            </w:r>
            <w:r w:rsidRPr="00265001">
              <w:rPr>
                <w:rFonts w:ascii="Helvetica" w:eastAsia="Times New Roman" w:hAnsi="Helvetica" w:cs="Helvetica"/>
                <w:color w:val="000000"/>
                <w:sz w:val="18"/>
                <w:szCs w:val="18"/>
              </w:rPr>
              <w:t>Level 1 multivariable model includes level 4 model + 3 model + 2 model + all statistically significant (p&lt;0.1) proximal variables as listed.</w:t>
            </w:r>
          </w:p>
        </w:tc>
      </w:tr>
    </w:tbl>
    <w:p w14:paraId="07DF9DE5" w14:textId="77777777" w:rsidR="004F3CF2" w:rsidRDefault="004F3CF2" w:rsidP="004F3CF2">
      <w:pPr>
        <w:rPr>
          <w:rFonts w:ascii="Helvetica" w:hAnsi="Helvetica" w:cs="Helvetica"/>
          <w:color w:val="000000" w:themeColor="text1"/>
          <w:szCs w:val="22"/>
        </w:rPr>
      </w:pPr>
    </w:p>
    <w:p w14:paraId="5F25C118" w14:textId="77777777" w:rsidR="004F3CF2" w:rsidRDefault="004F3CF2">
      <w:pPr>
        <w:spacing w:after="160" w:line="259" w:lineRule="auto"/>
        <w:rPr>
          <w:rFonts w:ascii="Helvetica" w:hAnsi="Helvetica" w:cs="Helvetica"/>
          <w:color w:val="000000" w:themeColor="text1"/>
          <w:szCs w:val="22"/>
        </w:rPr>
      </w:pPr>
      <w:r>
        <w:rPr>
          <w:rFonts w:ascii="Helvetica" w:hAnsi="Helvetica" w:cs="Helvetica"/>
          <w:color w:val="000000" w:themeColor="text1"/>
          <w:szCs w:val="22"/>
        </w:rPr>
        <w:br w:type="page"/>
      </w:r>
    </w:p>
    <w:p w14:paraId="466D8CEF" w14:textId="6A5888E9" w:rsidR="004F3CF2" w:rsidRDefault="004F3CF2" w:rsidP="004F3CF2">
      <w:pPr>
        <w:pStyle w:val="Heading2"/>
      </w:pPr>
      <w:bookmarkStart w:id="42" w:name="_Toc516735074"/>
      <w:bookmarkStart w:id="43" w:name="_Toc516755679"/>
      <w:bookmarkStart w:id="44" w:name="_Toc40953331"/>
      <w:r>
        <w:rPr>
          <w:b/>
        </w:rPr>
        <w:t>Supplementary Appendix Table 13</w:t>
      </w:r>
      <w:r w:rsidRPr="00A9388C">
        <w:rPr>
          <w:b/>
        </w:rPr>
        <w:t>:</w:t>
      </w:r>
      <w:r w:rsidRPr="00A9388C">
        <w:t xml:space="preserve"> Multilevel linear models for </w:t>
      </w:r>
      <w:r w:rsidR="00265001">
        <w:t xml:space="preserve">under-5 </w:t>
      </w:r>
      <w:r w:rsidRPr="00A9388C">
        <w:t>stunting prevalence (2 years’ time-lag), period 2008-2016</w:t>
      </w:r>
      <w:bookmarkEnd w:id="42"/>
      <w:bookmarkEnd w:id="43"/>
      <w:bookmarkEnd w:id="44"/>
      <w:r w:rsidRPr="00A9388C">
        <w:t xml:space="preserve"> </w:t>
      </w:r>
    </w:p>
    <w:p w14:paraId="73C49725" w14:textId="77777777" w:rsidR="004F3CF2" w:rsidRPr="004F3CF2" w:rsidRDefault="004F3CF2" w:rsidP="004F3CF2">
      <w:pPr>
        <w:rPr>
          <w:rFonts w:ascii="Helvetica" w:hAnsi="Helvetica" w:cs="Helvetica"/>
          <w:i/>
          <w:sz w:val="22"/>
          <w:szCs w:val="22"/>
        </w:rPr>
      </w:pPr>
      <w:r w:rsidRPr="004F3CF2">
        <w:rPr>
          <w:rFonts w:ascii="Helvetica" w:hAnsi="Helvetica" w:cs="Helvetica"/>
          <w:i/>
          <w:sz w:val="22"/>
          <w:szCs w:val="22"/>
        </w:rPr>
        <w:t>*factors statistically significant at p&lt;0.05 are highlighted in red</w:t>
      </w:r>
    </w:p>
    <w:tbl>
      <w:tblPr>
        <w:tblW w:w="9730" w:type="dxa"/>
        <w:tblLook w:val="04A0" w:firstRow="1" w:lastRow="0" w:firstColumn="1" w:lastColumn="0" w:noHBand="0" w:noVBand="1"/>
      </w:tblPr>
      <w:tblGrid>
        <w:gridCol w:w="4104"/>
        <w:gridCol w:w="272"/>
        <w:gridCol w:w="2540"/>
        <w:gridCol w:w="272"/>
        <w:gridCol w:w="2542"/>
      </w:tblGrid>
      <w:tr w:rsidR="004F3CF2" w:rsidRPr="004F3CF2" w14:paraId="6DF15945" w14:textId="77777777" w:rsidTr="00281F74">
        <w:trPr>
          <w:trHeight w:val="292"/>
        </w:trPr>
        <w:tc>
          <w:tcPr>
            <w:tcW w:w="4108" w:type="dxa"/>
            <w:vMerge w:val="restart"/>
            <w:tcBorders>
              <w:top w:val="single" w:sz="8" w:space="0" w:color="auto"/>
              <w:left w:val="single" w:sz="8" w:space="0" w:color="auto"/>
              <w:bottom w:val="single" w:sz="8" w:space="0" w:color="000000"/>
              <w:right w:val="single" w:sz="8" w:space="0" w:color="auto"/>
            </w:tcBorders>
            <w:shd w:val="clear" w:color="000000" w:fill="808080"/>
            <w:vAlign w:val="center"/>
            <w:hideMark/>
          </w:tcPr>
          <w:p w14:paraId="57E75CFA"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Domain/Indicator</w:t>
            </w:r>
          </w:p>
        </w:tc>
        <w:tc>
          <w:tcPr>
            <w:tcW w:w="5622" w:type="dxa"/>
            <w:gridSpan w:val="4"/>
            <w:tcBorders>
              <w:top w:val="single" w:sz="8" w:space="0" w:color="auto"/>
              <w:left w:val="nil"/>
              <w:bottom w:val="nil"/>
              <w:right w:val="single" w:sz="8" w:space="0" w:color="000000"/>
            </w:tcBorders>
            <w:shd w:val="clear" w:color="000000" w:fill="808080"/>
            <w:vAlign w:val="center"/>
            <w:hideMark/>
          </w:tcPr>
          <w:p w14:paraId="61E6CA72"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Outcome = Stunting</w:t>
            </w:r>
          </w:p>
        </w:tc>
      </w:tr>
      <w:tr w:rsidR="004F3CF2" w:rsidRPr="004F3CF2" w14:paraId="68D9FF6F"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5EFA8E72"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5622" w:type="dxa"/>
            <w:gridSpan w:val="4"/>
            <w:tcBorders>
              <w:top w:val="nil"/>
              <w:left w:val="nil"/>
              <w:bottom w:val="single" w:sz="8" w:space="0" w:color="auto"/>
              <w:right w:val="single" w:sz="8" w:space="0" w:color="000000"/>
            </w:tcBorders>
            <w:shd w:val="clear" w:color="000000" w:fill="808080"/>
            <w:vAlign w:val="center"/>
            <w:hideMark/>
          </w:tcPr>
          <w:p w14:paraId="4D379849"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(Percentage of stunting among under-5 children</w:t>
            </w:r>
            <w:r w:rsidRPr="00265001">
              <w:rPr>
                <w:rFonts w:ascii="Helvetica" w:eastAsia="Times New Roman" w:hAnsi="Helvetica" w:cs="Helvetica"/>
                <w:b/>
                <w:bCs/>
                <w:color w:val="FFFFFF"/>
                <w:sz w:val="20"/>
                <w:szCs w:val="20"/>
                <w:vertAlign w:val="superscript"/>
                <w:lang w:val="en-CA" w:eastAsia="en-CA"/>
              </w:rPr>
              <w:t>1</w:t>
            </w:r>
            <w:r w:rsidRPr="00265001">
              <w:rPr>
                <w:rFonts w:ascii="Helvetica" w:eastAsia="Times New Roman" w:hAnsi="Helvetica" w:cs="Helvetica"/>
                <w:b/>
                <w:bCs/>
                <w:color w:val="FFFFFF"/>
                <w:sz w:val="20"/>
                <w:szCs w:val="20"/>
                <w:lang w:val="en-CA" w:eastAsia="en-CA"/>
              </w:rPr>
              <w:t>)</w:t>
            </w:r>
          </w:p>
        </w:tc>
      </w:tr>
      <w:tr w:rsidR="004F3CF2" w:rsidRPr="004F3CF2" w14:paraId="757AEF7C"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0E293A24"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5622" w:type="dxa"/>
            <w:gridSpan w:val="4"/>
            <w:tcBorders>
              <w:top w:val="single" w:sz="8" w:space="0" w:color="auto"/>
              <w:left w:val="nil"/>
              <w:bottom w:val="single" w:sz="8" w:space="0" w:color="auto"/>
              <w:right w:val="single" w:sz="8" w:space="0" w:color="000000"/>
            </w:tcBorders>
            <w:shd w:val="clear" w:color="000000" w:fill="808080"/>
            <w:vAlign w:val="center"/>
            <w:hideMark/>
          </w:tcPr>
          <w:p w14:paraId="5EA8315F"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Period 2008-2016</w:t>
            </w:r>
            <w:r w:rsidRPr="00265001">
              <w:rPr>
                <w:rFonts w:ascii="Helvetica" w:eastAsia="Times New Roman" w:hAnsi="Helvetica" w:cs="Helvetica"/>
                <w:b/>
                <w:bCs/>
                <w:color w:val="FFFFFF"/>
                <w:sz w:val="20"/>
                <w:szCs w:val="20"/>
                <w:vertAlign w:val="superscript"/>
                <w:lang w:val="en-CA" w:eastAsia="en-CA"/>
              </w:rPr>
              <w:t>a</w:t>
            </w:r>
          </w:p>
        </w:tc>
      </w:tr>
      <w:tr w:rsidR="004F3CF2" w:rsidRPr="004F3CF2" w14:paraId="35296B1A"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0842706C"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0" w:type="dxa"/>
            <w:gridSpan w:val="2"/>
            <w:vMerge w:val="restart"/>
            <w:tcBorders>
              <w:top w:val="single" w:sz="8" w:space="0" w:color="auto"/>
              <w:left w:val="single" w:sz="8" w:space="0" w:color="auto"/>
              <w:bottom w:val="single" w:sz="8" w:space="0" w:color="000000"/>
              <w:right w:val="single" w:sz="8" w:space="0" w:color="000000"/>
            </w:tcBorders>
            <w:shd w:val="clear" w:color="000000" w:fill="808080"/>
            <w:vAlign w:val="center"/>
            <w:hideMark/>
          </w:tcPr>
          <w:p w14:paraId="77DF82D2"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Time-adjusted regression coefficient</w:t>
            </w:r>
          </w:p>
        </w:tc>
        <w:tc>
          <w:tcPr>
            <w:tcW w:w="2812" w:type="dxa"/>
            <w:gridSpan w:val="2"/>
            <w:tcBorders>
              <w:top w:val="single" w:sz="8" w:space="0" w:color="auto"/>
              <w:left w:val="nil"/>
              <w:bottom w:val="nil"/>
              <w:right w:val="single" w:sz="8" w:space="0" w:color="000000"/>
            </w:tcBorders>
            <w:shd w:val="clear" w:color="000000" w:fill="808080"/>
            <w:vAlign w:val="center"/>
            <w:hideMark/>
          </w:tcPr>
          <w:p w14:paraId="54AABD35"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 and confounder-adjusted</w:t>
            </w:r>
            <w:r w:rsidRPr="00265001">
              <w:rPr>
                <w:rFonts w:ascii="Helvetica" w:eastAsia="Times New Roman" w:hAnsi="Helvetica" w:cs="Helvetica"/>
                <w:b/>
                <w:bCs/>
                <w:color w:val="FFFFFF"/>
                <w:sz w:val="20"/>
                <w:szCs w:val="20"/>
                <w:vertAlign w:val="superscript"/>
                <w:lang w:val="en-CA" w:eastAsia="en-CA"/>
              </w:rPr>
              <w:t>1</w:t>
            </w:r>
          </w:p>
        </w:tc>
      </w:tr>
      <w:tr w:rsidR="004F3CF2" w:rsidRPr="004F3CF2" w14:paraId="687CCA03"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10FE9DEA"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0" w:type="dxa"/>
            <w:gridSpan w:val="2"/>
            <w:vMerge/>
            <w:tcBorders>
              <w:top w:val="single" w:sz="8" w:space="0" w:color="auto"/>
              <w:left w:val="single" w:sz="8" w:space="0" w:color="auto"/>
              <w:bottom w:val="single" w:sz="8" w:space="0" w:color="000000"/>
              <w:right w:val="single" w:sz="8" w:space="0" w:color="000000"/>
            </w:tcBorders>
            <w:vAlign w:val="center"/>
            <w:hideMark/>
          </w:tcPr>
          <w:p w14:paraId="12FCC8D7"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2" w:type="dxa"/>
            <w:gridSpan w:val="2"/>
            <w:tcBorders>
              <w:top w:val="nil"/>
              <w:left w:val="nil"/>
              <w:bottom w:val="single" w:sz="8" w:space="0" w:color="auto"/>
              <w:right w:val="single" w:sz="8" w:space="0" w:color="000000"/>
            </w:tcBorders>
            <w:shd w:val="clear" w:color="000000" w:fill="808080"/>
            <w:vAlign w:val="center"/>
            <w:hideMark/>
          </w:tcPr>
          <w:p w14:paraId="06B1A7BE"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regression coefficient</w:t>
            </w:r>
          </w:p>
        </w:tc>
      </w:tr>
      <w:tr w:rsidR="004F3CF2" w:rsidRPr="004F3CF2" w14:paraId="3A04F7F2"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165EB274"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val="restart"/>
            <w:tcBorders>
              <w:top w:val="nil"/>
              <w:left w:val="single" w:sz="8" w:space="0" w:color="auto"/>
              <w:bottom w:val="single" w:sz="8" w:space="0" w:color="000000"/>
              <w:right w:val="nil"/>
            </w:tcBorders>
            <w:shd w:val="clear" w:color="000000" w:fill="808080"/>
            <w:vAlign w:val="center"/>
            <w:hideMark/>
          </w:tcPr>
          <w:p w14:paraId="49F0CC0E"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42" w:type="dxa"/>
            <w:tcBorders>
              <w:top w:val="nil"/>
              <w:left w:val="nil"/>
              <w:bottom w:val="nil"/>
              <w:right w:val="single" w:sz="8" w:space="0" w:color="auto"/>
            </w:tcBorders>
            <w:shd w:val="clear" w:color="000000" w:fill="808080"/>
            <w:vAlign w:val="center"/>
            <w:hideMark/>
          </w:tcPr>
          <w:p w14:paraId="35D10C9A"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b estimate (95% CI)</w:t>
            </w:r>
          </w:p>
        </w:tc>
        <w:tc>
          <w:tcPr>
            <w:tcW w:w="268" w:type="dxa"/>
            <w:vMerge w:val="restart"/>
            <w:tcBorders>
              <w:top w:val="nil"/>
              <w:left w:val="single" w:sz="8" w:space="0" w:color="auto"/>
              <w:bottom w:val="single" w:sz="8" w:space="0" w:color="000000"/>
              <w:right w:val="nil"/>
            </w:tcBorders>
            <w:shd w:val="clear" w:color="000000" w:fill="808080"/>
            <w:vAlign w:val="center"/>
            <w:hideMark/>
          </w:tcPr>
          <w:p w14:paraId="2FDD4FC8"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44" w:type="dxa"/>
            <w:tcBorders>
              <w:top w:val="nil"/>
              <w:left w:val="nil"/>
              <w:bottom w:val="nil"/>
              <w:right w:val="single" w:sz="8" w:space="0" w:color="auto"/>
            </w:tcBorders>
            <w:shd w:val="clear" w:color="000000" w:fill="808080"/>
            <w:vAlign w:val="center"/>
            <w:hideMark/>
          </w:tcPr>
          <w:p w14:paraId="584A6B58"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xml:space="preserve">b estimate (95% CI) </w:t>
            </w:r>
          </w:p>
        </w:tc>
      </w:tr>
      <w:tr w:rsidR="004F3CF2" w:rsidRPr="004F3CF2" w14:paraId="5CB2A39A"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6BA8C4BF"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tcBorders>
              <w:top w:val="nil"/>
              <w:left w:val="single" w:sz="8" w:space="0" w:color="auto"/>
              <w:bottom w:val="single" w:sz="8" w:space="0" w:color="000000"/>
              <w:right w:val="nil"/>
            </w:tcBorders>
            <w:vAlign w:val="center"/>
            <w:hideMark/>
          </w:tcPr>
          <w:p w14:paraId="4490B851"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2" w:type="dxa"/>
            <w:tcBorders>
              <w:top w:val="nil"/>
              <w:left w:val="nil"/>
              <w:bottom w:val="nil"/>
              <w:right w:val="single" w:sz="8" w:space="0" w:color="auto"/>
            </w:tcBorders>
            <w:shd w:val="clear" w:color="000000" w:fill="808080"/>
            <w:vAlign w:val="center"/>
            <w:hideMark/>
          </w:tcPr>
          <w:p w14:paraId="7EFBC8AC" w14:textId="77777777" w:rsidR="004F3CF2" w:rsidRPr="00265001" w:rsidRDefault="004F3CF2" w:rsidP="00281F74">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c>
          <w:tcPr>
            <w:tcW w:w="268" w:type="dxa"/>
            <w:vMerge/>
            <w:tcBorders>
              <w:top w:val="nil"/>
              <w:left w:val="single" w:sz="8" w:space="0" w:color="auto"/>
              <w:bottom w:val="single" w:sz="8" w:space="0" w:color="000000"/>
              <w:right w:val="nil"/>
            </w:tcBorders>
            <w:vAlign w:val="center"/>
            <w:hideMark/>
          </w:tcPr>
          <w:p w14:paraId="1C4E791B"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4" w:type="dxa"/>
            <w:tcBorders>
              <w:top w:val="nil"/>
              <w:left w:val="nil"/>
              <w:bottom w:val="nil"/>
              <w:right w:val="single" w:sz="8" w:space="0" w:color="auto"/>
            </w:tcBorders>
            <w:shd w:val="clear" w:color="000000" w:fill="808080"/>
            <w:vAlign w:val="center"/>
            <w:hideMark/>
          </w:tcPr>
          <w:p w14:paraId="0988B5C9" w14:textId="77777777" w:rsidR="004F3CF2" w:rsidRPr="00265001" w:rsidRDefault="004F3CF2" w:rsidP="00281F74">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r>
      <w:tr w:rsidR="004F3CF2" w:rsidRPr="004F3CF2" w14:paraId="0488C09A"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4C3B4501"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tcBorders>
              <w:top w:val="nil"/>
              <w:left w:val="single" w:sz="8" w:space="0" w:color="auto"/>
              <w:bottom w:val="single" w:sz="8" w:space="0" w:color="000000"/>
              <w:right w:val="nil"/>
            </w:tcBorders>
            <w:vAlign w:val="center"/>
            <w:hideMark/>
          </w:tcPr>
          <w:p w14:paraId="18D30D15"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2" w:type="dxa"/>
            <w:tcBorders>
              <w:top w:val="nil"/>
              <w:left w:val="nil"/>
              <w:bottom w:val="single" w:sz="8" w:space="0" w:color="auto"/>
              <w:right w:val="single" w:sz="8" w:space="0" w:color="auto"/>
            </w:tcBorders>
            <w:shd w:val="clear" w:color="000000" w:fill="808080"/>
            <w:vAlign w:val="center"/>
            <w:hideMark/>
          </w:tcPr>
          <w:p w14:paraId="73A9B0AC"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68" w:type="dxa"/>
            <w:vMerge/>
            <w:tcBorders>
              <w:top w:val="nil"/>
              <w:left w:val="single" w:sz="8" w:space="0" w:color="auto"/>
              <w:bottom w:val="single" w:sz="8" w:space="0" w:color="000000"/>
              <w:right w:val="nil"/>
            </w:tcBorders>
            <w:vAlign w:val="center"/>
            <w:hideMark/>
          </w:tcPr>
          <w:p w14:paraId="4FEBB2B7"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4" w:type="dxa"/>
            <w:tcBorders>
              <w:top w:val="nil"/>
              <w:left w:val="nil"/>
              <w:bottom w:val="single" w:sz="8" w:space="0" w:color="auto"/>
              <w:right w:val="single" w:sz="8" w:space="0" w:color="auto"/>
            </w:tcBorders>
            <w:shd w:val="clear" w:color="000000" w:fill="808080"/>
            <w:vAlign w:val="center"/>
            <w:hideMark/>
          </w:tcPr>
          <w:p w14:paraId="2033F69E"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Effect size</w:t>
            </w:r>
            <w:r w:rsidRPr="00265001">
              <w:rPr>
                <w:rFonts w:ascii="Helvetica" w:eastAsia="Times New Roman" w:hAnsi="Helvetica" w:cs="Helvetica"/>
                <w:color w:val="FFFFFF"/>
                <w:sz w:val="20"/>
                <w:szCs w:val="20"/>
                <w:vertAlign w:val="superscript"/>
                <w:lang w:val="en-CA" w:eastAsia="en-CA"/>
              </w:rPr>
              <w:t>2</w:t>
            </w:r>
          </w:p>
        </w:tc>
      </w:tr>
      <w:tr w:rsidR="004F3CF2" w:rsidRPr="004F3CF2" w14:paraId="0B914E3D"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0D518613"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4 Model - Distal: National level &amp; Macro variables</w:t>
            </w:r>
            <w:r w:rsidRPr="00265001">
              <w:rPr>
                <w:rFonts w:ascii="Helvetica" w:eastAsia="Times New Roman" w:hAnsi="Helvetica" w:cs="Helvetica"/>
                <w:b/>
                <w:bCs/>
                <w:color w:val="FFFFFF"/>
                <w:sz w:val="20"/>
                <w:szCs w:val="20"/>
                <w:vertAlign w:val="superscript"/>
                <w:lang w:val="en-CA" w:eastAsia="en-CA"/>
              </w:rPr>
              <w:t>b</w:t>
            </w:r>
          </w:p>
        </w:tc>
      </w:tr>
      <w:tr w:rsidR="004F3CF2" w:rsidRPr="004F3CF2" w14:paraId="3D379D0F"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60732AA3"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Basic causes &amp; Income poverty</w:t>
            </w:r>
          </w:p>
        </w:tc>
      </w:tr>
      <w:tr w:rsidR="004F3CF2" w:rsidRPr="004F3CF2" w14:paraId="6ECE7D9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9912D3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Log Gross domestic product (GDP) per capita</w:t>
            </w:r>
          </w:p>
        </w:tc>
        <w:tc>
          <w:tcPr>
            <w:tcW w:w="268" w:type="dxa"/>
            <w:tcBorders>
              <w:top w:val="nil"/>
              <w:left w:val="nil"/>
              <w:bottom w:val="nil"/>
              <w:right w:val="nil"/>
            </w:tcBorders>
            <w:shd w:val="clear" w:color="000000" w:fill="FFFFFF"/>
            <w:vAlign w:val="center"/>
            <w:hideMark/>
          </w:tcPr>
          <w:p w14:paraId="7180EFA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A777F0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-10.139 (-14.156;-6.612)</w:t>
            </w:r>
          </w:p>
        </w:tc>
        <w:tc>
          <w:tcPr>
            <w:tcW w:w="268" w:type="dxa"/>
            <w:tcBorders>
              <w:top w:val="nil"/>
              <w:left w:val="single" w:sz="8" w:space="0" w:color="auto"/>
              <w:bottom w:val="nil"/>
              <w:right w:val="nil"/>
            </w:tcBorders>
            <w:shd w:val="clear" w:color="000000" w:fill="FFFFFF"/>
            <w:vAlign w:val="center"/>
            <w:hideMark/>
          </w:tcPr>
          <w:p w14:paraId="555074B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A9AC6E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72AECE4"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02B5D21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144A99E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CFECD9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2622242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6D291A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8ADFE90"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4CEC14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AD930C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69306142"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0010189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048B224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9E273AA"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60BD7D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Poverty line </w:t>
            </w:r>
          </w:p>
        </w:tc>
        <w:tc>
          <w:tcPr>
            <w:tcW w:w="268" w:type="dxa"/>
            <w:tcBorders>
              <w:top w:val="nil"/>
              <w:left w:val="nil"/>
              <w:bottom w:val="nil"/>
              <w:right w:val="nil"/>
            </w:tcBorders>
            <w:shd w:val="clear" w:color="000000" w:fill="FFFFFF"/>
            <w:vAlign w:val="center"/>
            <w:hideMark/>
          </w:tcPr>
          <w:p w14:paraId="3F64083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B9C9107"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0.394 (0.242;0.546)</w:t>
            </w:r>
          </w:p>
        </w:tc>
        <w:tc>
          <w:tcPr>
            <w:tcW w:w="268" w:type="dxa"/>
            <w:tcBorders>
              <w:top w:val="nil"/>
              <w:left w:val="single" w:sz="8" w:space="0" w:color="auto"/>
              <w:bottom w:val="nil"/>
              <w:right w:val="nil"/>
            </w:tcBorders>
            <w:shd w:val="clear" w:color="000000" w:fill="FFFFFF"/>
            <w:vAlign w:val="center"/>
            <w:hideMark/>
          </w:tcPr>
          <w:p w14:paraId="4074B25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57EA12D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0.394 (0.242;0.546)</w:t>
            </w:r>
          </w:p>
        </w:tc>
      </w:tr>
      <w:tr w:rsidR="004F3CF2" w:rsidRPr="004F3CF2" w14:paraId="3CA6EB06"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0F7C104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families below)</w:t>
            </w:r>
          </w:p>
        </w:tc>
        <w:tc>
          <w:tcPr>
            <w:tcW w:w="268" w:type="dxa"/>
            <w:tcBorders>
              <w:top w:val="nil"/>
              <w:left w:val="nil"/>
              <w:bottom w:val="nil"/>
              <w:right w:val="nil"/>
            </w:tcBorders>
            <w:shd w:val="clear" w:color="000000" w:fill="FFFFFF"/>
            <w:vAlign w:val="center"/>
            <w:hideMark/>
          </w:tcPr>
          <w:p w14:paraId="2588831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11A4F1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69590C9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18457BB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&lt;0.0001</w:t>
            </w:r>
          </w:p>
        </w:tc>
      </w:tr>
      <w:tr w:rsidR="004F3CF2" w:rsidRPr="004F3CF2" w14:paraId="2515D82F"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A93281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A75A4D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7E41A59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3779A73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5111708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0.15</w:t>
            </w:r>
          </w:p>
        </w:tc>
      </w:tr>
      <w:tr w:rsidR="004F3CF2" w:rsidRPr="004F3CF2" w14:paraId="502139DC"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52135C5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Gini coefficient for income</w:t>
            </w:r>
          </w:p>
          <w:p w14:paraId="4BC94FB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 (perfect equality) – 1 (perfect inequality)</w:t>
            </w:r>
          </w:p>
        </w:tc>
        <w:tc>
          <w:tcPr>
            <w:tcW w:w="268" w:type="dxa"/>
            <w:tcBorders>
              <w:top w:val="nil"/>
              <w:left w:val="nil"/>
              <w:bottom w:val="nil"/>
              <w:right w:val="nil"/>
            </w:tcBorders>
            <w:shd w:val="clear" w:color="000000" w:fill="FFFFFF"/>
            <w:vAlign w:val="center"/>
            <w:hideMark/>
          </w:tcPr>
          <w:p w14:paraId="0503F37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3A05A8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0.043 (-0.267;0.354)</w:t>
            </w:r>
          </w:p>
        </w:tc>
        <w:tc>
          <w:tcPr>
            <w:tcW w:w="268" w:type="dxa"/>
            <w:tcBorders>
              <w:top w:val="nil"/>
              <w:left w:val="single" w:sz="8" w:space="0" w:color="auto"/>
              <w:bottom w:val="nil"/>
              <w:right w:val="nil"/>
            </w:tcBorders>
            <w:shd w:val="clear" w:color="000000" w:fill="FFFFFF"/>
            <w:vAlign w:val="center"/>
            <w:hideMark/>
          </w:tcPr>
          <w:p w14:paraId="39BE94C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5F5EBA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5F844FD"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5B59B3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4310753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696D3F2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0.785</w:t>
            </w:r>
          </w:p>
        </w:tc>
        <w:tc>
          <w:tcPr>
            <w:tcW w:w="268" w:type="dxa"/>
            <w:tcBorders>
              <w:top w:val="nil"/>
              <w:left w:val="single" w:sz="8" w:space="0" w:color="auto"/>
              <w:bottom w:val="nil"/>
              <w:right w:val="nil"/>
            </w:tcBorders>
            <w:shd w:val="clear" w:color="000000" w:fill="FFFFFF"/>
            <w:vAlign w:val="center"/>
            <w:hideMark/>
          </w:tcPr>
          <w:p w14:paraId="1F1BBCC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62574A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0637C4E"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07B8B7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EA1D06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0C51BD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64CB032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5B45D0A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CA320C1"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3A46EB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years of schooling among</w:t>
            </w:r>
          </w:p>
        </w:tc>
        <w:tc>
          <w:tcPr>
            <w:tcW w:w="268" w:type="dxa"/>
            <w:tcBorders>
              <w:top w:val="nil"/>
              <w:left w:val="nil"/>
              <w:bottom w:val="nil"/>
              <w:right w:val="nil"/>
            </w:tcBorders>
            <w:shd w:val="clear" w:color="000000" w:fill="FFFFFF"/>
            <w:vAlign w:val="center"/>
            <w:hideMark/>
          </w:tcPr>
          <w:p w14:paraId="7637322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E8CB2D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-1.450 (-2.501;-0.399)</w:t>
            </w:r>
          </w:p>
        </w:tc>
        <w:tc>
          <w:tcPr>
            <w:tcW w:w="268" w:type="dxa"/>
            <w:tcBorders>
              <w:top w:val="nil"/>
              <w:left w:val="single" w:sz="8" w:space="0" w:color="auto"/>
              <w:bottom w:val="nil"/>
              <w:right w:val="nil"/>
            </w:tcBorders>
            <w:shd w:val="clear" w:color="000000" w:fill="FFFFFF"/>
            <w:vAlign w:val="center"/>
            <w:hideMark/>
          </w:tcPr>
          <w:p w14:paraId="36B537C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12968B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1ECB43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92C51A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women 15 years or older</w:t>
            </w:r>
          </w:p>
        </w:tc>
        <w:tc>
          <w:tcPr>
            <w:tcW w:w="268" w:type="dxa"/>
            <w:tcBorders>
              <w:top w:val="nil"/>
              <w:left w:val="nil"/>
              <w:bottom w:val="nil"/>
              <w:right w:val="nil"/>
            </w:tcBorders>
            <w:shd w:val="clear" w:color="000000" w:fill="FFFFFF"/>
            <w:vAlign w:val="center"/>
            <w:hideMark/>
          </w:tcPr>
          <w:p w14:paraId="6445165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977A51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0.007</w:t>
            </w:r>
          </w:p>
        </w:tc>
        <w:tc>
          <w:tcPr>
            <w:tcW w:w="268" w:type="dxa"/>
            <w:tcBorders>
              <w:top w:val="nil"/>
              <w:left w:val="single" w:sz="8" w:space="0" w:color="auto"/>
              <w:bottom w:val="nil"/>
              <w:right w:val="nil"/>
            </w:tcBorders>
            <w:shd w:val="clear" w:color="000000" w:fill="FFFFFF"/>
            <w:vAlign w:val="center"/>
            <w:hideMark/>
          </w:tcPr>
          <w:p w14:paraId="0E04F26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ED4B9E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439B0E9"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0CBD34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4675A83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AC2C96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0DB6421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411A6D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6DB9E11" w14:textId="77777777" w:rsidTr="00281F74">
        <w:trPr>
          <w:trHeight w:val="307"/>
        </w:trPr>
        <w:tc>
          <w:tcPr>
            <w:tcW w:w="4108" w:type="dxa"/>
            <w:tcBorders>
              <w:top w:val="single" w:sz="8" w:space="0" w:color="auto"/>
              <w:left w:val="single" w:sz="8" w:space="0" w:color="auto"/>
              <w:bottom w:val="single" w:sz="8" w:space="0" w:color="auto"/>
              <w:right w:val="nil"/>
            </w:tcBorders>
            <w:shd w:val="clear" w:color="000000" w:fill="D9D9D9"/>
            <w:vAlign w:val="center"/>
            <w:hideMark/>
          </w:tcPr>
          <w:p w14:paraId="4444C6B1"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single" w:sz="8" w:space="0" w:color="auto"/>
              <w:left w:val="nil"/>
              <w:bottom w:val="single" w:sz="8" w:space="0" w:color="auto"/>
              <w:right w:val="nil"/>
            </w:tcBorders>
            <w:shd w:val="clear" w:color="000000" w:fill="D9D9D9"/>
            <w:vAlign w:val="center"/>
            <w:hideMark/>
          </w:tcPr>
          <w:p w14:paraId="1D874B4C"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single" w:sz="8" w:space="0" w:color="auto"/>
              <w:left w:val="nil"/>
              <w:bottom w:val="single" w:sz="8" w:space="0" w:color="auto"/>
              <w:right w:val="nil"/>
            </w:tcBorders>
            <w:shd w:val="clear" w:color="000000" w:fill="D9D9D9"/>
            <w:vAlign w:val="center"/>
            <w:hideMark/>
          </w:tcPr>
          <w:p w14:paraId="6A6051A9"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68" w:type="dxa"/>
            <w:tcBorders>
              <w:top w:val="nil"/>
              <w:left w:val="single" w:sz="8" w:space="0" w:color="auto"/>
              <w:bottom w:val="single" w:sz="8" w:space="0" w:color="auto"/>
              <w:right w:val="nil"/>
            </w:tcBorders>
            <w:shd w:val="clear" w:color="000000" w:fill="D9D9D9"/>
            <w:vAlign w:val="center"/>
            <w:hideMark/>
          </w:tcPr>
          <w:p w14:paraId="0C29C34C"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544" w:type="dxa"/>
            <w:tcBorders>
              <w:top w:val="single" w:sz="8" w:space="0" w:color="auto"/>
              <w:left w:val="nil"/>
              <w:bottom w:val="single" w:sz="8" w:space="0" w:color="auto"/>
              <w:right w:val="single" w:sz="8" w:space="0" w:color="auto"/>
            </w:tcBorders>
            <w:shd w:val="clear" w:color="000000" w:fill="D9D9D9"/>
            <w:vAlign w:val="center"/>
            <w:hideMark/>
          </w:tcPr>
          <w:p w14:paraId="3935FA99"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55%</w:t>
            </w:r>
          </w:p>
        </w:tc>
      </w:tr>
      <w:tr w:rsidR="004F3CF2" w:rsidRPr="004F3CF2" w14:paraId="012663E5"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124BCDE4"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3 Model - Intermediate I: Nutrition sensitive and specific programs</w:t>
            </w:r>
            <w:r w:rsidRPr="00265001">
              <w:rPr>
                <w:rFonts w:ascii="Helvetica" w:eastAsia="Times New Roman" w:hAnsi="Helvetica" w:cs="Helvetica"/>
                <w:b/>
                <w:bCs/>
                <w:color w:val="FFFFFF"/>
                <w:sz w:val="20"/>
                <w:szCs w:val="20"/>
                <w:vertAlign w:val="superscript"/>
                <w:lang w:val="en-CA" w:eastAsia="en-CA"/>
              </w:rPr>
              <w:t>c</w:t>
            </w:r>
          </w:p>
        </w:tc>
      </w:tr>
      <w:tr w:rsidR="004F3CF2" w:rsidRPr="004F3CF2" w14:paraId="12CB2CC0"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38D30748"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Nutrition specific and sensitive programs</w:t>
            </w:r>
          </w:p>
        </w:tc>
      </w:tr>
      <w:tr w:rsidR="004F3CF2" w:rsidRPr="004F3CF2" w14:paraId="0F044734"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7808DA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Conditional cash transfer “Juntos” program</w:t>
            </w:r>
          </w:p>
        </w:tc>
        <w:tc>
          <w:tcPr>
            <w:tcW w:w="268" w:type="dxa"/>
            <w:tcBorders>
              <w:top w:val="nil"/>
              <w:left w:val="nil"/>
              <w:bottom w:val="nil"/>
              <w:right w:val="nil"/>
            </w:tcBorders>
            <w:shd w:val="clear" w:color="000000" w:fill="FFFFFF"/>
            <w:vAlign w:val="center"/>
            <w:hideMark/>
          </w:tcPr>
          <w:p w14:paraId="39C7199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62D41C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-0.002 (-0.027;0.022)</w:t>
            </w:r>
          </w:p>
        </w:tc>
        <w:tc>
          <w:tcPr>
            <w:tcW w:w="268" w:type="dxa"/>
            <w:tcBorders>
              <w:top w:val="nil"/>
              <w:left w:val="single" w:sz="8" w:space="0" w:color="auto"/>
              <w:bottom w:val="nil"/>
              <w:right w:val="nil"/>
            </w:tcBorders>
            <w:shd w:val="clear" w:color="000000" w:fill="FFFFFF"/>
            <w:vAlign w:val="center"/>
            <w:hideMark/>
          </w:tcPr>
          <w:p w14:paraId="3140F7D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4709B5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6E6803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22C4D4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families/1000 rural population</w:t>
            </w:r>
          </w:p>
        </w:tc>
        <w:tc>
          <w:tcPr>
            <w:tcW w:w="268" w:type="dxa"/>
            <w:tcBorders>
              <w:top w:val="nil"/>
              <w:left w:val="nil"/>
              <w:bottom w:val="nil"/>
              <w:right w:val="nil"/>
            </w:tcBorders>
            <w:shd w:val="clear" w:color="000000" w:fill="FFFFFF"/>
            <w:vAlign w:val="center"/>
            <w:hideMark/>
          </w:tcPr>
          <w:p w14:paraId="689CE61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66340FF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0.854</w:t>
            </w:r>
          </w:p>
        </w:tc>
        <w:tc>
          <w:tcPr>
            <w:tcW w:w="268" w:type="dxa"/>
            <w:tcBorders>
              <w:top w:val="nil"/>
              <w:left w:val="single" w:sz="8" w:space="0" w:color="auto"/>
              <w:bottom w:val="nil"/>
              <w:right w:val="nil"/>
            </w:tcBorders>
            <w:shd w:val="clear" w:color="000000" w:fill="FFFFFF"/>
            <w:vAlign w:val="center"/>
            <w:hideMark/>
          </w:tcPr>
          <w:p w14:paraId="765664F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B6CC5A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C960F7E"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3D27A6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0CAE9DE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1EBA02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676AA7D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01B6CAF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9B8106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3DD4ED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SIS</w:t>
            </w:r>
            <w:r w:rsidRPr="00265001">
              <w:rPr>
                <w:rFonts w:ascii="Helvetica" w:eastAsia="Times New Roman" w:hAnsi="Helvetica" w:cs="Helvetica"/>
                <w:color w:val="000000"/>
                <w:sz w:val="20"/>
                <w:szCs w:val="20"/>
                <w:vertAlign w:val="superscript"/>
                <w:lang w:val="en-CA" w:eastAsia="en-CA"/>
              </w:rPr>
              <w:t>4</w:t>
            </w:r>
            <w:r w:rsidRPr="00265001">
              <w:rPr>
                <w:rFonts w:ascii="Helvetica" w:eastAsia="Times New Roman" w:hAnsi="Helvetica" w:cs="Helvetica"/>
                <w:color w:val="000000"/>
                <w:sz w:val="20"/>
                <w:szCs w:val="20"/>
                <w:lang w:val="en-CA" w:eastAsia="en-CA"/>
              </w:rPr>
              <w:t xml:space="preserve"> coverage</w:t>
            </w:r>
          </w:p>
        </w:tc>
        <w:tc>
          <w:tcPr>
            <w:tcW w:w="268" w:type="dxa"/>
            <w:tcBorders>
              <w:top w:val="nil"/>
              <w:left w:val="nil"/>
              <w:bottom w:val="nil"/>
              <w:right w:val="nil"/>
            </w:tcBorders>
            <w:shd w:val="clear" w:color="000000" w:fill="FFFFFF"/>
            <w:vAlign w:val="center"/>
            <w:hideMark/>
          </w:tcPr>
          <w:p w14:paraId="5C262E1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FC3646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0.055 (-0.019;0.129)</w:t>
            </w:r>
          </w:p>
        </w:tc>
        <w:tc>
          <w:tcPr>
            <w:tcW w:w="268" w:type="dxa"/>
            <w:tcBorders>
              <w:top w:val="nil"/>
              <w:left w:val="single" w:sz="8" w:space="0" w:color="auto"/>
              <w:bottom w:val="nil"/>
              <w:right w:val="nil"/>
            </w:tcBorders>
            <w:shd w:val="clear" w:color="000000" w:fill="FFFFFF"/>
            <w:vAlign w:val="center"/>
            <w:hideMark/>
          </w:tcPr>
          <w:p w14:paraId="45F0804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67676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927E91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55A244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under-5 attendances/under-5 population)</w:t>
            </w:r>
          </w:p>
        </w:tc>
        <w:tc>
          <w:tcPr>
            <w:tcW w:w="268" w:type="dxa"/>
            <w:tcBorders>
              <w:top w:val="nil"/>
              <w:left w:val="nil"/>
              <w:bottom w:val="nil"/>
              <w:right w:val="nil"/>
            </w:tcBorders>
            <w:shd w:val="clear" w:color="000000" w:fill="FFFFFF"/>
            <w:vAlign w:val="center"/>
            <w:hideMark/>
          </w:tcPr>
          <w:p w14:paraId="0E2E57C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2EAA95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0.147</w:t>
            </w:r>
          </w:p>
        </w:tc>
        <w:tc>
          <w:tcPr>
            <w:tcW w:w="268" w:type="dxa"/>
            <w:tcBorders>
              <w:top w:val="nil"/>
              <w:left w:val="single" w:sz="8" w:space="0" w:color="auto"/>
              <w:bottom w:val="nil"/>
              <w:right w:val="nil"/>
            </w:tcBorders>
            <w:shd w:val="clear" w:color="000000" w:fill="FFFFFF"/>
            <w:vAlign w:val="center"/>
            <w:hideMark/>
          </w:tcPr>
          <w:p w14:paraId="1F702B7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D40C73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2E41DA2"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7B25FC3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7B4969D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A6DA52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nil"/>
              <w:right w:val="nil"/>
            </w:tcBorders>
            <w:shd w:val="clear" w:color="000000" w:fill="FFFFFF"/>
            <w:vAlign w:val="center"/>
            <w:hideMark/>
          </w:tcPr>
          <w:p w14:paraId="6B64EF5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1A3E4B8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E01697D" w14:textId="77777777" w:rsidTr="00281F74">
        <w:trPr>
          <w:trHeight w:val="292"/>
        </w:trPr>
        <w:tc>
          <w:tcPr>
            <w:tcW w:w="4108" w:type="dxa"/>
            <w:tcBorders>
              <w:top w:val="single" w:sz="8" w:space="0" w:color="auto"/>
              <w:left w:val="single" w:sz="8" w:space="0" w:color="auto"/>
              <w:bottom w:val="nil"/>
              <w:right w:val="single" w:sz="8" w:space="0" w:color="auto"/>
            </w:tcBorders>
            <w:shd w:val="clear" w:color="000000" w:fill="FFFFFF"/>
            <w:vAlign w:val="center"/>
            <w:hideMark/>
          </w:tcPr>
          <w:p w14:paraId="6451B46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Articulated Nutrition Program (PAN</w:t>
            </w:r>
            <w:r w:rsidRPr="00265001">
              <w:rPr>
                <w:rFonts w:ascii="Helvetica" w:eastAsia="Times New Roman" w:hAnsi="Helvetica" w:cs="Helvetica"/>
                <w:color w:val="000000"/>
                <w:sz w:val="20"/>
                <w:szCs w:val="20"/>
                <w:vertAlign w:val="superscript"/>
                <w:lang w:val="en-CA" w:eastAsia="en-CA"/>
              </w:rPr>
              <w:t>5</w:t>
            </w:r>
            <w:r w:rsidRPr="00265001">
              <w:rPr>
                <w:rFonts w:ascii="Helvetica" w:eastAsia="Times New Roman" w:hAnsi="Helvetica" w:cs="Helvetica"/>
                <w:color w:val="000000"/>
                <w:sz w:val="20"/>
                <w:szCs w:val="20"/>
                <w:lang w:val="en-CA" w:eastAsia="en-CA"/>
              </w:rPr>
              <w:t xml:space="preserve"> log expenditure, per capita)</w:t>
            </w:r>
          </w:p>
        </w:tc>
        <w:tc>
          <w:tcPr>
            <w:tcW w:w="268" w:type="dxa"/>
            <w:tcBorders>
              <w:top w:val="single" w:sz="8" w:space="0" w:color="auto"/>
              <w:left w:val="nil"/>
              <w:bottom w:val="nil"/>
              <w:right w:val="nil"/>
            </w:tcBorders>
            <w:shd w:val="clear" w:color="000000" w:fill="FFFFFF"/>
            <w:vAlign w:val="center"/>
            <w:hideMark/>
          </w:tcPr>
          <w:p w14:paraId="2D82CA7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single" w:sz="8" w:space="0" w:color="auto"/>
              <w:left w:val="nil"/>
              <w:bottom w:val="nil"/>
              <w:right w:val="nil"/>
            </w:tcBorders>
            <w:shd w:val="clear" w:color="000000" w:fill="FFFFFF"/>
            <w:vAlign w:val="center"/>
            <w:hideMark/>
          </w:tcPr>
          <w:p w14:paraId="0D9E9C3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-0.243 (-0.544;0.058)</w:t>
            </w:r>
          </w:p>
        </w:tc>
        <w:tc>
          <w:tcPr>
            <w:tcW w:w="268" w:type="dxa"/>
            <w:tcBorders>
              <w:top w:val="single" w:sz="8" w:space="0" w:color="auto"/>
              <w:left w:val="single" w:sz="8" w:space="0" w:color="auto"/>
              <w:bottom w:val="nil"/>
              <w:right w:val="nil"/>
            </w:tcBorders>
            <w:shd w:val="clear" w:color="000000" w:fill="FFFFFF"/>
            <w:vAlign w:val="center"/>
            <w:hideMark/>
          </w:tcPr>
          <w:p w14:paraId="18DBA10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single" w:sz="8" w:space="0" w:color="auto"/>
              <w:left w:val="nil"/>
              <w:bottom w:val="nil"/>
              <w:right w:val="single" w:sz="8" w:space="0" w:color="auto"/>
            </w:tcBorders>
            <w:shd w:val="clear" w:color="000000" w:fill="FFFFFF"/>
            <w:vAlign w:val="center"/>
            <w:hideMark/>
          </w:tcPr>
          <w:p w14:paraId="3CBE5C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71E792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738C09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67424FE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60131D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0.113</w:t>
            </w:r>
          </w:p>
        </w:tc>
        <w:tc>
          <w:tcPr>
            <w:tcW w:w="268" w:type="dxa"/>
            <w:tcBorders>
              <w:top w:val="nil"/>
              <w:left w:val="single" w:sz="8" w:space="0" w:color="auto"/>
              <w:bottom w:val="nil"/>
              <w:right w:val="nil"/>
            </w:tcBorders>
            <w:shd w:val="clear" w:color="000000" w:fill="FFFFFF"/>
            <w:vAlign w:val="center"/>
            <w:hideMark/>
          </w:tcPr>
          <w:p w14:paraId="26E1801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3FB9F6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96FE3C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71B6F8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0291EF5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33970AD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44886D3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40D3D3C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4D9B13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482913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Strategic Program of Maternal and Newborn Health (PSMN</w:t>
            </w:r>
            <w:r w:rsidRPr="00265001">
              <w:rPr>
                <w:rFonts w:ascii="Helvetica" w:eastAsia="Times New Roman" w:hAnsi="Helvetica" w:cs="Helvetica"/>
                <w:color w:val="000000"/>
                <w:sz w:val="20"/>
                <w:szCs w:val="20"/>
                <w:vertAlign w:val="superscript"/>
                <w:lang w:val="en-CA" w:eastAsia="en-CA"/>
              </w:rPr>
              <w:t>6</w:t>
            </w:r>
            <w:r w:rsidRPr="00265001">
              <w:rPr>
                <w:rFonts w:ascii="Helvetica" w:eastAsia="Times New Roman" w:hAnsi="Helvetica" w:cs="Helvetica"/>
                <w:color w:val="000000"/>
                <w:sz w:val="20"/>
                <w:szCs w:val="20"/>
                <w:lang w:val="en-CA" w:eastAsia="en-CA"/>
              </w:rPr>
              <w:t xml:space="preserve"> log expenditure, per capita</w:t>
            </w:r>
          </w:p>
        </w:tc>
        <w:tc>
          <w:tcPr>
            <w:tcW w:w="268" w:type="dxa"/>
            <w:tcBorders>
              <w:top w:val="nil"/>
              <w:left w:val="nil"/>
              <w:bottom w:val="nil"/>
              <w:right w:val="nil"/>
            </w:tcBorders>
            <w:shd w:val="clear" w:color="000000" w:fill="FFFFFF"/>
            <w:vAlign w:val="center"/>
            <w:hideMark/>
          </w:tcPr>
          <w:p w14:paraId="5009430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E5DDE0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-0.252 (-0.449;0.054)</w:t>
            </w:r>
          </w:p>
        </w:tc>
        <w:tc>
          <w:tcPr>
            <w:tcW w:w="268" w:type="dxa"/>
            <w:tcBorders>
              <w:top w:val="nil"/>
              <w:left w:val="single" w:sz="8" w:space="0" w:color="auto"/>
              <w:bottom w:val="nil"/>
              <w:right w:val="nil"/>
            </w:tcBorders>
            <w:shd w:val="clear" w:color="000000" w:fill="FFFFFF"/>
            <w:vAlign w:val="center"/>
            <w:hideMark/>
          </w:tcPr>
          <w:p w14:paraId="421B950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72FEE6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436993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E7190D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15CE182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E80F22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0.107</w:t>
            </w:r>
          </w:p>
        </w:tc>
        <w:tc>
          <w:tcPr>
            <w:tcW w:w="268" w:type="dxa"/>
            <w:tcBorders>
              <w:top w:val="nil"/>
              <w:left w:val="single" w:sz="8" w:space="0" w:color="auto"/>
              <w:bottom w:val="nil"/>
              <w:right w:val="nil"/>
            </w:tcBorders>
            <w:shd w:val="clear" w:color="000000" w:fill="FFFFFF"/>
            <w:vAlign w:val="center"/>
            <w:hideMark/>
          </w:tcPr>
          <w:p w14:paraId="53D56F5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E1C71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E184F12"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1DA099F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53E668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35F10B4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7B4BB89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22F5E32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0B7F7E9" w14:textId="77777777" w:rsidTr="00281F74">
        <w:trPr>
          <w:trHeight w:val="307"/>
        </w:trPr>
        <w:tc>
          <w:tcPr>
            <w:tcW w:w="4108" w:type="dxa"/>
            <w:tcBorders>
              <w:top w:val="single" w:sz="8" w:space="0" w:color="auto"/>
              <w:left w:val="single" w:sz="8" w:space="0" w:color="auto"/>
              <w:bottom w:val="single" w:sz="8" w:space="0" w:color="auto"/>
              <w:right w:val="nil"/>
            </w:tcBorders>
            <w:shd w:val="clear" w:color="000000" w:fill="D9D9D9"/>
            <w:vAlign w:val="center"/>
            <w:hideMark/>
          </w:tcPr>
          <w:p w14:paraId="159E41B4"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734B59E6"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nil"/>
            </w:tcBorders>
            <w:shd w:val="clear" w:color="000000" w:fill="D9D9D9"/>
            <w:vAlign w:val="center"/>
            <w:hideMark/>
          </w:tcPr>
          <w:p w14:paraId="2CC4BFA5"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68" w:type="dxa"/>
            <w:tcBorders>
              <w:top w:val="nil"/>
              <w:left w:val="single" w:sz="8" w:space="0" w:color="auto"/>
              <w:bottom w:val="single" w:sz="8" w:space="0" w:color="auto"/>
              <w:right w:val="nil"/>
            </w:tcBorders>
            <w:shd w:val="clear" w:color="000000" w:fill="D9D9D9"/>
            <w:vAlign w:val="center"/>
            <w:hideMark/>
          </w:tcPr>
          <w:p w14:paraId="12F8F6C9"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544" w:type="dxa"/>
            <w:tcBorders>
              <w:top w:val="nil"/>
              <w:left w:val="nil"/>
              <w:bottom w:val="single" w:sz="8" w:space="0" w:color="auto"/>
              <w:right w:val="single" w:sz="8" w:space="0" w:color="auto"/>
            </w:tcBorders>
            <w:shd w:val="clear" w:color="000000" w:fill="D9D9D9"/>
            <w:vAlign w:val="center"/>
            <w:hideMark/>
          </w:tcPr>
          <w:p w14:paraId="74202853"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r>
      <w:tr w:rsidR="004F3CF2" w:rsidRPr="004F3CF2" w14:paraId="45E31FDA"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7CAE4D94"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2 Model - Intermediate II: Community and Household-level variables</w:t>
            </w:r>
            <w:r w:rsidRPr="00265001">
              <w:rPr>
                <w:rFonts w:ascii="Helvetica" w:eastAsia="Times New Roman" w:hAnsi="Helvetica" w:cs="Helvetica"/>
                <w:b/>
                <w:bCs/>
                <w:color w:val="FFFFFF"/>
                <w:sz w:val="20"/>
                <w:szCs w:val="20"/>
                <w:vertAlign w:val="superscript"/>
                <w:lang w:val="en-CA" w:eastAsia="en-CA"/>
              </w:rPr>
              <w:t>d</w:t>
            </w:r>
          </w:p>
        </w:tc>
      </w:tr>
      <w:tr w:rsidR="004F3CF2" w:rsidRPr="004F3CF2" w14:paraId="67D9F1FA"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3549B60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Inadequate health services</w:t>
            </w:r>
          </w:p>
        </w:tc>
      </w:tr>
      <w:tr w:rsidR="004F3CF2" w:rsidRPr="004F3CF2" w14:paraId="148BFF5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F24FB2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DPT vaccine</w:t>
            </w:r>
          </w:p>
        </w:tc>
        <w:tc>
          <w:tcPr>
            <w:tcW w:w="268" w:type="dxa"/>
            <w:tcBorders>
              <w:top w:val="nil"/>
              <w:left w:val="nil"/>
              <w:bottom w:val="nil"/>
              <w:right w:val="nil"/>
            </w:tcBorders>
            <w:shd w:val="clear" w:color="000000" w:fill="FFFFFF"/>
            <w:vAlign w:val="center"/>
            <w:hideMark/>
          </w:tcPr>
          <w:p w14:paraId="38C4FB1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7E254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0.004 (-0.085;0.093)</w:t>
            </w:r>
          </w:p>
        </w:tc>
        <w:tc>
          <w:tcPr>
            <w:tcW w:w="268" w:type="dxa"/>
            <w:tcBorders>
              <w:top w:val="nil"/>
              <w:left w:val="single" w:sz="8" w:space="0" w:color="auto"/>
              <w:bottom w:val="nil"/>
              <w:right w:val="nil"/>
            </w:tcBorders>
            <w:shd w:val="clear" w:color="000000" w:fill="FFFFFF"/>
            <w:vAlign w:val="center"/>
            <w:hideMark/>
          </w:tcPr>
          <w:p w14:paraId="40D007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07C7BC3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70AD8A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9CF8E6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3 doses)</w:t>
            </w:r>
          </w:p>
        </w:tc>
        <w:tc>
          <w:tcPr>
            <w:tcW w:w="268" w:type="dxa"/>
            <w:tcBorders>
              <w:top w:val="nil"/>
              <w:left w:val="nil"/>
              <w:bottom w:val="nil"/>
              <w:right w:val="nil"/>
            </w:tcBorders>
            <w:shd w:val="clear" w:color="000000" w:fill="FFFFFF"/>
            <w:vAlign w:val="center"/>
            <w:hideMark/>
          </w:tcPr>
          <w:p w14:paraId="0A9647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23D1E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0.929</w:t>
            </w:r>
          </w:p>
        </w:tc>
        <w:tc>
          <w:tcPr>
            <w:tcW w:w="268" w:type="dxa"/>
            <w:tcBorders>
              <w:top w:val="nil"/>
              <w:left w:val="single" w:sz="8" w:space="0" w:color="auto"/>
              <w:bottom w:val="nil"/>
              <w:right w:val="nil"/>
            </w:tcBorders>
            <w:shd w:val="clear" w:color="000000" w:fill="FFFFFF"/>
            <w:vAlign w:val="center"/>
            <w:hideMark/>
          </w:tcPr>
          <w:p w14:paraId="3DD3215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67B21CE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40EC37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62559C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1F0FC9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517A8B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17AF54B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3C52803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DC1256E"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56D3FC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Measles vaccine</w:t>
            </w:r>
          </w:p>
        </w:tc>
        <w:tc>
          <w:tcPr>
            <w:tcW w:w="268" w:type="dxa"/>
            <w:tcBorders>
              <w:top w:val="nil"/>
              <w:left w:val="nil"/>
              <w:bottom w:val="nil"/>
              <w:right w:val="nil"/>
            </w:tcBorders>
            <w:shd w:val="clear" w:color="000000" w:fill="FFFFFF"/>
            <w:vAlign w:val="center"/>
            <w:hideMark/>
          </w:tcPr>
          <w:p w14:paraId="4B34EB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83C1D9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-0.005 (-0.078;0.068)</w:t>
            </w:r>
          </w:p>
        </w:tc>
        <w:tc>
          <w:tcPr>
            <w:tcW w:w="268" w:type="dxa"/>
            <w:tcBorders>
              <w:top w:val="nil"/>
              <w:left w:val="single" w:sz="8" w:space="0" w:color="auto"/>
              <w:bottom w:val="nil"/>
              <w:right w:val="nil"/>
            </w:tcBorders>
            <w:shd w:val="clear" w:color="000000" w:fill="FFFFFF"/>
            <w:vAlign w:val="center"/>
            <w:hideMark/>
          </w:tcPr>
          <w:p w14:paraId="45470BC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519AE14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FD5603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5C5AF2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w:t>
            </w:r>
          </w:p>
        </w:tc>
        <w:tc>
          <w:tcPr>
            <w:tcW w:w="268" w:type="dxa"/>
            <w:tcBorders>
              <w:top w:val="nil"/>
              <w:left w:val="nil"/>
              <w:bottom w:val="nil"/>
              <w:right w:val="nil"/>
            </w:tcBorders>
            <w:shd w:val="clear" w:color="000000" w:fill="FFFFFF"/>
            <w:vAlign w:val="center"/>
            <w:hideMark/>
          </w:tcPr>
          <w:p w14:paraId="7BDC210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6EB47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0.894</w:t>
            </w:r>
          </w:p>
        </w:tc>
        <w:tc>
          <w:tcPr>
            <w:tcW w:w="268" w:type="dxa"/>
            <w:tcBorders>
              <w:top w:val="nil"/>
              <w:left w:val="single" w:sz="8" w:space="0" w:color="auto"/>
              <w:bottom w:val="nil"/>
              <w:right w:val="nil"/>
            </w:tcBorders>
            <w:shd w:val="clear" w:color="000000" w:fill="FFFFFF"/>
            <w:vAlign w:val="center"/>
            <w:hideMark/>
          </w:tcPr>
          <w:p w14:paraId="4B1E459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63611E5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5CC7B8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7DA21A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64A22E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5295E2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F0D78B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22DC3AE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D1D7ED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0AB81B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Pneumococcal vaccine</w:t>
            </w:r>
          </w:p>
        </w:tc>
        <w:tc>
          <w:tcPr>
            <w:tcW w:w="268" w:type="dxa"/>
            <w:tcBorders>
              <w:top w:val="nil"/>
              <w:left w:val="nil"/>
              <w:bottom w:val="nil"/>
              <w:right w:val="nil"/>
            </w:tcBorders>
            <w:shd w:val="clear" w:color="000000" w:fill="FFFFFF"/>
            <w:vAlign w:val="center"/>
            <w:hideMark/>
          </w:tcPr>
          <w:p w14:paraId="0E9C58F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F0DF5D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-0.033 (-0.062;-0.003)</w:t>
            </w:r>
          </w:p>
        </w:tc>
        <w:tc>
          <w:tcPr>
            <w:tcW w:w="268" w:type="dxa"/>
            <w:tcBorders>
              <w:top w:val="nil"/>
              <w:left w:val="single" w:sz="8" w:space="0" w:color="auto"/>
              <w:bottom w:val="nil"/>
              <w:right w:val="nil"/>
            </w:tcBorders>
            <w:shd w:val="clear" w:color="000000" w:fill="FFFFFF"/>
            <w:vAlign w:val="center"/>
            <w:hideMark/>
          </w:tcPr>
          <w:p w14:paraId="759DFB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48D84D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A846DB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F9800E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8" w:type="dxa"/>
            <w:tcBorders>
              <w:top w:val="nil"/>
              <w:left w:val="nil"/>
              <w:bottom w:val="nil"/>
              <w:right w:val="nil"/>
            </w:tcBorders>
            <w:shd w:val="clear" w:color="000000" w:fill="FFFFFF"/>
            <w:vAlign w:val="center"/>
            <w:hideMark/>
          </w:tcPr>
          <w:p w14:paraId="656889D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67D061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0.029</w:t>
            </w:r>
          </w:p>
        </w:tc>
        <w:tc>
          <w:tcPr>
            <w:tcW w:w="268" w:type="dxa"/>
            <w:tcBorders>
              <w:top w:val="nil"/>
              <w:left w:val="single" w:sz="8" w:space="0" w:color="auto"/>
              <w:bottom w:val="nil"/>
              <w:right w:val="nil"/>
            </w:tcBorders>
            <w:shd w:val="clear" w:color="000000" w:fill="FFFFFF"/>
            <w:vAlign w:val="center"/>
            <w:hideMark/>
          </w:tcPr>
          <w:p w14:paraId="355EE23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141A28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2B60CC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572BD4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DD35F6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0FF9E6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096CA0C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2761819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3C60E5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D15C0C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Rotavirus vaccine</w:t>
            </w:r>
          </w:p>
        </w:tc>
        <w:tc>
          <w:tcPr>
            <w:tcW w:w="268" w:type="dxa"/>
            <w:tcBorders>
              <w:top w:val="nil"/>
              <w:left w:val="nil"/>
              <w:bottom w:val="nil"/>
              <w:right w:val="nil"/>
            </w:tcBorders>
            <w:shd w:val="clear" w:color="000000" w:fill="FFFFFF"/>
            <w:vAlign w:val="center"/>
            <w:hideMark/>
          </w:tcPr>
          <w:p w14:paraId="4690935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3723C5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-0.023 (-0.051;0.004)</w:t>
            </w:r>
          </w:p>
        </w:tc>
        <w:tc>
          <w:tcPr>
            <w:tcW w:w="268" w:type="dxa"/>
            <w:tcBorders>
              <w:top w:val="nil"/>
              <w:left w:val="single" w:sz="8" w:space="0" w:color="auto"/>
              <w:bottom w:val="nil"/>
              <w:right w:val="nil"/>
            </w:tcBorders>
            <w:shd w:val="clear" w:color="000000" w:fill="FFFFFF"/>
            <w:vAlign w:val="center"/>
            <w:hideMark/>
          </w:tcPr>
          <w:p w14:paraId="4080A79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22AB617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75F180C"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00219EE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8" w:type="dxa"/>
            <w:tcBorders>
              <w:top w:val="nil"/>
              <w:left w:val="nil"/>
              <w:bottom w:val="nil"/>
              <w:right w:val="nil"/>
            </w:tcBorders>
            <w:shd w:val="clear" w:color="000000" w:fill="FFFFFF"/>
            <w:vAlign w:val="center"/>
            <w:hideMark/>
          </w:tcPr>
          <w:p w14:paraId="24D93E8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D40DF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0.095</w:t>
            </w:r>
          </w:p>
        </w:tc>
        <w:tc>
          <w:tcPr>
            <w:tcW w:w="268" w:type="dxa"/>
            <w:tcBorders>
              <w:top w:val="nil"/>
              <w:left w:val="single" w:sz="8" w:space="0" w:color="auto"/>
              <w:bottom w:val="nil"/>
              <w:right w:val="nil"/>
            </w:tcBorders>
            <w:shd w:val="clear" w:color="000000" w:fill="FFFFFF"/>
            <w:vAlign w:val="center"/>
            <w:hideMark/>
          </w:tcPr>
          <w:p w14:paraId="7CDCF8E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444648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F81FCE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62A603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52BA38B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D1E550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nil"/>
              <w:right w:val="nil"/>
            </w:tcBorders>
            <w:shd w:val="clear" w:color="000000" w:fill="FFFFFF"/>
            <w:vAlign w:val="center"/>
            <w:hideMark/>
          </w:tcPr>
          <w:p w14:paraId="1FB13F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6DEEDC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60EE43D"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38CFC6EA"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Composite Coverage</w:t>
            </w:r>
          </w:p>
        </w:tc>
      </w:tr>
      <w:tr w:rsidR="004F3CF2" w:rsidRPr="004F3CF2" w14:paraId="0C859D1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456BAD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Composite coverage index</w:t>
            </w:r>
            <w:r w:rsidRPr="00265001">
              <w:rPr>
                <w:rFonts w:ascii="Helvetica" w:eastAsia="Times New Roman" w:hAnsi="Helvetica" w:cs="Helvetica"/>
                <w:color w:val="000000"/>
                <w:sz w:val="20"/>
                <w:szCs w:val="20"/>
                <w:vertAlign w:val="superscript"/>
                <w:lang w:val="en-CA" w:eastAsia="en-CA"/>
              </w:rPr>
              <w:t>6</w:t>
            </w:r>
          </w:p>
        </w:tc>
        <w:tc>
          <w:tcPr>
            <w:tcW w:w="268" w:type="dxa"/>
            <w:tcBorders>
              <w:top w:val="nil"/>
              <w:left w:val="nil"/>
              <w:bottom w:val="nil"/>
              <w:right w:val="nil"/>
            </w:tcBorders>
            <w:shd w:val="clear" w:color="000000" w:fill="FFFFFF"/>
            <w:vAlign w:val="center"/>
            <w:hideMark/>
          </w:tcPr>
          <w:p w14:paraId="1E4AE3A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A0B9EA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-0.167 (-0.354;0.019)</w:t>
            </w:r>
          </w:p>
        </w:tc>
        <w:tc>
          <w:tcPr>
            <w:tcW w:w="268" w:type="dxa"/>
            <w:tcBorders>
              <w:top w:val="nil"/>
              <w:left w:val="single" w:sz="8" w:space="0" w:color="auto"/>
              <w:bottom w:val="nil"/>
              <w:right w:val="nil"/>
            </w:tcBorders>
            <w:shd w:val="clear" w:color="000000" w:fill="FFFFFF"/>
            <w:vAlign w:val="center"/>
            <w:hideMark/>
          </w:tcPr>
          <w:p w14:paraId="6AD286F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98FCB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A8296D4"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CE75A4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527E81F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A4C176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0.079</w:t>
            </w:r>
          </w:p>
        </w:tc>
        <w:tc>
          <w:tcPr>
            <w:tcW w:w="268" w:type="dxa"/>
            <w:tcBorders>
              <w:top w:val="nil"/>
              <w:left w:val="single" w:sz="8" w:space="0" w:color="auto"/>
              <w:bottom w:val="nil"/>
              <w:right w:val="nil"/>
            </w:tcBorders>
            <w:shd w:val="clear" w:color="000000" w:fill="FFFFFF"/>
            <w:vAlign w:val="center"/>
            <w:hideMark/>
          </w:tcPr>
          <w:p w14:paraId="34299E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BADEDA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4263A57"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EE10C3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A9EABF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7437101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7F7156D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3A1E36B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81635BD"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3998DAFF"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Reproductive and maternal care</w:t>
            </w:r>
          </w:p>
        </w:tc>
      </w:tr>
      <w:tr w:rsidR="004F3CF2" w:rsidRPr="004F3CF2" w14:paraId="419D0BE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71869F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Skilled attendant for last birth</w:t>
            </w:r>
          </w:p>
        </w:tc>
        <w:tc>
          <w:tcPr>
            <w:tcW w:w="268" w:type="dxa"/>
            <w:tcBorders>
              <w:top w:val="nil"/>
              <w:left w:val="nil"/>
              <w:bottom w:val="nil"/>
              <w:right w:val="nil"/>
            </w:tcBorders>
            <w:shd w:val="clear" w:color="000000" w:fill="FFFFFF"/>
            <w:vAlign w:val="center"/>
            <w:hideMark/>
          </w:tcPr>
          <w:p w14:paraId="0EA67F4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46C958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-0.268 (-0.407;-0.129)</w:t>
            </w:r>
          </w:p>
        </w:tc>
        <w:tc>
          <w:tcPr>
            <w:tcW w:w="268" w:type="dxa"/>
            <w:tcBorders>
              <w:top w:val="nil"/>
              <w:left w:val="single" w:sz="8" w:space="0" w:color="auto"/>
              <w:bottom w:val="nil"/>
              <w:right w:val="nil"/>
            </w:tcBorders>
            <w:shd w:val="clear" w:color="000000" w:fill="FFFFFF"/>
            <w:vAlign w:val="center"/>
            <w:hideMark/>
          </w:tcPr>
          <w:p w14:paraId="74B0A59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37CCA9DB" w14:textId="77777777" w:rsidR="004F3CF2" w:rsidRPr="00265001" w:rsidRDefault="004F3CF2" w:rsidP="00281F74">
            <w:pPr>
              <w:jc w:val="center"/>
              <w:rPr>
                <w:rFonts w:ascii="Helvetica" w:eastAsia="Times New Roman" w:hAnsi="Helvetica" w:cs="Helvetica"/>
                <w:sz w:val="20"/>
                <w:szCs w:val="20"/>
                <w:lang w:val="en-CA" w:eastAsia="en-CA"/>
              </w:rPr>
            </w:pPr>
            <w:r w:rsidRPr="00265001">
              <w:rPr>
                <w:rFonts w:ascii="Helvetica" w:hAnsi="Helvetica" w:cs="Helvetica"/>
                <w:sz w:val="20"/>
                <w:szCs w:val="20"/>
              </w:rPr>
              <w:t>-0.178 (-0.288;-0.068)</w:t>
            </w:r>
          </w:p>
        </w:tc>
      </w:tr>
      <w:tr w:rsidR="004F3CF2" w:rsidRPr="004F3CF2" w14:paraId="259D78F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0DE727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8" w:type="dxa"/>
            <w:tcBorders>
              <w:top w:val="nil"/>
              <w:left w:val="nil"/>
              <w:bottom w:val="nil"/>
              <w:right w:val="nil"/>
            </w:tcBorders>
            <w:shd w:val="clear" w:color="000000" w:fill="FFFFFF"/>
            <w:vAlign w:val="center"/>
            <w:hideMark/>
          </w:tcPr>
          <w:p w14:paraId="30DAE9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93D716D"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253541D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072B5D0D" w14:textId="77777777" w:rsidR="004F3CF2" w:rsidRPr="00265001" w:rsidRDefault="004F3CF2" w:rsidP="00281F74">
            <w:pPr>
              <w:jc w:val="center"/>
              <w:rPr>
                <w:rFonts w:ascii="Helvetica" w:eastAsia="Times New Roman" w:hAnsi="Helvetica" w:cs="Helvetica"/>
                <w:sz w:val="20"/>
                <w:szCs w:val="20"/>
                <w:lang w:val="en-CA" w:eastAsia="en-CA"/>
              </w:rPr>
            </w:pPr>
            <w:r w:rsidRPr="00265001">
              <w:rPr>
                <w:rFonts w:ascii="Helvetica" w:hAnsi="Helvetica" w:cs="Helvetica"/>
                <w:sz w:val="20"/>
                <w:szCs w:val="20"/>
              </w:rPr>
              <w:t>0.002</w:t>
            </w:r>
          </w:p>
        </w:tc>
      </w:tr>
      <w:tr w:rsidR="004F3CF2" w:rsidRPr="004F3CF2" w14:paraId="2C94E84F"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535786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0F5848B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8E9F9F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326FA4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195D550F" w14:textId="77777777" w:rsidR="004F3CF2" w:rsidRPr="00265001" w:rsidRDefault="004F3CF2" w:rsidP="00281F74">
            <w:pPr>
              <w:jc w:val="center"/>
              <w:rPr>
                <w:rFonts w:ascii="Helvetica" w:eastAsia="Times New Roman" w:hAnsi="Helvetica" w:cs="Helvetica"/>
                <w:sz w:val="20"/>
                <w:szCs w:val="20"/>
                <w:lang w:val="en-CA" w:eastAsia="en-CA"/>
              </w:rPr>
            </w:pPr>
            <w:r w:rsidRPr="00265001">
              <w:rPr>
                <w:rFonts w:ascii="Helvetica" w:hAnsi="Helvetica" w:cs="Helvetica"/>
                <w:sz w:val="20"/>
                <w:szCs w:val="20"/>
              </w:rPr>
              <w:t>0.06</w:t>
            </w:r>
          </w:p>
        </w:tc>
      </w:tr>
      <w:tr w:rsidR="004F3CF2" w:rsidRPr="004F3CF2" w14:paraId="2EB9746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7A0D99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4+ antenatal care visits for last birth</w:t>
            </w:r>
          </w:p>
        </w:tc>
        <w:tc>
          <w:tcPr>
            <w:tcW w:w="268" w:type="dxa"/>
            <w:tcBorders>
              <w:top w:val="nil"/>
              <w:left w:val="nil"/>
              <w:bottom w:val="nil"/>
              <w:right w:val="nil"/>
            </w:tcBorders>
            <w:shd w:val="clear" w:color="000000" w:fill="FFFFFF"/>
            <w:vAlign w:val="center"/>
            <w:hideMark/>
          </w:tcPr>
          <w:p w14:paraId="20C86D3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412BE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0.021 (-0.301;0.343)</w:t>
            </w:r>
          </w:p>
        </w:tc>
        <w:tc>
          <w:tcPr>
            <w:tcW w:w="268" w:type="dxa"/>
            <w:tcBorders>
              <w:top w:val="nil"/>
              <w:left w:val="single" w:sz="8" w:space="0" w:color="auto"/>
              <w:bottom w:val="nil"/>
              <w:right w:val="nil"/>
            </w:tcBorders>
            <w:shd w:val="clear" w:color="000000" w:fill="FFFFFF"/>
            <w:vAlign w:val="center"/>
            <w:hideMark/>
          </w:tcPr>
          <w:p w14:paraId="1E1E828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138349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728ED4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BB36DE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8" w:type="dxa"/>
            <w:tcBorders>
              <w:top w:val="nil"/>
              <w:left w:val="nil"/>
              <w:bottom w:val="nil"/>
              <w:right w:val="nil"/>
            </w:tcBorders>
            <w:shd w:val="clear" w:color="000000" w:fill="FFFFFF"/>
            <w:vAlign w:val="center"/>
            <w:hideMark/>
          </w:tcPr>
          <w:p w14:paraId="4D8D2D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C16C8B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0.897</w:t>
            </w:r>
          </w:p>
        </w:tc>
        <w:tc>
          <w:tcPr>
            <w:tcW w:w="268" w:type="dxa"/>
            <w:tcBorders>
              <w:top w:val="nil"/>
              <w:left w:val="single" w:sz="8" w:space="0" w:color="auto"/>
              <w:bottom w:val="nil"/>
              <w:right w:val="nil"/>
            </w:tcBorders>
            <w:shd w:val="clear" w:color="000000" w:fill="FFFFFF"/>
            <w:vAlign w:val="center"/>
            <w:hideMark/>
          </w:tcPr>
          <w:p w14:paraId="511EBFB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3ADA1E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25F7FBF"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823151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4EC962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3483F1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5AA0E2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77EEE1F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E7B7E85"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44B49316"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Human resources for health</w:t>
            </w:r>
          </w:p>
        </w:tc>
      </w:tr>
      <w:tr w:rsidR="004F3CF2" w:rsidRPr="004F3CF2" w14:paraId="5A7E7B8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2B191C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Density of human resources for health</w:t>
            </w:r>
          </w:p>
        </w:tc>
        <w:tc>
          <w:tcPr>
            <w:tcW w:w="268" w:type="dxa"/>
            <w:tcBorders>
              <w:top w:val="nil"/>
              <w:left w:val="nil"/>
              <w:bottom w:val="nil"/>
              <w:right w:val="nil"/>
            </w:tcBorders>
            <w:shd w:val="clear" w:color="000000" w:fill="FFFFFF"/>
            <w:vAlign w:val="center"/>
            <w:hideMark/>
          </w:tcPr>
          <w:p w14:paraId="31315FF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E3C8D0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0.140 (0.040;0.240)</w:t>
            </w:r>
          </w:p>
        </w:tc>
        <w:tc>
          <w:tcPr>
            <w:tcW w:w="268" w:type="dxa"/>
            <w:tcBorders>
              <w:top w:val="nil"/>
              <w:left w:val="single" w:sz="8" w:space="0" w:color="auto"/>
              <w:bottom w:val="nil"/>
              <w:right w:val="nil"/>
            </w:tcBorders>
            <w:shd w:val="clear" w:color="000000" w:fill="FFFFFF"/>
            <w:vAlign w:val="center"/>
            <w:hideMark/>
          </w:tcPr>
          <w:p w14:paraId="03FB4C1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5AA3D71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92A165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156719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(Doctors, nurses and midwives per 10,000 </w:t>
            </w:r>
          </w:p>
        </w:tc>
        <w:tc>
          <w:tcPr>
            <w:tcW w:w="268" w:type="dxa"/>
            <w:tcBorders>
              <w:top w:val="nil"/>
              <w:left w:val="nil"/>
              <w:bottom w:val="nil"/>
              <w:right w:val="nil"/>
            </w:tcBorders>
            <w:shd w:val="clear" w:color="000000" w:fill="FFFFFF"/>
            <w:vAlign w:val="center"/>
            <w:hideMark/>
          </w:tcPr>
          <w:p w14:paraId="2C4F9AF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4FA01E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0.006</w:t>
            </w:r>
          </w:p>
        </w:tc>
        <w:tc>
          <w:tcPr>
            <w:tcW w:w="268" w:type="dxa"/>
            <w:tcBorders>
              <w:top w:val="nil"/>
              <w:left w:val="single" w:sz="8" w:space="0" w:color="auto"/>
              <w:bottom w:val="nil"/>
              <w:right w:val="nil"/>
            </w:tcBorders>
            <w:shd w:val="clear" w:color="000000" w:fill="FFFFFF"/>
            <w:vAlign w:val="center"/>
            <w:hideMark/>
          </w:tcPr>
          <w:p w14:paraId="0626D50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1AC7418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DD2E033"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EA8AF5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population)</w:t>
            </w:r>
          </w:p>
        </w:tc>
        <w:tc>
          <w:tcPr>
            <w:tcW w:w="268" w:type="dxa"/>
            <w:tcBorders>
              <w:top w:val="nil"/>
              <w:left w:val="nil"/>
              <w:bottom w:val="single" w:sz="8" w:space="0" w:color="auto"/>
              <w:right w:val="nil"/>
            </w:tcBorders>
            <w:shd w:val="clear" w:color="000000" w:fill="FFFFFF"/>
            <w:vAlign w:val="center"/>
            <w:hideMark/>
          </w:tcPr>
          <w:p w14:paraId="785BC0B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72FC64E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7B8A01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60E2F4B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D793A18"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1DF00EEC"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Care seeking interventions for childhood illness &amp; child micronutrient intake</w:t>
            </w:r>
          </w:p>
        </w:tc>
      </w:tr>
      <w:tr w:rsidR="004F3CF2" w:rsidRPr="004F3CF2" w14:paraId="0BFEE37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EB673B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Care seeking for pneumonia</w:t>
            </w:r>
          </w:p>
        </w:tc>
        <w:tc>
          <w:tcPr>
            <w:tcW w:w="268" w:type="dxa"/>
            <w:tcBorders>
              <w:top w:val="nil"/>
              <w:left w:val="nil"/>
              <w:bottom w:val="nil"/>
              <w:right w:val="nil"/>
            </w:tcBorders>
            <w:shd w:val="clear" w:color="000000" w:fill="FFFFFF"/>
            <w:vAlign w:val="center"/>
            <w:hideMark/>
          </w:tcPr>
          <w:p w14:paraId="488170B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8CE22C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0.041 (-0.008;0.091)</w:t>
            </w:r>
          </w:p>
        </w:tc>
        <w:tc>
          <w:tcPr>
            <w:tcW w:w="268" w:type="dxa"/>
            <w:tcBorders>
              <w:top w:val="nil"/>
              <w:left w:val="single" w:sz="8" w:space="0" w:color="auto"/>
              <w:bottom w:val="nil"/>
              <w:right w:val="nil"/>
            </w:tcBorders>
            <w:shd w:val="clear" w:color="000000" w:fill="FFFFFF"/>
            <w:vAlign w:val="center"/>
            <w:hideMark/>
          </w:tcPr>
          <w:p w14:paraId="07180CC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40AEC66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0.04 (-0.002;0.082)</w:t>
            </w:r>
          </w:p>
        </w:tc>
      </w:tr>
      <w:tr w:rsidR="004F3CF2" w:rsidRPr="004F3CF2" w14:paraId="0A1DD09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C68477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pneumonia seeking care)</w:t>
            </w:r>
          </w:p>
        </w:tc>
        <w:tc>
          <w:tcPr>
            <w:tcW w:w="268" w:type="dxa"/>
            <w:tcBorders>
              <w:top w:val="nil"/>
              <w:left w:val="nil"/>
              <w:bottom w:val="nil"/>
              <w:right w:val="nil"/>
            </w:tcBorders>
            <w:shd w:val="clear" w:color="000000" w:fill="FFFFFF"/>
            <w:vAlign w:val="center"/>
            <w:hideMark/>
          </w:tcPr>
          <w:p w14:paraId="578A327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6BBDD1D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0.099</w:t>
            </w:r>
          </w:p>
        </w:tc>
        <w:tc>
          <w:tcPr>
            <w:tcW w:w="268" w:type="dxa"/>
            <w:tcBorders>
              <w:top w:val="nil"/>
              <w:left w:val="single" w:sz="8" w:space="0" w:color="auto"/>
              <w:bottom w:val="nil"/>
              <w:right w:val="nil"/>
            </w:tcBorders>
            <w:shd w:val="clear" w:color="000000" w:fill="FFFFFF"/>
            <w:vAlign w:val="center"/>
            <w:hideMark/>
          </w:tcPr>
          <w:p w14:paraId="6C283F8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5F1A2C2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0.062</w:t>
            </w:r>
          </w:p>
        </w:tc>
      </w:tr>
      <w:tr w:rsidR="004F3CF2" w:rsidRPr="004F3CF2" w14:paraId="71627D6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4D79EE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EF6BA6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6A5B23F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457FAD4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4E280C0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0.03</w:t>
            </w:r>
          </w:p>
        </w:tc>
      </w:tr>
      <w:tr w:rsidR="004F3CF2" w:rsidRPr="004F3CF2" w14:paraId="12664C4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A72955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Oral rehydration therapy</w:t>
            </w:r>
          </w:p>
        </w:tc>
        <w:tc>
          <w:tcPr>
            <w:tcW w:w="268" w:type="dxa"/>
            <w:tcBorders>
              <w:top w:val="nil"/>
              <w:left w:val="nil"/>
              <w:bottom w:val="nil"/>
              <w:right w:val="nil"/>
            </w:tcBorders>
            <w:shd w:val="clear" w:color="000000" w:fill="FFFFFF"/>
            <w:vAlign w:val="center"/>
            <w:hideMark/>
          </w:tcPr>
          <w:p w14:paraId="48D8F7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6A7B70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-0.061 (-0.130;0.007)</w:t>
            </w:r>
          </w:p>
        </w:tc>
        <w:tc>
          <w:tcPr>
            <w:tcW w:w="268" w:type="dxa"/>
            <w:tcBorders>
              <w:top w:val="nil"/>
              <w:left w:val="single" w:sz="8" w:space="0" w:color="auto"/>
              <w:bottom w:val="nil"/>
              <w:right w:val="nil"/>
            </w:tcBorders>
            <w:shd w:val="clear" w:color="000000" w:fill="FFFFFF"/>
            <w:vAlign w:val="center"/>
            <w:hideMark/>
          </w:tcPr>
          <w:p w14:paraId="2B25B14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00DF46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9EAE7D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988AAA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diarrhea receiving ORT)</w:t>
            </w:r>
          </w:p>
        </w:tc>
        <w:tc>
          <w:tcPr>
            <w:tcW w:w="268" w:type="dxa"/>
            <w:tcBorders>
              <w:top w:val="nil"/>
              <w:left w:val="nil"/>
              <w:bottom w:val="nil"/>
              <w:right w:val="nil"/>
            </w:tcBorders>
            <w:shd w:val="clear" w:color="000000" w:fill="FFFFFF"/>
            <w:vAlign w:val="center"/>
            <w:hideMark/>
          </w:tcPr>
          <w:p w14:paraId="0B080D0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EE9AF1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0.08</w:t>
            </w:r>
          </w:p>
        </w:tc>
        <w:tc>
          <w:tcPr>
            <w:tcW w:w="268" w:type="dxa"/>
            <w:tcBorders>
              <w:top w:val="nil"/>
              <w:left w:val="single" w:sz="8" w:space="0" w:color="auto"/>
              <w:bottom w:val="nil"/>
              <w:right w:val="nil"/>
            </w:tcBorders>
            <w:shd w:val="clear" w:color="000000" w:fill="FFFFFF"/>
            <w:vAlign w:val="center"/>
            <w:hideMark/>
          </w:tcPr>
          <w:p w14:paraId="75EE2F5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4D9AE25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B5F4B8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3CC3B8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D158F6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F2A39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31DCA0F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7818D2E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8833AB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1E10D4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receiving antibiotic treatment</w:t>
            </w:r>
          </w:p>
        </w:tc>
        <w:tc>
          <w:tcPr>
            <w:tcW w:w="268" w:type="dxa"/>
            <w:tcBorders>
              <w:top w:val="nil"/>
              <w:left w:val="nil"/>
              <w:bottom w:val="nil"/>
              <w:right w:val="nil"/>
            </w:tcBorders>
            <w:shd w:val="clear" w:color="000000" w:fill="FFFFFF"/>
            <w:vAlign w:val="center"/>
            <w:hideMark/>
          </w:tcPr>
          <w:p w14:paraId="71C810A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3347E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0.001 (-0.221;0.223)</w:t>
            </w:r>
          </w:p>
        </w:tc>
        <w:tc>
          <w:tcPr>
            <w:tcW w:w="268" w:type="dxa"/>
            <w:tcBorders>
              <w:top w:val="nil"/>
              <w:left w:val="single" w:sz="8" w:space="0" w:color="auto"/>
              <w:bottom w:val="nil"/>
              <w:right w:val="nil"/>
            </w:tcBorders>
            <w:shd w:val="clear" w:color="000000" w:fill="FFFFFF"/>
            <w:vAlign w:val="center"/>
            <w:hideMark/>
          </w:tcPr>
          <w:p w14:paraId="2FD9B9E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4EBD8A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812392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D710AB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ARI receiving antibiotics)</w:t>
            </w:r>
          </w:p>
        </w:tc>
        <w:tc>
          <w:tcPr>
            <w:tcW w:w="268" w:type="dxa"/>
            <w:tcBorders>
              <w:top w:val="nil"/>
              <w:left w:val="nil"/>
              <w:bottom w:val="nil"/>
              <w:right w:val="nil"/>
            </w:tcBorders>
            <w:shd w:val="clear" w:color="000000" w:fill="FFFFFF"/>
            <w:vAlign w:val="center"/>
            <w:hideMark/>
          </w:tcPr>
          <w:p w14:paraId="34B53F8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8534CE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0.993</w:t>
            </w:r>
          </w:p>
        </w:tc>
        <w:tc>
          <w:tcPr>
            <w:tcW w:w="268" w:type="dxa"/>
            <w:tcBorders>
              <w:top w:val="nil"/>
              <w:left w:val="single" w:sz="8" w:space="0" w:color="auto"/>
              <w:bottom w:val="nil"/>
              <w:right w:val="nil"/>
            </w:tcBorders>
            <w:shd w:val="clear" w:color="000000" w:fill="FFFFFF"/>
            <w:vAlign w:val="center"/>
            <w:hideMark/>
          </w:tcPr>
          <w:p w14:paraId="1EBAF7F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5C8813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E598672"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E27780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B340C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6C48C7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0D4CA06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4FB2184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FDFDBD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B87C7E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Vitamin A supplementation</w:t>
            </w:r>
          </w:p>
        </w:tc>
        <w:tc>
          <w:tcPr>
            <w:tcW w:w="268" w:type="dxa"/>
            <w:tcBorders>
              <w:top w:val="nil"/>
              <w:left w:val="nil"/>
              <w:bottom w:val="nil"/>
              <w:right w:val="nil"/>
            </w:tcBorders>
            <w:shd w:val="clear" w:color="000000" w:fill="FFFFFF"/>
            <w:vAlign w:val="center"/>
            <w:hideMark/>
          </w:tcPr>
          <w:p w14:paraId="330C2EB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5685DB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-0.002 (-0.121;0.117)</w:t>
            </w:r>
          </w:p>
        </w:tc>
        <w:tc>
          <w:tcPr>
            <w:tcW w:w="268" w:type="dxa"/>
            <w:tcBorders>
              <w:top w:val="nil"/>
              <w:left w:val="single" w:sz="8" w:space="0" w:color="auto"/>
              <w:bottom w:val="nil"/>
              <w:right w:val="nil"/>
            </w:tcBorders>
            <w:shd w:val="clear" w:color="000000" w:fill="FFFFFF"/>
            <w:vAlign w:val="center"/>
            <w:hideMark/>
          </w:tcPr>
          <w:p w14:paraId="3FDF593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766F88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1A5FB3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A00B55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8" w:type="dxa"/>
            <w:tcBorders>
              <w:top w:val="nil"/>
              <w:left w:val="nil"/>
              <w:bottom w:val="nil"/>
              <w:right w:val="nil"/>
            </w:tcBorders>
            <w:shd w:val="clear" w:color="000000" w:fill="FFFFFF"/>
            <w:vAlign w:val="center"/>
            <w:hideMark/>
          </w:tcPr>
          <w:p w14:paraId="483ACC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2B81CA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0.977</w:t>
            </w:r>
          </w:p>
        </w:tc>
        <w:tc>
          <w:tcPr>
            <w:tcW w:w="268" w:type="dxa"/>
            <w:tcBorders>
              <w:top w:val="nil"/>
              <w:left w:val="single" w:sz="8" w:space="0" w:color="auto"/>
              <w:bottom w:val="nil"/>
              <w:right w:val="nil"/>
            </w:tcBorders>
            <w:shd w:val="clear" w:color="000000" w:fill="FFFFFF"/>
            <w:vAlign w:val="center"/>
            <w:hideMark/>
          </w:tcPr>
          <w:p w14:paraId="3C2F72D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355122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92C58E7"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7A27A4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F39700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598B708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56960B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46B0D6C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A29D8B8"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055B49C6"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Unhealthy household environment</w:t>
            </w:r>
          </w:p>
        </w:tc>
      </w:tr>
      <w:tr w:rsidR="004F3CF2" w:rsidRPr="004F3CF2" w14:paraId="4CE1BE4E"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26BCFA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Urbanization</w:t>
            </w:r>
          </w:p>
        </w:tc>
        <w:tc>
          <w:tcPr>
            <w:tcW w:w="268" w:type="dxa"/>
            <w:tcBorders>
              <w:top w:val="nil"/>
              <w:left w:val="nil"/>
              <w:bottom w:val="nil"/>
              <w:right w:val="nil"/>
            </w:tcBorders>
            <w:shd w:val="clear" w:color="000000" w:fill="FFFFFF"/>
            <w:vAlign w:val="center"/>
            <w:hideMark/>
          </w:tcPr>
          <w:p w14:paraId="0D09239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2A71200"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-0.401 (-0.481;-0.321)</w:t>
            </w:r>
          </w:p>
        </w:tc>
        <w:tc>
          <w:tcPr>
            <w:tcW w:w="268" w:type="dxa"/>
            <w:tcBorders>
              <w:top w:val="nil"/>
              <w:left w:val="single" w:sz="8" w:space="0" w:color="auto"/>
              <w:bottom w:val="nil"/>
              <w:right w:val="nil"/>
            </w:tcBorders>
            <w:shd w:val="clear" w:color="000000" w:fill="FFFFFF"/>
            <w:vAlign w:val="center"/>
            <w:hideMark/>
          </w:tcPr>
          <w:p w14:paraId="4E6A620A"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624003E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-0.202 (-0.274;-0.131)</w:t>
            </w:r>
          </w:p>
        </w:tc>
      </w:tr>
      <w:tr w:rsidR="004F3CF2" w:rsidRPr="004F3CF2" w14:paraId="793A6B7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B4EA1F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 of urban population) </w:t>
            </w:r>
          </w:p>
        </w:tc>
        <w:tc>
          <w:tcPr>
            <w:tcW w:w="268" w:type="dxa"/>
            <w:tcBorders>
              <w:top w:val="nil"/>
              <w:left w:val="nil"/>
              <w:bottom w:val="nil"/>
              <w:right w:val="nil"/>
            </w:tcBorders>
            <w:shd w:val="clear" w:color="000000" w:fill="FFFFFF"/>
            <w:vAlign w:val="center"/>
            <w:hideMark/>
          </w:tcPr>
          <w:p w14:paraId="62A7215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0B8014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6E167488"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6E8180E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r>
      <w:tr w:rsidR="004F3CF2" w:rsidRPr="004F3CF2" w14:paraId="02F6D354"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13A915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EE5DAD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63087092"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5D3796A"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2CE5B25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0.04</w:t>
            </w:r>
          </w:p>
        </w:tc>
      </w:tr>
      <w:tr w:rsidR="004F3CF2" w:rsidRPr="004F3CF2" w14:paraId="1C52270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215E15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Open defecation</w:t>
            </w:r>
          </w:p>
        </w:tc>
        <w:tc>
          <w:tcPr>
            <w:tcW w:w="268" w:type="dxa"/>
            <w:tcBorders>
              <w:top w:val="nil"/>
              <w:left w:val="nil"/>
              <w:bottom w:val="nil"/>
              <w:right w:val="nil"/>
            </w:tcBorders>
            <w:shd w:val="clear" w:color="000000" w:fill="FFFFFF"/>
            <w:vAlign w:val="center"/>
            <w:hideMark/>
          </w:tcPr>
          <w:p w14:paraId="2C724CF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7FFEE2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0.463 (-0.050;0.976)</w:t>
            </w:r>
          </w:p>
        </w:tc>
        <w:tc>
          <w:tcPr>
            <w:tcW w:w="268" w:type="dxa"/>
            <w:tcBorders>
              <w:top w:val="nil"/>
              <w:left w:val="single" w:sz="8" w:space="0" w:color="auto"/>
              <w:bottom w:val="nil"/>
              <w:right w:val="nil"/>
            </w:tcBorders>
            <w:shd w:val="clear" w:color="000000" w:fill="FFFFFF"/>
            <w:vAlign w:val="center"/>
            <w:hideMark/>
          </w:tcPr>
          <w:p w14:paraId="70605E7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C15686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F94C11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6B036E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of population )</w:t>
            </w:r>
          </w:p>
        </w:tc>
        <w:tc>
          <w:tcPr>
            <w:tcW w:w="268" w:type="dxa"/>
            <w:tcBorders>
              <w:top w:val="nil"/>
              <w:left w:val="nil"/>
              <w:bottom w:val="nil"/>
              <w:right w:val="nil"/>
            </w:tcBorders>
            <w:shd w:val="clear" w:color="000000" w:fill="FFFFFF"/>
            <w:vAlign w:val="center"/>
            <w:hideMark/>
          </w:tcPr>
          <w:p w14:paraId="0137CD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4D2C80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0.077</w:t>
            </w:r>
          </w:p>
        </w:tc>
        <w:tc>
          <w:tcPr>
            <w:tcW w:w="268" w:type="dxa"/>
            <w:tcBorders>
              <w:top w:val="nil"/>
              <w:left w:val="single" w:sz="8" w:space="0" w:color="auto"/>
              <w:bottom w:val="nil"/>
              <w:right w:val="nil"/>
            </w:tcBorders>
            <w:shd w:val="clear" w:color="000000" w:fill="FFFFFF"/>
            <w:vAlign w:val="center"/>
            <w:hideMark/>
          </w:tcPr>
          <w:p w14:paraId="3551181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316750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6237FFD"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8BFB17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D0848F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51E34B8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17D524D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66F2A7F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DA97C8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AF1AFA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Improved drinking water source</w:t>
            </w:r>
          </w:p>
        </w:tc>
        <w:tc>
          <w:tcPr>
            <w:tcW w:w="268" w:type="dxa"/>
            <w:tcBorders>
              <w:top w:val="nil"/>
              <w:left w:val="nil"/>
              <w:bottom w:val="nil"/>
              <w:right w:val="nil"/>
            </w:tcBorders>
            <w:shd w:val="clear" w:color="000000" w:fill="FFFFFF"/>
            <w:vAlign w:val="center"/>
            <w:hideMark/>
          </w:tcPr>
          <w:p w14:paraId="44ED647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623473F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-0.191 (-0.344;-0.038)</w:t>
            </w:r>
          </w:p>
        </w:tc>
        <w:tc>
          <w:tcPr>
            <w:tcW w:w="268" w:type="dxa"/>
            <w:tcBorders>
              <w:top w:val="nil"/>
              <w:left w:val="single" w:sz="8" w:space="0" w:color="auto"/>
              <w:bottom w:val="nil"/>
              <w:right w:val="nil"/>
            </w:tcBorders>
            <w:shd w:val="clear" w:color="000000" w:fill="FFFFFF"/>
            <w:vAlign w:val="center"/>
            <w:hideMark/>
          </w:tcPr>
          <w:p w14:paraId="1152785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3DE993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B81406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A1ADF7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of population)</w:t>
            </w:r>
          </w:p>
        </w:tc>
        <w:tc>
          <w:tcPr>
            <w:tcW w:w="268" w:type="dxa"/>
            <w:tcBorders>
              <w:top w:val="nil"/>
              <w:left w:val="nil"/>
              <w:bottom w:val="nil"/>
              <w:right w:val="nil"/>
            </w:tcBorders>
            <w:shd w:val="clear" w:color="000000" w:fill="FFFFFF"/>
            <w:vAlign w:val="center"/>
            <w:hideMark/>
          </w:tcPr>
          <w:p w14:paraId="53FBE0A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0E71DC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0.014</w:t>
            </w:r>
          </w:p>
        </w:tc>
        <w:tc>
          <w:tcPr>
            <w:tcW w:w="268" w:type="dxa"/>
            <w:tcBorders>
              <w:top w:val="nil"/>
              <w:left w:val="single" w:sz="8" w:space="0" w:color="auto"/>
              <w:bottom w:val="nil"/>
              <w:right w:val="nil"/>
            </w:tcBorders>
            <w:shd w:val="clear" w:color="000000" w:fill="FFFFFF"/>
            <w:vAlign w:val="center"/>
            <w:hideMark/>
          </w:tcPr>
          <w:p w14:paraId="3D6DEF0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D76A4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FBF83A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88F63A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FF0355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D3B6C1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BADFF7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3D2DC3D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2D866D6" w14:textId="77777777" w:rsidTr="00281F74">
        <w:trPr>
          <w:trHeight w:val="307"/>
        </w:trPr>
        <w:tc>
          <w:tcPr>
            <w:tcW w:w="4108" w:type="dxa"/>
            <w:tcBorders>
              <w:top w:val="nil"/>
              <w:left w:val="single" w:sz="8" w:space="0" w:color="auto"/>
              <w:bottom w:val="single" w:sz="8" w:space="0" w:color="auto"/>
              <w:right w:val="nil"/>
            </w:tcBorders>
            <w:shd w:val="clear" w:color="000000" w:fill="D9D9D9"/>
            <w:vAlign w:val="center"/>
            <w:hideMark/>
          </w:tcPr>
          <w:p w14:paraId="112B3288"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413E451A"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nil"/>
            </w:tcBorders>
            <w:shd w:val="clear" w:color="000000" w:fill="D9D9D9"/>
            <w:vAlign w:val="center"/>
            <w:hideMark/>
          </w:tcPr>
          <w:p w14:paraId="0CEDCB0B"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68" w:type="dxa"/>
            <w:tcBorders>
              <w:top w:val="nil"/>
              <w:left w:val="single" w:sz="8" w:space="0" w:color="auto"/>
              <w:bottom w:val="single" w:sz="8" w:space="0" w:color="auto"/>
              <w:right w:val="nil"/>
            </w:tcBorders>
            <w:shd w:val="clear" w:color="000000" w:fill="D9D9D9"/>
            <w:vAlign w:val="center"/>
            <w:hideMark/>
          </w:tcPr>
          <w:p w14:paraId="19931B3F"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544" w:type="dxa"/>
            <w:tcBorders>
              <w:top w:val="nil"/>
              <w:left w:val="nil"/>
              <w:bottom w:val="single" w:sz="8" w:space="0" w:color="auto"/>
              <w:right w:val="single" w:sz="8" w:space="0" w:color="auto"/>
            </w:tcBorders>
            <w:shd w:val="clear" w:color="000000" w:fill="D9D9D9"/>
            <w:vAlign w:val="center"/>
            <w:hideMark/>
          </w:tcPr>
          <w:p w14:paraId="3B8906D8"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63%</w:t>
            </w:r>
          </w:p>
        </w:tc>
      </w:tr>
      <w:tr w:rsidR="004F3CF2" w:rsidRPr="004F3CF2" w14:paraId="49231923"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12EDD578"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Level 1 Model - Proximal: Individual-level variables</w:t>
            </w:r>
            <w:r w:rsidRPr="00265001">
              <w:rPr>
                <w:rFonts w:ascii="Helvetica" w:eastAsia="Times New Roman" w:hAnsi="Helvetica" w:cs="Helvetica"/>
                <w:b/>
                <w:bCs/>
                <w:color w:val="000000"/>
                <w:sz w:val="20"/>
                <w:szCs w:val="20"/>
                <w:vertAlign w:val="superscript"/>
                <w:lang w:val="en-CA" w:eastAsia="en-CA"/>
              </w:rPr>
              <w:t>e</w:t>
            </w:r>
          </w:p>
        </w:tc>
      </w:tr>
      <w:tr w:rsidR="004F3CF2" w:rsidRPr="004F3CF2" w14:paraId="1BEF81C8"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62882490"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Infections</w:t>
            </w:r>
          </w:p>
        </w:tc>
      </w:tr>
      <w:tr w:rsidR="004F3CF2" w:rsidRPr="004F3CF2" w14:paraId="4AD1AD4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E52847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infection</w:t>
            </w:r>
          </w:p>
        </w:tc>
        <w:tc>
          <w:tcPr>
            <w:tcW w:w="268" w:type="dxa"/>
            <w:tcBorders>
              <w:top w:val="nil"/>
              <w:left w:val="nil"/>
              <w:bottom w:val="nil"/>
              <w:right w:val="nil"/>
            </w:tcBorders>
            <w:shd w:val="clear" w:color="000000" w:fill="FFFFFF"/>
            <w:vAlign w:val="center"/>
            <w:hideMark/>
          </w:tcPr>
          <w:p w14:paraId="4EB1770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930AD5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0.193 (0.049;0.337)</w:t>
            </w:r>
          </w:p>
        </w:tc>
        <w:tc>
          <w:tcPr>
            <w:tcW w:w="268" w:type="dxa"/>
            <w:tcBorders>
              <w:top w:val="nil"/>
              <w:left w:val="single" w:sz="8" w:space="0" w:color="auto"/>
              <w:bottom w:val="nil"/>
              <w:right w:val="nil"/>
            </w:tcBorders>
            <w:shd w:val="clear" w:color="000000" w:fill="FFFFFF"/>
            <w:vAlign w:val="center"/>
            <w:hideMark/>
          </w:tcPr>
          <w:p w14:paraId="2B770CB2"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112EC89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0.165 (0.064;0.266)</w:t>
            </w:r>
          </w:p>
        </w:tc>
      </w:tr>
      <w:tr w:rsidR="004F3CF2" w:rsidRPr="004F3CF2" w14:paraId="30FED99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8F182F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8" w:type="dxa"/>
            <w:tcBorders>
              <w:top w:val="nil"/>
              <w:left w:val="nil"/>
              <w:bottom w:val="nil"/>
              <w:right w:val="nil"/>
            </w:tcBorders>
            <w:shd w:val="clear" w:color="000000" w:fill="FFFFFF"/>
            <w:vAlign w:val="center"/>
            <w:hideMark/>
          </w:tcPr>
          <w:p w14:paraId="143B09F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7FA0B5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0.009</w:t>
            </w:r>
          </w:p>
        </w:tc>
        <w:tc>
          <w:tcPr>
            <w:tcW w:w="268" w:type="dxa"/>
            <w:tcBorders>
              <w:top w:val="nil"/>
              <w:left w:val="single" w:sz="8" w:space="0" w:color="auto"/>
              <w:bottom w:val="nil"/>
              <w:right w:val="nil"/>
            </w:tcBorders>
            <w:shd w:val="clear" w:color="000000" w:fill="FFFFFF"/>
            <w:vAlign w:val="center"/>
            <w:hideMark/>
          </w:tcPr>
          <w:p w14:paraId="0E91F4CE"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10694167"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0.001</w:t>
            </w:r>
          </w:p>
        </w:tc>
      </w:tr>
      <w:tr w:rsidR="004F3CF2" w:rsidRPr="004F3CF2" w14:paraId="07644A97"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BEE798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6B8292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21058A0"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6824AB38"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61C96CE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0.10</w:t>
            </w:r>
          </w:p>
        </w:tc>
      </w:tr>
      <w:tr w:rsidR="004F3CF2" w:rsidRPr="004F3CF2" w14:paraId="34922D3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D8E46D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Diarrhoea infection</w:t>
            </w:r>
          </w:p>
        </w:tc>
        <w:tc>
          <w:tcPr>
            <w:tcW w:w="268" w:type="dxa"/>
            <w:tcBorders>
              <w:top w:val="nil"/>
              <w:left w:val="nil"/>
              <w:bottom w:val="nil"/>
              <w:right w:val="nil"/>
            </w:tcBorders>
            <w:shd w:val="clear" w:color="000000" w:fill="FFFFFF"/>
            <w:vAlign w:val="center"/>
            <w:hideMark/>
          </w:tcPr>
          <w:p w14:paraId="463F901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F87F69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0.121 (-0.044;0.286)</w:t>
            </w:r>
          </w:p>
        </w:tc>
        <w:tc>
          <w:tcPr>
            <w:tcW w:w="268" w:type="dxa"/>
            <w:tcBorders>
              <w:top w:val="nil"/>
              <w:left w:val="single" w:sz="8" w:space="0" w:color="auto"/>
              <w:bottom w:val="nil"/>
              <w:right w:val="nil"/>
            </w:tcBorders>
            <w:shd w:val="clear" w:color="000000" w:fill="FFFFFF"/>
            <w:vAlign w:val="center"/>
            <w:hideMark/>
          </w:tcPr>
          <w:p w14:paraId="6E0A9FD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8A3F24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E434E9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6DC686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8" w:type="dxa"/>
            <w:tcBorders>
              <w:top w:val="nil"/>
              <w:left w:val="nil"/>
              <w:bottom w:val="nil"/>
              <w:right w:val="nil"/>
            </w:tcBorders>
            <w:shd w:val="clear" w:color="000000" w:fill="FFFFFF"/>
            <w:vAlign w:val="center"/>
            <w:hideMark/>
          </w:tcPr>
          <w:p w14:paraId="309DE25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401739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0.151</w:t>
            </w:r>
          </w:p>
        </w:tc>
        <w:tc>
          <w:tcPr>
            <w:tcW w:w="268" w:type="dxa"/>
            <w:tcBorders>
              <w:top w:val="nil"/>
              <w:left w:val="single" w:sz="8" w:space="0" w:color="auto"/>
              <w:bottom w:val="nil"/>
              <w:right w:val="nil"/>
            </w:tcBorders>
            <w:shd w:val="clear" w:color="000000" w:fill="FFFFFF"/>
            <w:vAlign w:val="center"/>
            <w:hideMark/>
          </w:tcPr>
          <w:p w14:paraId="36BCE42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78902F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60732D8"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72ACBA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FD4770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4E61BF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4ACB61A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776DB00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A0486C5"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1D365FC3"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Child characteristics</w:t>
            </w:r>
          </w:p>
        </w:tc>
      </w:tr>
      <w:tr w:rsidR="004F3CF2" w:rsidRPr="004F3CF2" w14:paraId="5E27A78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AB2FF9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Low birthweight</w:t>
            </w:r>
          </w:p>
        </w:tc>
        <w:tc>
          <w:tcPr>
            <w:tcW w:w="268" w:type="dxa"/>
            <w:tcBorders>
              <w:top w:val="nil"/>
              <w:left w:val="nil"/>
              <w:bottom w:val="nil"/>
              <w:right w:val="nil"/>
            </w:tcBorders>
            <w:shd w:val="clear" w:color="000000" w:fill="FFFFFF"/>
            <w:vAlign w:val="center"/>
            <w:hideMark/>
          </w:tcPr>
          <w:p w14:paraId="3005384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34BBFA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-0.043 (-0.547;0.460)</w:t>
            </w:r>
          </w:p>
        </w:tc>
        <w:tc>
          <w:tcPr>
            <w:tcW w:w="268" w:type="dxa"/>
            <w:tcBorders>
              <w:top w:val="nil"/>
              <w:left w:val="single" w:sz="8" w:space="0" w:color="auto"/>
              <w:bottom w:val="nil"/>
              <w:right w:val="nil"/>
            </w:tcBorders>
            <w:shd w:val="clear" w:color="000000" w:fill="FFFFFF"/>
            <w:vAlign w:val="center"/>
            <w:hideMark/>
          </w:tcPr>
          <w:p w14:paraId="1C04195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44C4CB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793890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251BAF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8" w:type="dxa"/>
            <w:tcBorders>
              <w:top w:val="nil"/>
              <w:left w:val="nil"/>
              <w:bottom w:val="nil"/>
              <w:right w:val="nil"/>
            </w:tcBorders>
            <w:shd w:val="clear" w:color="000000" w:fill="FFFFFF"/>
            <w:vAlign w:val="center"/>
            <w:hideMark/>
          </w:tcPr>
          <w:p w14:paraId="047F151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A58C80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0.866</w:t>
            </w:r>
          </w:p>
        </w:tc>
        <w:tc>
          <w:tcPr>
            <w:tcW w:w="268" w:type="dxa"/>
            <w:tcBorders>
              <w:top w:val="nil"/>
              <w:left w:val="single" w:sz="8" w:space="0" w:color="auto"/>
              <w:bottom w:val="nil"/>
              <w:right w:val="nil"/>
            </w:tcBorders>
            <w:shd w:val="clear" w:color="000000" w:fill="FFFFFF"/>
            <w:vAlign w:val="center"/>
            <w:hideMark/>
          </w:tcPr>
          <w:p w14:paraId="5AFEA8F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76A5895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59AA6B8" w14:textId="77777777" w:rsidTr="00281F74">
        <w:trPr>
          <w:trHeight w:val="278"/>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1FBCB8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3BAA2B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A00858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210F1DA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5BF15D7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7796A7F"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8FAC58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Maternal characteristics</w:t>
            </w:r>
          </w:p>
        </w:tc>
      </w:tr>
      <w:tr w:rsidR="004F3CF2" w:rsidRPr="004F3CF2" w14:paraId="787E709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7F74D6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Anemia</w:t>
            </w:r>
          </w:p>
        </w:tc>
        <w:tc>
          <w:tcPr>
            <w:tcW w:w="268" w:type="dxa"/>
            <w:tcBorders>
              <w:top w:val="nil"/>
              <w:left w:val="nil"/>
              <w:bottom w:val="nil"/>
              <w:right w:val="nil"/>
            </w:tcBorders>
            <w:shd w:val="clear" w:color="000000" w:fill="FFFFFF"/>
            <w:vAlign w:val="center"/>
            <w:hideMark/>
          </w:tcPr>
          <w:p w14:paraId="7562066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C9D1D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0.013 (-0.092;0.118)</w:t>
            </w:r>
          </w:p>
        </w:tc>
        <w:tc>
          <w:tcPr>
            <w:tcW w:w="268" w:type="dxa"/>
            <w:tcBorders>
              <w:top w:val="nil"/>
              <w:left w:val="single" w:sz="8" w:space="0" w:color="auto"/>
              <w:bottom w:val="nil"/>
              <w:right w:val="nil"/>
            </w:tcBorders>
            <w:shd w:val="clear" w:color="000000" w:fill="FFFFFF"/>
            <w:vAlign w:val="center"/>
            <w:hideMark/>
          </w:tcPr>
          <w:p w14:paraId="42713273"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0BA949BC"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3BB857F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5B2FD2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women 15-49 years)</w:t>
            </w:r>
          </w:p>
        </w:tc>
        <w:tc>
          <w:tcPr>
            <w:tcW w:w="268" w:type="dxa"/>
            <w:tcBorders>
              <w:top w:val="nil"/>
              <w:left w:val="nil"/>
              <w:bottom w:val="nil"/>
              <w:right w:val="nil"/>
            </w:tcBorders>
            <w:shd w:val="clear" w:color="000000" w:fill="FFFFFF"/>
            <w:vAlign w:val="center"/>
            <w:hideMark/>
          </w:tcPr>
          <w:p w14:paraId="5EA7350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FAB638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0.804</w:t>
            </w:r>
          </w:p>
        </w:tc>
        <w:tc>
          <w:tcPr>
            <w:tcW w:w="268" w:type="dxa"/>
            <w:tcBorders>
              <w:top w:val="nil"/>
              <w:left w:val="single" w:sz="8" w:space="0" w:color="auto"/>
              <w:bottom w:val="nil"/>
              <w:right w:val="nil"/>
            </w:tcBorders>
            <w:shd w:val="clear" w:color="000000" w:fill="FFFFFF"/>
            <w:vAlign w:val="center"/>
            <w:hideMark/>
          </w:tcPr>
          <w:p w14:paraId="7D152AA5"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3011F38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FAE9949"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A14458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6BB090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30554C79"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53638104"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2B596619"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735C792E"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83B54F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Young mother births (&lt;18 years)</w:t>
            </w:r>
          </w:p>
        </w:tc>
        <w:tc>
          <w:tcPr>
            <w:tcW w:w="268" w:type="dxa"/>
            <w:tcBorders>
              <w:top w:val="nil"/>
              <w:left w:val="nil"/>
              <w:bottom w:val="nil"/>
              <w:right w:val="nil"/>
            </w:tcBorders>
            <w:shd w:val="clear" w:color="000000" w:fill="FFFFFF"/>
            <w:vAlign w:val="center"/>
            <w:hideMark/>
          </w:tcPr>
          <w:p w14:paraId="6736901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341D94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0.037 (-0.309;0.382)</w:t>
            </w:r>
          </w:p>
        </w:tc>
        <w:tc>
          <w:tcPr>
            <w:tcW w:w="268" w:type="dxa"/>
            <w:tcBorders>
              <w:top w:val="nil"/>
              <w:left w:val="single" w:sz="8" w:space="0" w:color="auto"/>
              <w:bottom w:val="nil"/>
              <w:right w:val="nil"/>
            </w:tcBorders>
            <w:shd w:val="clear" w:color="000000" w:fill="FFFFFF"/>
            <w:vAlign w:val="center"/>
            <w:hideMark/>
          </w:tcPr>
          <w:p w14:paraId="003A6C37"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5C563C84"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45CE8544"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DA1D12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births within last 5 years)</w:t>
            </w:r>
          </w:p>
        </w:tc>
        <w:tc>
          <w:tcPr>
            <w:tcW w:w="268" w:type="dxa"/>
            <w:tcBorders>
              <w:top w:val="nil"/>
              <w:left w:val="nil"/>
              <w:bottom w:val="nil"/>
              <w:right w:val="nil"/>
            </w:tcBorders>
            <w:shd w:val="clear" w:color="000000" w:fill="FFFFFF"/>
            <w:vAlign w:val="center"/>
            <w:hideMark/>
          </w:tcPr>
          <w:p w14:paraId="03E166F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937C22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0.835</w:t>
            </w:r>
          </w:p>
        </w:tc>
        <w:tc>
          <w:tcPr>
            <w:tcW w:w="268" w:type="dxa"/>
            <w:tcBorders>
              <w:top w:val="nil"/>
              <w:left w:val="single" w:sz="8" w:space="0" w:color="auto"/>
              <w:bottom w:val="nil"/>
              <w:right w:val="nil"/>
            </w:tcBorders>
            <w:shd w:val="clear" w:color="000000" w:fill="FFFFFF"/>
            <w:vAlign w:val="center"/>
            <w:hideMark/>
          </w:tcPr>
          <w:p w14:paraId="6B1F793A"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317A8F0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168C524"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EDB6D9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308760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56A3BBA9"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62631E2E"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0F89B81C"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7C7D93E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B5FCE0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BMI</w:t>
            </w:r>
          </w:p>
        </w:tc>
        <w:tc>
          <w:tcPr>
            <w:tcW w:w="268" w:type="dxa"/>
            <w:tcBorders>
              <w:top w:val="nil"/>
              <w:left w:val="nil"/>
              <w:bottom w:val="nil"/>
              <w:right w:val="nil"/>
            </w:tcBorders>
            <w:shd w:val="clear" w:color="000000" w:fill="FFFFFF"/>
            <w:vAlign w:val="center"/>
            <w:hideMark/>
          </w:tcPr>
          <w:p w14:paraId="45705F4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303F41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-1.241 (-2.581;0.099)</w:t>
            </w:r>
          </w:p>
        </w:tc>
        <w:tc>
          <w:tcPr>
            <w:tcW w:w="268" w:type="dxa"/>
            <w:tcBorders>
              <w:top w:val="nil"/>
              <w:left w:val="single" w:sz="8" w:space="0" w:color="auto"/>
              <w:bottom w:val="nil"/>
              <w:right w:val="nil"/>
            </w:tcBorders>
            <w:shd w:val="clear" w:color="000000" w:fill="FFFFFF"/>
            <w:vAlign w:val="center"/>
            <w:hideMark/>
          </w:tcPr>
          <w:p w14:paraId="49B90E1F"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5B5F9254"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5956076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89FFAA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8" w:type="dxa"/>
            <w:tcBorders>
              <w:top w:val="nil"/>
              <w:left w:val="nil"/>
              <w:bottom w:val="nil"/>
              <w:right w:val="nil"/>
            </w:tcBorders>
            <w:shd w:val="clear" w:color="000000" w:fill="FFFFFF"/>
            <w:vAlign w:val="center"/>
            <w:hideMark/>
          </w:tcPr>
          <w:p w14:paraId="2C5EDA1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DE26C77"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0.07</w:t>
            </w:r>
          </w:p>
        </w:tc>
        <w:tc>
          <w:tcPr>
            <w:tcW w:w="268" w:type="dxa"/>
            <w:tcBorders>
              <w:top w:val="nil"/>
              <w:left w:val="single" w:sz="8" w:space="0" w:color="auto"/>
              <w:bottom w:val="nil"/>
              <w:right w:val="nil"/>
            </w:tcBorders>
            <w:shd w:val="clear" w:color="000000" w:fill="FFFFFF"/>
            <w:vAlign w:val="center"/>
            <w:hideMark/>
          </w:tcPr>
          <w:p w14:paraId="0267FA95"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6A04E87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CBED72D"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465D3E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180141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098EE2BD"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499D2B3A"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2D901D3F"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4BDC3C6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051924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Height</w:t>
            </w:r>
          </w:p>
        </w:tc>
        <w:tc>
          <w:tcPr>
            <w:tcW w:w="268" w:type="dxa"/>
            <w:tcBorders>
              <w:top w:val="nil"/>
              <w:left w:val="nil"/>
              <w:bottom w:val="nil"/>
              <w:right w:val="nil"/>
            </w:tcBorders>
            <w:shd w:val="clear" w:color="000000" w:fill="FFFFFF"/>
            <w:vAlign w:val="center"/>
            <w:hideMark/>
          </w:tcPr>
          <w:p w14:paraId="246622E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D55178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-2.649 (-4.749;-0.549)</w:t>
            </w:r>
          </w:p>
        </w:tc>
        <w:tc>
          <w:tcPr>
            <w:tcW w:w="268" w:type="dxa"/>
            <w:tcBorders>
              <w:top w:val="nil"/>
              <w:left w:val="single" w:sz="8" w:space="0" w:color="auto"/>
              <w:bottom w:val="nil"/>
              <w:right w:val="nil"/>
            </w:tcBorders>
            <w:shd w:val="clear" w:color="000000" w:fill="FFFFFF"/>
            <w:vAlign w:val="center"/>
            <w:hideMark/>
          </w:tcPr>
          <w:p w14:paraId="4475B286"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724E95F8"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01280DB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B056E0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8" w:type="dxa"/>
            <w:tcBorders>
              <w:top w:val="nil"/>
              <w:left w:val="nil"/>
              <w:bottom w:val="nil"/>
              <w:right w:val="nil"/>
            </w:tcBorders>
            <w:shd w:val="clear" w:color="000000" w:fill="FFFFFF"/>
            <w:vAlign w:val="center"/>
            <w:hideMark/>
          </w:tcPr>
          <w:p w14:paraId="7A5A774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B9FBBB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0.013</w:t>
            </w:r>
          </w:p>
        </w:tc>
        <w:tc>
          <w:tcPr>
            <w:tcW w:w="268" w:type="dxa"/>
            <w:tcBorders>
              <w:top w:val="nil"/>
              <w:left w:val="single" w:sz="8" w:space="0" w:color="auto"/>
              <w:bottom w:val="nil"/>
              <w:right w:val="nil"/>
            </w:tcBorders>
            <w:shd w:val="clear" w:color="000000" w:fill="FFFFFF"/>
            <w:vAlign w:val="center"/>
            <w:hideMark/>
          </w:tcPr>
          <w:p w14:paraId="39F1F164"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11C657E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F4FEBB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8A21D0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E40C50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5D36BFF"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6AE2D001"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1A52A350"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33415BF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813638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Interpregnancy interval</w:t>
            </w:r>
          </w:p>
        </w:tc>
        <w:tc>
          <w:tcPr>
            <w:tcW w:w="268" w:type="dxa"/>
            <w:tcBorders>
              <w:top w:val="nil"/>
              <w:left w:val="nil"/>
              <w:bottom w:val="nil"/>
              <w:right w:val="nil"/>
            </w:tcBorders>
            <w:shd w:val="clear" w:color="000000" w:fill="FFFFFF"/>
            <w:vAlign w:val="center"/>
            <w:hideMark/>
          </w:tcPr>
          <w:p w14:paraId="4ADF644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715DC6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-0.187 (-0.341;-0.032)</w:t>
            </w:r>
          </w:p>
        </w:tc>
        <w:tc>
          <w:tcPr>
            <w:tcW w:w="268" w:type="dxa"/>
            <w:tcBorders>
              <w:top w:val="nil"/>
              <w:left w:val="single" w:sz="8" w:space="0" w:color="auto"/>
              <w:bottom w:val="nil"/>
              <w:right w:val="nil"/>
            </w:tcBorders>
            <w:shd w:val="clear" w:color="000000" w:fill="FFFFFF"/>
            <w:vAlign w:val="center"/>
            <w:hideMark/>
          </w:tcPr>
          <w:p w14:paraId="1CB4CCCF"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5F21EB01"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0AAFEE1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D72851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mothers 15-49 years)</w:t>
            </w:r>
          </w:p>
        </w:tc>
        <w:tc>
          <w:tcPr>
            <w:tcW w:w="268" w:type="dxa"/>
            <w:tcBorders>
              <w:top w:val="nil"/>
              <w:left w:val="nil"/>
              <w:bottom w:val="nil"/>
              <w:right w:val="nil"/>
            </w:tcBorders>
            <w:shd w:val="clear" w:color="000000" w:fill="FFFFFF"/>
            <w:vAlign w:val="center"/>
            <w:hideMark/>
          </w:tcPr>
          <w:p w14:paraId="5D69E76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2DF3F0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0.018</w:t>
            </w:r>
          </w:p>
        </w:tc>
        <w:tc>
          <w:tcPr>
            <w:tcW w:w="268" w:type="dxa"/>
            <w:tcBorders>
              <w:top w:val="nil"/>
              <w:left w:val="single" w:sz="8" w:space="0" w:color="auto"/>
              <w:bottom w:val="nil"/>
              <w:right w:val="nil"/>
            </w:tcBorders>
            <w:shd w:val="clear" w:color="000000" w:fill="FFFFFF"/>
            <w:vAlign w:val="center"/>
            <w:hideMark/>
          </w:tcPr>
          <w:p w14:paraId="09828707"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6F82DE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A1B0D5D"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A4DABB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0C170A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080AD8F0"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233119C0"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2DB594D2"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551C2F6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ADC70C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Age</w:t>
            </w:r>
          </w:p>
        </w:tc>
        <w:tc>
          <w:tcPr>
            <w:tcW w:w="268" w:type="dxa"/>
            <w:tcBorders>
              <w:top w:val="nil"/>
              <w:left w:val="nil"/>
              <w:bottom w:val="nil"/>
              <w:right w:val="nil"/>
            </w:tcBorders>
            <w:shd w:val="clear" w:color="000000" w:fill="FFFFFF"/>
            <w:vAlign w:val="center"/>
            <w:hideMark/>
          </w:tcPr>
          <w:p w14:paraId="25DFE49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950CA8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-1.008 (-2.395;0.379)</w:t>
            </w:r>
          </w:p>
        </w:tc>
        <w:tc>
          <w:tcPr>
            <w:tcW w:w="268" w:type="dxa"/>
            <w:tcBorders>
              <w:top w:val="nil"/>
              <w:left w:val="single" w:sz="8" w:space="0" w:color="auto"/>
              <w:bottom w:val="nil"/>
              <w:right w:val="nil"/>
            </w:tcBorders>
            <w:shd w:val="clear" w:color="000000" w:fill="FFFFFF"/>
            <w:vAlign w:val="center"/>
            <w:hideMark/>
          </w:tcPr>
          <w:p w14:paraId="4B763877"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11611981"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44247AF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553251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w:t>
            </w:r>
          </w:p>
        </w:tc>
        <w:tc>
          <w:tcPr>
            <w:tcW w:w="268" w:type="dxa"/>
            <w:tcBorders>
              <w:top w:val="nil"/>
              <w:left w:val="nil"/>
              <w:bottom w:val="nil"/>
              <w:right w:val="nil"/>
            </w:tcBorders>
            <w:shd w:val="clear" w:color="000000" w:fill="FFFFFF"/>
            <w:vAlign w:val="center"/>
            <w:hideMark/>
          </w:tcPr>
          <w:p w14:paraId="51C380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432472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0.154</w:t>
            </w:r>
          </w:p>
        </w:tc>
        <w:tc>
          <w:tcPr>
            <w:tcW w:w="268" w:type="dxa"/>
            <w:tcBorders>
              <w:top w:val="nil"/>
              <w:left w:val="single" w:sz="8" w:space="0" w:color="auto"/>
              <w:bottom w:val="nil"/>
              <w:right w:val="nil"/>
            </w:tcBorders>
            <w:shd w:val="clear" w:color="000000" w:fill="FFFFFF"/>
            <w:vAlign w:val="center"/>
            <w:hideMark/>
          </w:tcPr>
          <w:p w14:paraId="27E103A8"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7E55FEF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44AAB4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68E392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933B52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FB9A283"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7F9C5367"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2B389220"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05F7D23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F99412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Total fertility rate</w:t>
            </w:r>
          </w:p>
        </w:tc>
        <w:tc>
          <w:tcPr>
            <w:tcW w:w="268" w:type="dxa"/>
            <w:tcBorders>
              <w:top w:val="nil"/>
              <w:left w:val="nil"/>
              <w:bottom w:val="nil"/>
              <w:right w:val="nil"/>
            </w:tcBorders>
            <w:shd w:val="clear" w:color="000000" w:fill="FFFFFF"/>
            <w:vAlign w:val="center"/>
            <w:hideMark/>
          </w:tcPr>
          <w:p w14:paraId="2565026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F1B159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6.876 (3.696;10.055)</w:t>
            </w:r>
          </w:p>
        </w:tc>
        <w:tc>
          <w:tcPr>
            <w:tcW w:w="268" w:type="dxa"/>
            <w:tcBorders>
              <w:top w:val="nil"/>
              <w:left w:val="single" w:sz="8" w:space="0" w:color="auto"/>
              <w:bottom w:val="nil"/>
              <w:right w:val="nil"/>
            </w:tcBorders>
            <w:shd w:val="clear" w:color="000000" w:fill="FFFFFF"/>
            <w:vAlign w:val="center"/>
            <w:hideMark/>
          </w:tcPr>
          <w:p w14:paraId="3D175330"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42DF276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4.093 (1.095;7.092)</w:t>
            </w:r>
          </w:p>
        </w:tc>
      </w:tr>
      <w:tr w:rsidR="004F3CF2" w:rsidRPr="004F3CF2" w14:paraId="3562446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F48777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(mean, mothers 15-49 years)</w:t>
            </w:r>
          </w:p>
        </w:tc>
        <w:tc>
          <w:tcPr>
            <w:tcW w:w="268" w:type="dxa"/>
            <w:tcBorders>
              <w:top w:val="nil"/>
              <w:left w:val="nil"/>
              <w:bottom w:val="nil"/>
              <w:right w:val="nil"/>
            </w:tcBorders>
            <w:shd w:val="clear" w:color="000000" w:fill="FFFFFF"/>
            <w:vAlign w:val="center"/>
            <w:hideMark/>
          </w:tcPr>
          <w:p w14:paraId="6A1C419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90CEF2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603FBF4D"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089ACAC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0.007</w:t>
            </w:r>
          </w:p>
        </w:tc>
      </w:tr>
      <w:tr w:rsidR="004F3CF2" w:rsidRPr="004F3CF2" w14:paraId="143B798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5E6226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8C2386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0DFAE512"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6D329D9B"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49D53AB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0.05</w:t>
            </w:r>
          </w:p>
        </w:tc>
      </w:tr>
      <w:tr w:rsidR="004F3CF2" w:rsidRPr="004F3CF2" w14:paraId="1CC39C9C" w14:textId="77777777" w:rsidTr="00281F74">
        <w:trPr>
          <w:trHeight w:val="307"/>
        </w:trPr>
        <w:tc>
          <w:tcPr>
            <w:tcW w:w="4108" w:type="dxa"/>
            <w:tcBorders>
              <w:top w:val="nil"/>
              <w:left w:val="single" w:sz="8" w:space="0" w:color="auto"/>
              <w:bottom w:val="single" w:sz="8" w:space="0" w:color="auto"/>
              <w:right w:val="nil"/>
            </w:tcBorders>
            <w:shd w:val="clear" w:color="000000" w:fill="D9D9D9"/>
            <w:vAlign w:val="center"/>
            <w:hideMark/>
          </w:tcPr>
          <w:p w14:paraId="48B2A043"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07BB1138"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nil"/>
            </w:tcBorders>
            <w:shd w:val="clear" w:color="000000" w:fill="D9D9D9"/>
            <w:vAlign w:val="center"/>
            <w:hideMark/>
          </w:tcPr>
          <w:p w14:paraId="2E9053E2"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D9D9D9"/>
            <w:vAlign w:val="center"/>
            <w:hideMark/>
          </w:tcPr>
          <w:p w14:paraId="71EEC3F7"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D9D9D9"/>
            <w:vAlign w:val="center"/>
            <w:hideMark/>
          </w:tcPr>
          <w:p w14:paraId="6FE0C3C7"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71%</w:t>
            </w:r>
          </w:p>
        </w:tc>
      </w:tr>
      <w:tr w:rsidR="004F3CF2" w:rsidRPr="004F3CF2" w14:paraId="390C1F44"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175BD521"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w:t>
            </w:r>
          </w:p>
        </w:tc>
      </w:tr>
      <w:tr w:rsidR="004F3CF2" w:rsidRPr="004F3CF2" w14:paraId="3BDF651E"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1184A19"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Time</w:t>
            </w:r>
          </w:p>
        </w:tc>
      </w:tr>
      <w:tr w:rsidR="004F3CF2" w:rsidRPr="004F3CF2" w14:paraId="1C8B5C5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437070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Year</w:t>
            </w:r>
          </w:p>
        </w:tc>
        <w:tc>
          <w:tcPr>
            <w:tcW w:w="268" w:type="dxa"/>
            <w:tcBorders>
              <w:top w:val="nil"/>
              <w:left w:val="nil"/>
              <w:bottom w:val="nil"/>
              <w:right w:val="nil"/>
            </w:tcBorders>
            <w:shd w:val="clear" w:color="000000" w:fill="FFFFFF"/>
            <w:vAlign w:val="center"/>
            <w:hideMark/>
          </w:tcPr>
          <w:p w14:paraId="4E15EDF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A57D73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-1.470 (-1.923;-1.017)</w:t>
            </w:r>
          </w:p>
        </w:tc>
        <w:tc>
          <w:tcPr>
            <w:tcW w:w="268" w:type="dxa"/>
            <w:tcBorders>
              <w:top w:val="nil"/>
              <w:left w:val="single" w:sz="8" w:space="0" w:color="auto"/>
              <w:bottom w:val="nil"/>
              <w:right w:val="nil"/>
            </w:tcBorders>
            <w:shd w:val="clear" w:color="000000" w:fill="FFFFFF"/>
            <w:vAlign w:val="center"/>
            <w:hideMark/>
          </w:tcPr>
          <w:p w14:paraId="56E7CCFE"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15B003B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-0.46 (-0.777;-0.143)</w:t>
            </w:r>
          </w:p>
        </w:tc>
      </w:tr>
      <w:tr w:rsidR="004F3CF2" w:rsidRPr="004F3CF2" w14:paraId="44CE033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962862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43C0FB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D840B90"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2DBC8CD9"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35742C2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0.004</w:t>
            </w:r>
          </w:p>
        </w:tc>
      </w:tr>
      <w:tr w:rsidR="004F3CF2" w:rsidRPr="004F3CF2" w14:paraId="1AB30670"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E5F5B2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B37F9A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D70338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6475E26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197AE5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0.99</w:t>
            </w:r>
          </w:p>
        </w:tc>
      </w:tr>
    </w:tbl>
    <w:p w14:paraId="7088266E" w14:textId="77777777" w:rsidR="004F3CF2" w:rsidRPr="004F3CF2" w:rsidRDefault="004F3CF2" w:rsidP="004F3CF2">
      <w:pPr>
        <w:tabs>
          <w:tab w:val="left" w:pos="11160"/>
        </w:tabs>
        <w:ind w:right="3968"/>
        <w:rPr>
          <w:rFonts w:ascii="Helvetica" w:hAnsi="Helvetica" w:cs="Helvetica"/>
          <w:sz w:val="22"/>
          <w:szCs w:val="22"/>
        </w:rPr>
      </w:pPr>
    </w:p>
    <w:tbl>
      <w:tblPr>
        <w:tblW w:w="14234" w:type="dxa"/>
        <w:tblInd w:w="-450" w:type="dxa"/>
        <w:tblLayout w:type="fixed"/>
        <w:tblLook w:val="04A0" w:firstRow="1" w:lastRow="0" w:firstColumn="1" w:lastColumn="0" w:noHBand="0" w:noVBand="1"/>
      </w:tblPr>
      <w:tblGrid>
        <w:gridCol w:w="13980"/>
        <w:gridCol w:w="254"/>
      </w:tblGrid>
      <w:tr w:rsidR="004F3CF2" w:rsidRPr="004F3CF2" w14:paraId="09A732BD" w14:textId="77777777" w:rsidTr="00281F74">
        <w:trPr>
          <w:trHeight w:val="188"/>
        </w:trPr>
        <w:tc>
          <w:tcPr>
            <w:tcW w:w="14234" w:type="dxa"/>
            <w:gridSpan w:val="2"/>
            <w:tcBorders>
              <w:top w:val="nil"/>
              <w:left w:val="nil"/>
              <w:bottom w:val="nil"/>
              <w:right w:val="nil"/>
            </w:tcBorders>
            <w:shd w:val="clear" w:color="000000" w:fill="FFFFFF"/>
            <w:noWrap/>
            <w:vAlign w:val="center"/>
            <w:hideMark/>
          </w:tcPr>
          <w:p w14:paraId="32372C31" w14:textId="77777777" w:rsidR="004F3CF2" w:rsidRPr="00265001" w:rsidRDefault="004F3CF2" w:rsidP="00281F74">
            <w:pPr>
              <w:ind w:right="4478"/>
              <w:rPr>
                <w:rFonts w:ascii="Helvetica" w:eastAsia="Times New Roman" w:hAnsi="Helvetica" w:cs="Helvetica"/>
                <w:color w:val="000000"/>
                <w:sz w:val="18"/>
                <w:szCs w:val="18"/>
                <w:u w:val="single"/>
              </w:rPr>
            </w:pPr>
            <w:r w:rsidRPr="00265001">
              <w:rPr>
                <w:rFonts w:ascii="Helvetica" w:eastAsia="Times New Roman" w:hAnsi="Helvetica" w:cs="Helvetica"/>
                <w:color w:val="000000"/>
                <w:sz w:val="18"/>
                <w:szCs w:val="18"/>
                <w:u w:val="single"/>
              </w:rPr>
              <w:t>Note:</w:t>
            </w:r>
            <w:r w:rsidRPr="00265001">
              <w:rPr>
                <w:rFonts w:ascii="Helvetica" w:eastAsia="Times New Roman" w:hAnsi="Helvetica" w:cs="Helvetica"/>
                <w:color w:val="000000"/>
                <w:sz w:val="18"/>
                <w:szCs w:val="18"/>
              </w:rPr>
              <w:t xml:space="preserve"> Variables significant at p&lt;0.20 in bivariate analysis were entered into linear multilevel mixed-effects models.</w:t>
            </w:r>
          </w:p>
        </w:tc>
      </w:tr>
      <w:tr w:rsidR="004F3CF2" w:rsidRPr="004F3CF2" w14:paraId="508A8DAA" w14:textId="77777777" w:rsidTr="00281F74">
        <w:trPr>
          <w:trHeight w:val="215"/>
        </w:trPr>
        <w:tc>
          <w:tcPr>
            <w:tcW w:w="13980" w:type="dxa"/>
            <w:tcBorders>
              <w:top w:val="nil"/>
              <w:left w:val="nil"/>
              <w:bottom w:val="nil"/>
              <w:right w:val="nil"/>
            </w:tcBorders>
            <w:shd w:val="clear" w:color="000000" w:fill="FFFFFF"/>
            <w:noWrap/>
            <w:vAlign w:val="center"/>
            <w:hideMark/>
          </w:tcPr>
          <w:p w14:paraId="6E523574"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1 </w:t>
            </w:r>
            <w:r w:rsidRPr="00265001">
              <w:rPr>
                <w:rFonts w:ascii="Helvetica" w:eastAsia="Times New Roman" w:hAnsi="Helvetica" w:cs="Helvetica"/>
                <w:color w:val="000000"/>
                <w:sz w:val="18"/>
                <w:szCs w:val="18"/>
              </w:rPr>
              <w:t>Variables in each group are adjusted for all other variables in the same group or above.</w:t>
            </w:r>
          </w:p>
        </w:tc>
        <w:tc>
          <w:tcPr>
            <w:tcW w:w="254" w:type="dxa"/>
            <w:tcBorders>
              <w:top w:val="nil"/>
              <w:left w:val="nil"/>
              <w:bottom w:val="nil"/>
              <w:right w:val="nil"/>
            </w:tcBorders>
            <w:shd w:val="clear" w:color="000000" w:fill="FFFFFF"/>
            <w:noWrap/>
            <w:vAlign w:val="center"/>
            <w:hideMark/>
          </w:tcPr>
          <w:p w14:paraId="62D99734"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w:t>
            </w:r>
          </w:p>
        </w:tc>
      </w:tr>
      <w:tr w:rsidR="004F3CF2" w:rsidRPr="004F3CF2" w14:paraId="658DD55C" w14:textId="77777777" w:rsidTr="00281F74">
        <w:trPr>
          <w:trHeight w:val="635"/>
        </w:trPr>
        <w:tc>
          <w:tcPr>
            <w:tcW w:w="14234" w:type="dxa"/>
            <w:gridSpan w:val="2"/>
            <w:tcBorders>
              <w:top w:val="nil"/>
              <w:left w:val="nil"/>
              <w:bottom w:val="nil"/>
              <w:right w:val="nil"/>
            </w:tcBorders>
            <w:shd w:val="clear" w:color="000000" w:fill="FFFFFF"/>
            <w:vAlign w:val="center"/>
            <w:hideMark/>
          </w:tcPr>
          <w:p w14:paraId="6E69A28C"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2 </w:t>
            </w:r>
            <w:r w:rsidRPr="00265001">
              <w:rPr>
                <w:rFonts w:ascii="Helvetica" w:eastAsia="Times New Roman" w:hAnsi="Helvetica" w:cs="Helvetica"/>
                <w:color w:val="000000"/>
                <w:sz w:val="18"/>
                <w:szCs w:val="18"/>
              </w:rPr>
              <w:t>Calculated using Cohen’s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to estimate effect size as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of the full model –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of the restricted model]/[1 -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of the full model]) with the restricted model excluding the variable to be evaluated (without the effect of interest) and with the random intercept variance constrained to be the same as the full model, and defined as: small effect with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0.02, medium effect with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0.15, and large effect with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0.35 (Cohen J.E., 1988).</w:t>
            </w:r>
          </w:p>
        </w:tc>
      </w:tr>
      <w:tr w:rsidR="004F3CF2" w:rsidRPr="004F3CF2" w14:paraId="488A2DDF" w14:textId="77777777" w:rsidTr="00281F74">
        <w:trPr>
          <w:trHeight w:val="418"/>
        </w:trPr>
        <w:tc>
          <w:tcPr>
            <w:tcW w:w="14234" w:type="dxa"/>
            <w:gridSpan w:val="2"/>
            <w:tcBorders>
              <w:top w:val="nil"/>
              <w:left w:val="nil"/>
              <w:bottom w:val="nil"/>
              <w:right w:val="nil"/>
            </w:tcBorders>
            <w:shd w:val="clear" w:color="000000" w:fill="FFFFFF"/>
            <w:vAlign w:val="center"/>
            <w:hideMark/>
          </w:tcPr>
          <w:p w14:paraId="0D3F180C"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3 </w:t>
            </w:r>
            <w:r w:rsidRPr="00265001">
              <w:rPr>
                <w:rFonts w:ascii="Helvetica" w:eastAsia="Times New Roman" w:hAnsi="Helvetica" w:cs="Helvetica"/>
                <w:color w:val="000000"/>
                <w:sz w:val="18"/>
                <w:szCs w:val="18"/>
              </w:rPr>
              <w:t>Calculated as ([residual variance component of null model - residual variance covariable model]/[residual variance null model]),  with the null model being (outcome and department).</w:t>
            </w:r>
          </w:p>
        </w:tc>
      </w:tr>
      <w:tr w:rsidR="004F3CF2" w:rsidRPr="004F3CF2" w14:paraId="61A85E70"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780E8F9C"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4</w:t>
            </w:r>
            <w:r w:rsidRPr="00265001">
              <w:rPr>
                <w:rFonts w:ascii="Helvetica" w:eastAsia="Times New Roman" w:hAnsi="Helvetica" w:cs="Helvetica"/>
                <w:color w:val="000000"/>
                <w:sz w:val="18"/>
                <w:szCs w:val="18"/>
              </w:rPr>
              <w:t xml:space="preserve">Comprehensive Health Insurance “Seguro Integral de Salud” (SIS, acronym in Spanish). </w:t>
            </w:r>
          </w:p>
        </w:tc>
      </w:tr>
      <w:tr w:rsidR="004F3CF2" w:rsidRPr="004F3CF2" w14:paraId="79D31A54" w14:textId="77777777" w:rsidTr="00281F74">
        <w:trPr>
          <w:trHeight w:val="215"/>
        </w:trPr>
        <w:tc>
          <w:tcPr>
            <w:tcW w:w="14234" w:type="dxa"/>
            <w:gridSpan w:val="2"/>
            <w:tcBorders>
              <w:top w:val="nil"/>
              <w:left w:val="nil"/>
              <w:bottom w:val="nil"/>
              <w:right w:val="nil"/>
            </w:tcBorders>
            <w:shd w:val="clear" w:color="000000" w:fill="FFFFFF"/>
            <w:vAlign w:val="center"/>
            <w:hideMark/>
          </w:tcPr>
          <w:p w14:paraId="133BD7D1"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5</w:t>
            </w:r>
            <w:r w:rsidRPr="00265001">
              <w:rPr>
                <w:rFonts w:ascii="Helvetica" w:eastAsia="Times New Roman" w:hAnsi="Helvetica" w:cs="Helvetica"/>
                <w:color w:val="000000"/>
                <w:sz w:val="18"/>
                <w:szCs w:val="18"/>
              </w:rPr>
              <w:t>Articulated Nutrition Program (PAN, acronym in Spanish)</w:t>
            </w:r>
          </w:p>
        </w:tc>
      </w:tr>
      <w:tr w:rsidR="004F3CF2" w:rsidRPr="004F3CF2" w14:paraId="271687AE" w14:textId="77777777" w:rsidTr="00281F74">
        <w:trPr>
          <w:trHeight w:val="215"/>
        </w:trPr>
        <w:tc>
          <w:tcPr>
            <w:tcW w:w="14234" w:type="dxa"/>
            <w:gridSpan w:val="2"/>
            <w:tcBorders>
              <w:top w:val="nil"/>
              <w:left w:val="nil"/>
              <w:bottom w:val="nil"/>
              <w:right w:val="nil"/>
            </w:tcBorders>
            <w:shd w:val="clear" w:color="000000" w:fill="FFFFFF"/>
            <w:vAlign w:val="center"/>
            <w:hideMark/>
          </w:tcPr>
          <w:p w14:paraId="32A60B91"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6</w:t>
            </w:r>
            <w:r w:rsidRPr="00265001">
              <w:rPr>
                <w:rFonts w:ascii="Helvetica" w:eastAsia="Times New Roman" w:hAnsi="Helvetica" w:cs="Helvetica"/>
                <w:color w:val="000000"/>
                <w:sz w:val="18"/>
                <w:szCs w:val="18"/>
              </w:rPr>
              <w:t>Strategic Program of Maternal and Neonatal Health  (PSMN, acronym in Spanish)</w:t>
            </w:r>
          </w:p>
        </w:tc>
      </w:tr>
      <w:tr w:rsidR="004F3CF2" w:rsidRPr="004F3CF2" w14:paraId="457D78CA" w14:textId="77777777" w:rsidTr="00281F74">
        <w:trPr>
          <w:trHeight w:val="621"/>
        </w:trPr>
        <w:tc>
          <w:tcPr>
            <w:tcW w:w="14234" w:type="dxa"/>
            <w:gridSpan w:val="2"/>
            <w:tcBorders>
              <w:top w:val="nil"/>
              <w:left w:val="nil"/>
              <w:bottom w:val="nil"/>
              <w:right w:val="nil"/>
            </w:tcBorders>
            <w:shd w:val="clear" w:color="000000" w:fill="FFFFFF"/>
            <w:vAlign w:val="center"/>
            <w:hideMark/>
          </w:tcPr>
          <w:p w14:paraId="265FD50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7</w:t>
            </w:r>
            <w:r w:rsidRPr="00265001">
              <w:rPr>
                <w:rFonts w:ascii="Helvetica" w:eastAsia="Times New Roman" w:hAnsi="Helvetica" w:cs="Helvetica"/>
                <w:color w:val="000000"/>
                <w:sz w:val="18"/>
                <w:szCs w:val="18"/>
              </w:rPr>
              <w:t>Composite coverage index: Summary measure of intervention coverage along the reproductive, maternal, newborn, and child health continuum. It is a weighted mean of the coverage for interventions from 4 domains: i) reproductive services (family planning coverage), ii) maternal and newborn care (antenatal care and skilled birth attendant), iii) immunization (BCG, three doses of DPT3, and measles vaccines), and iv) management of illness (ORT and care seeking for pneumonia).</w:t>
            </w:r>
          </w:p>
        </w:tc>
      </w:tr>
      <w:tr w:rsidR="004F3CF2" w:rsidRPr="004F3CF2" w14:paraId="1A57ED2A" w14:textId="77777777" w:rsidTr="00281F74">
        <w:trPr>
          <w:trHeight w:val="391"/>
        </w:trPr>
        <w:tc>
          <w:tcPr>
            <w:tcW w:w="14234" w:type="dxa"/>
            <w:gridSpan w:val="2"/>
            <w:tcBorders>
              <w:top w:val="nil"/>
              <w:left w:val="nil"/>
              <w:bottom w:val="nil"/>
              <w:right w:val="nil"/>
            </w:tcBorders>
            <w:shd w:val="clear" w:color="000000" w:fill="FFFFFF"/>
            <w:vAlign w:val="center"/>
            <w:hideMark/>
          </w:tcPr>
          <w:p w14:paraId="798FBD23"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a </w:t>
            </w:r>
            <w:r w:rsidRPr="00265001">
              <w:rPr>
                <w:rFonts w:ascii="Helvetica" w:eastAsia="Times New Roman" w:hAnsi="Helvetica" w:cs="Helvetica"/>
                <w:color w:val="000000"/>
                <w:sz w:val="18"/>
                <w:szCs w:val="18"/>
              </w:rPr>
              <w:t>Given that we considered a two-year time lag between predictors and outcome, our units of analysis are: 360 for the full time period (24 departments x 15 years, 2000 to 2016), 192 for the pre-PAN time period (24 departments x 8 years, 2000 to 2007), and 168 for the post-PAN time period (24 departments x 7 years, 2008 to 2016).</w:t>
            </w:r>
          </w:p>
        </w:tc>
      </w:tr>
      <w:tr w:rsidR="004F3CF2" w:rsidRPr="004F3CF2" w14:paraId="31AAF79B"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3A322B11"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b </w:t>
            </w:r>
            <w:r w:rsidRPr="00265001">
              <w:rPr>
                <w:rFonts w:ascii="Helvetica" w:eastAsia="Times New Roman" w:hAnsi="Helvetica" w:cs="Helvetica"/>
                <w:color w:val="000000"/>
                <w:sz w:val="18"/>
                <w:szCs w:val="18"/>
              </w:rPr>
              <w:t>Level 4 multivariable model includes all statistically significant (p&lt;0.1) distal variables as listed.</w:t>
            </w:r>
          </w:p>
        </w:tc>
      </w:tr>
      <w:tr w:rsidR="004F3CF2" w:rsidRPr="004F3CF2" w14:paraId="4E8F6696"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06E9B347"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c </w:t>
            </w:r>
            <w:r w:rsidRPr="00265001">
              <w:rPr>
                <w:rFonts w:ascii="Helvetica" w:eastAsia="Times New Roman" w:hAnsi="Helvetica" w:cs="Helvetica"/>
                <w:color w:val="000000"/>
                <w:sz w:val="18"/>
                <w:szCs w:val="18"/>
              </w:rPr>
              <w:t>Level 3 multivariable model includes level 4 model + all statistically significant (p&lt;0.1) intermediate I variables as listed.</w:t>
            </w:r>
          </w:p>
        </w:tc>
      </w:tr>
      <w:tr w:rsidR="004F3CF2" w:rsidRPr="004F3CF2" w14:paraId="5C016BE9"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6E5F6061"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d </w:t>
            </w:r>
            <w:r w:rsidRPr="00265001">
              <w:rPr>
                <w:rFonts w:ascii="Helvetica" w:eastAsia="Times New Roman" w:hAnsi="Helvetica" w:cs="Helvetica"/>
                <w:color w:val="000000"/>
                <w:sz w:val="18"/>
                <w:szCs w:val="18"/>
              </w:rPr>
              <w:t>Level 2 multivariable model includes level 4 model + 3 model + all statistically significant (p&lt;0.1) intermediate II variables as listed.</w:t>
            </w:r>
          </w:p>
        </w:tc>
      </w:tr>
      <w:tr w:rsidR="004F3CF2" w:rsidRPr="004F3CF2" w14:paraId="352B69FD"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3D95C175"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e </w:t>
            </w:r>
            <w:r w:rsidRPr="00265001">
              <w:rPr>
                <w:rFonts w:ascii="Helvetica" w:eastAsia="Times New Roman" w:hAnsi="Helvetica" w:cs="Helvetica"/>
                <w:color w:val="000000"/>
                <w:sz w:val="18"/>
                <w:szCs w:val="18"/>
              </w:rPr>
              <w:t>Level 1 multivariable model includes level 4 model + 3 model + 2 model + all statistically significant (p&lt;0.1) proximal variables as listed.</w:t>
            </w:r>
          </w:p>
        </w:tc>
      </w:tr>
    </w:tbl>
    <w:p w14:paraId="5D8DE97F" w14:textId="77777777" w:rsidR="004F3CF2" w:rsidRPr="004F3CF2" w:rsidRDefault="004F3CF2" w:rsidP="004F3CF2">
      <w:pPr>
        <w:rPr>
          <w:rFonts w:ascii="Helvetica" w:hAnsi="Helvetica" w:cs="Helvetica"/>
          <w:sz w:val="22"/>
          <w:szCs w:val="22"/>
        </w:rPr>
        <w:sectPr w:rsidR="004F3CF2" w:rsidRPr="004F3CF2" w:rsidSect="009F0D82">
          <w:pgSz w:w="11904" w:h="16838" w:code="9"/>
          <w:pgMar w:top="1440" w:right="1440" w:bottom="1440" w:left="1440" w:header="708" w:footer="708" w:gutter="0"/>
          <w:cols w:space="708"/>
          <w:docGrid w:linePitch="360"/>
        </w:sectPr>
      </w:pPr>
    </w:p>
    <w:p w14:paraId="56DECC40" w14:textId="77CB7C4A" w:rsidR="001070CC" w:rsidRPr="003E1E6C" w:rsidRDefault="00D91F4C" w:rsidP="000C7ADC">
      <w:pPr>
        <w:pStyle w:val="Heading1"/>
        <w:rPr>
          <w:rFonts w:ascii="Helvetica" w:hAnsi="Helvetica" w:cs="Helvetica"/>
          <w:b/>
          <w:sz w:val="24"/>
        </w:rPr>
      </w:pPr>
      <w:bookmarkStart w:id="45" w:name="_Toc40953332"/>
      <w:r>
        <w:rPr>
          <w:rFonts w:ascii="Helvetica" w:hAnsi="Helvetica" w:cs="Helvetica"/>
          <w:b/>
          <w:sz w:val="24"/>
          <w:szCs w:val="24"/>
        </w:rPr>
        <w:t xml:space="preserve">Supplementary </w:t>
      </w:r>
      <w:r w:rsidR="000F5AE4" w:rsidRPr="003E1E6C">
        <w:rPr>
          <w:rFonts w:ascii="Helvetica" w:hAnsi="Helvetica" w:cs="Helvetica"/>
          <w:b/>
          <w:sz w:val="24"/>
        </w:rPr>
        <w:t>Appendix 6</w:t>
      </w:r>
      <w:r w:rsidR="001070CC" w:rsidRPr="003E1E6C">
        <w:rPr>
          <w:rFonts w:ascii="Helvetica" w:hAnsi="Helvetica" w:cs="Helvetica"/>
          <w:b/>
          <w:sz w:val="24"/>
        </w:rPr>
        <w:t xml:space="preserve">: </w:t>
      </w:r>
      <w:r w:rsidR="000F5AE4" w:rsidRPr="003E1E6C">
        <w:rPr>
          <w:rFonts w:ascii="Helvetica" w:hAnsi="Helvetica" w:cs="Helvetica"/>
          <w:sz w:val="24"/>
        </w:rPr>
        <w:t>P</w:t>
      </w:r>
      <w:r w:rsidR="00551D3F" w:rsidRPr="003E1E6C">
        <w:rPr>
          <w:rFonts w:ascii="Helvetica" w:hAnsi="Helvetica" w:cs="Helvetica"/>
          <w:sz w:val="24"/>
        </w:rPr>
        <w:t>rograms and Policies</w:t>
      </w:r>
      <w:bookmarkEnd w:id="45"/>
    </w:p>
    <w:p w14:paraId="4FC1E12D" w14:textId="77777777" w:rsidR="001070CC" w:rsidRPr="003D7162" w:rsidRDefault="001070CC" w:rsidP="000C7ADC">
      <w:pPr>
        <w:rPr>
          <w:rFonts w:ascii="Helvetica" w:eastAsia="Calibri" w:hAnsi="Helvetica" w:cs="Helvetica"/>
          <w:b/>
        </w:rPr>
      </w:pPr>
    </w:p>
    <w:p w14:paraId="62BD707B" w14:textId="17E2CF61" w:rsidR="00D5600B" w:rsidRPr="003D7162" w:rsidRDefault="00D91F4C" w:rsidP="003A58F6">
      <w:pPr>
        <w:pStyle w:val="Heading2"/>
        <w:rPr>
          <w:rFonts w:cs="Helvetica"/>
          <w:szCs w:val="24"/>
        </w:rPr>
      </w:pPr>
      <w:bookmarkStart w:id="46" w:name="_Toc40953333"/>
      <w:r>
        <w:rPr>
          <w:rFonts w:cs="Helvetica"/>
          <w:b/>
          <w:szCs w:val="24"/>
        </w:rPr>
        <w:t xml:space="preserve">Supplementary </w:t>
      </w:r>
      <w:r w:rsidR="00D5600B" w:rsidRPr="003D7162">
        <w:rPr>
          <w:rFonts w:cs="Helvetica"/>
          <w:b/>
          <w:szCs w:val="24"/>
        </w:rPr>
        <w:t xml:space="preserve">Appendix </w:t>
      </w:r>
      <w:r>
        <w:rPr>
          <w:rFonts w:cs="Helvetica"/>
          <w:b/>
          <w:szCs w:val="24"/>
        </w:rPr>
        <w:t>Table</w:t>
      </w:r>
      <w:r w:rsidRPr="003D7162">
        <w:rPr>
          <w:rFonts w:cs="Helvetica"/>
          <w:b/>
          <w:szCs w:val="24"/>
        </w:rPr>
        <w:t xml:space="preserve"> </w:t>
      </w:r>
      <w:r w:rsidR="00551D3F" w:rsidRPr="003D7162">
        <w:rPr>
          <w:rFonts w:cs="Helvetica"/>
          <w:b/>
          <w:szCs w:val="24"/>
        </w:rPr>
        <w:t>1</w:t>
      </w:r>
      <w:r w:rsidR="004F3CF2">
        <w:rPr>
          <w:rFonts w:cs="Helvetica"/>
          <w:b/>
          <w:szCs w:val="24"/>
        </w:rPr>
        <w:t>4</w:t>
      </w:r>
      <w:r w:rsidR="00D5600B" w:rsidRPr="003D7162">
        <w:rPr>
          <w:rFonts w:cs="Helvetica"/>
          <w:b/>
          <w:szCs w:val="24"/>
        </w:rPr>
        <w:t xml:space="preserve">: </w:t>
      </w:r>
      <w:r w:rsidR="00D5600B" w:rsidRPr="003D7162">
        <w:rPr>
          <w:rFonts w:cs="Helvetica"/>
          <w:szCs w:val="24"/>
        </w:rPr>
        <w:t>Description of Acts/Law/Regulations, Policies, and Programs from 1995-2016</w:t>
      </w:r>
      <w:bookmarkEnd w:id="46"/>
    </w:p>
    <w:p w14:paraId="18911C1E" w14:textId="77777777" w:rsidR="00D5600B" w:rsidRPr="003D7162" w:rsidRDefault="00D5600B" w:rsidP="000C7ADC">
      <w:pPr>
        <w:rPr>
          <w:rFonts w:ascii="Helvetica" w:hAnsi="Helvetica" w:cs="Helvetica"/>
          <w:color w:val="000000" w:themeColor="text1"/>
        </w:rPr>
      </w:pPr>
    </w:p>
    <w:tbl>
      <w:tblPr>
        <w:tblStyle w:val="TableGrid"/>
        <w:tblW w:w="9697" w:type="dxa"/>
        <w:tblLook w:val="04A0" w:firstRow="1" w:lastRow="0" w:firstColumn="1" w:lastColumn="0" w:noHBand="0" w:noVBand="1"/>
      </w:tblPr>
      <w:tblGrid>
        <w:gridCol w:w="3298"/>
        <w:gridCol w:w="1319"/>
        <w:gridCol w:w="5080"/>
      </w:tblGrid>
      <w:tr w:rsidR="00D5600B" w:rsidRPr="003D7162" w14:paraId="4DC31626" w14:textId="77777777" w:rsidTr="00112A90">
        <w:trPr>
          <w:cantSplit/>
          <w:trHeight w:val="312"/>
        </w:trPr>
        <w:tc>
          <w:tcPr>
            <w:tcW w:w="9697" w:type="dxa"/>
            <w:gridSpan w:val="3"/>
            <w:shd w:val="clear" w:color="auto" w:fill="D9D9D9" w:themeFill="background1" w:themeFillShade="D9"/>
          </w:tcPr>
          <w:p w14:paraId="11F060ED" w14:textId="77777777" w:rsidR="00D5600B" w:rsidRPr="003D7162" w:rsidRDefault="00D5600B" w:rsidP="000C7ADC">
            <w:pPr>
              <w:rPr>
                <w:rFonts w:ascii="Helvetica" w:hAnsi="Helvetica" w:cs="Helvetica"/>
                <w:sz w:val="20"/>
                <w:szCs w:val="20"/>
              </w:rPr>
            </w:pPr>
            <w:r w:rsidRPr="003D7162">
              <w:rPr>
                <w:rFonts w:ascii="Helvetica" w:hAnsi="Helvetica" w:cs="Helvetica"/>
                <w:b/>
                <w:sz w:val="18"/>
                <w:szCs w:val="18"/>
              </w:rPr>
              <w:t>POLICIES/STRATEGIES/PLANS</w:t>
            </w:r>
          </w:p>
        </w:tc>
      </w:tr>
      <w:tr w:rsidR="00D5600B" w:rsidRPr="003D7162" w14:paraId="07DC82AC" w14:textId="77777777" w:rsidTr="00112A90">
        <w:trPr>
          <w:cantSplit/>
          <w:trHeight w:val="261"/>
        </w:trPr>
        <w:tc>
          <w:tcPr>
            <w:tcW w:w="3298" w:type="dxa"/>
            <w:vMerge w:val="restart"/>
          </w:tcPr>
          <w:p w14:paraId="50359688"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Social assistance policies </w:t>
            </w:r>
          </w:p>
          <w:p w14:paraId="32DCBA5F"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(1980 – 2005) </w:t>
            </w:r>
          </w:p>
          <w:p w14:paraId="58E6959E" w14:textId="77777777" w:rsidR="00D5600B" w:rsidRPr="003D7162" w:rsidRDefault="00D5600B" w:rsidP="000C7ADC">
            <w:pPr>
              <w:pStyle w:val="ListParagraph"/>
              <w:spacing w:line="240" w:lineRule="auto"/>
              <w:ind w:left="360"/>
              <w:rPr>
                <w:rFonts w:ascii="Helvetica" w:hAnsi="Helvetica" w:cs="Helvetica"/>
                <w:sz w:val="20"/>
                <w:szCs w:val="20"/>
                <w:shd w:val="clear" w:color="auto" w:fill="FFFFFF"/>
              </w:rPr>
            </w:pPr>
          </w:p>
        </w:tc>
        <w:tc>
          <w:tcPr>
            <w:tcW w:w="1319" w:type="dxa"/>
          </w:tcPr>
          <w:p w14:paraId="2106B6B3"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Description</w:t>
            </w:r>
          </w:p>
        </w:tc>
        <w:tc>
          <w:tcPr>
            <w:tcW w:w="5079" w:type="dxa"/>
          </w:tcPr>
          <w:p w14:paraId="199BC4E0" w14:textId="1C157981"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Social assistance policies began in the 1980s as an attempt by the Government of Peru to reduce food insecurity and malnutrition through food supplementation programs. These programs included </w:t>
            </w:r>
            <w:r w:rsidRPr="003D7162">
              <w:rPr>
                <w:rFonts w:ascii="Helvetica" w:hAnsi="Helvetica" w:cs="Helvetica"/>
                <w:i/>
                <w:sz w:val="20"/>
                <w:szCs w:val="20"/>
              </w:rPr>
              <w:t>Comedores populares</w:t>
            </w:r>
            <w:r w:rsidR="00B31B9A" w:rsidRPr="003D7162">
              <w:rPr>
                <w:rFonts w:ascii="Helvetica" w:hAnsi="Helvetica" w:cs="Helvetica"/>
                <w:sz w:val="20"/>
                <w:szCs w:val="20"/>
              </w:rPr>
              <w:t>/ “</w:t>
            </w:r>
            <w:r w:rsidRPr="003D7162">
              <w:rPr>
                <w:rFonts w:ascii="Helvetica" w:hAnsi="Helvetica" w:cs="Helvetica"/>
                <w:sz w:val="20"/>
                <w:szCs w:val="20"/>
              </w:rPr>
              <w:t xml:space="preserve">Community kitchens” and </w:t>
            </w:r>
            <w:r w:rsidR="00B31B9A" w:rsidRPr="003D7162">
              <w:rPr>
                <w:rFonts w:ascii="Helvetica" w:hAnsi="Helvetica" w:cs="Helvetica"/>
                <w:i/>
                <w:sz w:val="20"/>
                <w:szCs w:val="20"/>
              </w:rPr>
              <w:t>Vaso de Leche/ “</w:t>
            </w:r>
            <w:r w:rsidRPr="003D7162">
              <w:rPr>
                <w:rFonts w:ascii="Helvetica" w:hAnsi="Helvetica" w:cs="Helvetica"/>
                <w:sz w:val="20"/>
                <w:szCs w:val="20"/>
              </w:rPr>
              <w:t xml:space="preserve">Glass of Milk.” By 2000, over half (59%) of Peru’s food assistance budget was going towards these two programs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9e516e41-6157-4ece-bd41-de3ed35f8a53"]}],"mendeley":{"formattedCitation":"[6]","plainTextFormattedCitation":"[6]","previouslyFormattedCitation":"[6]"},"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w:t>
            </w:r>
            <w:r w:rsidRPr="003D7162">
              <w:rPr>
                <w:rFonts w:ascii="Helvetica" w:hAnsi="Helvetica" w:cs="Helvetica"/>
                <w:sz w:val="20"/>
                <w:szCs w:val="20"/>
              </w:rPr>
              <w:fldChar w:fldCharType="end"/>
            </w:r>
            <w:r w:rsidRPr="003D7162">
              <w:rPr>
                <w:rFonts w:ascii="Helvetica" w:hAnsi="Helvetica" w:cs="Helvetica"/>
                <w:sz w:val="20"/>
                <w:szCs w:val="20"/>
              </w:rPr>
              <w:t xml:space="preserve">. In 2001, social assistance policies were reformed when President Alejandro Toledo took office and prioritized the reduction of poverty and the improvement of social justice. Literature indicates that many of these social assistance policies did not have a positive impact on reducing child malnutrition or stunting rates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Peru","type":"article"},"uris":["http://www.mendeley.com/documents/?uuid=9e516e41-6157-4ece-bd41-de3ed35f8a53"]},{"id":"ITEM-2","itemData":{"DOI":"10.1016/S2214-109X(16)00085-1","ISSN":"2214109X","abstract":"Evaluating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Health","id":"ITEM-2","issue":"6","issued":{"date-parts":[["2016","6"]]},"note":"Aviva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study","type":"article-journal","volume":"4"},"uris":["http://www.mendeley.com/documents/?uuid=fe933ca9-fbf4-4308-9764-613c3e60d4a3"]},{"id":"ITEM-3","itemData":{"PMID":"20143112392","abstract":"The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Policy","id":"ITEM-3","issued":{"date-parts":[["2014"]]},"page":"26-35","title":"The politics of success in the fight against malnutrition in Peru","type":"article-journal","volume":"44"},"uris":["http://www.mendeley.com/documents/?uuid=04d4f60a-2eb7-45de-81f4-e976dd940b1f","http://www.mendeley.com/documents/?uuid=b480fafd-7062-48c0-84e9-23755a028b61"]}],"mendeley":{"formattedCitation":"[6,12,93]","plainTextFormattedCitation":"[6,12,93]","previouslyFormattedCitation":"[6,12,93]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[6,12,93]</w:t>
            </w:r>
            <w:r w:rsidRPr="003D7162">
              <w:rPr>
                <w:rFonts w:ascii="Helvetica" w:hAnsi="Helvetica" w:cs="Helvetica"/>
                <w:sz w:val="20"/>
                <w:szCs w:val="20"/>
              </w:rPr>
              <w:fldChar w:fldCharType="end"/>
            </w:r>
            <w:r w:rsidRPr="003D7162">
              <w:rPr>
                <w:rFonts w:ascii="Helvetica" w:hAnsi="Helvetica" w:cs="Helvetica"/>
                <w:sz w:val="20"/>
                <w:szCs w:val="20"/>
              </w:rPr>
              <w:t xml:space="preserve">. </w:t>
            </w:r>
            <w:r w:rsidRPr="003D7162">
              <w:rPr>
                <w:rFonts w:ascii="Helvetica" w:hAnsi="Helvetica" w:cs="Helvetica"/>
                <w:iCs/>
                <w:sz w:val="20"/>
                <w:szCs w:val="20"/>
              </w:rPr>
              <w:t xml:space="preserve">Among the reasons given are that they were poorly designed with little collaboration between government sectors, had insufficient funds to reach everyone, and that the programs did not focus on many of the communities with the highest prevalence of stunting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iCs/>
                <w:sz w:val="20"/>
                <w:szCs w:val="20"/>
              </w:rPr>
              <w:t xml:space="preserve">. </w:t>
            </w:r>
            <w:r w:rsidRPr="003D7162">
              <w:rPr>
                <w:rFonts w:ascii="Helvetica" w:hAnsi="Helvetica" w:cs="Helvetica"/>
                <w:sz w:val="20"/>
                <w:szCs w:val="20"/>
              </w:rPr>
              <w:t>Despite this, social assistance polices did lead to the establishment of other programs that were effective in reducing wealth inequalities and strengthening the health system, which have been linked to declines in stunting in Peru.</w:t>
            </w:r>
          </w:p>
        </w:tc>
      </w:tr>
      <w:tr w:rsidR="00D5600B" w:rsidRPr="003D7162" w14:paraId="1C80E404" w14:textId="77777777" w:rsidTr="00112A90">
        <w:trPr>
          <w:cantSplit/>
          <w:trHeight w:val="218"/>
        </w:trPr>
        <w:tc>
          <w:tcPr>
            <w:tcW w:w="3298" w:type="dxa"/>
            <w:vMerge/>
          </w:tcPr>
          <w:p w14:paraId="318DA3ED"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21D691B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5079" w:type="dxa"/>
          </w:tcPr>
          <w:p w14:paraId="3FA0F26C"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bCs/>
                <w:sz w:val="20"/>
                <w:szCs w:val="20"/>
              </w:rPr>
              <w:t>Likely important</w:t>
            </w:r>
          </w:p>
        </w:tc>
      </w:tr>
      <w:tr w:rsidR="00D5600B" w:rsidRPr="003D7162" w14:paraId="20B8356C" w14:textId="77777777" w:rsidTr="00112A90">
        <w:trPr>
          <w:cantSplit/>
          <w:trHeight w:val="210"/>
        </w:trPr>
        <w:tc>
          <w:tcPr>
            <w:tcW w:w="3298" w:type="dxa"/>
            <w:vMerge w:val="restart"/>
          </w:tcPr>
          <w:p w14:paraId="17B82B92"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Health sector reform policies</w:t>
            </w:r>
          </w:p>
          <w:p w14:paraId="0F6C49C6"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(1995 – 2004)</w:t>
            </w:r>
          </w:p>
          <w:p w14:paraId="4856DA37" w14:textId="77777777" w:rsidR="00D5600B" w:rsidRPr="003D7162" w:rsidRDefault="00D5600B" w:rsidP="000C7ADC">
            <w:pPr>
              <w:pStyle w:val="ListParagraph"/>
              <w:spacing w:line="240" w:lineRule="auto"/>
              <w:ind w:left="360"/>
              <w:rPr>
                <w:rFonts w:ascii="Helvetica" w:hAnsi="Helvetica" w:cs="Helvetica"/>
                <w:sz w:val="20"/>
                <w:szCs w:val="20"/>
              </w:rPr>
            </w:pPr>
          </w:p>
        </w:tc>
        <w:tc>
          <w:tcPr>
            <w:tcW w:w="1319" w:type="dxa"/>
          </w:tcPr>
          <w:p w14:paraId="46FE4D0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5079" w:type="dxa"/>
          </w:tcPr>
          <w:p w14:paraId="24DE6967" w14:textId="1F64A005"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These policies were developed to eliminate barriers and to improve the accessibility of healthcare in Peru. The policies resulted in two health reform programs being developed, PARSALUD I and II. These two programs are described in detail below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Systems","non-dropping-particle":"","parse-names":false,"suffix":""}],"id":"ITEM-2","issued":{"date-parts":[["2015"]]},"publisher-place":"Geneva","title":"Success Factors for Women's and Children's Health: Peru","type":"report"},"uris":["http://www.mendeley.com/documents/?uuid=e3d4976d-05d5-4684-90c2-92cc9773aa02","http://www.mendeley.com/documents/?uuid=554a0b2a-0cfd-41d0-84fc-b663634f4d63"]}],"mendeley":{"formattedCitation":"[93,111]","plainTextFormattedCitation":"[93,111]","previouslyFormattedCitation":"[93,104]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[93,111]</w:t>
            </w:r>
            <w:r w:rsidRPr="003D7162">
              <w:rPr>
                <w:rFonts w:ascii="Helvetica" w:hAnsi="Helvetica" w:cs="Helvetica"/>
                <w:sz w:val="20"/>
                <w:szCs w:val="20"/>
              </w:rPr>
              <w:fldChar w:fldCharType="end"/>
            </w:r>
            <w:r w:rsidRPr="003D7162">
              <w:rPr>
                <w:rFonts w:ascii="Helvetica" w:hAnsi="Helvetica" w:cs="Helvetica"/>
                <w:sz w:val="20"/>
                <w:szCs w:val="20"/>
              </w:rPr>
              <w:t xml:space="preserve">. USAID, PRISMA and the Government of Peru collaborated to reform Peru’s health sector to reduce maternal and infant mortality rates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Primary-level health service reform included the introduction of two major competing reform strategies (the Basic Health For All program and the </w:t>
            </w:r>
            <w:r w:rsidRPr="003D7162">
              <w:rPr>
                <w:rFonts w:ascii="Helvetica" w:hAnsi="Helvetica" w:cs="Helvetica"/>
                <w:sz w:val="20"/>
                <w:szCs w:val="20"/>
                <w:shd w:val="clear" w:color="auto" w:fill="FFFFFF"/>
              </w:rPr>
              <w:t>Local Committees for Health Administration/</w:t>
            </w:r>
            <w:r w:rsidRPr="003D7162">
              <w:rPr>
                <w:rFonts w:ascii="Helvetica" w:hAnsi="Helvetica" w:cs="Helvetica"/>
                <w:sz w:val="20"/>
                <w:szCs w:val="20"/>
              </w:rPr>
              <w:t xml:space="preserve">CLAS program). Following this, there was a shift to focusing on the social security health system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w:t>
            </w:r>
          </w:p>
          <w:p w14:paraId="037E560F" w14:textId="77777777" w:rsidR="00D5600B" w:rsidRPr="003D7162" w:rsidRDefault="00D5600B" w:rsidP="000C7ADC">
            <w:pPr>
              <w:rPr>
                <w:rFonts w:ascii="Helvetica" w:eastAsiaTheme="minorHAnsi" w:hAnsi="Helvetica" w:cs="Helvetica"/>
                <w:sz w:val="20"/>
                <w:szCs w:val="20"/>
                <w:lang w:val="en" w:eastAsia="en-US"/>
              </w:rPr>
            </w:pPr>
          </w:p>
        </w:tc>
      </w:tr>
      <w:tr w:rsidR="00D5600B" w:rsidRPr="003D7162" w14:paraId="4C361553" w14:textId="77777777" w:rsidTr="00112A90">
        <w:trPr>
          <w:cantSplit/>
          <w:trHeight w:val="494"/>
        </w:trPr>
        <w:tc>
          <w:tcPr>
            <w:tcW w:w="3298" w:type="dxa"/>
            <w:vMerge/>
          </w:tcPr>
          <w:p w14:paraId="55E63E02"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7CE5C16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5079" w:type="dxa"/>
          </w:tcPr>
          <w:p w14:paraId="15392466"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Likely important</w:t>
            </w:r>
          </w:p>
        </w:tc>
      </w:tr>
      <w:tr w:rsidR="00D5600B" w:rsidRPr="003D7162" w14:paraId="1964BBB8" w14:textId="77777777" w:rsidTr="00112A90">
        <w:trPr>
          <w:cantSplit/>
          <w:trHeight w:val="195"/>
        </w:trPr>
        <w:tc>
          <w:tcPr>
            <w:tcW w:w="3298" w:type="dxa"/>
            <w:vMerge w:val="restart"/>
          </w:tcPr>
          <w:p w14:paraId="51DCFACD"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Strengthened civil society and stakeholder advocacy</w:t>
            </w:r>
          </w:p>
          <w:p w14:paraId="258E68A9"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(2001 – present)</w:t>
            </w:r>
          </w:p>
          <w:p w14:paraId="6351DB3B" w14:textId="77777777" w:rsidR="00D5600B" w:rsidRPr="003D7162" w:rsidRDefault="00D5600B" w:rsidP="000C7ADC">
            <w:pPr>
              <w:pStyle w:val="ListParagraph"/>
              <w:spacing w:line="240" w:lineRule="auto"/>
              <w:ind w:left="360"/>
              <w:rPr>
                <w:rFonts w:ascii="Helvetica" w:hAnsi="Helvetica" w:cs="Helvetica"/>
                <w:sz w:val="20"/>
                <w:szCs w:val="20"/>
              </w:rPr>
            </w:pPr>
          </w:p>
        </w:tc>
        <w:tc>
          <w:tcPr>
            <w:tcW w:w="1319" w:type="dxa"/>
          </w:tcPr>
          <w:p w14:paraId="56545D5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5079" w:type="dxa"/>
          </w:tcPr>
          <w:p w14:paraId="7D8DDCEB" w14:textId="7BD071B4" w:rsidR="00D5600B" w:rsidRPr="003D7162" w:rsidRDefault="00D5600B" w:rsidP="000C7ADC">
            <w:pPr>
              <w:rPr>
                <w:rFonts w:ascii="Helvetica" w:eastAsiaTheme="minorHAnsi" w:hAnsi="Helvetica" w:cs="Helvetica"/>
                <w:sz w:val="20"/>
                <w:szCs w:val="20"/>
                <w:u w:val="single"/>
                <w:lang w:val="en-CA" w:eastAsia="en-US"/>
              </w:rPr>
            </w:pPr>
            <w:r w:rsidRPr="003D7162">
              <w:rPr>
                <w:rFonts w:ascii="Helvetica" w:hAnsi="Helvetica" w:cs="Helvetica"/>
                <w:sz w:val="20"/>
                <w:szCs w:val="20"/>
              </w:rPr>
              <w:t xml:space="preserve">Beginning in 2001 through interim President Valetin Paniagua’s creation of the Roundtable for Poverty Reduction, the state and civil society began working together on poverty reduction initiatives with the aim of reforming social policy, improving service delivery, and including civil society to a greater degree in the design, decision making and financial planning of social policies. In early 2006, civil society organizations played an important role in the formation of the Child Malnutrition Initiative. In addition, civil society groups played a key role in designing and implementing both CRECER and JUNTOS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Peru","type":"article"},"uris":["http://www.mendeley.com/documents/?uuid=9e516e41-6157-4ece-bd41-de3ed35f8a53"]},{"id":"ITEM-2","itemData":{"PMID":"20143112392","abstract":"The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Policy","id":"ITEM-2","issued":{"date-parts":[["2014"]]},"page":"26-35","title":"The politics of success in the fight against malnutrition in Peru","type":"article-journal","volume":"44"},"uris":["http://www.mendeley.com/documents/?uuid=04d4f60a-2eb7-45de-81f4-e976dd940b1f","http://www.mendeley.com/documents/?uuid=b480fafd-7062-48c0-84e9-23755a028b61"]}],"mendeley":{"formattedCitation":"[6,12]","plainTextFormattedCitation":"[6,12]","previouslyFormattedCitation":"[6,12]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[6,12]</w:t>
            </w:r>
            <w:r w:rsidRPr="003D7162">
              <w:rPr>
                <w:rFonts w:ascii="Helvetica" w:hAnsi="Helvetica" w:cs="Helvetica"/>
                <w:sz w:val="20"/>
                <w:szCs w:val="20"/>
              </w:rPr>
              <w:fldChar w:fldCharType="end"/>
            </w:r>
            <w:r w:rsidRPr="003D7162">
              <w:rPr>
                <w:rFonts w:ascii="Helvetica" w:hAnsi="Helvetica" w:cs="Helvetica"/>
                <w:sz w:val="20"/>
                <w:szCs w:val="20"/>
              </w:rPr>
              <w:t xml:space="preserve">. As many of the programs that resulted from this period of strengthened civil society and stakeholder advocacy played a role in the reduction of stunting in Peru, this period can be seen as having an indirect role in stunting reduction. </w:t>
            </w:r>
          </w:p>
          <w:p w14:paraId="46612F69"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1211FAAF" w14:textId="77777777" w:rsidTr="00112A90">
        <w:trPr>
          <w:cantSplit/>
          <w:trHeight w:val="143"/>
        </w:trPr>
        <w:tc>
          <w:tcPr>
            <w:tcW w:w="3298" w:type="dxa"/>
            <w:vMerge/>
          </w:tcPr>
          <w:p w14:paraId="48823CE3"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4766AF66"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5079" w:type="dxa"/>
          </w:tcPr>
          <w:p w14:paraId="4963BB37" w14:textId="77777777" w:rsidR="00D5600B" w:rsidRPr="003D7162" w:rsidRDefault="00D5600B" w:rsidP="000C7ADC">
            <w:pPr>
              <w:pStyle w:val="CommentText"/>
              <w:rPr>
                <w:rFonts w:ascii="Helvetica" w:eastAsiaTheme="minorHAnsi" w:hAnsi="Helvetica" w:cs="Helvetica"/>
                <w:sz w:val="20"/>
                <w:szCs w:val="20"/>
                <w:lang w:val="en-CA" w:eastAsia="en-US"/>
              </w:rPr>
            </w:pPr>
            <w:r w:rsidRPr="003D7162">
              <w:rPr>
                <w:rFonts w:ascii="Helvetica" w:hAnsi="Helvetica" w:cs="Helvetica"/>
                <w:bCs/>
                <w:sz w:val="20"/>
                <w:szCs w:val="20"/>
              </w:rPr>
              <w:t>Very important</w:t>
            </w:r>
          </w:p>
        </w:tc>
      </w:tr>
      <w:tr w:rsidR="00D5600B" w:rsidRPr="003D7162" w14:paraId="635DB31D" w14:textId="77777777" w:rsidTr="00112A90">
        <w:trPr>
          <w:cantSplit/>
          <w:trHeight w:val="1529"/>
        </w:trPr>
        <w:tc>
          <w:tcPr>
            <w:tcW w:w="3298" w:type="dxa"/>
            <w:vMerge w:val="restart"/>
          </w:tcPr>
          <w:p w14:paraId="56CACCE9" w14:textId="77777777" w:rsidR="00D5600B" w:rsidRPr="003D7162" w:rsidRDefault="00D5600B" w:rsidP="000C7ADC">
            <w:pPr>
              <w:rPr>
                <w:rFonts w:ascii="Helvetica" w:eastAsiaTheme="minorHAnsi" w:hAnsi="Helvetica" w:cs="Helvetica"/>
                <w:color w:val="FF0000"/>
                <w:sz w:val="20"/>
                <w:szCs w:val="20"/>
                <w:lang w:val="en-CA" w:eastAsia="en-US"/>
              </w:rPr>
            </w:pPr>
          </w:p>
          <w:p w14:paraId="3D23EF7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National agreement and political agenda</w:t>
            </w:r>
          </w:p>
          <w:p w14:paraId="26A6ACD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(2002 – present)</w:t>
            </w:r>
          </w:p>
          <w:p w14:paraId="6342145D"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19" w:type="dxa"/>
          </w:tcPr>
          <w:p w14:paraId="79142692"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5079" w:type="dxa"/>
          </w:tcPr>
          <w:p w14:paraId="1518B9BC" w14:textId="39EEF3A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National Agreement is a long-term forum for national dialogue that was first signed in 2002 by government representatives, political parties, and civil society organizations. The National Agreement is committed to democracy, and reducing inequalities and poverty in Peru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This was successful because it effectively reduced the number of acting government members involved in policy and decision-making. The establishment of the National Agreement was instrumental to the reaching of a consensus between diverse political parties. It established long-term policies that were implemented across different governments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uthor":[{"dropping-particle":"","family":"Marini","given":"Alessandra","non-dropping-particle":"","parse-names":false,"suffix":""},{"dropping-particle":"","family":"Rokx","given":"Claudia","non-dropping-particle":"","parse-names":false,"suffix":""},{"dropping-particle":"","family":"Gallagher","given":"P","non-dropping-particle":"","parse-names":false,"suffix":""}],"id":"ITEM-2","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Crisis","type":"book"},"uris":["http://www.mendeley.com/documents/?uuid=e0e15657-2af6-4182-a2bb-134f19b12740"]},{"id":"ITEM-3","itemData":{"URL":"http://siteresources.worldbank.org/CDFINTRANET/Resources/Peru.pdf","author":[{"dropping-particle":"","family":"World Bank","given":"","non-dropping-particle":"","parse-names":false,"suffix":""}],"container-title":"CDF Profiles","id":"ITEM-3","issued":{"date-parts":[["0"]]},"title":"Peru","type":"webpage"},"uris":["http://www.mendeley.com/documents/?uuid=7cdbe1c6-ce6b-44b7-8985-2a7576cc70a8","http://www.mendeley.com/documents/?uuid=a8f88801-3216-472b-8b1a-db6a4beda536"]},{"id":"ITEM-4","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Systems","non-dropping-particle":"","parse-names":false,"suffix":""}],"id":"ITEM-4","issued":{"date-parts":[["2015"]]},"publisher-place":"Geneva","title":"Success Factors for Women's and Children's Health: Peru","type":"report"},"uris":["http://www.mendeley.com/documents/?uuid=e3d4976d-05d5-4684-90c2-92cc9773aa02","http://www.mendeley.com/documents/?uuid=554a0b2a-0cfd-41d0-84fc-b663634f4d63"]}],"mendeley":{"formattedCitation":"[10,93,111,112]","plainTextFormattedCitation":"[10,93,111,112]","previouslyFormattedCitation":"[10,93,104,105]"},"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[10,93,111,112]</w:t>
            </w:r>
            <w:r w:rsidRPr="003D7162">
              <w:rPr>
                <w:rFonts w:ascii="Helvetica" w:hAnsi="Helvetica" w:cs="Helvetica"/>
                <w:sz w:val="20"/>
                <w:szCs w:val="20"/>
              </w:rPr>
              <w:fldChar w:fldCharType="end"/>
            </w:r>
            <w:r w:rsidRPr="003D7162">
              <w:rPr>
                <w:rFonts w:ascii="Helvetica" w:hAnsi="Helvetica" w:cs="Helvetica"/>
                <w:sz w:val="20"/>
                <w:szCs w:val="20"/>
              </w:rPr>
              <w:t xml:space="preserve">.  The Agreement led to the formation of the Child Malnutrition Initiative. In 2005, the National Agreement included objectives of the Roundtable Against Poverty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 xml:space="preserve">. These were 11 priority actions to support child development and reduce stunting. The roundtable against poverty also focuses on equity and gender, better efficiency in the implementation of programs for the fight against poverty, improving transparency, and involve citizen in all stages of state social policies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w:t>
            </w:r>
          </w:p>
          <w:p w14:paraId="709A1D29"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5B2C7E3C" w14:textId="77777777" w:rsidTr="00112A90">
        <w:trPr>
          <w:cantSplit/>
          <w:trHeight w:val="195"/>
        </w:trPr>
        <w:tc>
          <w:tcPr>
            <w:tcW w:w="3298" w:type="dxa"/>
            <w:vMerge/>
          </w:tcPr>
          <w:p w14:paraId="1CAD5E3E"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420529E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5079" w:type="dxa"/>
          </w:tcPr>
          <w:p w14:paraId="5B25FB7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Very important as precursor to CMI initiative </w:t>
            </w:r>
          </w:p>
        </w:tc>
      </w:tr>
      <w:tr w:rsidR="00D5600B" w:rsidRPr="003D7162" w14:paraId="52515287" w14:textId="77777777" w:rsidTr="00112A90">
        <w:trPr>
          <w:cantSplit/>
          <w:trHeight w:val="64"/>
        </w:trPr>
        <w:tc>
          <w:tcPr>
            <w:tcW w:w="3298" w:type="dxa"/>
            <w:vMerge w:val="restart"/>
          </w:tcPr>
          <w:p w14:paraId="54F3AF9E" w14:textId="77777777" w:rsidR="00D5600B" w:rsidRPr="003D7162" w:rsidRDefault="00D5600B" w:rsidP="000C7ADC">
            <w:pPr>
              <w:pStyle w:val="ListParagraph"/>
              <w:spacing w:line="240" w:lineRule="auto"/>
              <w:ind w:left="360"/>
              <w:rPr>
                <w:rFonts w:ascii="Helvetica" w:hAnsi="Helvetica" w:cs="Helvetica"/>
                <w:sz w:val="20"/>
                <w:szCs w:val="20"/>
              </w:rPr>
            </w:pPr>
            <w:r w:rsidRPr="003D7162">
              <w:rPr>
                <w:rFonts w:ascii="Helvetica" w:hAnsi="Helvetica" w:cs="Helvetica"/>
                <w:sz w:val="20"/>
                <w:szCs w:val="20"/>
              </w:rPr>
              <w:t>Strengthened antipoverty policies</w:t>
            </w:r>
          </w:p>
          <w:p w14:paraId="23A528DA"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r w:rsidRPr="003D7162">
              <w:rPr>
                <w:rFonts w:ascii="Helvetica" w:hAnsi="Helvetica" w:cs="Helvetica"/>
                <w:sz w:val="20"/>
                <w:szCs w:val="20"/>
              </w:rPr>
              <w:t xml:space="preserve"> (2005 – present)</w:t>
            </w:r>
          </w:p>
        </w:tc>
        <w:tc>
          <w:tcPr>
            <w:tcW w:w="1319" w:type="dxa"/>
          </w:tcPr>
          <w:p w14:paraId="121CEE9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5079" w:type="dxa"/>
          </w:tcPr>
          <w:p w14:paraId="7AFAD872" w14:textId="41726455"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These policies were proposed by the Toledo government in 2005 to provide cash disbursements to families living in extreme poverty, with the condition that children attend school and pregnant women regularly access health services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Jones","given":"Nicola","non-dropping-particle":"","parse-names":false,"suffix":""},{"dropping-particle":"","family":"Vargas","given":"Rosana","non-dropping-particle":"","parse-names":false,"suffix":""},{"dropping-particle":"","family":"Villar","given":"Eliana","non-dropping-particle":"","parse-names":false,"suffix":""}],"id":"ITEM-1","issued":{"date-parts":[["2006"]]},"title":"Conditional Cash Transfers In Peru: Tackling The Multi-Dimensionality Of Poverty And Vulnerability","type":"article-journal"},"uris":["http://www.mendeley.com/documents/?uuid=eff1dd37-900d-4440-a060-d66dface94fc","http://www.mendeley.com/documents/?uuid=d836908a-b59f-4f78-82f1-442542dfc25e"]}],"mendeley":{"formattedCitation":"[113]","plainTextFormattedCitation":"[113]","previouslyFormattedCitation":"[106]"},"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[113]</w:t>
            </w:r>
            <w:r w:rsidRPr="003D7162">
              <w:rPr>
                <w:rFonts w:ascii="Helvetica" w:hAnsi="Helvetica" w:cs="Helvetica"/>
                <w:sz w:val="20"/>
                <w:szCs w:val="20"/>
              </w:rPr>
              <w:fldChar w:fldCharType="end"/>
            </w:r>
            <w:r w:rsidRPr="003D7162">
              <w:rPr>
                <w:rFonts w:ascii="Helvetica" w:hAnsi="Helvetica" w:cs="Helvetica"/>
                <w:sz w:val="20"/>
                <w:szCs w:val="20"/>
              </w:rPr>
              <w:t xml:space="preserve">. Initial policies were rejected by congress and state officials and improved upon, eventually leading to the implementation of JUNTOS. This antipoverty program is described in further detail below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{"citationItems":[{"id":"ITEM-1","itemData":{"DOI":"10.1186/s12887-017-0790-3","ISSN":"1471-2431","abstract":"Background: Stunting prevalence in children less than 5 years has remained stagnated in Peru from 1992 to 2007, with a rapid reduction thereafter. We aimed to assess the role of different predictors on stunting reduction over time and across departments, from 2000 to 2012. Methods: We used various secondary data sources to describe time trends of stunting and of possible predictors that included distal to proximal determinants. We determined a ranking of departments by annual change of stunting and of different predictors. To account for variation over time and across departments, we used an ecological hierarchical approach based on a multilevel mixed-effects regression model, considering stunting as the outcome. Our unit of analysis was one department-year. Results: Stunting followed a decreasing trend in all departments, with differing slopes. The reduction pace was higher from 2007–2008 onwards. The departments with the highest annual stunting reduction were Cusco (−2.31%), Amazonas (−1.57%), Puno (−1.54%), Huanuco (−1.52%), and Ancash (−1.44). Those with the lowest reduction were Ica (−0.67%), Ucayali (−0.64%), Tumbes (−0.45%), Lima (−0.37%), and Tacna (−0.31%). Amazon and Andean departments, with the highest baseline poverty rates and concentrating the highest rural populations, showed the highest stunting reduction. In the multilevel analysis, when accounting for confounding, social determinants seemed to be the most important factors influencing annual stunting reduction, with significant variation between departments. Conclusions: Stunting reduction may be explained by the adoption of anti-poverty policies and sustained implementation of equitable crosscutting interventions, with focus on poorest areas. Inclusion of quality indicators for reproductive, maternal, neonatal and child health interventions may enable further analyses to show the influence of these factors. After a long stagnation period, Peru reduced dramatically its national and departmental stunting prevalence, thanks to a combination of social determinants and crosscutting factors. This experience offers useful lessons to other countries trying to improve their children’snutrition.","author":[{"dropping-particle":"","family":"Huicho","given":"Luis","non-dropping-particle":"","parse-names":false,"suffix":""},{"dropping-particle":"","family":"Huayanay-Espinoza","given":"Carlos A.","non-dropping-particle":"","parse-names":false,"suffix":""},{"dropping-particle":"","family":"Herrera-Perez","given":"Eder","non-dropping-particle":"","parse-names":false,"suffix":""},{"dropping-particle":"","family":"Segura","given":"Eddy R.","non-dropping-particle":"","parse-names":false,"suffix":""},{"dropping-particle":"","family":"Niño de Guzman","given":"Jessica","non-dropping-particle":"","parse-names":false,"suffix":""},{"dropping-particle":"","family":"Rivera-Ch","given":"María","non-dropping-particle":"","parse-names":false,"suffix":""},{"dropping-particle":"","family":"Barros","given":"Aluisio J.D.","non-dropping-particle":"","parse-names":false,"suffix":""}],"container-title":"BMC Pediatrics","id":"ITEM-1","issue":"1","issued":{"date-parts":[["2017","12","19"]]},"note":"Very important; analysis by department; shows that social interventions are more important than the nutrition specific interventions\n\nAviva abstracted","page":"29","title":"Factors behind the success story of under-five stunting in Peru: a district ecological multilevel analysis","type":"article-journal","volume":"17"},"uris":["http://www.mendeley.com/documents/?uuid=59a33479-30e0-4d79-b3fe-4efa481a4cd4"]}],"mendeley":{"formattedCitation":"[14]","plainTextFormattedCitation":"[14]","previouslyFormattedCitation":"[14]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w:t>
            </w:r>
            <w:r w:rsidRPr="003D7162">
              <w:rPr>
                <w:rFonts w:ascii="Helvetica" w:hAnsi="Helvetica" w:cs="Helvetica"/>
                <w:sz w:val="20"/>
                <w:szCs w:val="20"/>
              </w:rPr>
              <w:fldChar w:fldCharType="end"/>
            </w:r>
            <w:r w:rsidRPr="003D7162">
              <w:rPr>
                <w:rFonts w:ascii="Helvetica" w:hAnsi="Helvetica" w:cs="Helvetica"/>
                <w:sz w:val="20"/>
                <w:szCs w:val="20"/>
              </w:rPr>
              <w:t>.</w:t>
            </w:r>
          </w:p>
          <w:p w14:paraId="044E7E56"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3E9C9EBC" w14:textId="77777777" w:rsidTr="00112A90">
        <w:trPr>
          <w:cantSplit/>
          <w:trHeight w:val="225"/>
        </w:trPr>
        <w:tc>
          <w:tcPr>
            <w:tcW w:w="3298" w:type="dxa"/>
            <w:vMerge/>
          </w:tcPr>
          <w:p w14:paraId="14D7E21B"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3909F037"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5079" w:type="dxa"/>
          </w:tcPr>
          <w:p w14:paraId="4D512F9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Very important </w:t>
            </w:r>
          </w:p>
        </w:tc>
      </w:tr>
      <w:tr w:rsidR="00D5600B" w:rsidRPr="003D7162" w14:paraId="4B93EE89" w14:textId="77777777" w:rsidTr="00112A90">
        <w:trPr>
          <w:cantSplit/>
          <w:trHeight w:val="195"/>
        </w:trPr>
        <w:tc>
          <w:tcPr>
            <w:tcW w:w="3298" w:type="dxa"/>
            <w:vMerge w:val="restart"/>
          </w:tcPr>
          <w:p w14:paraId="1982601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Child Malnutrition Initiative</w:t>
            </w:r>
          </w:p>
          <w:p w14:paraId="39AC813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(2005/6 – present) </w:t>
            </w:r>
          </w:p>
          <w:p w14:paraId="29E5B2F6"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19" w:type="dxa"/>
          </w:tcPr>
          <w:p w14:paraId="6C0F3FA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5079" w:type="dxa"/>
          </w:tcPr>
          <w:p w14:paraId="200939DE" w14:textId="513C9370" w:rsidR="00D5600B" w:rsidRPr="003D7162" w:rsidRDefault="00D5600B" w:rsidP="000C7ADC">
            <w:pPr>
              <w:rPr>
                <w:rFonts w:ascii="Helvetica" w:eastAsiaTheme="minorHAnsi" w:hAnsi="Helvetica" w:cs="Helvetica"/>
                <w:bCs/>
                <w:sz w:val="20"/>
                <w:szCs w:val="20"/>
                <w:lang w:val="en-CA" w:eastAsia="en-US"/>
              </w:rPr>
            </w:pPr>
            <w:r w:rsidRPr="003D7162">
              <w:rPr>
                <w:rFonts w:ascii="Helvetica" w:hAnsi="Helvetica" w:cs="Helvetica"/>
                <w:sz w:val="20"/>
                <w:szCs w:val="20"/>
              </w:rPr>
              <w:t xml:space="preserve">The Child Malnutrition Initiative (CMI) is a civil society platform that was created to advocate for effective nutrition action during a period of time when funding for nutrition was decreasing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bCs/>
                <w:sz w:val="20"/>
                <w:szCs w:val="20"/>
              </w:rPr>
              <w:t>.</w:t>
            </w:r>
            <w:r w:rsidRPr="003D7162">
              <w:rPr>
                <w:rFonts w:ascii="Helvetica" w:hAnsi="Helvetica" w:cs="Helvetica"/>
                <w:sz w:val="20"/>
                <w:szCs w:val="20"/>
              </w:rPr>
              <w:t xml:space="preserve"> The CMI was effective because it went beyond feeding programs and recognized the need for broader interventions to reduce stunting. These included interventions related to improved hygiene practices, improving micronutrient supplies, promoting community health, boosting income, and improving food availability. The CMI built on previous examples from UNICEF and CARE on successful reductions in stunting</w:t>
            </w:r>
            <w:r w:rsidRPr="003D7162">
              <w:rPr>
                <w:rFonts w:ascii="Helvetica" w:hAnsi="Helvetica" w:cs="Helvetica"/>
                <w:bCs/>
                <w:sz w:val="20"/>
                <w:szCs w:val="20"/>
              </w:rPr>
              <w:t xml:space="preserve">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bCs/>
                <w:sz w:val="20"/>
                <w:szCs w:val="20"/>
              </w:rPr>
              <w:t xml:space="preserve">. Data from the qualitative analysis indicates that the CMI was instrumental in achieving the commitment of political candidates in the fight against stunting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{"citationItems":[{"id":"ITEM-1","itemData":{"DOI":"10.2499/9780896295889_14","abstract":"PERUVIANS HAVE MUCH to celebrate in regards to the rapid progress the country has made in reducing malnutrition. In 2013, only 3.5 percent of children under five years of age in Peru were underweight. Even smaller proportions— 0.5 percent and 0.1 percent—were moderately or severely wasted. But the statistic that many nutritionists point to when lauding the country as a nutrition success is Peru’s rate of childhood stunting (Figure 14.1). In 2014, 14.6 percent of children under five years of age were stunted. While this rate is not as low as the country’s other nutrition indicators, it reflects a remarkable improvement. Less than a decade earlier, the prevalence was twice as high (29.5 percent).4 How was this rapid progress achieved—not only at a national level, but across all of Peru’s diverse regions, even poor rural ones including the Andean Highlands, and even amongst the poorest 20 percent of the population?","author":[{"dropping-particle":"","family":"Yosef","given":"S","non-dropping-particle":"","parse-names":false,"suffix":""},{"dropping-particle":"","family":"Goulden","given":"J","non-dropping-particle":"","parse-names":false,"suffix":""}],"chapter-number":"14","container-title":"Nourishing millions: Stories of Change in Nutrition","edition":"1","editor":[{"dropping-particle":"","family":"Gillespie","given":"S","non-dropping-particle":"","parse-names":false,"suffix":""},{"dropping-particle":"","family":"Hodge","given":"J","non-dropping-particle":"","parse-names":false,"suffix":""},{"dropping-particle":"","family":"Yosef","given":"S","non-dropping-particle":"","parse-names":false,"suffix":""},{"dropping-particle":"","family":"Pandya-Lorch","given":"R","non-dropping-particle":"","parse-names":false,"suffix":""}],"id":"ITEM-1","issued":{"date-parts":[["2016"]]},"note":"Aviva anstracted","page":"125-132","publisher":"International Food Policy Research Institute (IFPRI)","publisher-place":"Washington, D.C.","title":"Commitments and accountability: Peru’s unique nutrition journey","type":"chapter"},"uris":["http://www.mendeley.com/documents/?uuid=90992255-5f2e-4054-9c9a-3df5f84a4e0a"]},{"id":"ITEM-2","itemData":{"abstract":"A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James","non-dropping-particle":"","parse-names":false,"suffix":""},{"dropping-particle":"","family":"Balarajan","given":"Yarlini","non-dropping-particle":"","parse-names":false,"suffix":""}],"id":"ITEM-2","issued":{"date-parts":[["2013"]]},"note":"Aviva abstracted","publisher-place":"New York","title":"Adressing Malnutrition Multisectorally: What have we learned from recent international experience?","type":"report"},"uris":["http://www.mendeley.com/documents/?uuid=83d4e79f-85a9-4c17-a167-da4ccff04b58"]},{"id":"ITEM-3","itemData":{"PMID":"20143112392","abstract":"The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Policy","id":"ITEM-3","issued":{"date-parts":[["2014"]]},"page":"26-35","title":"The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[12,32,33]","plainTextFormattedCitation":"[12,32,33]","previouslyFormattedCitation":"[12,32,33]"},"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[12,32,33]</w:t>
            </w:r>
            <w:r w:rsidRPr="003D7162">
              <w:rPr>
                <w:rFonts w:ascii="Helvetica" w:hAnsi="Helvetica" w:cs="Helvetica"/>
                <w:bCs/>
                <w:sz w:val="20"/>
                <w:szCs w:val="20"/>
              </w:rPr>
              <w:fldChar w:fldCharType="end"/>
            </w:r>
            <w:r w:rsidRPr="003D7162">
              <w:rPr>
                <w:rFonts w:ascii="Helvetica" w:hAnsi="Helvetica" w:cs="Helvetica"/>
                <w:bCs/>
                <w:sz w:val="20"/>
                <w:szCs w:val="20"/>
              </w:rPr>
              <w:t xml:space="preserve">. </w:t>
            </w:r>
          </w:p>
          <w:p w14:paraId="1CFDB19F" w14:textId="77777777" w:rsidR="00D5600B" w:rsidRPr="003D7162" w:rsidRDefault="00D5600B" w:rsidP="000C7ADC">
            <w:pPr>
              <w:rPr>
                <w:rFonts w:ascii="Helvetica" w:eastAsiaTheme="minorHAnsi" w:hAnsi="Helvetica" w:cs="Helvetica"/>
                <w:sz w:val="20"/>
                <w:szCs w:val="20"/>
                <w:u w:val="single"/>
                <w:lang w:val="en-CA" w:eastAsia="en-US"/>
              </w:rPr>
            </w:pPr>
          </w:p>
        </w:tc>
      </w:tr>
      <w:tr w:rsidR="00D5600B" w:rsidRPr="003D7162" w14:paraId="43106A04" w14:textId="77777777" w:rsidTr="00112A90">
        <w:trPr>
          <w:cantSplit/>
          <w:trHeight w:val="242"/>
        </w:trPr>
        <w:tc>
          <w:tcPr>
            <w:tcW w:w="3298" w:type="dxa"/>
            <w:vMerge/>
          </w:tcPr>
          <w:p w14:paraId="0532EC71"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0DA5696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5079" w:type="dxa"/>
          </w:tcPr>
          <w:p w14:paraId="1DC8FFF7"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Very important</w:t>
            </w:r>
          </w:p>
        </w:tc>
      </w:tr>
      <w:tr w:rsidR="00D5600B" w:rsidRPr="003D7162" w14:paraId="0D6007C2" w14:textId="77777777" w:rsidTr="00112A90">
        <w:trPr>
          <w:cantSplit/>
          <w:trHeight w:val="210"/>
        </w:trPr>
        <w:tc>
          <w:tcPr>
            <w:tcW w:w="3298" w:type="dxa"/>
            <w:vMerge w:val="restart"/>
          </w:tcPr>
          <w:p w14:paraId="67BFF9A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Results and performance-based policies in education and health (2007 – present) </w:t>
            </w:r>
          </w:p>
          <w:p w14:paraId="4AD8C86B"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19" w:type="dxa"/>
          </w:tcPr>
          <w:p w14:paraId="798D816A"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5079" w:type="dxa"/>
          </w:tcPr>
          <w:p w14:paraId="44AAC9D3" w14:textId="342F17ED"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This is a national initiative established in 2007 and operated by the Ministry of Finance to fight malnutrition through Results Based Budgeting. The government developed budgets based on the relationship between program funding levels and expected results. The aim of this strategy was to ensure appropriate allocation of funds and effective of public spending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-2","itemData":{"URL":"https://www.futurelearn.com/courses/women-children-health/0/steps/8974","accessed":{"date-parts":[["2017","11","22"]]},"author":[{"dropping-particle":"","family":"London School of Hygiene &amp; Tropical Medicine","given":"","non-dropping-particle":"","parse-names":false,"suffix":""}],"container-title":"Future Learn","id":"ITEM-2","issued":{"date-parts":[["0"]]},"title":"Peru: Countdown to 2015 case study","type":"webpage"},"uris":["http://www.mendeley.com/documents/?uuid=a67bf750-6592-41cf-9130-bc5807bd1700","http://www.mendeley.com/documents/?uuid=b98e3d66-6e7b-405e-bdc8-c2feaab61e42"]},{"id":"ITEM-3","itemData":{"DOI":"10.1016/S2214-109X(16)30069-9","abstract":"With respect to the welfare of children and mothers, the transition from the Millennium Development Goals (MDGs) to Sustainable Development Goals (SDGs) is sometimes perceived as risky. The relevant MDGs had a focus on interventions to address maternal and c hild health, while the focus of the SDGs is expanded to \" ensure healthy lives and promote wellbeing for all at all ages \" . 1 This transition raises two concerns: a broader set of priorities might dilute the attention on maternal and child health, and the broader priorities of the SDGs require the use of more complex implementation instruments than those used in the past. A Countdown to 2015 case study in Peru by Luis Huicho and colleagues 2 published in The Lancet Global Health might provide fi ndings that help countries transition to the SDGs. Peru had huge success improving health outcomes during the Countdown years to 2015. Peru was ranked fi rst globally among 75 low-income and middle-income countries in the reduction in neonatal mortality and second in the reduction of under-5 mortality; stunting prevalence was cut in half; and equity in health-care use and in health outcomes improved signifi cantly. Huicho and colleagues 2 carefully examined the determinants of this success in their study, concluding that many stars were aligned: Peru enjoyed a period of unusually rapid economic growth which coincided with a transition from authoritarianism to democracy, and with the modernisation of the anti-poverty programmes; long-term trends in the education level of mothers, total fertility rate, and urbanisation were also favourable. All of this led to a striking reduction in poverty which fell from 55% of the population in 2001 to 23% by 2014 and provided a fertile ground for the stellar improvement in health outcomes. In the 2000s, health-sector policies in Peru anticipated the shift towards the SDGs by moving away from an exclusive emphasis on maternal and child health and from the use of vertical programmes. In the mid-1990s, Peru had relied on vertical programmes to earmark money, staff , information systems, and eff orts to ensure that the statements of MDG priorities translated into high levels of coverage for the MDG interventions. Around the turn of the 21st century, Peru integrated the narrow vertical programmes into a broader programme for primary health care. A few years later, the challenge of steering this new primary care programme was made greater by a process of decentralisation that l…","author":[{"dropping-particle":"","family":"Cotlear","given":"Daniel","non-dropping-particle":"","parse-names":false,"suffix":""},{"dropping-particle":"","family":"Vermeersch","given":"Christel","non-dropping-particle":"","parse-names":false,"suffix":""}],"container-title":"The Lancet Global Health","id":"ITEM-3","issued":{"date-parts":[["2016"]]},"page":"e353-e354","title":"Peruvian lessons for the transition from MDGs to SDGs","type":"article-journal","volume":"4"},"uris":["http://www.mendeley.com/documents/?uuid=6fad3843-6ea0-4559-95f7-cce7bd58abe6"]}],"mendeley":{"formattedCitation":"[10,114,115]","plainTextFormattedCitation":"[10,114,115]","previouslyFormattedCitation":"[10,107,108]"},"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[10,114,115]</w:t>
            </w:r>
            <w:r w:rsidRPr="003D7162">
              <w:rPr>
                <w:rFonts w:ascii="Helvetica" w:hAnsi="Helvetica" w:cs="Helvetica"/>
                <w:sz w:val="20"/>
                <w:szCs w:val="20"/>
              </w:rPr>
              <w:fldChar w:fldCharType="end"/>
            </w:r>
            <w:r w:rsidRPr="003D7162">
              <w:rPr>
                <w:rFonts w:ascii="Helvetica" w:hAnsi="Helvetica" w:cs="Helvetica"/>
                <w:sz w:val="20"/>
                <w:szCs w:val="20"/>
              </w:rPr>
              <w:t xml:space="preserve">. These policies were coordinated with government ministries and social programs involving health and education to provide public services and attain complementary goals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James","non-dropping-particle":"","parse-names":false,"suffix":""},{"dropping-particle":"","family":"Balarajan","given":"Yarlini","non-dropping-particle":"","parse-names":false,"suffix":""}],"id":"ITEM-1","issued":{"date-parts":[["2013"]]},"note":"Aviva abstracted","publisher-place":"New York","title":"Adressing Malnutrition Multisectorally: What have we learned from recent international experience?","type":"report"},"uris":["http://www.mendeley.com/documents/?uuid=83d4e79f-85a9-4c17-a167-da4ccff04b58"]}],"mendeley":{"formattedCitation":"[33]","plainTextFormattedCitation":"[33]","previouslyFormattedCitation":"[33]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[33]</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670D897A" w14:textId="77777777" w:rsidR="00D5600B" w:rsidRPr="003D7162" w:rsidRDefault="00D5600B" w:rsidP="000C7ADC">
            <w:pPr>
              <w:autoSpaceDE w:val="0"/>
              <w:autoSpaceDN w:val="0"/>
              <w:adjustRightInd w:val="0"/>
              <w:rPr>
                <w:rFonts w:ascii="Helvetica" w:eastAsiaTheme="minorHAnsi" w:hAnsi="Helvetica" w:cs="Helvetica"/>
                <w:sz w:val="20"/>
                <w:szCs w:val="20"/>
                <w:highlight w:val="red"/>
                <w:lang w:val="en-CA" w:eastAsia="en-US"/>
              </w:rPr>
            </w:pPr>
          </w:p>
        </w:tc>
      </w:tr>
      <w:tr w:rsidR="00D5600B" w:rsidRPr="003D7162" w14:paraId="368F7BAF" w14:textId="77777777" w:rsidTr="00112A90">
        <w:trPr>
          <w:cantSplit/>
          <w:trHeight w:val="286"/>
        </w:trPr>
        <w:tc>
          <w:tcPr>
            <w:tcW w:w="3298" w:type="dxa"/>
            <w:vMerge/>
          </w:tcPr>
          <w:p w14:paraId="3816494F"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4A073F81"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5079" w:type="dxa"/>
          </w:tcPr>
          <w:p w14:paraId="131C0F9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Very important</w:t>
            </w:r>
          </w:p>
        </w:tc>
      </w:tr>
      <w:tr w:rsidR="00D5600B" w:rsidRPr="003D7162" w14:paraId="6B0F8428" w14:textId="77777777" w:rsidTr="00112A90">
        <w:trPr>
          <w:cantSplit/>
          <w:trHeight w:val="272"/>
        </w:trPr>
        <w:tc>
          <w:tcPr>
            <w:tcW w:w="3298" w:type="dxa"/>
            <w:vMerge w:val="restart"/>
          </w:tcPr>
          <w:p w14:paraId="3988C24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Cross-cutting antipoverty and social inclusion policies</w:t>
            </w:r>
          </w:p>
          <w:p w14:paraId="4E916E70"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(2009 – present)</w:t>
            </w:r>
          </w:p>
          <w:p w14:paraId="3C46A052"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19" w:type="dxa"/>
          </w:tcPr>
          <w:p w14:paraId="7C81374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5079" w:type="dxa"/>
          </w:tcPr>
          <w:p w14:paraId="0431FE81" w14:textId="5050ECCF"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This is a group of policies aimed at reducing poverty and improving equality in Peru. These policies were placed under the Ministry of  Development and Social Inclusion, which coordinated the reduction of stunting throughout the country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w:t>
            </w:r>
            <w:r w:rsidRPr="003D7162">
              <w:rPr>
                <w:rFonts w:ascii="Helvetica" w:hAnsi="Helvetica" w:cs="Helvetica"/>
                <w:sz w:val="20"/>
                <w:szCs w:val="20"/>
              </w:rPr>
              <w:fldChar w:fldCharType="end"/>
            </w:r>
            <w:r w:rsidRPr="003D7162">
              <w:rPr>
                <w:rFonts w:ascii="Helvetica" w:hAnsi="Helvetica" w:cs="Helvetica"/>
                <w:sz w:val="20"/>
                <w:szCs w:val="20"/>
              </w:rPr>
              <w:t>. Cross-cutting antipoverty strategies and social inclusion policies evolved over time and led to progress in child health and nutritional status. These programs focus on economic growth, welfare, and the health of the poor. Programs such as Incluir para crecer, described in further detail below, were included under these policies</w:t>
            </w:r>
            <w:r w:rsidRPr="003D7162">
              <w:rPr>
                <w:rFonts w:ascii="Helvetica" w:hAnsi="Helvetica" w:cs="Helvetica"/>
                <w:i/>
                <w:sz w:val="20"/>
                <w:szCs w:val="20"/>
              </w:rPr>
              <w:t xml:space="preserve"> </w:t>
            </w:r>
            <w:r w:rsidRPr="003D7162">
              <w:rPr>
                <w:rFonts w:ascii="Helvetica" w:hAnsi="Helvetica" w:cs="Helvetica"/>
                <w:i/>
                <w:sz w:val="20"/>
                <w:szCs w:val="20"/>
              </w:rPr>
              <w:fldChar w:fldCharType="begin" w:fldLock="1"/>
            </w:r>
            <w:r w:rsidR="000C7ADC" w:rsidRPr="003D7162">
              <w:rPr>
                <w:rFonts w:ascii="Helvetica" w:hAnsi="Helvetica" w:cs="Helvetica"/>
                <w:i/>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uthor":[{"dropping-particle":"","family":"Marini","given":"Alessandra","non-dropping-particle":"","parse-names":false,"suffix":""},{"dropping-particle":"","family":"Rokx","given":"Claudia","non-dropping-particle":"","parse-names":false,"suffix":""},{"dropping-particle":"","family":"Gallagher","given":"P","non-dropping-particle":"","parse-names":false,"suffix":""}],"id":"ITEM-2","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Crisis","type":"book"},"uris":["http://www.mendeley.com/documents/?uuid=e0e15657-2af6-4182-a2bb-134f19b12740"]},{"id":"ITEM-3","itemData":{"DOI":"10.2499/9780896295889_14","abstract":"PERUVIANS HAVE MUCH to celebrate in regards to the rapid progress the country has made in reducing malnutrition. In 2013, only 3.5 percent of children under five years of age in Peru were underweight. Even smaller proportions— 0.5 percent and 0.1 percent—were moderately or severely wasted. But the statistic that many nutritionists point to when lauding the country as a nutrition success is Peru’s rate of childhood stunting (Figure 14.1). In 2014, 14.6 percent of children under five years of age were stunted. While this rate is not as low as the country’s other nutrition indicators, it reflects a remarkable improvement. Less than a decade earlier, the prevalence was twice as high (29.5 percent).4 How was this rapid progress achieved—not only at a national level, but across all of Peru’s diverse regions, even poor rural ones including the Andean Highlands, and even amongst the poorest 20 percent of the population?","author":[{"dropping-particle":"","family":"Yosef","given":"S","non-dropping-particle":"","parse-names":false,"suffix":""},{"dropping-particle":"","family":"Goulden","given":"J","non-dropping-particle":"","parse-names":false,"suffix":""}],"chapter-number":"14","container-title":"Nourishing millions: Stories of Change in Nutrition","edition":"1","editor":[{"dropping-particle":"","family":"Gillespie","given":"S","non-dropping-particle":"","parse-names":false,"suffix":""},{"dropping-particle":"","family":"Hodge","given":"J","non-dropping-particle":"","parse-names":false,"suffix":""},{"dropping-particle":"","family":"Yosef","given":"S","non-dropping-particle":"","parse-names":false,"suffix":""},{"dropping-particle":"","family":"Pandya-Lorch","given":"R","non-dropping-particle":"","parse-names":false,"suffix":""}],"id":"ITEM-3","issued":{"date-parts":[["2016"]]},"note":"Aviva anstracted","page":"125-132","publisher":"International Food Policy Research Institute (IFPRI)","publisher-place":"Washington, D.C.","title":"Commitments and accountability: Peru’s unique nutrition journey","type":"chapter"},"uris":["http://www.mendeley.com/documents/?uuid=90992255-5f2e-4054-9c9a-3df5f84a4e0a"]},{"id":"ITEM-4","itemData":{"abstract":"El MIDIS apuesta por reducir la pobreza y promover el desarrollo y la inclusión social interviniendo simultáneamente en tres horizontes temporales complementarios. En ese sentido, la intervención enfocada en el corto plazo – expresada en medi-das de alivio a la pobreza extrema – es necesaria, pero no suficiente. Para impactar en el mediano plazo, es fundamental intervenir promoviendo oportunidades económicas y la inversión en infraestructura básica. Además, para el largo plazo, es prioritario generar oportunidades para la siguiente generación, con énfasis en la reducción de la desnutrición crónica infantil (DCI), la promoción del desarrollo infantil temprano (DIT) y el desarrollo integral de la niñez y la adolescencia. Todas estas intervenciones están enfocadas principalmente en la población en proceso de desarrollo e inclusión social, partiendo del principio orientador del MIDIS de articular una política de desarrollo e inclusión social desde las personas y para las perso-nas. El MIDIS ejerce hoy la rectoría de la política de desarrollo e inclusión social del país. En ese sentido, el Ministerio cuenta con diversos instrumentos que le permiten ejercer esta responsabilidad siguiendo los criterios y procedimientos de gestión de la política pública. Esta tarea se enmarca en la implementación del Sistema Nacional de Desarrollo e Inclusión Social (SINA-DIS), donde se explicitan las \" reglas de juego \" de la política de desarrollo e inclusión social. El SINADIS es un sistema funcio-nal encargado de asegurar el cumplimiento de las políticas públicas que orientan la intervención del Estado destinadas a reducir la pobreza, las desigualdades, las vulnerabilidades y los riesgos sociales. El MIDIS ejerce esta rectoría promoviendo la articulación de la política de desarrollo e inclusión social, que enlaza esfuerzos intergubernamentales e intersectoriales. En el marco de operación del SINADIS, el MIDIS ha elaborado la Estrategia Nacional de Desarrollo e Inclusión Social \" Crecer para Incluir \" (en adelante, la Estrategia), como un instrumento de gestión que sirve de documento marco para organizar las intervenciones que vienen desarrollando los actores del sistema en torno a resultados y metas comunes. En el marco de operación del SINADIS, el MIDIS ha elaborado la Estrategia Nacional de Desarrollo e Inclusión Social \" Crecer para Incluir \" (en adelante, la Estrategia), como un instrumento de gestión que sirve de documento marco para organizar las intervenciones que vi…","author":[{"dropping-particle":"","family":"Ministerio de Desarrollo e Inclusion Social","given":"","non-dropping-particle":"","parse-names":false,"suffix":""}],"id":"ITEM-4","issued":{"date-parts":[["0"]]},"publisher-place":"Lima, Peru","title":"ESTRATEGIA NACIONAL DE DESARROLLO E INCLUSIÓN SOCIAL: INCLUIR PARA CRECER","type":"report"},"uris":["http://www.mendeley.com/documents/?uuid=69fa232c-8a6c-4476-8a4f-9c2a354ea16a","http://www.mendeley.com/documents/?uuid=ddd7795c-c6ec-4451-a98c-f159ad9b3aab"]}],"mendeley":{"formattedCitation":"[10,32,93,116]","plainTextFormattedCitation":"[10,32,93,116]","previouslyFormattedCitation":"[10,32,93,109]"},"properties":{"noteIndex":0},"schema":"https://github.com/citation-style-language/schema/raw/master/csl-citation.json"}</w:instrText>
            </w:r>
            <w:r w:rsidRPr="003D7162">
              <w:rPr>
                <w:rFonts w:ascii="Helvetica" w:hAnsi="Helvetica" w:cs="Helvetica"/>
                <w:i/>
                <w:sz w:val="20"/>
                <w:szCs w:val="20"/>
              </w:rPr>
              <w:fldChar w:fldCharType="separate"/>
            </w:r>
            <w:r w:rsidR="000C7ADC" w:rsidRPr="003D7162">
              <w:rPr>
                <w:rFonts w:ascii="Helvetica" w:hAnsi="Helvetica" w:cs="Helvetica"/>
                <w:noProof/>
                <w:sz w:val="20"/>
                <w:szCs w:val="20"/>
              </w:rPr>
              <w:t>[10,32,93,116]</w:t>
            </w:r>
            <w:r w:rsidRPr="003D7162">
              <w:rPr>
                <w:rFonts w:ascii="Helvetica" w:hAnsi="Helvetica" w:cs="Helvetica"/>
                <w:i/>
                <w:sz w:val="20"/>
                <w:szCs w:val="20"/>
              </w:rPr>
              <w:fldChar w:fldCharType="end"/>
            </w:r>
            <w:r w:rsidRPr="003D7162">
              <w:rPr>
                <w:rFonts w:ascii="Helvetica" w:hAnsi="Helvetica" w:cs="Helvetica"/>
                <w:sz w:val="20"/>
                <w:szCs w:val="20"/>
              </w:rPr>
              <w:t xml:space="preserve">. </w:t>
            </w:r>
          </w:p>
          <w:p w14:paraId="0CFD4367"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637BA119" w14:textId="77777777" w:rsidTr="00112A90">
        <w:trPr>
          <w:cantSplit/>
          <w:trHeight w:val="64"/>
        </w:trPr>
        <w:tc>
          <w:tcPr>
            <w:tcW w:w="3298" w:type="dxa"/>
            <w:vMerge/>
          </w:tcPr>
          <w:p w14:paraId="4D4DE625"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4082FDC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5079" w:type="dxa"/>
          </w:tcPr>
          <w:p w14:paraId="7C4E50B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Very important</w:t>
            </w:r>
          </w:p>
        </w:tc>
      </w:tr>
      <w:tr w:rsidR="00D5600B" w:rsidRPr="003D7162" w14:paraId="64E67362" w14:textId="77777777" w:rsidTr="00112A90">
        <w:trPr>
          <w:cantSplit/>
          <w:trHeight w:val="272"/>
        </w:trPr>
        <w:tc>
          <w:tcPr>
            <w:tcW w:w="3298" w:type="dxa"/>
            <w:vMerge w:val="restart"/>
          </w:tcPr>
          <w:p w14:paraId="18E01879"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Universal Healthcare Commitment (2009 – present)</w:t>
            </w:r>
          </w:p>
          <w:p w14:paraId="68178C02" w14:textId="77777777" w:rsidR="00D5600B" w:rsidRPr="003D7162" w:rsidRDefault="00D5600B" w:rsidP="000C7ADC">
            <w:pPr>
              <w:pStyle w:val="ListParagraph"/>
              <w:spacing w:line="240" w:lineRule="auto"/>
              <w:ind w:left="360"/>
              <w:rPr>
                <w:rFonts w:ascii="Helvetica" w:hAnsi="Helvetica" w:cs="Helvetica"/>
                <w:sz w:val="20"/>
                <w:szCs w:val="20"/>
              </w:rPr>
            </w:pPr>
          </w:p>
        </w:tc>
        <w:tc>
          <w:tcPr>
            <w:tcW w:w="1319" w:type="dxa"/>
          </w:tcPr>
          <w:p w14:paraId="6A630F7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5079" w:type="dxa"/>
          </w:tcPr>
          <w:p w14:paraId="7554B01A" w14:textId="50016398"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Universal Healthcare Commitment (UHC) was created with the goal of expanding Seguro Integral de Salud (SIS), also known as Comprehensive Health Insurance, throughout Peru. This regulatory framework aims to achieve universal healthcare coverage by means of a three tiered system of fully subsidized health insurance for the poor, semi-contributory insurance for informal and small-business workers and contributory insurance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{"citationItems":[{"id":"ITEM-1","itemData":{"author":[{"dropping-particle":"","family":"Vermeersch","given":"Christel","non-dropping-particle":"","parse-names":false,"suffix":""},{"dropping-particle":"","family":"Medici","given":"Andre C","non-dropping-particle":"","parse-names":false,"suffix":""},{"dropping-particle":"","family":"Narvaez","given":"Rory","non-dropping-particle":"","parse-names":false,"suffix":""}],"id":"ITEM-1","issue":"September","issued":{"date-parts":[["2014"]]},"title":"Sustainable Development Country Summary Report for Peru","type":"article-journal"},"uris":["http://www.mendeley.com/documents/?uuid=0d812834-1e57-4e8d-b449-b21b49df4c7c","http://www.mendeley.com/documents/?uuid=4ae86590-108d-419a-bef3-91a3398274fc"]}],"mendeley":{"formattedCitation":"[117]","plainTextFormattedCitation":"[117]","previouslyFormattedCitation":"[110]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[117]</w:t>
            </w:r>
            <w:r w:rsidRPr="003D7162">
              <w:rPr>
                <w:rFonts w:ascii="Helvetica" w:hAnsi="Helvetica" w:cs="Helvetica"/>
                <w:sz w:val="20"/>
                <w:szCs w:val="20"/>
              </w:rPr>
              <w:fldChar w:fldCharType="end"/>
            </w:r>
            <w:r w:rsidRPr="003D7162">
              <w:rPr>
                <w:rFonts w:ascii="Helvetica" w:hAnsi="Helvetica" w:cs="Helvetica"/>
                <w:sz w:val="20"/>
                <w:szCs w:val="20"/>
              </w:rPr>
              <w:t xml:space="preserve">. This is in line with the goal of Universal Health Insurance (AUS) for all Peruvians so that they may access quality health services. The Universal Healthcare Commitment was created from coordinated institutional efforts between the Peruvian Health Social Security Office (EsSalud), the Comprehensive Health Insurance scheme (Seguro Integral de Salud/SIS), the Ministry of Health (MINSA), and regional governments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{"citationItems":[{"id":"ITEM-1","itemData":{"author":[{"dropping-particle":"","family":"Vermeersch","given":"Christel","non-dropping-particle":"","parse-names":false,"suffix":""},{"dropping-particle":"","family":"Medici","given":"Andre C","non-dropping-particle":"","parse-names":false,"suffix":""},{"dropping-particle":"","family":"Narvaez","given":"Rory","non-dropping-particle":"","parse-names":false,"suffix":""}],"id":"ITEM-1","issue":"September","issued":{"date-parts":[["2014"]]},"title":"Sustainable Development Country Summary Report for Peru","type":"article-journal"},"uris":["http://www.mendeley.com/documents/?uuid=4ae86590-108d-419a-bef3-91a3398274fc","http://www.mendeley.com/documents/?uuid=0d812834-1e57-4e8d-b449-b21b49df4c7c"]}],"mendeley":{"formattedCitation":"[117]","plainTextFormattedCitation":"[117]","previouslyFormattedCitation":"[110]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[117]</w:t>
            </w:r>
            <w:r w:rsidRPr="003D7162">
              <w:rPr>
                <w:rFonts w:ascii="Helvetica" w:hAnsi="Helvetica" w:cs="Helvetica"/>
                <w:sz w:val="20"/>
                <w:szCs w:val="20"/>
              </w:rPr>
              <w:fldChar w:fldCharType="end"/>
            </w:r>
            <w:r w:rsidRPr="003D7162">
              <w:rPr>
                <w:rFonts w:ascii="Helvetica" w:hAnsi="Helvetica" w:cs="Helvetica"/>
                <w:sz w:val="20"/>
                <w:szCs w:val="20"/>
              </w:rPr>
              <w:t>.</w:t>
            </w:r>
          </w:p>
          <w:p w14:paraId="4CF4C2EA"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18860851" w14:textId="77777777" w:rsidTr="00112A90">
        <w:trPr>
          <w:cantSplit/>
          <w:trHeight w:val="225"/>
        </w:trPr>
        <w:tc>
          <w:tcPr>
            <w:tcW w:w="3298" w:type="dxa"/>
            <w:vMerge/>
          </w:tcPr>
          <w:p w14:paraId="77E55169"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33712F0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5079" w:type="dxa"/>
          </w:tcPr>
          <w:p w14:paraId="18268341"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Likely important</w:t>
            </w:r>
          </w:p>
        </w:tc>
      </w:tr>
    </w:tbl>
    <w:tbl>
      <w:tblPr>
        <w:tblStyle w:val="TableGrid1"/>
        <w:tblW w:w="9715" w:type="dxa"/>
        <w:tblLook w:val="04A0" w:firstRow="1" w:lastRow="0" w:firstColumn="1" w:lastColumn="0" w:noHBand="0" w:noVBand="1"/>
      </w:tblPr>
      <w:tblGrid>
        <w:gridCol w:w="3471"/>
        <w:gridCol w:w="1388"/>
        <w:gridCol w:w="4856"/>
      </w:tblGrid>
      <w:tr w:rsidR="00D5600B" w:rsidRPr="003D7162" w14:paraId="52061F9B" w14:textId="77777777" w:rsidTr="00112A90">
        <w:trPr>
          <w:cantSplit/>
          <w:trHeight w:val="311"/>
        </w:trPr>
        <w:tc>
          <w:tcPr>
            <w:tcW w:w="9715" w:type="dxa"/>
            <w:gridSpan w:val="3"/>
            <w:shd w:val="clear" w:color="auto" w:fill="D9D9D9" w:themeFill="background1" w:themeFillShade="D9"/>
          </w:tcPr>
          <w:p w14:paraId="68F9CBA3" w14:textId="77777777" w:rsidR="00D5600B" w:rsidRPr="003D7162" w:rsidRDefault="00D5600B" w:rsidP="000C7ADC">
            <w:pPr>
              <w:rPr>
                <w:rFonts w:ascii="Helvetica" w:eastAsiaTheme="minorHAnsi" w:hAnsi="Helvetica" w:cs="Helvetica"/>
                <w:b/>
                <w:sz w:val="20"/>
                <w:szCs w:val="20"/>
                <w:lang w:val="en-CA" w:eastAsia="en-US"/>
              </w:rPr>
            </w:pPr>
            <w:r w:rsidRPr="003D7162">
              <w:rPr>
                <w:rFonts w:ascii="Helvetica" w:hAnsi="Helvetica" w:cs="Helvetica"/>
                <w:b/>
                <w:sz w:val="20"/>
                <w:szCs w:val="20"/>
              </w:rPr>
              <w:t>PROGRAMS</w:t>
            </w:r>
          </w:p>
        </w:tc>
      </w:tr>
      <w:tr w:rsidR="00D5600B" w:rsidRPr="003D7162" w14:paraId="551CF710" w14:textId="77777777" w:rsidTr="00112A90">
        <w:trPr>
          <w:cantSplit/>
          <w:trHeight w:val="260"/>
        </w:trPr>
        <w:tc>
          <w:tcPr>
            <w:tcW w:w="3471" w:type="dxa"/>
            <w:vMerge w:val="restart"/>
          </w:tcPr>
          <w:p w14:paraId="4FF74CA8" w14:textId="77777777" w:rsidR="00D5600B" w:rsidRPr="003D7162" w:rsidRDefault="00D5600B" w:rsidP="000C7ADC">
            <w:pPr>
              <w:pStyle w:val="ListParagraph"/>
              <w:spacing w:line="240" w:lineRule="auto"/>
              <w:ind w:left="360"/>
              <w:rPr>
                <w:rFonts w:ascii="Helvetica" w:hAnsi="Helvetica" w:cs="Helvetica"/>
                <w:sz w:val="20"/>
                <w:szCs w:val="20"/>
              </w:rPr>
            </w:pPr>
            <w:r w:rsidRPr="003D7162">
              <w:rPr>
                <w:rFonts w:ascii="Helvetica" w:hAnsi="Helvetica" w:cs="Helvetica"/>
                <w:sz w:val="20"/>
                <w:szCs w:val="20"/>
              </w:rPr>
              <w:t xml:space="preserve">Vaso de Leche (VdL) </w:t>
            </w:r>
          </w:p>
          <w:p w14:paraId="5D44B095" w14:textId="77777777" w:rsidR="00D5600B" w:rsidRPr="003D7162" w:rsidRDefault="00D5600B" w:rsidP="000C7ADC">
            <w:pPr>
              <w:pStyle w:val="ListParagraph"/>
              <w:spacing w:line="240" w:lineRule="auto"/>
              <w:ind w:left="360"/>
              <w:rPr>
                <w:rFonts w:ascii="Helvetica" w:hAnsi="Helvetica" w:cs="Helvetica"/>
                <w:sz w:val="20"/>
                <w:szCs w:val="20"/>
                <w:shd w:val="clear" w:color="auto" w:fill="FFFFFF"/>
              </w:rPr>
            </w:pPr>
            <w:r w:rsidRPr="003D7162">
              <w:rPr>
                <w:rFonts w:ascii="Helvetica" w:hAnsi="Helvetica" w:cs="Helvetica"/>
                <w:sz w:val="20"/>
                <w:szCs w:val="20"/>
              </w:rPr>
              <w:t>(1980s – 2000)</w:t>
            </w:r>
          </w:p>
        </w:tc>
        <w:tc>
          <w:tcPr>
            <w:tcW w:w="1388" w:type="dxa"/>
          </w:tcPr>
          <w:p w14:paraId="2F371F0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70ADC2F4" w14:textId="13CB221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Vaso de Leche, or the “Glass of Milk” program, was a food supplementation program that aimed to provide milk and milk substitutes to children under 6 years of age in targeted at-risk households in Peru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{"citationItems":[{"id":"ITEM-1","itemData":{"DOI":"10.1093/wber/lhl002","ISBN":"0258-6770, 0258-6770","ISSN":"02586770","abstract":"This study of the Vaso de Leche (\"Glass of Milk\") feeding program in Peru looks for evidence that this in-kind transfer program aimed at young children furthers nutritional objectives. The study links public expenditure data with household survey data to substantiate the targeting and to model the determinants of nutritional outcomes. It confirms that the social transfer program targets poor households and households with low nutritional status. Nevertheless, the study fails to find econometric evidence that the nutritional objectives are being achieved. In","author":[{"dropping-particle":"","family":"Stifel","given":"David","non-dropping-particle":"","parse-names":false,"suffix":""},{"dropping-particle":"","family":"Alderman","given":"Harold","non-dropping-particle":"","parse-names":false,"suffix":""}],"container-title":"World Bank Economic Review","id":"ITEM-1","issue":"3","issued":{"date-parts":[["2006"]]},"note":"Aviva abstracted","page":"421-448","title":"The \"Glass of Milk\" subsidy program and malnutrition in Peru","type":"article-journal","volume":"20"},"uris":["http://www.mendeley.com/documents/?uuid=89b772a8-62b1-4e08-80b7-cea60245aca0","http://www.mendeley.com/documents/?uuid=3fa34c67-187e-4532-9bc5-dbd3819e8fbd"]}],"mendeley":{"formattedCitation":"[118]","plainTextFormattedCitation":"[118]","previouslyFormattedCitation":"[111]"},"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[118]</w:t>
            </w:r>
            <w:r w:rsidRPr="003D7162">
              <w:rPr>
                <w:rFonts w:ascii="Helvetica" w:hAnsi="Helvetica" w:cs="Helvetica"/>
                <w:sz w:val="20"/>
                <w:szCs w:val="20"/>
              </w:rPr>
              <w:fldChar w:fldCharType="end"/>
            </w:r>
            <w:r w:rsidRPr="003D7162">
              <w:rPr>
                <w:rFonts w:ascii="Helvetica" w:hAnsi="Helvetica" w:cs="Helvetica"/>
                <w:bCs/>
                <w:sz w:val="20"/>
                <w:szCs w:val="20"/>
              </w:rPr>
              <w:t xml:space="preserve">. </w:t>
            </w:r>
            <w:r w:rsidRPr="003D7162">
              <w:rPr>
                <w:rFonts w:ascii="Helvetica" w:hAnsi="Helvetica" w:cs="Helvetica"/>
                <w:sz w:val="20"/>
                <w:szCs w:val="20"/>
              </w:rPr>
              <w:t xml:space="preserve">Initially the program sought to reach children &lt;6 years of age as well as pregnant and lactating women, however </w:t>
            </w:r>
            <w:r w:rsidRPr="003D7162">
              <w:rPr>
                <w:rFonts w:ascii="Helvetica" w:hAnsi="Helvetica" w:cs="Helvetica"/>
                <w:bCs/>
                <w:sz w:val="20"/>
                <w:szCs w:val="20"/>
              </w:rPr>
              <w:t xml:space="preserve">by 1998 the program had reached 44% of households with children ages 3-11 years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{"citationItems":[{"id":"ITEM-1","itemData":{"DOI":"10.1093/wber/lhl002","ISBN":"0258-6770, 0258-6770","ISSN":"02586770","abstract":"This study of the Vaso de Leche (\"Glass of Milk\") feeding program in Peru looks for evidence that this in-kind transfer program aimed at young children furthers nutritional objectives. The study links public expenditure data with household survey data to substantiate the targeting and to model the determinants of nutritional outcomes. It confirms that the social transfer program targets poor households and households with low nutritional status. Nevertheless, the study fails to find econometric evidence that the nutritional objectives are being achieved. In","author":[{"dropping-particle":"","family":"Stifel","given":"David","non-dropping-particle":"","parse-names":false,"suffix":""},{"dropping-particle":"","family":"Alderman","given":"Harold","non-dropping-particle":"","parse-names":false,"suffix":""}],"container-title":"World Bank Economic Review","id":"ITEM-1","issue":"3","issued":{"date-parts":[["2006"]]},"page":"421-448","title":"The \"Glass of Milk\" subsidy program and malnutrition in Peru","type":"article-journal","volume":"20"},"uris":["http://www.mendeley.com/documents/?uuid=3fa34c67-187e-4532-9bc5-dbd3819e8fbd","http://www.mendeley.com/documents/?uuid=89b772a8-62b1-4e08-80b7-cea60245aca0"]}],"mendeley":{"formattedCitation":"[4]","plainTextFormattedCitation":"[4]","previouslyFormattedCitation":"[4]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[4]</w:t>
            </w:r>
            <w:r w:rsidRPr="003D7162">
              <w:rPr>
                <w:rFonts w:ascii="Helvetica" w:hAnsi="Helvetica" w:cs="Helvetica"/>
                <w:sz w:val="20"/>
                <w:szCs w:val="20"/>
              </w:rPr>
              <w:fldChar w:fldCharType="end"/>
            </w:r>
            <w:r w:rsidRPr="003D7162">
              <w:rPr>
                <w:rFonts w:ascii="Helvetica" w:hAnsi="Helvetica" w:cs="Helvetica"/>
                <w:bCs/>
                <w:sz w:val="20"/>
                <w:szCs w:val="20"/>
              </w:rPr>
              <w:t>. Data from our qualitative synthesis indicates that food distribution programs in Peru were unsustainable, and that drivers of stunting went beyond lack of food. Similarly, the literature indicates that feeding</w:t>
            </w:r>
            <w:r w:rsidRPr="003D7162">
              <w:rPr>
                <w:rFonts w:ascii="Helvetica" w:hAnsi="Helvetica" w:cs="Helvetica"/>
                <w:sz w:val="20"/>
                <w:szCs w:val="20"/>
              </w:rPr>
              <w:t xml:space="preserve"> programs were largely ineffective within the Peruvian context. Further information on school </w:t>
            </w:r>
            <w:r w:rsidRPr="003D7162">
              <w:rPr>
                <w:rFonts w:ascii="Helvetica" w:hAnsi="Helvetica" w:cs="Helvetica"/>
                <w:color w:val="000000" w:themeColor="text1"/>
                <w:sz w:val="20"/>
                <w:szCs w:val="20"/>
              </w:rPr>
              <w:t>feeding programs is in appendix 15. However</w:t>
            </w:r>
            <w:r w:rsidRPr="003D7162">
              <w:rPr>
                <w:rFonts w:ascii="Helvetica" w:hAnsi="Helvetica" w:cs="Helvetica"/>
                <w:sz w:val="20"/>
                <w:szCs w:val="20"/>
              </w:rPr>
              <w:t>, findings also indicate that these programs led to greater investments in areas with high rates of stunting, with a particular focus on results and targeting the basic and underlying causes of malnutrition. While the Vaso de Leche program itself may not have contributed to an immediate decline in stunting, it led to the establishment of other programs that were effective in reducing wealth inequalities and strengthening the health system, both of which led to declines in stunting.</w:t>
            </w:r>
          </w:p>
        </w:tc>
      </w:tr>
      <w:tr w:rsidR="00D5600B" w:rsidRPr="003D7162" w14:paraId="00D547D5" w14:textId="77777777" w:rsidTr="00112A90">
        <w:trPr>
          <w:cantSplit/>
          <w:trHeight w:val="176"/>
        </w:trPr>
        <w:tc>
          <w:tcPr>
            <w:tcW w:w="3471" w:type="dxa"/>
            <w:vMerge/>
          </w:tcPr>
          <w:p w14:paraId="533EF45B"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3131353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47D2E62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Unclear but could have had some impact</w:t>
            </w:r>
          </w:p>
        </w:tc>
      </w:tr>
      <w:tr w:rsidR="00D5600B" w:rsidRPr="003D7162" w14:paraId="20406F7A" w14:textId="77777777" w:rsidTr="00112A90">
        <w:trPr>
          <w:cantSplit/>
          <w:trHeight w:val="210"/>
        </w:trPr>
        <w:tc>
          <w:tcPr>
            <w:tcW w:w="3471" w:type="dxa"/>
            <w:vMerge w:val="restart"/>
          </w:tcPr>
          <w:p w14:paraId="1131770C"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National family planning programs (1985 – 2000)</w:t>
            </w:r>
          </w:p>
          <w:p w14:paraId="31B0B179" w14:textId="77777777" w:rsidR="00D5600B" w:rsidRPr="003D7162" w:rsidRDefault="00D5600B" w:rsidP="000C7ADC">
            <w:pPr>
              <w:pStyle w:val="ListParagraph"/>
              <w:spacing w:line="240" w:lineRule="auto"/>
              <w:ind w:left="360"/>
              <w:rPr>
                <w:rFonts w:ascii="Helvetica" w:hAnsi="Helvetica" w:cs="Helvetica"/>
                <w:sz w:val="20"/>
                <w:szCs w:val="20"/>
              </w:rPr>
            </w:pPr>
          </w:p>
        </w:tc>
        <w:tc>
          <w:tcPr>
            <w:tcW w:w="1388" w:type="dxa"/>
          </w:tcPr>
          <w:p w14:paraId="6295311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1088C4B7" w14:textId="7155E8F0"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These were a series of family planning programs and policies beginning in 1985, initiated when the Government of Peru passed the National Population Policy giving individuals the right to freely determine the number and spacing of their children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{"citationItems":[{"id":"ITEM-1","itemData":{"abstract":"OVERVIEW • Peru, in 1966, was among the fi rst countries to receive U.S. Agency for International Development (USAID) population and reproductive health funds. • USAID's partnership with the government and the private sector, including local non-governmental organizations, was key to Peru's ability to overcome political and program obstacles. With USAID support, Peru instituted a national policy guaranteeing couples the right to freely determine the number and spacing of their children. The policy paved the way for access to modern contraceptives through government facilities to poor and rural communities. • This partnership led to a fi ve-fold increase in modern contraceptive use between 1970 and 2015, which reduced unintended pregnancy and decreased the average number of births per women, and coincided with dramatic improvements in maternal and child survival. • USAID developed an evidence-based process involving multiple stakeholders to reach underserved indigenous populations, resulting in doubling the participation in family planning sessions. For 5 decades, the Government and people of Peru prioritized family planning services as a way to promote healthier pregnan-cies and births, reduce high maternal and child mortality and respond to individuals' and couples' desires to plan and space their children. In 1970, an estimated 10 percent of Peruvian women were using modern contraceptive methods. Following family planning education and counseling on available methods and improved access to care, an estimated 52 percent of married women reported using modern contraception by 2015 (Figure 1). 1 In the same period, an increase in the supply of accessible modern contraceptive methods coincided with women's and couple's increased desires for family planning. In 1970, 17 percent of women reported that their need for effective, modern meth-ods of contraception was satisfi ed, compared to 64 percent in 2015. 2 As modern contraceptive use increased, Peruvian couples were able to manage the timing and spacing of pregnancies for the healthiest outcomes and to achieve their desired family size. This preference is refl ected in lower average numbers of births per woman from 7 in 1965 to about 2.5 over the same period. The decision to have smaller families led to improved mater-nal and child survival. With a decreasing number of births per woman, the risk of pregnancy-related death fell by 73 percent between 1990 and 2015, and more mothers survived. 3 Among childre…","author":[{"dropping-particle":"","family":"USAID","given":"","non-dropping-particle":"","parse-names":false,"suffix":""}],"id":"ITEM-1","issued":{"date-parts":[["2016"]]},"title":"USAID'S PARTNERSHIP WITH PERU ADVANCES FAMILY PLANNING","type":"report"},"uris":["http://www.mendeley.com/documents/?uuid=756ae7ac-2f99-4e1c-a46b-335c03a89797","http://www.mendeley.com/documents/?uuid=91f56fdd-039e-4b1f-8367-4ceb9b9f4a8d"]}],"mendeley":{"formattedCitation":"[119]","plainTextFormattedCitation":"[119]","previouslyFormattedCitation":"[112]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[119]</w:t>
            </w:r>
            <w:r w:rsidRPr="003D7162">
              <w:rPr>
                <w:rFonts w:ascii="Helvetica" w:hAnsi="Helvetica" w:cs="Helvetica"/>
                <w:sz w:val="20"/>
                <w:szCs w:val="20"/>
              </w:rPr>
              <w:fldChar w:fldCharType="end"/>
            </w:r>
            <w:r w:rsidRPr="003D7162">
              <w:rPr>
                <w:rFonts w:ascii="Helvetica" w:hAnsi="Helvetica" w:cs="Helvetica"/>
                <w:sz w:val="20"/>
                <w:szCs w:val="20"/>
              </w:rPr>
              <w:t xml:space="preserve">.  Beyond the National Population Policy, these initiatives included: 1) the first National Family Planning Program (1987-1990), aimed at decreasing the fertility rate to 2.5 births per woman by 2000; 2) the second National Family Planning Program (1991-1995), aimed at expanding access to health services in rural areas; 3) the 1995 Ministry of Health policy making contraception free through government institutions; 4) the National Program for Reproductive Health and Family Planning (1996-2000) which included voluntary surgical contraception, and 5) the ReproSalud project (1996-2005) which was funded by USAID and consisted of a communication campaign that developed information, education, and improved program delivery for reproductive health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{"citationItems":[{"id":"ITEM-1","itemData":{"abstract":"OVERVIEW • Peru, in 1966, was among the fi rst countries to receive U.S. Agency for International Development (USAID) population and reproductive health funds. • USAID's partnership with the government and the private sector, including local non-governmental organizations, was key to Peru's ability to overcome political and program obstacles. With USAID support, Peru instituted a national policy guaranteeing couples the right to freely determine the number and spacing of their children. The policy paved the way for access to modern contraceptives through government facilities to poor and rural communities. • This partnership led to a fi ve-fold increase in modern contraceptive use between 1970 and 2015, which reduced unintended pregnancy and decreased the average number of births per women, and coincided with dramatic improvements in maternal and child survival. • USAID developed an evidence-based process involving multiple stakeholders to reach underserved indigenous populations, resulting in doubling the participation in family planning sessions. For 5 decades, the Government and people of Peru prioritized family planning services as a way to promote healthier pregnan-cies and births, reduce high maternal and child mortality and respond to individuals' and couples' desires to plan and space their children. In 1970, an estimated 10 percent of Peruvian women were using modern contraceptive methods. Following family planning education and counseling on available methods and improved access to care, an estimated 52 percent of married women reported using modern contraception by 2015 (Figure 1). 1 In the same period, an increase in the supply of accessible modern contraceptive methods coincided with women's and couple's increased desires for family planning. In 1970, 17 percent of women reported that their need for effective, modern meth-ods of contraception was satisfi ed, compared to 64 percent in 2015. 2 As modern contraceptive use increased, Peruvian couples were able to manage the timing and spacing of pregnancies for the healthiest outcomes and to achieve their desired family size. This preference is refl ected in lower average numbers of births per woman from 7 in 1965 to about 2.5 over the same period. The decision to have smaller families led to improved mater-nal and child survival. With a decreasing number of births per woman, the risk of pregnancy-related death fell by 73 percent between 1990 and 2015, and more mothers survived. 3 Among childre…","author":[{"dropping-particle":"","family":"USAID","given":"","non-dropping-particle":"","parse-names":false,"suffix":""}],"id":"ITEM-1","issued":{"date-parts":[["2016"]]},"title":"USAID'S PARTNERSHIP WITH PERU ADVANCES FAMILY PLANNING","type":"report"},"uris":["http://www.mendeley.com/documents/?uuid=756ae7ac-2f99-4e1c-a46b-335c03a89797","http://www.mendeley.com/documents/?uuid=91f56fdd-039e-4b1f-8367-4ceb9b9f4a8d"]}],"mendeley":{"formattedCitation":"[119]","plainTextFormattedCitation":"[119]","previouslyFormattedCitation":"[112]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[119]</w:t>
            </w:r>
            <w:r w:rsidRPr="003D7162">
              <w:rPr>
                <w:rFonts w:ascii="Helvetica" w:hAnsi="Helvetica" w:cs="Helvetica"/>
                <w:sz w:val="20"/>
                <w:szCs w:val="20"/>
              </w:rPr>
              <w:fldChar w:fldCharType="end"/>
            </w:r>
            <w:r w:rsidRPr="003D7162">
              <w:rPr>
                <w:rFonts w:ascii="Helvetica" w:hAnsi="Helvetica" w:cs="Helvetica"/>
                <w:sz w:val="20"/>
                <w:szCs w:val="20"/>
              </w:rPr>
              <w:t xml:space="preserve">.    Available data from this time period shows an increase in the use of modern family planning methods among married women between 1986 and 2000, as well as a reduction in the total fertility rate in Peru between 1990 and 2011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69EF669C" w14:textId="77777777" w:rsidR="00D5600B" w:rsidRPr="003D7162" w:rsidRDefault="00D5600B" w:rsidP="000C7ADC">
            <w:pPr>
              <w:rPr>
                <w:rFonts w:ascii="Helvetica" w:eastAsiaTheme="minorHAnsi" w:hAnsi="Helvetica" w:cs="Helvetica"/>
                <w:sz w:val="20"/>
                <w:szCs w:val="20"/>
                <w:lang w:val="en" w:eastAsia="en-US"/>
              </w:rPr>
            </w:pPr>
          </w:p>
        </w:tc>
      </w:tr>
      <w:tr w:rsidR="00D5600B" w:rsidRPr="003D7162" w14:paraId="6291AE86" w14:textId="77777777" w:rsidTr="00112A90">
        <w:trPr>
          <w:cantSplit/>
          <w:trHeight w:val="493"/>
        </w:trPr>
        <w:tc>
          <w:tcPr>
            <w:tcW w:w="3471" w:type="dxa"/>
            <w:vMerge/>
          </w:tcPr>
          <w:p w14:paraId="63015803"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459A49E0"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4B10E799" w14:textId="77777777" w:rsidR="00D5600B" w:rsidRPr="003D7162" w:rsidRDefault="00D5600B" w:rsidP="000C7ADC">
            <w:pPr>
              <w:pStyle w:val="CommentText"/>
              <w:rPr>
                <w:rFonts w:ascii="Helvetica" w:eastAsiaTheme="minorHAnsi" w:hAnsi="Helvetica" w:cs="Helvetica"/>
                <w:sz w:val="20"/>
                <w:szCs w:val="20"/>
                <w:lang w:val="en-CA" w:eastAsia="en-US"/>
              </w:rPr>
            </w:pPr>
            <w:r w:rsidRPr="003D7162">
              <w:rPr>
                <w:rFonts w:ascii="Helvetica" w:hAnsi="Helvetica" w:cs="Helvetica"/>
                <w:bCs/>
                <w:sz w:val="20"/>
                <w:szCs w:val="20"/>
              </w:rPr>
              <w:t xml:space="preserve">Insufficient evidence </w:t>
            </w:r>
            <w:r w:rsidRPr="003D7162">
              <w:rPr>
                <w:rFonts w:ascii="Helvetica" w:hAnsi="Helvetica" w:cs="Helvetica"/>
                <w:sz w:val="20"/>
                <w:szCs w:val="20"/>
              </w:rPr>
              <w:t>but could have had some impact</w:t>
            </w:r>
          </w:p>
        </w:tc>
      </w:tr>
      <w:tr w:rsidR="00D5600B" w:rsidRPr="003D7162" w14:paraId="28C41B45" w14:textId="77777777" w:rsidTr="00112A90">
        <w:trPr>
          <w:cantSplit/>
          <w:trHeight w:val="195"/>
        </w:trPr>
        <w:tc>
          <w:tcPr>
            <w:tcW w:w="3471" w:type="dxa"/>
            <w:vMerge w:val="restart"/>
          </w:tcPr>
          <w:p w14:paraId="09E131A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Reprosalud</w:t>
            </w:r>
          </w:p>
          <w:p w14:paraId="1F39DD5C"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(1996– 2005)</w:t>
            </w:r>
          </w:p>
          <w:p w14:paraId="09EDCD2B" w14:textId="77777777" w:rsidR="00D5600B" w:rsidRPr="003D7162" w:rsidRDefault="00D5600B" w:rsidP="000C7ADC">
            <w:pPr>
              <w:pStyle w:val="ListParagraph"/>
              <w:spacing w:line="240" w:lineRule="auto"/>
              <w:ind w:left="360"/>
              <w:rPr>
                <w:rFonts w:ascii="Helvetica" w:hAnsi="Helvetica" w:cs="Helvetica"/>
                <w:sz w:val="20"/>
                <w:szCs w:val="20"/>
              </w:rPr>
            </w:pPr>
          </w:p>
        </w:tc>
        <w:tc>
          <w:tcPr>
            <w:tcW w:w="1388" w:type="dxa"/>
          </w:tcPr>
          <w:p w14:paraId="02E4ADB0"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19E7DBDB" w14:textId="691983B1" w:rsidR="00D5600B" w:rsidRPr="003D7162" w:rsidRDefault="00D5600B" w:rsidP="000C7ADC">
            <w:pPr>
              <w:rPr>
                <w:rFonts w:ascii="Helvetica" w:eastAsiaTheme="minorHAnsi" w:hAnsi="Helvetica" w:cs="Helvetica"/>
                <w:sz w:val="20"/>
                <w:szCs w:val="20"/>
                <w:u w:val="single"/>
                <w:lang w:val="en-CA" w:eastAsia="en-US"/>
              </w:rPr>
            </w:pPr>
            <w:r w:rsidRPr="003D7162">
              <w:rPr>
                <w:rFonts w:ascii="Helvetica" w:hAnsi="Helvetica" w:cs="Helvetica"/>
                <w:sz w:val="20"/>
                <w:szCs w:val="20"/>
              </w:rPr>
              <w:t xml:space="preserve">ReproSalud was a reproductive health project funded by USAID and run by women’s advocacy organization </w:t>
            </w:r>
            <w:r w:rsidRPr="003D7162">
              <w:rPr>
                <w:rFonts w:ascii="Helvetica" w:hAnsi="Helvetica" w:cs="Helvetica"/>
                <w:bCs/>
                <w:sz w:val="20"/>
                <w:szCs w:val="20"/>
              </w:rPr>
              <w:t xml:space="preserve">Movimiento Manuela Ramos (MMR).  ReproSalud focused on women’s rights and empowerment through a participatory approach, working with women’s groups at the community level to build and execute projects based on identified reproductive health needs within the target community. The project focused on poor rural and peri-urban areas within Peru </w:t>
            </w:r>
            <w:r w:rsidRPr="003D7162">
              <w:rPr>
                <w:rFonts w:ascii="Helvetica" w:hAnsi="Helvetica" w:cs="Helvetica"/>
                <w:sz w:val="20"/>
                <w:szCs w:val="20"/>
              </w:rPr>
              <w:t>and typically covered three themes: reproductive health, income generation and advocacy, though the primary focus of all projects was reproductive health</w:t>
            </w:r>
            <w:r w:rsidRPr="003D7162">
              <w:rPr>
                <w:rFonts w:ascii="Helvetica" w:hAnsi="Helvetica" w:cs="Helvetica"/>
                <w:bCs/>
                <w:sz w:val="20"/>
                <w:szCs w:val="20"/>
              </w:rPr>
              <w:t xml:space="preserve">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{"citationItems":[{"id":"ITEM-1","itemData":{"author":[{"dropping-particle":"","family":"Schuler","given":"S","non-dropping-particle":"","parse-names":false,"suffix":""}],"container-title":"Reproductive Health Matters","id":"ITEM-1","issue":"14","issued":{"date-parts":[["1999"]]},"page":"144-157","title":"Gender and Community Participation in Reproductive Health Projects: Contrasting Models from Peru and Ghana","type":"article-journal","volume":"7"},"uris":["http://www.mendeley.com/documents/?uuid=24b85130-46f8-409e-a211-2c21850b1523","http://www.mendeley.com/documents/?uuid=cfe21473-0861-41c5-a484-fc4c5cd914bd"]}],"mendeley":{"formattedCitation":"[120]","plainTextFormattedCitation":"[120]","previouslyFormattedCitation":"[113]"},"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[120]</w:t>
            </w:r>
            <w:r w:rsidRPr="003D7162">
              <w:rPr>
                <w:rFonts w:ascii="Helvetica" w:hAnsi="Helvetica" w:cs="Helvetica"/>
                <w:bCs/>
                <w:sz w:val="20"/>
                <w:szCs w:val="20"/>
              </w:rPr>
              <w:fldChar w:fldCharType="end"/>
            </w:r>
            <w:r w:rsidRPr="003D7162">
              <w:rPr>
                <w:rFonts w:ascii="Helvetica" w:hAnsi="Helvetica" w:cs="Helvetica"/>
                <w:bCs/>
                <w:sz w:val="20"/>
                <w:szCs w:val="20"/>
              </w:rPr>
              <w:t xml:space="preserve">. Data collected from some of the ReproSalud project sites indicated an increased uptake of family planning services between 2 and 4 times that of the baseline, as well as a reduction in instances of domestic violence. The impact of this program in beneficiary communities compared to non-beneficiary communities was not reported. </w:t>
            </w:r>
          </w:p>
          <w:p w14:paraId="6EEA2CC3"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23E5F2F3" w14:textId="77777777" w:rsidTr="00112A90">
        <w:trPr>
          <w:cantSplit/>
          <w:trHeight w:val="143"/>
        </w:trPr>
        <w:tc>
          <w:tcPr>
            <w:tcW w:w="3471" w:type="dxa"/>
            <w:vMerge/>
          </w:tcPr>
          <w:p w14:paraId="0656E53C"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4EA4E6F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273E80F5" w14:textId="77777777" w:rsidR="00D5600B" w:rsidRPr="003D7162" w:rsidRDefault="00D5600B" w:rsidP="000C7ADC">
            <w:pPr>
              <w:pStyle w:val="CommentText"/>
              <w:rPr>
                <w:rFonts w:ascii="Helvetica" w:eastAsiaTheme="minorHAnsi" w:hAnsi="Helvetica" w:cs="Helvetica"/>
                <w:sz w:val="20"/>
                <w:szCs w:val="20"/>
                <w:lang w:val="en-CA" w:eastAsia="en-US"/>
              </w:rPr>
            </w:pPr>
            <w:r w:rsidRPr="003D7162">
              <w:rPr>
                <w:rFonts w:ascii="Helvetica" w:hAnsi="Helvetica" w:cs="Helvetica"/>
                <w:bCs/>
                <w:sz w:val="20"/>
                <w:szCs w:val="20"/>
              </w:rPr>
              <w:t xml:space="preserve">Insufficient evidence </w:t>
            </w:r>
            <w:r w:rsidRPr="003D7162">
              <w:rPr>
                <w:rFonts w:ascii="Helvetica" w:hAnsi="Helvetica" w:cs="Helvetica"/>
                <w:sz w:val="20"/>
                <w:szCs w:val="20"/>
              </w:rPr>
              <w:t>but could have had some impact</w:t>
            </w:r>
          </w:p>
        </w:tc>
      </w:tr>
      <w:tr w:rsidR="00D5600B" w:rsidRPr="003D7162" w14:paraId="519692AD" w14:textId="77777777" w:rsidTr="00112A90">
        <w:trPr>
          <w:cantSplit/>
          <w:trHeight w:val="1523"/>
        </w:trPr>
        <w:tc>
          <w:tcPr>
            <w:tcW w:w="3471" w:type="dxa"/>
            <w:vMerge w:val="restart"/>
          </w:tcPr>
          <w:p w14:paraId="47A613B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Child vertical programs </w:t>
            </w:r>
          </w:p>
          <w:p w14:paraId="4950341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(1990 – 1995)</w:t>
            </w:r>
          </w:p>
          <w:p w14:paraId="24EB4EEB"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88" w:type="dxa"/>
          </w:tcPr>
          <w:p w14:paraId="723F4AC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0125E54F" w14:textId="580A0F1B"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These are a group of vertical intervention programs that targeted reproductive, maternal, neonatal, and child health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These programs were focused on acute respiratory infection (ARI), acute diarrheal disease and immunizations. Recently, child vertical programs were consolidated, leading to the creation of Integrated Management of Childhood Illness (IMCI). These child vertical programs marked the beginning of a shift in focus to child survival that included mothers and newborns</w:t>
            </w:r>
            <w:r w:rsidRPr="003D7162">
              <w:rPr>
                <w:rFonts w:ascii="Helvetica" w:hAnsi="Helvetica" w:cs="Helvetica"/>
                <w:i/>
                <w:sz w:val="20"/>
                <w:szCs w:val="20"/>
              </w:rPr>
              <w:t xml:space="preserve"> </w:t>
            </w:r>
            <w:r w:rsidRPr="003D7162">
              <w:rPr>
                <w:rFonts w:ascii="Helvetica" w:hAnsi="Helvetica" w:cs="Helvetica"/>
                <w:i/>
                <w:sz w:val="20"/>
                <w:szCs w:val="20"/>
              </w:rPr>
              <w:fldChar w:fldCharType="begin" w:fldLock="1"/>
            </w:r>
            <w:r w:rsidR="000C7ADC" w:rsidRPr="003D7162">
              <w:rPr>
                <w:rFonts w:ascii="Helvetica" w:hAnsi="Helvetica" w:cs="Helvetica"/>
                <w:i/>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study","type":"article-journal","volume":"4"},"uris":["http://www.mendeley.com/documents/?uuid=fe933ca9-fbf4-4308-9764-613c3e60d4a3"]},{"id":"ITEM-2","itemData":{"DOI":"10.1016/S2214-109X(16)30069-9","abstract":"With respect to the welfare of children and mothers, the transition from the Millennium Development Goals (MDGs) to Sustainable Development Goals (SDGs) is sometimes perceived as risky. The relevant MDGs had a focus on interventions to address maternal and c hild health, while the focus of the SDGs is expanded to \" ensure healthy lives and promote wellbeing for all at all ages \" . 1 This transition raises two concerns: a broader set of priorities might dilute the attention on maternal and child health, and the broader priorities of the SDGs require the use of more complex implementation instruments than those used in the past. A Countdown to 2015 case study in Peru by Luis Huicho and colleagues 2 published in The Lancet Global Health might provide fi ndings that help countries transition to the SDGs. Peru had huge success improving health outcomes during the Countdown years to 2015. Peru was ranked fi rst globally among 75 low-income and middle-income countries in the reduction in neonatal mortality and second in the reduction of under-5 mortality; stunting prevalence was cut in half; and equity in health-care use and in health outcomes improved signifi cantly. Huicho and colleagues 2 carefully examined the determinants of this success in their study, concluding that many stars were aligned: Peru enjoyed a period of unusually rapid economic growth which coincided with a transition from authoritarianism to democracy, and with the modernisation of the anti-poverty programmes; long-term trends in the education level of mothers, total fertility rate, and urbanisation were also favourable. All of this led to a striking reduction in poverty which fell from 55% of the population in 2001 to 23% by 2014 and provided a fertile ground for the stellar improvement in health outcomes. In the 2000s, health-sector policies in Peru anticipated the shift towards the SDGs by moving away from an exclusive emphasis on maternal and child health and from the use of vertical programmes. In the mid-1990s, Peru had relied on vertical programmes to earmark money, staff , information systems, and eff orts to ensure that the statements of MDG priorities translated into high levels of coverage for the MDG interventions. Around the turn of the 21st century, Peru integrated the narrow vertical programmes into a broader programme for primary health care. A few years later, the challenge of steering this new primary care programme was made greater by a process of decentralisation that l…","author":[{"dropping-particle":"","family":"Cotlear","given":"Daniel","non-dropping-particle":"","parse-names":false,"suffix":""},{"dropping-particle":"","family":"Vermeersch","given":"Christel","non-dropping-particle":"","parse-names":false,"suffix":""}],"container-title":"The Lancet Global Health","id":"ITEM-2","issued":{"date-parts":[["2016"]]},"page":"e353-e354","title":"Peruvian lessons for the transition from MDGs to SDGs","type":"article-journal","volume":"4"},"uris":["http://www.mendeley.com/documents/?uuid=6fad3843-6ea0-4559-95f7-cce7bd58abe6"]},{"id":"ITEM-3","itemData":{"author":[{"dropping-particle":"","family":"London School of Hygiene &amp; Tropical Medicine","given":"","non-dropping-particle":"","parse-names":false,"suffix":""}],"container-title":"Future Learn","id":"ITEM-3","issued":{"date-parts":[["0"]]},"title":"Peru: Countdown to 2015 case study","type":"webpage"},"uris":["http://www.mendeley.com/documents/?uuid=b98e3d66-6e7b-405e-bdc8-c2feaab61e42","http://www.mendeley.com/documents/?uuid=a67bf750-6592-41cf-9130-bc5807bd1700"]}],"mendeley":{"formattedCitation":"[93,115,121]","plainTextFormattedCitation":"[93,115,121]","previouslyFormattedCitation":"[93,108,114]"},"properties":{"noteIndex":0},"schema":"https://github.com/citation-style-language/schema/raw/master/csl-citation.json"}</w:instrText>
            </w:r>
            <w:r w:rsidRPr="003D7162">
              <w:rPr>
                <w:rFonts w:ascii="Helvetica" w:hAnsi="Helvetica" w:cs="Helvetica"/>
                <w:i/>
                <w:sz w:val="20"/>
                <w:szCs w:val="20"/>
              </w:rPr>
              <w:fldChar w:fldCharType="separate"/>
            </w:r>
            <w:r w:rsidR="000C7ADC" w:rsidRPr="003D7162">
              <w:rPr>
                <w:rFonts w:ascii="Helvetica" w:hAnsi="Helvetica" w:cs="Helvetica"/>
                <w:noProof/>
                <w:sz w:val="20"/>
                <w:szCs w:val="20"/>
              </w:rPr>
              <w:t>[93,115,121]</w:t>
            </w:r>
            <w:r w:rsidRPr="003D7162">
              <w:rPr>
                <w:rFonts w:ascii="Helvetica" w:hAnsi="Helvetica" w:cs="Helvetica"/>
                <w:i/>
                <w:sz w:val="20"/>
                <w:szCs w:val="20"/>
              </w:rPr>
              <w:fldChar w:fldCharType="end"/>
            </w:r>
            <w:r w:rsidRPr="003D7162">
              <w:rPr>
                <w:rFonts w:ascii="Helvetica" w:hAnsi="Helvetica" w:cs="Helvetica"/>
                <w:sz w:val="20"/>
                <w:szCs w:val="20"/>
              </w:rPr>
              <w:t xml:space="preserve">. The impact of these programs on stunting were not reported on in either the qualitative report or in the literature. </w:t>
            </w:r>
          </w:p>
          <w:p w14:paraId="25DAAFCA"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2493DBF5" w14:textId="77777777" w:rsidTr="00112A90">
        <w:trPr>
          <w:cantSplit/>
          <w:trHeight w:val="195"/>
        </w:trPr>
        <w:tc>
          <w:tcPr>
            <w:tcW w:w="3471" w:type="dxa"/>
            <w:vMerge/>
          </w:tcPr>
          <w:p w14:paraId="1885E854"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42EA8D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6D104780"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Insufficient evidence to comment on relation to stunting but likely important to overall child survival</w:t>
            </w:r>
          </w:p>
        </w:tc>
      </w:tr>
      <w:tr w:rsidR="00D5600B" w:rsidRPr="003D7162" w14:paraId="40FC8B02" w14:textId="77777777" w:rsidTr="00112A90">
        <w:trPr>
          <w:cantSplit/>
          <w:trHeight w:val="64"/>
        </w:trPr>
        <w:tc>
          <w:tcPr>
            <w:tcW w:w="3471" w:type="dxa"/>
            <w:vMerge w:val="restart"/>
          </w:tcPr>
          <w:p w14:paraId="576A138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Friends of the Mother and Child Hospital Initiative</w:t>
            </w:r>
          </w:p>
          <w:p w14:paraId="1B7D085A"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(1995 – 2002)</w:t>
            </w:r>
          </w:p>
          <w:p w14:paraId="26B62F67"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88" w:type="dxa"/>
          </w:tcPr>
          <w:p w14:paraId="36453991"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18BE3D87" w14:textId="77777777" w:rsidR="00D5600B" w:rsidRPr="003D7162" w:rsidRDefault="00D5600B" w:rsidP="000C7ADC">
            <w:pPr>
              <w:rPr>
                <w:rFonts w:ascii="Helvetica" w:eastAsia="Times New Roman" w:hAnsi="Helvetica" w:cs="Helvetica"/>
                <w:sz w:val="20"/>
                <w:szCs w:val="20"/>
                <w:lang w:val="en-CA" w:eastAsia="en-US"/>
              </w:rPr>
            </w:pPr>
            <w:r w:rsidRPr="003D7162">
              <w:rPr>
                <w:rFonts w:ascii="Helvetica" w:eastAsia="Times New Roman" w:hAnsi="Helvetica" w:cs="Helvetica"/>
                <w:sz w:val="20"/>
                <w:szCs w:val="20"/>
              </w:rPr>
              <w:t xml:space="preserve">Friends of the Mother and Child Hospital Initiative </w:t>
            </w:r>
            <w:r w:rsidRPr="003D7162">
              <w:rPr>
                <w:rFonts w:ascii="Helvetica" w:hAnsi="Helvetica" w:cs="Helvetica"/>
                <w:sz w:val="20"/>
                <w:szCs w:val="20"/>
              </w:rPr>
              <w:t>is based on the Baby Friendly Hospital Initiative, which has shown to be effective at improving breastfeeding rates and practices while reducing infant morbidity and mortality. Created in</w:t>
            </w:r>
            <w:r w:rsidRPr="003D7162">
              <w:rPr>
                <w:rFonts w:ascii="Helvetica" w:eastAsia="Times New Roman" w:hAnsi="Helvetica" w:cs="Helvetica"/>
                <w:sz w:val="20"/>
                <w:szCs w:val="20"/>
              </w:rPr>
              <w:t xml:space="preserve"> 1991 by WHO and UNICEF, the Baby Friendly Hospital Initiative (BFHI) aims to protect, promote and support breastfeeding in facilities where maternity services are provided by ensuring that the facilities follow the WHO/UNICEF “Ten Steps to Successful Breastfeeding” and adhere to the 1981 International Code of Marketing of Breast-milk Substitutes. According to PAHO/WHO data, only 8 of the 509 eligible health facilities in Peru have become Baby Friendly Hospital Initiative certified, all of which occurred after 2008.</w:t>
            </w:r>
          </w:p>
          <w:p w14:paraId="554B3351"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26BF5D6D" w14:textId="77777777" w:rsidTr="00112A90">
        <w:trPr>
          <w:cantSplit/>
          <w:trHeight w:val="225"/>
        </w:trPr>
        <w:tc>
          <w:tcPr>
            <w:tcW w:w="3471" w:type="dxa"/>
            <w:vMerge/>
          </w:tcPr>
          <w:p w14:paraId="336DAABD"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113BD46D"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3F51232D" w14:textId="77777777" w:rsidR="00D5600B" w:rsidRPr="003D7162" w:rsidRDefault="00D5600B" w:rsidP="000C7ADC">
            <w:pPr>
              <w:autoSpaceDE w:val="0"/>
              <w:autoSpaceDN w:val="0"/>
              <w:rPr>
                <w:rFonts w:ascii="Helvetica" w:eastAsiaTheme="minorHAnsi" w:hAnsi="Helvetica" w:cs="Helvetica"/>
                <w:sz w:val="20"/>
                <w:szCs w:val="20"/>
                <w:lang w:val="en-CA" w:eastAsia="en-US"/>
              </w:rPr>
            </w:pPr>
            <w:r w:rsidRPr="003D7162">
              <w:rPr>
                <w:rFonts w:ascii="Helvetica" w:hAnsi="Helvetica" w:cs="Helvetica"/>
                <w:bCs/>
                <w:sz w:val="20"/>
                <w:szCs w:val="20"/>
              </w:rPr>
              <w:t>Not important to national stunting decline given scale of program</w:t>
            </w:r>
          </w:p>
        </w:tc>
      </w:tr>
      <w:tr w:rsidR="00D5600B" w:rsidRPr="003D7162" w14:paraId="222F6148" w14:textId="77777777" w:rsidTr="00112A90">
        <w:trPr>
          <w:cantSplit/>
          <w:trHeight w:val="195"/>
        </w:trPr>
        <w:tc>
          <w:tcPr>
            <w:tcW w:w="3471" w:type="dxa"/>
            <w:vMerge w:val="restart"/>
          </w:tcPr>
          <w:p w14:paraId="166FDD8A"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Integrated Management of Childhood Illness</w:t>
            </w:r>
          </w:p>
          <w:p w14:paraId="5C92C0C9"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(1996 – present) </w:t>
            </w:r>
          </w:p>
          <w:p w14:paraId="04FACE11"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88" w:type="dxa"/>
          </w:tcPr>
          <w:p w14:paraId="24C01CF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79252CAA" w14:textId="179CCF80" w:rsidR="00D5600B" w:rsidRPr="003D7162" w:rsidRDefault="00D5600B" w:rsidP="000C7ADC">
            <w:pPr>
              <w:pStyle w:val="NoSpacing"/>
              <w:rPr>
                <w:rFonts w:ascii="Helvetica" w:eastAsiaTheme="minorHAnsi" w:hAnsi="Helvetica" w:cs="Helvetica"/>
                <w:sz w:val="20"/>
                <w:szCs w:val="20"/>
              </w:rPr>
            </w:pPr>
            <w:r w:rsidRPr="003D7162">
              <w:rPr>
                <w:rFonts w:ascii="Helvetica" w:hAnsi="Helvetica" w:cs="Helvetica"/>
                <w:sz w:val="20"/>
                <w:szCs w:val="20"/>
              </w:rPr>
              <w:t xml:space="preserve">The Integrated Management of Childhood Illness (IMCI) program in Peru is based on the World Health Organization’s IMCI strategy, which is an approach to child health that targets children &lt;5 and aims to reduce death, illness, and disability while improving both growth and development. The program aims to improve infrastructure, train community health workers, and deliver necessary health interventions, with education being an important component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ISBN":"9789275129289","author":[{"dropping-particle":"","family":"Lutter","given":"CK","non-dropping-particle":"","parse-names":false,"suffix":""},{"dropping-particle":"","family":"Chaparro","given":"CM","non-dropping-particle":"","parse-names":false,"suffix":""}],"id":"ITEM-1","issued":{"date-parts":[["2008"]]},"note":"Aviva abstracted","number-of-pages":"234","title":"Malnutrition in infants and young children in Latin America and the Caribbean : Achieving the and Millennium Development Goals","type":"book"},"uris":["http://www.mendeley.com/documents/?uuid=fefdd574-55fa-4554-974d-cdd9d23851a3","http://www.mendeley.com/documents/?uuid=c9f6ccdf-8271-403f-b31e-653acfebc8fb"]}],"mendeley":{"formattedCitation":"[122]","plainTextFormattedCitation":"[122]","previouslyFormattedCitation":"[115]"},"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[122]</w:t>
            </w:r>
            <w:r w:rsidRPr="003D7162">
              <w:rPr>
                <w:rFonts w:ascii="Helvetica" w:hAnsi="Helvetica" w:cs="Helvetica"/>
                <w:sz w:val="20"/>
                <w:szCs w:val="20"/>
              </w:rPr>
              <w:fldChar w:fldCharType="end"/>
            </w:r>
            <w:r w:rsidRPr="003D7162">
              <w:rPr>
                <w:rFonts w:ascii="Helvetica" w:hAnsi="Helvetica" w:cs="Helvetica"/>
                <w:sz w:val="20"/>
                <w:szCs w:val="20"/>
              </w:rPr>
              <w:t xml:space="preserve">. Constraints to scaling up IMCI in Peru have been linked to low female literacy rates, lack of an official IMCI policy, no specific budget for the program, and high staff turnover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{"citationItems":[{"id":"ITEM-1","itemData":{"PMID":"20113048729","abstract":"Background: Poverty, lack of female empowerment, and lack of education are major risk factors for childhood illness worldwide. Microcredit programs, by offering small loans to poor individuals, attempt to address the first two of these risk factors, poverty and gender disparity. They provide clients, usually women, with a means to invest in their businesses and support their families. This study investigates the health effects of also addressing the remaining risk factor, lack of knowledge about important health issues, through randomization of members of a microcredit organization to receive a health education module based on the World Health Organization's Integrated Management of Childhood Illness (IMCI) community intervention. Method: Baseline data were collected in February 2007 from clients of a microcredit organization in Pucallpa, Peru (n=1,855) and their children (n=598). Loan groups, consisting of 15 to 20 clients, were then randomly assigned to receive a health education intervention involving eight monthly 30-minute sessions given by the organization's loan officers at monthly loan group meetings. In February 2008, follow-up data were collected, and included assessments of sociodemographic information, knowledge of child health issues, and child health status (including child height, weight, and blood hemoglobin levels). To explore the effects of treatment (i.e., participation in the health education sessions) on the key outcome variables, multivariate regressions were implemented using ordinary least squares. Results: Individuals in the IMCI treatment arm demonstrated more knowledge about a variety of issues related to child health, but there were no changes in anthropometric measures or reported child health status. Conclusions: Microcredit clients randomized to an IMCI educational intervention showed greater knowledge about child health, but no differences in child health outcomes compared to controls. These results imply that the intervention did not have sufficient intensity to change behavior, or that microcredit organizations may not be an appropriate setting for the administration of child health educational interventions of this type.","author":[{"dropping-particle":"","family":"Hamad","given":"R","non-dropping-particle":"","parse-names":false,"suffix":""},{"dropping-particle":"","family":"Fernald","given":"L C H","non-dropping-particle":"","parse-names":false,"suffix":""},{"dropping-particle":"","family":"Karlan","given":"D S","non-dropping-particle":"","parse-names":false,"suffix":""}],"container-title":"BMC Public Health","id":"ITEM-1","issue":"51","issued":{"date-parts":[["2011"]]},"note":"Using Smart Source Parsing\n(24 January 2011). 39 ref\n\nAviva abstracted","title":"Health education for microcredit clients in Peru: a randomized controlled trial","type":"article-journal","volume":"11"},"uris":["http://www.mendeley.com/documents/?uuid=d5444eb8-3d0d-4926-ade3-e36492d9bfac","http://www.mendeley.com/documents/?uuid=133d2c74-4aaa-4529-891c-b8a9f4010948"]}],"mendeley":{"formattedCitation":"[123]","plainTextFormattedCitation":"[123]","previouslyFormattedCitation":"[116]"},"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[123]</w:t>
            </w:r>
            <w:r w:rsidRPr="003D7162">
              <w:rPr>
                <w:rFonts w:ascii="Helvetica" w:hAnsi="Helvetica" w:cs="Helvetica"/>
                <w:sz w:val="20"/>
                <w:szCs w:val="20"/>
              </w:rPr>
              <w:fldChar w:fldCharType="end"/>
            </w:r>
            <w:r w:rsidRPr="003D7162">
              <w:rPr>
                <w:rFonts w:ascii="Helvetica" w:hAnsi="Helvetica" w:cs="Helvetica"/>
                <w:sz w:val="20"/>
                <w:szCs w:val="20"/>
              </w:rPr>
              <w:t xml:space="preserve">. Though IMCI was introduced nationally in Peru, its coverage has not been adequate which has limited the potential impact of this program. In addition, issues have arisen with health service accessibility, preventing access to IMCI in some areas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{"citationItems":[{"id":"ITEM-1","itemData":{"PMID":"20113048729","abstract":"Background: Poverty, lack of female empowerment, and lack of education are major risk factors for childhood illness worldwide. Microcredit programs, by offering small loans to poor individuals, attempt to address the first two of these risk factors, poverty and gender disparity. They provide clients, usually women, with a means to invest in their businesses and support their families. This study investigates the health effects of also addressing the remaining risk factor, lack of knowledge about important health issues, through randomization of members of a microcredit organization to receive a health education module based on the World Health Organization's Integrated Management of Childhood Illness (IMCI) community intervention. Method: Baseline data were collected in February 2007 from clients of a microcredit organization in Pucallpa, Peru (n=1,855) and their children (n=598). Loan groups, consisting of 15 to 20 clients, were then randomly assigned to receive a health education intervention involving eight monthly 30-minute sessions given by the organization's loan officers at monthly loan group meetings. In February 2008, follow-up data were collected, and included assessments of sociodemographic information, knowledge of child health issues, and child health status (including child height, weight, and blood hemoglobin levels). To explore the effects of treatment (i.e., participation in the health education sessions) on the key outcome variables, multivariate regressions were implemented using ordinary least squares. Results: Individuals in the IMCI treatment arm demonstrated more knowledge about a variety of issues related to child health, but there were no changes in anthropometric measures or reported child health status. Conclusions: Microcredit clients randomized to an IMCI educational intervention showed greater knowledge about child health, but no differences in child health outcomes compared to controls. These results imply that the intervention did not have sufficient intensity to change behavior, or that microcredit organizations may not be an appropriate setting for the administration of child health educational interventions of this type.","author":[{"dropping-particle":"","family":"Hamad","given":"R","non-dropping-particle":"","parse-names":false,"suffix":""},{"dropping-particle":"","family":"Fernald","given":"L C H","non-dropping-particle":"","parse-names":false,"suffix":""},{"dropping-particle":"","family":"Karlan","given":"D S","non-dropping-particle":"","parse-names":false,"suffix":""}],"container-title":"BMC Public Health","id":"ITEM-1","issue":"51","issued":{"date-parts":[["2011"]]},"title":"Health education for microcredit clients in Peru: a randomized controlled trial","type":"article-journal","volume":"11"},"uris":["http://www.mendeley.com/documents/?uuid=133d2c74-4aaa-4529-891c-b8a9f4010948","http://www.mendeley.com/documents/?uuid=d5444eb8-3d0d-4926-ade3-e36492d9bfac"]}],"mendeley":{"formattedCitation":"[65]","plainTextFormattedCitation":"[65]","previouslyFormattedCitation":"[65]"},"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[65]</w:t>
            </w:r>
            <w:r w:rsidRPr="003D7162">
              <w:rPr>
                <w:rFonts w:ascii="Helvetica" w:hAnsi="Helvetica" w:cs="Helvetica"/>
                <w:sz w:val="20"/>
                <w:szCs w:val="20"/>
              </w:rPr>
              <w:fldChar w:fldCharType="end"/>
            </w:r>
            <w:r w:rsidRPr="003D7162">
              <w:rPr>
                <w:rFonts w:ascii="Helvetica" w:hAnsi="Helvetica" w:cs="Helvetica"/>
                <w:sz w:val="20"/>
                <w:szCs w:val="20"/>
              </w:rPr>
              <w:t xml:space="preserve">. This program was not mentioned in qualitative report. </w:t>
            </w:r>
          </w:p>
        </w:tc>
      </w:tr>
      <w:tr w:rsidR="00D5600B" w:rsidRPr="003D7162" w14:paraId="492DB4E5" w14:textId="77777777" w:rsidTr="00112A90">
        <w:trPr>
          <w:cantSplit/>
          <w:trHeight w:val="242"/>
        </w:trPr>
        <w:tc>
          <w:tcPr>
            <w:tcW w:w="3471" w:type="dxa"/>
            <w:vMerge/>
          </w:tcPr>
          <w:p w14:paraId="0EB3D3D0"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23D17F12"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3704AB5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Insufficient evidence</w:t>
            </w:r>
          </w:p>
        </w:tc>
      </w:tr>
      <w:tr w:rsidR="00D5600B" w:rsidRPr="003D7162" w14:paraId="28820FD0" w14:textId="77777777" w:rsidTr="00112A90">
        <w:trPr>
          <w:cantSplit/>
          <w:trHeight w:val="210"/>
        </w:trPr>
        <w:tc>
          <w:tcPr>
            <w:tcW w:w="3471" w:type="dxa"/>
            <w:vMerge w:val="restart"/>
          </w:tcPr>
          <w:p w14:paraId="798186E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Maternal and Child Health Insurance (1998-2001)</w:t>
            </w:r>
          </w:p>
          <w:p w14:paraId="7922858B"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88" w:type="dxa"/>
          </w:tcPr>
          <w:p w14:paraId="3C6A161D"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4CDF30AC" w14:textId="48375A75"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Maternal and Child Health Insurance was a program that was initiated in 1998, targeting the Peru’s poorest pregnant women and children under 5 in order to improve their health outcomes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No comprehensive evaluations of this insurance program were found in the literature, though one external evaluation showed that mothers with this insurance were twice as likely as those without the insurance to have delivered their last child in an Emergency Obstetric Care facility. This evaluation also found that coverage was an issue, as was health care infrastructure necessary to meet beneficiary demand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{"citationItems":[{"id":"ITEM-1","itemData":{"DOI":"doi:10.1016/j.healthpol.2005.07.007","author":[{"dropping-particle":"","family":"McQuestion, M","given":"J","non-dropping-particle":"","parse-names":false,"suffix":""},{"dropping-particle":"","family":"Velasquez","given":"A","non-dropping-particle":"","parse-names":false,"suffix":""}],"container-title":"Health Policy","id":"ITEM-1","issued":{"date-parts":[["2006"]]},"page":"221-232","title":"Evaluating program effects on institutional delivery in Peru","type":"article-journal","volume":"77"},"uris":["http://www.mendeley.com/documents/?uuid=0fea6707-3235-4d44-9a62-c8c62ce08b96","http://www.mendeley.com/documents/?uuid=d51d1e2c-16d0-4bb4-88d8-828f5656cffb"]}],"mendeley":{"formattedCitation":"[124]","plainTextFormattedCitation":"[124]","previouslyFormattedCitation":"[117]"},"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[124]</w:t>
            </w:r>
            <w:r w:rsidRPr="003D7162">
              <w:rPr>
                <w:rFonts w:ascii="Helvetica" w:hAnsi="Helvetica" w:cs="Helvetica"/>
                <w:sz w:val="20"/>
                <w:szCs w:val="20"/>
              </w:rPr>
              <w:fldChar w:fldCharType="end"/>
            </w:r>
            <w:r w:rsidRPr="003D7162">
              <w:rPr>
                <w:rFonts w:ascii="Helvetica" w:hAnsi="Helvetica" w:cs="Helvetica"/>
                <w:sz w:val="20"/>
                <w:szCs w:val="20"/>
              </w:rPr>
              <w:t xml:space="preserve">. In 2002, this program evolved into the more broad-based Comprehensive Health Insurance (SIS) program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295B2408" w14:textId="77777777" w:rsidR="00D5600B" w:rsidRPr="003D7162" w:rsidRDefault="00D5600B" w:rsidP="000C7ADC">
            <w:pPr>
              <w:autoSpaceDE w:val="0"/>
              <w:autoSpaceDN w:val="0"/>
              <w:adjustRightInd w:val="0"/>
              <w:rPr>
                <w:rFonts w:ascii="Helvetica" w:eastAsiaTheme="minorHAnsi" w:hAnsi="Helvetica" w:cs="Helvetica"/>
                <w:sz w:val="20"/>
                <w:szCs w:val="20"/>
                <w:highlight w:val="red"/>
                <w:lang w:val="en-CA" w:eastAsia="en-US"/>
              </w:rPr>
            </w:pPr>
          </w:p>
        </w:tc>
      </w:tr>
      <w:tr w:rsidR="00D5600B" w:rsidRPr="003D7162" w14:paraId="131FC23E" w14:textId="77777777" w:rsidTr="00112A90">
        <w:trPr>
          <w:cantSplit/>
          <w:trHeight w:val="285"/>
        </w:trPr>
        <w:tc>
          <w:tcPr>
            <w:tcW w:w="3471" w:type="dxa"/>
            <w:vMerge/>
          </w:tcPr>
          <w:p w14:paraId="20A56E4A"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0584CA8D"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525B4981" w14:textId="77777777" w:rsidR="00D5600B" w:rsidRPr="003D7162" w:rsidRDefault="00D5600B" w:rsidP="000C7ADC">
            <w:pPr>
              <w:autoSpaceDE w:val="0"/>
              <w:autoSpaceDN w:val="0"/>
              <w:rPr>
                <w:rFonts w:ascii="Helvetica" w:eastAsiaTheme="minorHAnsi" w:hAnsi="Helvetica" w:cs="Helvetica"/>
                <w:sz w:val="20"/>
                <w:szCs w:val="20"/>
                <w:lang w:val="en-CA" w:eastAsia="en-US"/>
              </w:rPr>
            </w:pPr>
            <w:r w:rsidRPr="003D7162">
              <w:rPr>
                <w:rFonts w:ascii="Helvetica" w:hAnsi="Helvetica" w:cs="Helvetica"/>
                <w:bCs/>
                <w:sz w:val="20"/>
                <w:szCs w:val="20"/>
              </w:rPr>
              <w:t>Insufficient evidence—may be important as it lay the groundwork for SIS</w:t>
            </w:r>
          </w:p>
        </w:tc>
      </w:tr>
      <w:tr w:rsidR="00D5600B" w:rsidRPr="003D7162" w14:paraId="43DF8241" w14:textId="77777777" w:rsidTr="00112A90">
        <w:trPr>
          <w:cantSplit/>
          <w:trHeight w:val="271"/>
        </w:trPr>
        <w:tc>
          <w:tcPr>
            <w:tcW w:w="3471" w:type="dxa"/>
            <w:vMerge w:val="restart"/>
          </w:tcPr>
          <w:p w14:paraId="446B78F9"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Good Start in Life</w:t>
            </w:r>
          </w:p>
          <w:p w14:paraId="6A0CC7FD"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(1999 – 2008) </w:t>
            </w:r>
          </w:p>
          <w:p w14:paraId="07612575"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88" w:type="dxa"/>
          </w:tcPr>
          <w:p w14:paraId="34E6A63D"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0F84367F" w14:textId="10B94EFC" w:rsidR="00D5600B" w:rsidRPr="003D7162" w:rsidRDefault="00D5600B" w:rsidP="000C7ADC">
            <w:pPr>
              <w:rPr>
                <w:rFonts w:ascii="Helvetica" w:eastAsiaTheme="minorHAnsi" w:hAnsi="Helvetica" w:cs="Helvetica"/>
                <w:bCs/>
                <w:sz w:val="20"/>
                <w:szCs w:val="20"/>
                <w:lang w:val="en-CA" w:eastAsia="en-US"/>
              </w:rPr>
            </w:pPr>
            <w:r w:rsidRPr="003D7162">
              <w:rPr>
                <w:rFonts w:ascii="Helvetica" w:hAnsi="Helvetica" w:cs="Helvetica"/>
                <w:sz w:val="20"/>
                <w:szCs w:val="20"/>
              </w:rPr>
              <w:t xml:space="preserve">The main objectives of the Good Start in Life program were to prevent stunting in children &lt;3 years of age and to improve healthcare for pregnant and/or lactating women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bCs/>
                <w:sz w:val="20"/>
                <w:szCs w:val="20"/>
              </w:rPr>
              <w:t xml:space="preserve">. The program aimed to accomplish this through education and behaviour change among caregivers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{"citationItems":[{"id":"ITEM-1","itemData":{"PMID":"20123112060","abstract":"This paper examines the program logic of three nongovernmental, community-based programs with different intervention models to reduce childhood stunting. Two programs, Child Nutrition Program (PNI) and Good Start, focused directly on education and behavior change among caregivers, or the short routes to achieve impact, while one program, Sustainable Networks for Food Security (REDESA), focused on upstream factors, such as improving local governance and coordination, improving water and sanitation, and increasing family incomes, or the long routes to achieve impact. We compared the logic of each program as it was explicitly documented to the logic as perceived by the implementers. We elucidated the program impact pathways (PIPs) of key activities by actors at different operational levels in each program to identify congruencies and gaps in the perceptions of causal mechanisms between program activities and their intended outcomes, and analyzed them with the simple program models and logical frameworks to highlight the methodology and utility of PIPs. In a desire to move beyond static input-out models of the three programs, we designed and conducted data collection activities (document review, semi-structured interviews, and observations) with the intention of gaining insights about those aspects of the program that brought causal mechanisms of a given program into clearer focus. We propose that different methods for eliciting PIPs may be necessary at different operational levels. The interview method elicited more complete responses among those who are familiar with programmatic concepts, whereas actors at the local operational level provided sparse and fragmentary responses, even when simple, common language was used during the interviews. Group participatory processes, using visual aids, may be more effective for mapping the perceptions of those who are not accustomed to articulating information about programs. To reduce the length and frequency of interviews with program actors, initial PIPs could also be constructed from program documents, then discussed and revised iteratively with program actors. Although program logic models and the logical frameworks provide a succinct overview of the program (for communication, strategic planning, and management), we found that PIPs provide a better representation of the causal connections between program activities and results, particularly when both upstream and direct intervention activities were part of the …","author":[{"dropping-particle":"","family":"Kim","given":"S S","non-dropping-particle":"","parse-names":false,"suffix":""},{"dropping-particle":"","family":"Habicht","given":"J P","non-dropping-particle":"","parse-names":false,"suffix":""},{"dropping-particle":"","family":"Menon","given":"P","non-dropping-particle":"","parse-names":false,"suffix":""},{"dropping-particle":"","family":"Stoltzfus","given":"R J","non-dropping-particle":"","parse-names":false,"suffix":""}],"container-title":"IFPRI - Discussion Papers; 2011. (1105):vii + 44 pp. 39 ref.","id":"ITEM-1","issued":{"date-parts":[["2011"]]},"note":"Aviva","publisher":"International Food Policy Research Institute","publisher-place":"Washington","title":"How do programs work to improve child nutrition? Program impact pathways of three nongovernmental organization intervention projects in the Peruvian highlands","type":"article"},"uris":["http://www.mendeley.com/documents/?uuid=b356e0e6-1bb7-40cb-beb6-e6b3b5ae24e3","http://www.mendeley.com/documents/?uuid=df423899-58d3-486c-b8e1-fe4062339ad7"]}],"mendeley":{"formattedCitation":"[125]","plainTextFormattedCitation":"[125]","previouslyFormattedCitation":"[118]"},"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[125]</w:t>
            </w:r>
            <w:r w:rsidRPr="003D7162">
              <w:rPr>
                <w:rFonts w:ascii="Helvetica" w:hAnsi="Helvetica" w:cs="Helvetica"/>
                <w:bCs/>
                <w:sz w:val="20"/>
                <w:szCs w:val="20"/>
              </w:rPr>
              <w:fldChar w:fldCharType="end"/>
            </w:r>
            <w:r w:rsidRPr="003D7162">
              <w:rPr>
                <w:rFonts w:ascii="Helvetica" w:hAnsi="Helvetica" w:cs="Helvetica"/>
                <w:bCs/>
                <w:sz w:val="20"/>
                <w:szCs w:val="20"/>
              </w:rPr>
              <w:t xml:space="preserve">. In 2004, the program had reached approximately 75,000 children &lt;3 years and 35,000 pregnant and/or lactating women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bCs/>
                <w:sz w:val="20"/>
                <w:szCs w:val="20"/>
              </w:rPr>
              <w:t xml:space="preserve">.  </w:t>
            </w:r>
            <w:r w:rsidRPr="003D7162">
              <w:rPr>
                <w:rFonts w:ascii="Helvetica" w:hAnsi="Helvetica" w:cs="Helvetica"/>
                <w:iCs/>
                <w:sz w:val="20"/>
                <w:szCs w:val="20"/>
              </w:rPr>
              <w:t>It has been reported that the rate of stunting declined from 54% to 37%, iron deficiency decreased from 76% to 52%, and vitamin A deficiency decreased from 30% to 5% among children in the regions were the program was implemented</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bCs/>
                <w:sz w:val="20"/>
                <w:szCs w:val="20"/>
              </w:rPr>
              <w:t xml:space="preserve">.  In the qualitative report, participants mentioned that the Articulated Nutrition Program (PAN) was built from experience gained through the implementation of the Good Start in Life Program. </w:t>
            </w:r>
          </w:p>
          <w:p w14:paraId="5E2B72C9"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2D3B07EB" w14:textId="77777777" w:rsidTr="00112A90">
        <w:trPr>
          <w:cantSplit/>
          <w:trHeight w:val="64"/>
        </w:trPr>
        <w:tc>
          <w:tcPr>
            <w:tcW w:w="3471" w:type="dxa"/>
            <w:vMerge/>
          </w:tcPr>
          <w:p w14:paraId="7094CD67"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1798E7CD"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60014ED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Likely important</w:t>
            </w:r>
          </w:p>
        </w:tc>
      </w:tr>
      <w:tr w:rsidR="00D5600B" w:rsidRPr="003D7162" w14:paraId="061AC52B" w14:textId="77777777" w:rsidTr="00112A90">
        <w:trPr>
          <w:cantSplit/>
          <w:trHeight w:val="271"/>
        </w:trPr>
        <w:tc>
          <w:tcPr>
            <w:tcW w:w="3471" w:type="dxa"/>
            <w:vMerge w:val="restart"/>
          </w:tcPr>
          <w:p w14:paraId="4CAB8C7A" w14:textId="77777777" w:rsidR="00D5600B" w:rsidRPr="003D7162" w:rsidRDefault="00D5600B" w:rsidP="000C7ADC">
            <w:pPr>
              <w:pStyle w:val="ListParagraph"/>
              <w:spacing w:line="240" w:lineRule="auto"/>
              <w:ind w:left="360"/>
              <w:rPr>
                <w:rFonts w:ascii="Helvetica" w:hAnsi="Helvetica" w:cs="Helvetica"/>
                <w:sz w:val="20"/>
                <w:szCs w:val="20"/>
              </w:rPr>
            </w:pPr>
            <w:r w:rsidRPr="003D7162">
              <w:rPr>
                <w:rFonts w:ascii="Helvetica" w:hAnsi="Helvetica" w:cs="Helvetica"/>
                <w:sz w:val="20"/>
                <w:szCs w:val="20"/>
              </w:rPr>
              <w:t>Health sector reform programs (PARSALUD I/II)</w:t>
            </w:r>
          </w:p>
          <w:p w14:paraId="6C38F072" w14:textId="77777777" w:rsidR="00D5600B" w:rsidRPr="003D7162" w:rsidRDefault="00D5600B" w:rsidP="000C7ADC">
            <w:pPr>
              <w:pStyle w:val="ListParagraph"/>
              <w:spacing w:line="240" w:lineRule="auto"/>
              <w:ind w:left="360"/>
              <w:rPr>
                <w:rFonts w:ascii="Helvetica" w:hAnsi="Helvetica" w:cs="Helvetica"/>
                <w:sz w:val="20"/>
                <w:szCs w:val="20"/>
              </w:rPr>
            </w:pPr>
            <w:r w:rsidRPr="003D7162">
              <w:rPr>
                <w:rFonts w:ascii="Helvetica" w:hAnsi="Helvetica" w:cs="Helvetica"/>
                <w:sz w:val="20"/>
                <w:szCs w:val="20"/>
              </w:rPr>
              <w:t xml:space="preserve"> (2000 – 2015)</w:t>
            </w:r>
          </w:p>
        </w:tc>
        <w:tc>
          <w:tcPr>
            <w:tcW w:w="1388" w:type="dxa"/>
          </w:tcPr>
          <w:p w14:paraId="5F6D343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7B79AE25" w14:textId="179BD9EA"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PARSALUD I was initially created in 2000 to improve health services in general, but was then redesigned in 2003 with an aim to improve maternal care in Peru through improvements in infrastructure, equipment and human resources for health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{"citationItems":[{"id":"ITEM-1","itemData":{"author":[{"dropping-particle":"","family":"Francke","given":"P","non-dropping-particle":"","parse-names":false,"suffix":""}],"id":"ITEM-1","issued":{"date-parts":[["2013"]]},"publisher-place":"Washington, D.C.","title":"UNICO Studies Series 11: Peru's Comprehensive Health Insurance and New Challenges for Universal Coverage","type":"report"},"uris":["http://www.mendeley.com/documents/?uuid=3d8a0eb6-5aa5-46f7-b954-6422fd0a7148","http://www.mendeley.com/documents/?uuid=ef94139f-5a0b-4adc-bf93-889c4945d257"]}],"mendeley":{"formattedCitation":"[126]","plainTextFormattedCitation":"[126]","previouslyFormattedCitation":"[119]"},"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[126]</w:t>
            </w:r>
            <w:r w:rsidRPr="003D7162">
              <w:rPr>
                <w:rFonts w:ascii="Helvetica" w:hAnsi="Helvetica" w:cs="Helvetica"/>
                <w:sz w:val="20"/>
                <w:szCs w:val="20"/>
              </w:rPr>
              <w:fldChar w:fldCharType="end"/>
            </w:r>
            <w:r w:rsidRPr="003D7162">
              <w:rPr>
                <w:rFonts w:ascii="Helvetica" w:hAnsi="Helvetica" w:cs="Helvetica"/>
                <w:sz w:val="20"/>
                <w:szCs w:val="20"/>
              </w:rPr>
              <w:t xml:space="preserve">. The PARSALUD II project was launched in 2009, with the same design as the reformed PARSALUD I program but was focused on reducing chronic undernutrition in children in the nine poorest regions in Peru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bCs/>
                <w:sz w:val="20"/>
                <w:szCs w:val="20"/>
              </w:rPr>
              <w:t xml:space="preserve">.  </w:t>
            </w:r>
            <w:r w:rsidRPr="003D7162">
              <w:rPr>
                <w:rFonts w:ascii="Helvetica" w:hAnsi="Helvetica" w:cs="Helvetica"/>
                <w:sz w:val="20"/>
                <w:szCs w:val="20"/>
              </w:rPr>
              <w:t xml:space="preserve"> Based on existing literature, in-country interviews and focus group discussions, the impact of PARSALUD I/II on stunting is unclear, though it could be hypothesized it had downstream effects on child growth. </w:t>
            </w:r>
          </w:p>
        </w:tc>
      </w:tr>
      <w:tr w:rsidR="00D5600B" w:rsidRPr="003D7162" w14:paraId="1D55F428" w14:textId="77777777" w:rsidTr="00112A90">
        <w:trPr>
          <w:cantSplit/>
          <w:trHeight w:val="225"/>
        </w:trPr>
        <w:tc>
          <w:tcPr>
            <w:tcW w:w="3471" w:type="dxa"/>
            <w:vMerge/>
          </w:tcPr>
          <w:p w14:paraId="4C0AC2AF"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53DB9907"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2A8A7923" w14:textId="77777777" w:rsidR="00D5600B" w:rsidRPr="003D7162" w:rsidRDefault="00D5600B" w:rsidP="000C7ADC">
            <w:pPr>
              <w:autoSpaceDE w:val="0"/>
              <w:autoSpaceDN w:val="0"/>
              <w:jc w:val="both"/>
              <w:rPr>
                <w:rFonts w:ascii="Helvetica" w:eastAsiaTheme="minorHAnsi" w:hAnsi="Helvetica" w:cs="Helvetica"/>
                <w:sz w:val="20"/>
                <w:szCs w:val="20"/>
                <w:lang w:val="en-CA" w:eastAsia="en-US"/>
              </w:rPr>
            </w:pPr>
            <w:r w:rsidRPr="003D7162">
              <w:rPr>
                <w:rFonts w:ascii="Helvetica" w:hAnsi="Helvetica" w:cs="Helvetica"/>
                <w:bCs/>
                <w:sz w:val="20"/>
                <w:szCs w:val="20"/>
              </w:rPr>
              <w:t>Likely important</w:t>
            </w:r>
          </w:p>
        </w:tc>
      </w:tr>
      <w:tr w:rsidR="00D5600B" w:rsidRPr="003D7162" w14:paraId="1D14302F" w14:textId="77777777" w:rsidTr="00112A90">
        <w:trPr>
          <w:cantSplit/>
          <w:trHeight w:val="256"/>
        </w:trPr>
        <w:tc>
          <w:tcPr>
            <w:tcW w:w="3471" w:type="dxa"/>
            <w:vMerge w:val="restart"/>
          </w:tcPr>
          <w:p w14:paraId="05845E1A" w14:textId="77777777" w:rsidR="00D5600B" w:rsidRPr="003D7162" w:rsidRDefault="00D5600B" w:rsidP="000C7ADC">
            <w:pPr>
              <w:pStyle w:val="ListParagraph"/>
              <w:spacing w:line="240" w:lineRule="auto"/>
              <w:ind w:left="360"/>
              <w:rPr>
                <w:rFonts w:ascii="Helvetica" w:hAnsi="Helvetica" w:cs="Helvetica"/>
                <w:sz w:val="20"/>
                <w:szCs w:val="20"/>
              </w:rPr>
            </w:pPr>
            <w:r w:rsidRPr="003D7162">
              <w:rPr>
                <w:rFonts w:ascii="Helvetica" w:hAnsi="Helvetica" w:cs="Helvetica"/>
                <w:sz w:val="20"/>
                <w:szCs w:val="20"/>
              </w:rPr>
              <w:t xml:space="preserve">Comprehensive health insurance system (SIS) </w:t>
            </w:r>
          </w:p>
          <w:p w14:paraId="421ACE6E"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r w:rsidRPr="003D7162">
              <w:rPr>
                <w:rFonts w:ascii="Helvetica" w:hAnsi="Helvetica" w:cs="Helvetica"/>
                <w:sz w:val="20"/>
                <w:szCs w:val="20"/>
              </w:rPr>
              <w:t>(2002 – present)</w:t>
            </w:r>
          </w:p>
        </w:tc>
        <w:tc>
          <w:tcPr>
            <w:tcW w:w="1388" w:type="dxa"/>
          </w:tcPr>
          <w:p w14:paraId="196E3AA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34CC4F8A" w14:textId="179D3C42"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Comprehensive Health Insurance System (SIS) evolved from the Maternal and Child Health Insurance program that ran from 1998-2001, targeting mothers and children under 5. Launched in 2002, the main objective of SIS is to increase utilization of health services by removing barriers to accessing care for poor people/vulnerable populations, especially women and children under 5. The program involves a targeting procedure whereby potential beneficiaries are entitled to either fully or partially subsidized access depending on their income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Evidence from the literature shows that SIS improved access to health care for the poor and those living in rural areas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Quantitative data analysis also indicates SIS was associated with a small decrease in stunting during from 2000 to 2016, and qualitative data supports that this program was important to reducing stunting in Peru.</w:t>
            </w:r>
          </w:p>
        </w:tc>
      </w:tr>
      <w:tr w:rsidR="00D5600B" w:rsidRPr="003D7162" w14:paraId="7AB97DD8" w14:textId="77777777" w:rsidTr="00112A90">
        <w:trPr>
          <w:cantSplit/>
          <w:trHeight w:val="266"/>
        </w:trPr>
        <w:tc>
          <w:tcPr>
            <w:tcW w:w="3471" w:type="dxa"/>
            <w:vMerge/>
          </w:tcPr>
          <w:p w14:paraId="2A8946C1"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F6C1F1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21F2CD4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bCs/>
                <w:sz w:val="20"/>
                <w:szCs w:val="20"/>
              </w:rPr>
              <w:t>Very important</w:t>
            </w:r>
          </w:p>
        </w:tc>
      </w:tr>
      <w:tr w:rsidR="00D5600B" w:rsidRPr="003D7162" w14:paraId="012173D3" w14:textId="77777777" w:rsidTr="00112A90">
        <w:trPr>
          <w:cantSplit/>
          <w:trHeight w:val="271"/>
        </w:trPr>
        <w:tc>
          <w:tcPr>
            <w:tcW w:w="3471" w:type="dxa"/>
            <w:vMerge w:val="restart"/>
          </w:tcPr>
          <w:p w14:paraId="391DC6F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Sustainable Network for Food Security Program (REDESA) </w:t>
            </w:r>
          </w:p>
          <w:p w14:paraId="4668047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(2002 – 2006) </w:t>
            </w:r>
          </w:p>
          <w:p w14:paraId="1F8055A6" w14:textId="77777777" w:rsidR="00D5600B" w:rsidRPr="003D7162" w:rsidRDefault="00D5600B" w:rsidP="000C7ADC">
            <w:pPr>
              <w:rPr>
                <w:rFonts w:ascii="Helvetica" w:eastAsiaTheme="minorHAnsi" w:hAnsi="Helvetica" w:cs="Helvetica"/>
                <w:bCs/>
                <w:color w:val="000000" w:themeColor="text1"/>
                <w:sz w:val="20"/>
                <w:szCs w:val="20"/>
                <w:shd w:val="clear" w:color="auto" w:fill="FFFFFF"/>
                <w:lang w:val="en-CA" w:eastAsia="en-US"/>
              </w:rPr>
            </w:pPr>
          </w:p>
        </w:tc>
        <w:tc>
          <w:tcPr>
            <w:tcW w:w="1388" w:type="dxa"/>
          </w:tcPr>
          <w:p w14:paraId="196283E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736B9434" w14:textId="655AF345" w:rsidR="00D5600B" w:rsidRPr="003D7162" w:rsidRDefault="00D5600B" w:rsidP="000C7A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Helvetica"/>
                <w:color w:val="212121"/>
                <w:sz w:val="20"/>
                <w:szCs w:val="20"/>
                <w:lang w:val="en" w:eastAsia="en-CA"/>
              </w:rPr>
            </w:pPr>
            <w:r w:rsidRPr="003D7162">
              <w:rPr>
                <w:rFonts w:ascii="Helvetica" w:hAnsi="Helvetica" w:cs="Helvetica"/>
                <w:sz w:val="20"/>
                <w:szCs w:val="20"/>
              </w:rPr>
              <w:t xml:space="preserve">The main objective of the REDESA program was to improve food security for families in the rural Andes by increasing family income by 20% and improving the health and nutrition conditions of beneficiaries through a 30% reduction in diarrhea. The these program objectives were measured by the reduction of chronic malnutrition in children &lt;3 years of age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ISBN":"9789972227257","author":[{"dropping-particle":"","family":"Flores","given":"Rosa","non-dropping-particle":"","parse-names":false,"suffix":""},{"dropping-particle":"","family":"Rojas","given":"Carlos","non-dropping-particle":"","parse-names":false,"suffix":""}],"id":"ITEM-1","issued":{"date-parts":[["2007"]]},"publisher-place":"Lima, Peru","title":"Impact of an Intervention on Food Security, REDESA Program Final Evaluation","type":"report"},"uris":["http://www.mendeley.com/documents/?uuid=ed0895c6-7368-4f5c-8735-7996265efd42","http://www.mendeley.com/documents/?uuid=b6f6fb5c-4886-4f51-b97b-9c893ced512e"]}],"mendeley":{"formattedCitation":"[127]","plainTextFormattedCitation":"[127]","previouslyFormattedCitation":"[120]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[127]</w:t>
            </w:r>
            <w:r w:rsidRPr="003D7162">
              <w:rPr>
                <w:rFonts w:ascii="Helvetica" w:hAnsi="Helvetica" w:cs="Helvetica"/>
                <w:sz w:val="20"/>
                <w:szCs w:val="20"/>
              </w:rPr>
              <w:fldChar w:fldCharType="end"/>
            </w:r>
            <w:r w:rsidRPr="003D7162">
              <w:rPr>
                <w:rFonts w:ascii="Helvetica" w:hAnsi="Helvetica" w:cs="Helvetica"/>
                <w:sz w:val="20"/>
                <w:szCs w:val="20"/>
              </w:rPr>
              <w:t>. The REDESA program was implemented by CARE in the communities of Ancash, Apur</w:t>
            </w:r>
            <w:r w:rsidRPr="003D7162">
              <w:rPr>
                <w:rFonts w:ascii="Helvetica" w:eastAsia="Helvetica" w:hAnsi="Helvetica" w:cs="Helvetica"/>
                <w:sz w:val="20"/>
                <w:szCs w:val="20"/>
              </w:rPr>
              <w:t>ímac, Ayacucho, Cajamarca, Huancavelica and</w:t>
            </w:r>
            <w:r w:rsidRPr="003D7162">
              <w:rPr>
                <w:rFonts w:ascii="Helvetica" w:hAnsi="Helvetica" w:cs="Helvetica"/>
                <w:sz w:val="20"/>
                <w:szCs w:val="20"/>
              </w:rPr>
              <w:t xml:space="preserve"> Puno. An evaluation of this food security program indicated a stunting decline of 9.9% over the study period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ISBN":"9789972227257","author":[{"dropping-particle":"","family":"Flores","given":"Rosa","non-dropping-particle":"","parse-names":false,"suffix":""},{"dropping-particle":"","family":"Rojas","given":"Carlos","non-dropping-particle":"","parse-names":false,"suffix":""}],"id":"ITEM-1","issued":{"date-parts":[["2007"]]},"publisher-place":"Lima, Peru","title":"Impact of an Intervention on Food Security, REDESA Program Final Evaluation","type":"report"},"uris":["http://www.mendeley.com/documents/?uuid=b6f6fb5c-4886-4f51-b97b-9c893ced512e","http://www.mendeley.com/documents/?uuid=ed0895c6-7368-4f5c-8735-7996265efd42"]}],"mendeley":{"formattedCitation":"[128]","plainTextFormattedCitation":"[128]","previouslyFormattedCitation":"[121]"},"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[128]</w:t>
            </w:r>
            <w:r w:rsidRPr="003D7162">
              <w:rPr>
                <w:rFonts w:ascii="Helvetica" w:hAnsi="Helvetica" w:cs="Helvetica"/>
                <w:sz w:val="20"/>
                <w:szCs w:val="20"/>
              </w:rPr>
              <w:fldChar w:fldCharType="end"/>
            </w:r>
            <w:r w:rsidRPr="003D7162">
              <w:rPr>
                <w:rFonts w:ascii="Helvetica" w:hAnsi="Helvetica" w:cs="Helvetica"/>
                <w:sz w:val="20"/>
                <w:szCs w:val="20"/>
              </w:rPr>
              <w:t xml:space="preserve">. REDESA seems to be an important program based on the Peru literature and interviews with key stakeholders. It was shown to have positively influenced rates of exclusive breastfeeding, proper feeding practices during instances of diarrhea, and aimed to reduce diarrhea and illness overall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ISBN":"9789972227257","author":[{"dropping-particle":"","family":"Flores","given":"Rosa","non-dropping-particle":"","parse-names":false,"suffix":""},{"dropping-particle":"","family":"Rojas","given":"Carlos","non-dropping-particle":"","parse-names":false,"suffix":""}],"id":"ITEM-1","issued":{"date-parts":[["2007"]]},"publisher-place":"Lima, Peru","title":"Impact of an Intervention on Food Security, REDESA Program Final Evaluation","type":"report"},"uris":["http://www.mendeley.com/documents/?uuid=b6f6fb5c-4886-4f51-b97b-9c893ced512e","http://www.mendeley.com/documents/?uuid=ed0895c6-7368-4f5c-8735-7996265efd42"]}],"mendeley":{"formattedCitation":"[128]","plainTextFormattedCitation":"[128]","previouslyFormattedCitation":"[121]"},"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[128]</w:t>
            </w:r>
            <w:r w:rsidRPr="003D7162">
              <w:rPr>
                <w:rFonts w:ascii="Helvetica" w:hAnsi="Helvetica" w:cs="Helvetica"/>
                <w:sz w:val="20"/>
                <w:szCs w:val="20"/>
              </w:rPr>
              <w:fldChar w:fldCharType="end"/>
            </w:r>
            <w:r w:rsidRPr="003D7162">
              <w:rPr>
                <w:rFonts w:ascii="Helvetica" w:hAnsi="Helvetica" w:cs="Helvetica"/>
                <w:sz w:val="20"/>
                <w:szCs w:val="20"/>
              </w:rPr>
              <w:t xml:space="preserve"> . Additionally, the program was only piloted in six departments so likely did not have national level impact.</w:t>
            </w:r>
          </w:p>
        </w:tc>
      </w:tr>
      <w:tr w:rsidR="00D5600B" w:rsidRPr="003D7162" w14:paraId="54A18B56" w14:textId="77777777" w:rsidTr="00112A90">
        <w:trPr>
          <w:cantSplit/>
          <w:trHeight w:val="274"/>
        </w:trPr>
        <w:tc>
          <w:tcPr>
            <w:tcW w:w="3471" w:type="dxa"/>
            <w:vMerge/>
          </w:tcPr>
          <w:p w14:paraId="7B650C89"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E9EEE6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622C32B1"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Likely important</w:t>
            </w:r>
          </w:p>
        </w:tc>
      </w:tr>
      <w:tr w:rsidR="00D5600B" w:rsidRPr="003D7162" w14:paraId="1A12D706" w14:textId="77777777" w:rsidTr="00112A90">
        <w:trPr>
          <w:cantSplit/>
          <w:trHeight w:val="271"/>
        </w:trPr>
        <w:tc>
          <w:tcPr>
            <w:tcW w:w="3471" w:type="dxa"/>
            <w:vMerge w:val="restart"/>
          </w:tcPr>
          <w:p w14:paraId="546B56A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National Strategy on Sexual and Reproductive Health </w:t>
            </w:r>
          </w:p>
          <w:p w14:paraId="34E9356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(2004 – present) </w:t>
            </w:r>
          </w:p>
          <w:p w14:paraId="71B2118B" w14:textId="77777777" w:rsidR="00D5600B" w:rsidRPr="003D7162" w:rsidRDefault="00D5600B" w:rsidP="000C7ADC">
            <w:pPr>
              <w:pStyle w:val="ListParagraph"/>
              <w:spacing w:line="240" w:lineRule="auto"/>
              <w:ind w:left="360"/>
              <w:rPr>
                <w:rFonts w:ascii="Helvetica" w:hAnsi="Helvetica" w:cs="Helvetica"/>
                <w:sz w:val="20"/>
                <w:szCs w:val="20"/>
              </w:rPr>
            </w:pPr>
          </w:p>
        </w:tc>
        <w:tc>
          <w:tcPr>
            <w:tcW w:w="1388" w:type="dxa"/>
          </w:tcPr>
          <w:p w14:paraId="575807F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673776E9" w14:textId="4237A290"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This strategy targets all stages of the lifespan (intrauterine through older adulthood) to improve the sexual and reproductive health of the population of Peru. Initiated in 1994 when Peru signed the Program of Action following the International Conference on Population and Development, it was reformed into the current National Strategy in 2004. This strategy is focused on improving gender equality and cultural sensitivity in care delivery, improving response to obstetric and neonatal emergencies, preventing unwanted pregnancies, and reducing transmission of HIV/STIs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{"citationItems":[{"id":"ITEM-1","itemData":{"author":[{"dropping-particle":"","family":"General Directorate of People' Health","given":"","non-dropping-particle":"","parse-names":false,"suffix":""}],"id":"ITEM-1","issued":{"date-parts":[["0"]]},"title":"Sexual and Reproductive Health","type":"webpage"},"uris":["http://www.mendeley.com/documents/?uuid=4c18a5b2-307f-4af4-8d65-0ae41ff1a14c","http://www.mendeley.com/documents/?uuid=609e3ffc-4101-4e6b-ac62-f88d9393bcc4"]}],"mendeley":{"formattedCitation":"[129]","plainTextFormattedCitation":"[129]","previouslyFormattedCitation":"[122]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[129]</w:t>
            </w:r>
            <w:r w:rsidRPr="003D7162">
              <w:rPr>
                <w:rFonts w:ascii="Helvetica" w:hAnsi="Helvetica" w:cs="Helvetica"/>
                <w:sz w:val="20"/>
                <w:szCs w:val="20"/>
              </w:rPr>
              <w:fldChar w:fldCharType="end"/>
            </w:r>
            <w:r w:rsidRPr="003D7162">
              <w:rPr>
                <w:rFonts w:ascii="Helvetica" w:hAnsi="Helvetica" w:cs="Helvetica"/>
                <w:sz w:val="20"/>
                <w:szCs w:val="20"/>
              </w:rPr>
              <w:t>.</w:t>
            </w:r>
          </w:p>
          <w:p w14:paraId="55D9A81A"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4D680BC9" w14:textId="77777777" w:rsidTr="00112A90">
        <w:trPr>
          <w:cantSplit/>
          <w:trHeight w:val="235"/>
        </w:trPr>
        <w:tc>
          <w:tcPr>
            <w:tcW w:w="3471" w:type="dxa"/>
            <w:vMerge/>
          </w:tcPr>
          <w:p w14:paraId="5FCFB208"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3DEDC73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6600F29B" w14:textId="77777777" w:rsidR="00D5600B" w:rsidRPr="003D7162" w:rsidRDefault="00D5600B" w:rsidP="000C7ADC">
            <w:pPr>
              <w:pStyle w:val="CommentText"/>
              <w:rPr>
                <w:rFonts w:ascii="Helvetica" w:eastAsiaTheme="minorHAnsi" w:hAnsi="Helvetica" w:cs="Helvetica"/>
                <w:sz w:val="20"/>
                <w:szCs w:val="20"/>
                <w:lang w:val="en-CA" w:eastAsia="en-US"/>
              </w:rPr>
            </w:pPr>
            <w:r w:rsidRPr="003D7162">
              <w:rPr>
                <w:rFonts w:ascii="Helvetica" w:hAnsi="Helvetica" w:cs="Helvetica"/>
                <w:bCs/>
                <w:sz w:val="20"/>
                <w:szCs w:val="20"/>
              </w:rPr>
              <w:t>Insufficient information</w:t>
            </w:r>
          </w:p>
        </w:tc>
      </w:tr>
      <w:tr w:rsidR="00D5600B" w:rsidRPr="003D7162" w14:paraId="0BF85612" w14:textId="77777777" w:rsidTr="00112A90">
        <w:trPr>
          <w:cantSplit/>
          <w:trHeight w:val="256"/>
        </w:trPr>
        <w:tc>
          <w:tcPr>
            <w:tcW w:w="3471" w:type="dxa"/>
            <w:vMerge w:val="restart"/>
          </w:tcPr>
          <w:p w14:paraId="2B98F1F1"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Rural Retention Program (SERUMS) (1985 – present) </w:t>
            </w:r>
          </w:p>
          <w:p w14:paraId="25866ED0"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88" w:type="dxa"/>
          </w:tcPr>
          <w:p w14:paraId="3155E73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479532E1" w14:textId="42DAA99A"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bCs/>
                <w:sz w:val="20"/>
                <w:szCs w:val="20"/>
              </w:rPr>
              <w:t xml:space="preserve">SERUMS is a decentralized human resources for health (HRH) plan aimed at distributing and retaining health workers providing care in remote areas of Peru. The program was developed with a guide outlining best practices and procedures for implementing a retention policy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{"citationItems":[{"id":"ITEM-1","itemData":{"URL":"http://www.who.int/workforcealliance/countries/per/en/","author":[{"dropping-particle":"","family":"Global Health Workforce Alliance","given":"","non-dropping-particle":"","parse-names":false,"suffix":""}],"container-title":"Health workers for all and all for health workers","id":"ITEM-1","issued":{"date-parts":[["2018"]]},"title":"Peru","type":"webpage"},"uris":["http://www.mendeley.com/documents/?uuid=4773cf83-147e-4c65-97bc-54002ed430de","http://www.mendeley.com/documents/?uuid=5c1089d2-97b7-4fd6-aa77-dbdd478453bd"]}],"mendeley":{"formattedCitation":"[130]","plainTextFormattedCitation":"[130]","previouslyFormattedCitation":"[123]"},"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[130]</w:t>
            </w:r>
            <w:r w:rsidRPr="003D7162">
              <w:rPr>
                <w:rFonts w:ascii="Helvetica" w:hAnsi="Helvetica" w:cs="Helvetica"/>
                <w:bCs/>
                <w:sz w:val="20"/>
                <w:szCs w:val="20"/>
              </w:rPr>
              <w:fldChar w:fldCharType="end"/>
            </w:r>
            <w:r w:rsidRPr="003D7162">
              <w:rPr>
                <w:rFonts w:ascii="Helvetica" w:hAnsi="Helvetica" w:cs="Helvetica"/>
                <w:bCs/>
                <w:sz w:val="20"/>
                <w:szCs w:val="20"/>
              </w:rPr>
              <w:t>.</w:t>
            </w:r>
            <w:r w:rsidRPr="003D7162">
              <w:rPr>
                <w:rFonts w:ascii="Helvetica" w:hAnsi="Helvetica" w:cs="Helvetica"/>
                <w:sz w:val="20"/>
                <w:szCs w:val="20"/>
              </w:rPr>
              <w:t xml:space="preserve"> SERUMS consists of recent graduates of health care programs (e.g. doctors, nurses, midwives, dentists), who perform one year of rural service delivery after graduation. In terms of retention, the goal is to keep SERUMS participants working in rural areas after their initial placement. Recently, the Ministry of Health increased the salary of health workers in rural areas to promote this retention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{"citationItems":[{"id":"ITEM-1","itemData":{"author":[{"dropping-particle":"","family":"General Directorate of People' Health","given":"","non-dropping-particle":"","parse-names":false,"suffix":""}],"id":"ITEM-1","issued":{"date-parts":[["0"]]},"title":"Sexual and Reproductive Health","type":"webpage"},"uris":["http://www.mendeley.com/documents/?uuid=4c18a5b2-307f-4af4-8d65-0ae41ff1a14c","http://www.mendeley.com/documents/?uuid=609e3ffc-4101-4e6b-ac62-f88d9393bcc4"]}],"mendeley":{"formattedCitation":"[129]","plainTextFormattedCitation":"[129]","previouslyFormattedCitation":"[122]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[129]</w:t>
            </w:r>
            <w:r w:rsidRPr="003D7162">
              <w:rPr>
                <w:rFonts w:ascii="Helvetica" w:hAnsi="Helvetica" w:cs="Helvetica"/>
                <w:sz w:val="20"/>
                <w:szCs w:val="20"/>
              </w:rPr>
              <w:fldChar w:fldCharType="end"/>
            </w:r>
            <w:r w:rsidRPr="003D7162">
              <w:rPr>
                <w:rFonts w:ascii="Helvetica" w:hAnsi="Helvetica" w:cs="Helvetica"/>
                <w:sz w:val="20"/>
                <w:szCs w:val="20"/>
              </w:rPr>
              <w:t xml:space="preserve">. </w:t>
            </w:r>
            <w:r w:rsidRPr="003D7162">
              <w:rPr>
                <w:rFonts w:ascii="Helvetica" w:hAnsi="Helvetica" w:cs="Helvetica"/>
                <w:iCs/>
                <w:sz w:val="20"/>
                <w:szCs w:val="20"/>
              </w:rPr>
              <w:t xml:space="preserve">The literature reports that SERUMS has improved the number of health professionals working in Apurimac, Huancavelica, and other poor areas of the country.  There is a larger number of physician graduates (~100%) that enter SERUMS compared to midwives  (85%) and nurses (62%)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{"citationItems":[{"id":"ITEM-1","itemData":{"author":[{"dropping-particle":"","family":"Global Work Force Alliance","given":"","non-dropping-particle":"","parse-names":false,"suffix":""}],"id":"ITEM-1","issued":{"date-parts":[["2013"]]},"publisher-place":"Geneva, Switzerland","title":"Mid-level health workers country case studies: Annex 12. Peru","type":"report"},"uris":["http://www.mendeley.com/documents/?uuid=020919a1-0d37-45cd-86ab-eafca87d7898","http://www.mendeley.com/documents/?uuid=4248826c-b62d-450f-9085-59ff604dc28f"]},{"id":"ITEM-2","itemData":{"author":[{"dropping-particle":"","family":"Global Health Workforce Alliance","given":"","non-dropping-particle":"","parse-names":false,"suffix":""}],"container-title":"Health workers for all and all for health workers","id":"ITEM-2","issued":{"date-parts":[["2018"]]},"title":"Peru","type":"webpage"},"uris":["http://www.mendeley.com/documents/?uuid=5c1089d2-97b7-4fd6-aa77-dbdd478453bd","http://www.mendeley.com/documents/?uuid=4773cf83-147e-4c65-97bc-54002ed430de"]}],"mendeley":{"formattedCitation":"[131,132]","plainTextFormattedCitation":"[131,132]","previouslyFormattedCitation":"[124,125]"},"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[131,132]</w:t>
            </w:r>
            <w:r w:rsidRPr="003D7162">
              <w:rPr>
                <w:rFonts w:ascii="Helvetica" w:hAnsi="Helvetica" w:cs="Helvetica"/>
                <w:iCs/>
                <w:sz w:val="20"/>
                <w:szCs w:val="20"/>
              </w:rPr>
              <w:fldChar w:fldCharType="end"/>
            </w:r>
            <w:r w:rsidRPr="003D7162">
              <w:rPr>
                <w:rFonts w:ascii="Helvetica" w:hAnsi="Helvetica" w:cs="Helvetica"/>
                <w:iCs/>
                <w:sz w:val="20"/>
                <w:szCs w:val="20"/>
              </w:rPr>
              <w:t xml:space="preserve">.  Despite this, the literature reports that following the completion of SERUMS there is a low number of healthcare professionals that enter the Ministry of Health system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{"citationItems":[{"id":"ITEM-1","itemData":{"DOI":"10.1186/s12960-017-0243-y","abstract":"Background: Most analyses of gaps in human resources for health (HRH) do not consider training and the transition of graduates into the labour market. This study aims to explore the labour market for Peru's recent medical, nursing, and midwifery graduates as well as their transition into employment in the Ministry of Health's (MOH) system. Methods: Data from four different datasets, covering 2007–2013, was used to characterize the patterns of recently trained physicians, nurses, midwives, and postgraduate-trained physicians that enter employment in the MOH system, and scenario analyses were used to describe how this rate of entry needs to adapt in order to fill current HRH shortages. Results: HRH graduates have been increasing from 2007 to 2011, but the proportions that enter employment in the MOH system 2 years later range from 8 to 45% and less than 10% of newly trained medical specialists. Scenario analyses indicate that the gap for physicians and nurses will be met in 2027 and 2024, respectively, while midwives in 2017. However, if the number of HRH graduates entering the MOH system doubles, these gaps could be filled as early as 2020 for physicians and 2019 for nurses. In this latter scenario, the MOH system would still only utilize 56% of newly qualified physicians, 74% of nurses, and 66% of midwives available in the labour market. Conclusion: At 2013 training rates, Peru has the number of physicians, nurses, and midwives it needs to address HRH shortages and meet estimated HRH gaps in the national MOH system during the next decade. However, a significant number of newly qualified health professionals do not work for the MOH system within 2 years of graduation. These analyses highlight the importance of building adequate incentive structures to improve the entry and retention of HRH into the public sector.","author":[{"dropping-particle":"","family":"Jimenez","given":"M Michelle","non-dropping-particle":"","parse-names":false,"suffix":""},{"dropping-particle":"","family":"Bui","given":"Anthony L","non-dropping-particle":"","parse-names":false,"suffix":""},{"dropping-particle":"","family":"Mantilla","given":"Eduardo","non-dropping-particle":"","parse-names":false,"suffix":""},{"dropping-particle":"","family":"Miranda","given":"J Jaime","non-dropping-particle":"","parse-names":false,"suffix":""}],"container-title":"Human Resources for Health","id":"ITEM-1","issue":"69","issued":{"date-parts":[["2017"]]},"title":"Human resources for health in Peru: recent trends (2007–2013) in the labour market for physicians, nurses and midwives","type":"article-journal","volume":"15"},"uris":["http://www.mendeley.com/documents/?uuid=3b57e4a7-7ada-47d5-86f2-12c640b26a50","http://www.mendeley.com/documents/?uuid=792aa8ce-588b-45f2-84b6-ea784793a305"]}],"mendeley":{"formattedCitation":"[133]","plainTextFormattedCitation":"[133]","previouslyFormattedCitation":"[126]"},"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[133]</w:t>
            </w:r>
            <w:r w:rsidRPr="003D7162">
              <w:rPr>
                <w:rFonts w:ascii="Helvetica" w:hAnsi="Helvetica" w:cs="Helvetica"/>
                <w:iCs/>
                <w:sz w:val="20"/>
                <w:szCs w:val="20"/>
              </w:rPr>
              <w:fldChar w:fldCharType="end"/>
            </w:r>
            <w:r w:rsidRPr="003D7162">
              <w:rPr>
                <w:rFonts w:ascii="Helvetica" w:hAnsi="Helvetica" w:cs="Helvetica"/>
                <w:iCs/>
                <w:sz w:val="20"/>
                <w:szCs w:val="20"/>
              </w:rPr>
              <w:t xml:space="preserve">.  Results from our quantitative analysis show that the </w:t>
            </w:r>
            <w:r w:rsidRPr="003D7162">
              <w:rPr>
                <w:rFonts w:ascii="Helvetica" w:hAnsi="Helvetica" w:cs="Helvetica"/>
                <w:sz w:val="20"/>
                <w:szCs w:val="20"/>
              </w:rPr>
              <w:t>density of HRH increased from 9.04 to 11.78 to 28.24 doctors, midwives and nurses per 10,000 population from 2000-2016. Our analysis suggests that strengthened HRH may have contributed to stunting decline in the earlier period, though during the latter period of rapid change, its effect did not push through as significant, meaning that other factors were more important than HRH in the stunting decline.</w:t>
            </w:r>
          </w:p>
          <w:p w14:paraId="41CDB728"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4199E18A" w14:textId="77777777" w:rsidTr="00112A90">
        <w:trPr>
          <w:cantSplit/>
          <w:trHeight w:val="143"/>
        </w:trPr>
        <w:tc>
          <w:tcPr>
            <w:tcW w:w="3471" w:type="dxa"/>
            <w:vMerge/>
          </w:tcPr>
          <w:p w14:paraId="510AB087"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22230988"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Importance</w:t>
            </w:r>
          </w:p>
        </w:tc>
        <w:tc>
          <w:tcPr>
            <w:tcW w:w="4856" w:type="dxa"/>
          </w:tcPr>
          <w:p w14:paraId="35315BC2"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Likely important</w:t>
            </w:r>
          </w:p>
        </w:tc>
      </w:tr>
      <w:tr w:rsidR="00D5600B" w:rsidRPr="003D7162" w14:paraId="69440DE4" w14:textId="77777777" w:rsidTr="00112A90">
        <w:trPr>
          <w:cantSplit/>
          <w:trHeight w:val="75"/>
        </w:trPr>
        <w:tc>
          <w:tcPr>
            <w:tcW w:w="3471" w:type="dxa"/>
            <w:vMerge w:val="restart"/>
          </w:tcPr>
          <w:p w14:paraId="476E5096"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JUNTOS </w:t>
            </w:r>
          </w:p>
          <w:p w14:paraId="6E16621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(2005 – present)</w:t>
            </w:r>
          </w:p>
        </w:tc>
        <w:tc>
          <w:tcPr>
            <w:tcW w:w="1388" w:type="dxa"/>
          </w:tcPr>
          <w:p w14:paraId="6BBDA66E"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Description</w:t>
            </w:r>
          </w:p>
        </w:tc>
        <w:tc>
          <w:tcPr>
            <w:tcW w:w="4856" w:type="dxa"/>
          </w:tcPr>
          <w:p w14:paraId="65A6ABE4" w14:textId="7E6445CE"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JUNTOS (“Together”) is a conditional cash transfer program aimed at alleviating poverty by positively influencing health seeking behaviors and education among women. Mothers enrolled in JUNTOS are required to bring their children under age 2 years to health centers to monitor their growth and overall health, and they are also required to enroll their children (6 – 19 years) in school. In return, these mothers receive 200 Peruvian Soles every 2 months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Studies","id":"ITEM-2","issued":{"date-parts":[["2011"]]},"note":"Aviva","publisher":"Institute of Development Studies, University of Sussex","publisher-place":"Brighton, United Kingdom","title":"Analysing success in the fight against malnutrition in Peru","type":"article"},"uris":["http://www.mendeley.com/documents/?uuid=9e516e41-6157-4ece-bd41-de3ed35f8a53"]},{"id":"ITEM-3","itemData":{"PMID":"20143112392","abstract":"The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Policy","id":"ITEM-3","issued":{"date-parts":[["2014"]]},"page":"26-35","title":"The politics of success in the fight against malnutrition in Peru","type":"article-journal","volume":"44"},"uris":["http://www.mendeley.com/documents/?uuid=04d4f60a-2eb7-45de-81f4-e976dd940b1f","http://www.mendeley.com/documents/?uuid=b480fafd-7062-48c0-84e9-23755a028b61"]},{"id":"ITEM-4","itemData":{"ISBN":"9780821384060","author":[{"dropping-particle":"","family":"World Bank","given":"","non-dropping-particle":"","parse-names":false,"suffix":""}],"id":"ITEM-4","issued":{"date-parts":[["2011"]]},"publisher":"The International Bank for Reconstruction and Development","publisher-place":"Washington, D.C.","title":"Peru: Country Program Evaluation for the world Bank Group, 2003-09","type":"book"},"uris":["http://www.mendeley.com/documents/?uuid=e3daf608-24d6-4b49-9612-30cfddf8ec76","http://www.mendeley.com/documents/?uuid=3cc3f0e0-c9b9-48f3-b28b-d07b1e781c94","http://www.mendeley.com/documents/?uuid=b20cf70b-77ed-410a-9056-f217ff794f18"]}],"mendeley":{"formattedCitation":"[6,7,12,93]","plainTextFormattedCitation":"[6,7,12,93]","previouslyFormattedCitation":"[6,7,12,93]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[6,7,12,93]</w:t>
            </w:r>
            <w:r w:rsidRPr="003D7162">
              <w:rPr>
                <w:rFonts w:ascii="Helvetica" w:hAnsi="Helvetica" w:cs="Helvetica"/>
                <w:sz w:val="20"/>
                <w:szCs w:val="20"/>
              </w:rPr>
              <w:fldChar w:fldCharType="end"/>
            </w:r>
            <w:r w:rsidRPr="003D7162">
              <w:rPr>
                <w:rFonts w:ascii="Helvetica" w:hAnsi="Helvetica" w:cs="Helvetica"/>
                <w:sz w:val="20"/>
                <w:szCs w:val="20"/>
              </w:rPr>
              <w:t xml:space="preserve">. The evidence of the impact of JUNTOS on stunting prevalence in Peru has been mixed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{"citationItems":[{"id":"ITEM-1","itemData":{"DOI":"10.3945/jn.115.213546","ISBN":"0022-3166","ISSN":"0022-3166","PMID":"26269237","abstract":"BACKGROUND It is unclear what effects a conditional cash transfer (CCT) program would have on child anthropometry, language development, or school achievement in the context of the nutrition transition experienced by many low- and middle-income countries. OBJECTIVE We estimated the association of participation in Peru's Juntos CCT with anthropometry, language development, and school achievement among children aged 7-8 y. METHODS We used data from the Young Lives Study of a cohort born between 2001 and 2002. We estimated associations of the Juntos program with height-for-age z score (HAZ), body mass index-for-age z score (BAZ), stunting, and overweight at age 7-8 y separately for children participating in the program for ≥2 y (n = 169) and children participating for &lt;2 y (n = 188). We then estimated associations with receptive vocabulary and grade achievement among children who had been assessed at age 4-6 y before enrollment in Juntos (n = 243). We identified control subjects using propensity score matching and conducted difference-in-differences comparisons. RESULTS Juntos participation was associated with increases in HAZ among boys participating for ≥2 y [average effect of treatment among the treated (ATT): 0.43; 95% CI: 0.09, 0.77; P = 0.01] and for boys participating for &lt;2 y (ATT: 0.52; 95% CI: 0.23, 0.80; P &lt; 0.01). Among girls participating in the program for ≥2 y, BAZ declined (ATT: -0.60; 95% CI: -1.00, -0.21; P &lt; 0.01) as did the prevalence of overweight (ATT: -22.0 percentage points; 95% CI: -42.5, -2.7 percentage points; P = 0.03). We observed no significant associations of Juntos participation with receptive vocabulary or grade attainment. CONCLUSIONS CCT program participation in Peru was associated with better linear growth among boys and decreased BAZ among girls, highlighting that a large-scale poverty-alleviation intervention may influence anthropometric outcomes in the context of the nutrition transition.","author":[{"dropping-particle":"","family":"Andersen","given":"C. T.","non-dropping-particle":"","parse-names":false,"suffix":""},{"dropping-particle":"","family":"Reynolds","given":"S. A.","non-dropping-particle":"","parse-names":false,"suffix":""},{"dropping-particle":"","family":"Behrman","given":"J. R.","non-dropping-particle":"","parse-names":false,"suffix":""},{"dropping-particle":"","family":"Crookston","given":"B. T.","non-dropping-particle":"","parse-names":false,"suffix":""},{"dropping-particle":"","family":"Dearden","given":"K. A.","non-dropping-particle":"","parse-names":false,"suffix":""},{"dropping-particle":"","family":"Escobal","given":"J.","non-dropping-particle":"","parse-names":false,"suffix":""},{"dropping-particle":"","family":"Mani","given":"S.","non-dropping-particle":"","parse-names":false,"suffix":""},{"dropping-particle":"","family":"Sanchez","given":"A.","non-dropping-particle":"","parse-names":false,"suffix":""},{"dropping-particle":"","family":"Stein","given":"A. D.","non-dropping-particle":"","parse-names":false,"suffix":""},{"dropping-particle":"","family":"Fernald","given":"L. C.","non-dropping-particle":"","parse-names":false,"suffix":""}],"container-title":"Journal of Nutrition","id":"ITEM-1","issue":"10","issued":{"date-parts":[["2015"]]},"page":"2396-2405","title":"Participation in the Juntos Conditional Cash Transfer Program in Peru Is Associated with Changes in Child Anthropometric Status but Not Language Development or School Achievement","type":"article-journal","volume":"145"},"uris":["http://www.mendeley.com/documents/?uuid=7f20081b-4b14-46fe-b214-375bb7d01acd"]},{"id":"ITEM-2","itemData":{"ISBN":"978-1-909403-69-7","author":[{"dropping-particle":"","family":"Sanchez","given":"Alan","non-dropping-particle":"","parse-names":false,"suffix":""},{"dropping-particle":"","family":"Melendez","given":"Guido","non-dropping-particle":"","parse-names":false,"suffix":""},{"dropping-particle":"","family":"Behrman","given":"Jere","non-dropping-particle":"","parse-names":false,"suffix":""}],"id":"ITEM-2","issued":{"date-parts":[["2016"]]},"publisher-place":"Oxford, UK","title":"The Impact of the Juntos Conditional Cash Transfer Programme in Peru on Nutritional and Cognitive Outcomes: Does the Age of Exposure Matter?","type":"report"},"uris":["http://www.mendeley.com/documents/?uuid=f891b8c6-f22d-445d-abe7-66cdaff7cc95","http://www.mendeley.com/documents/?uuid=9f376efc-6f58-462d-9c15-7dd4e88108f5"]}],"mendeley":{"formattedCitation":"[16,134]","plainTextFormattedCitation":"[16,134]","previouslyFormattedCitation":"[16,127]"},"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[16,134]</w:t>
            </w:r>
            <w:r w:rsidRPr="003D7162">
              <w:rPr>
                <w:rFonts w:ascii="Helvetica" w:hAnsi="Helvetica" w:cs="Helvetica"/>
                <w:sz w:val="20"/>
                <w:szCs w:val="20"/>
              </w:rPr>
              <w:fldChar w:fldCharType="end"/>
            </w:r>
            <w:r w:rsidRPr="003D7162">
              <w:rPr>
                <w:rFonts w:ascii="Helvetica" w:hAnsi="Helvetica" w:cs="Helvetica"/>
                <w:sz w:val="20"/>
                <w:szCs w:val="20"/>
              </w:rPr>
              <w:t xml:space="preserve">. However, the program was effective in targeting poor households with children &lt;12 and was shown to have increased the utilization of health services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Studies","id":"ITEM-2","issued":{"date-parts":[["2011"]]},"note":"Aviva","publisher":"Institute of Development Studies, University of Sussex","publisher-place":"Brighton, United Kingdom","title":"Analysing success in the fight against malnutrition in Peru","type":"article"},"uris":["http://www.mendeley.com/documents/?uuid=9e516e41-6157-4ece-bd41-de3ed35f8a53"]},{"id":"ITEM-3","itemData":{"abstract":"RESUMEN El servicio rural y urbano marginal en salud (SERUMS) es una actividad que realizan solo los profesionales de la salud al Estado peruano, ya que constituye un requisito obligatorio para optar por la segunda especialidad o para trabajar en un centro de salud público, y obtener becas del gobierno para futura capacitación. Los escasos cambios legales en el reglamento de este programa social y el enfoque de \" servicio \" restringido a los profesionales de salud conllevan a que esta política sea discriminatoria e inconstitucional por atentar contra el derecho a la educación y al trabajo. No hay evidencia científica que sustente la utilidad y efectividad de este programa, tanto en la calidad de servicio y mejora de indicadores sanitarios, como en la adecuada distribución y retención de profesionales de salud. Sugerimos abolir el requisito de obligatoriedad y replantear una estrategia política que ayude a atraer y retener a los profesionales de la salud en zonas vulnerables del Perú. Palabras clave: Recursos humanos; Distribución de médicos; Trabajadores rurales; Salud pública; Políticas; Perú (fuente: DeCS BIREME). MANDATORY REQUIREMENT OF SOCIAL HEALTH SERVICE IN PERU: DISCRIMINATORY AND UNCONSTITUTIONAL RESUMEN The rural and urban-edge health service (SERUMS) is an activity that only health professionals perform for the Peruvian government, as it is a mandatory requirement to qualify for a second specialty or to work in public hospitals and public health care facilities, and obtain government scholarships for future training. The few legal changes in the rules of this social program and the focus of \" service \" restricted to health professionals lead to a perception of this policy as discriminatory and unconstitutional because it violates the right to education and work. There is no scientific evidence that supports the usefulness and effectiveness of this program in terms of quality of service and health indicator improvement, as well as in adequate distribution and retention of health professionals. We suggest to abolish the compulsory requirement and to reformulate a political strategy to help attract and retain health professionals in vulnerable areas of Peru.","author":[{"dropping-particle":"","family":"Mayta-Tristán","given":"Percy","non-dropping-particle":"","parse-names":false,"suffix":""},{"dropping-particle":"","family":"Poterico","given":"Julio A","non-dropping-particle":"","parse-names":false,"suffix":""},{"dropping-particle":"","family":"Galán-Rodas","given":"Edén","non-dropping-particle":"","parse-names":false,"suffix":""},{"dropping-particle":"","family":"Raa-Ortiz","given":"Daniel","non-dropping-particle":"","parse-names":false,"suffix":""}],"container-title":"Rev Peru Med Exp Salud Publica","id":"ITEM-3","issue":"4","issued":{"date-parts":[["2014"]]},"page":"781-787","title":"EL REQUISITO OBLIGATORIO DEL SERVICIO SOCIAL EN SALUD DEL PERÚ: DISCRIMINATORIO E INCONSTITUCIONAL","type":"article-journal","volume":"31"},"uris":["http://www.mendeley.com/documents/?uuid=a4ed4604-32cc-499b-a788-9324422308cf","http://www.mendeley.com/documents/?uuid=33d233f7-b7fe-49ea-ab31-cb08516f6492"]},{"id":"ITEM-4","itemData":{"author":[{"dropping-particle":"","family":"Global Work Force Alliance","given":"","non-dropping-particle":"","parse-names":false,"suffix":""}],"id":"ITEM-4","issued":{"date-parts":[["2013"]]},"publisher-place":"Geneva, Switzerland","title":"Mid-level health workers country case studies: Annex 12. Peru","type":"report"},"uris":["http://www.mendeley.com/documents/?uuid=4248826c-b62d-450f-9085-59ff604dc28f","http://www.mendeley.com/documents/?uuid=020919a1-0d37-45cd-86ab-eafca87d7898"]}],"mendeley":{"formattedCitation":"[6,93,135,136]","plainTextFormattedCitation":"[6,93,135,136]","previouslyFormattedCitation":"[6,93,128,129]"},"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[6,93,135,136]</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461D3341"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28D7EADB" w14:textId="77777777" w:rsidTr="00112A90">
        <w:trPr>
          <w:cantSplit/>
          <w:trHeight w:val="75"/>
        </w:trPr>
        <w:tc>
          <w:tcPr>
            <w:tcW w:w="3471" w:type="dxa"/>
            <w:vMerge/>
          </w:tcPr>
          <w:p w14:paraId="72D5D664"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108EB01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4D07370E" w14:textId="77777777" w:rsidR="00D5600B" w:rsidRPr="003D7162" w:rsidRDefault="00D5600B" w:rsidP="000C7ADC">
            <w:pPr>
              <w:tabs>
                <w:tab w:val="center" w:pos="4680"/>
              </w:tabs>
              <w:autoSpaceDE w:val="0"/>
              <w:autoSpaceDN w:val="0"/>
              <w:rPr>
                <w:rFonts w:ascii="Helvetica" w:eastAsiaTheme="minorHAnsi" w:hAnsi="Helvetica" w:cs="Helvetica"/>
                <w:sz w:val="20"/>
                <w:szCs w:val="20"/>
                <w:lang w:val="en-CA" w:eastAsia="en-US"/>
              </w:rPr>
            </w:pPr>
            <w:r w:rsidRPr="003D7162">
              <w:rPr>
                <w:rFonts w:ascii="Helvetica" w:hAnsi="Helvetica" w:cs="Helvetica"/>
                <w:bCs/>
                <w:sz w:val="20"/>
                <w:szCs w:val="20"/>
              </w:rPr>
              <w:t>Likely very important but longer follow-up duration required</w:t>
            </w:r>
          </w:p>
        </w:tc>
      </w:tr>
      <w:tr w:rsidR="00D5600B" w:rsidRPr="003D7162" w14:paraId="3C102300" w14:textId="77777777" w:rsidTr="00112A90">
        <w:trPr>
          <w:cantSplit/>
          <w:trHeight w:val="70"/>
        </w:trPr>
        <w:tc>
          <w:tcPr>
            <w:tcW w:w="3471" w:type="dxa"/>
            <w:vMerge w:val="restart"/>
          </w:tcPr>
          <w:p w14:paraId="7E599412"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Food security policies</w:t>
            </w:r>
          </w:p>
          <w:p w14:paraId="4D925F70"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(2006 – 2008) </w:t>
            </w:r>
          </w:p>
          <w:p w14:paraId="036430EB" w14:textId="77777777" w:rsidR="00D5600B" w:rsidRPr="003D7162" w:rsidRDefault="00D5600B" w:rsidP="000C7ADC">
            <w:pPr>
              <w:pStyle w:val="ListParagraph"/>
              <w:spacing w:line="240" w:lineRule="auto"/>
              <w:ind w:left="360"/>
              <w:rPr>
                <w:rFonts w:ascii="Helvetica" w:hAnsi="Helvetica" w:cs="Helvetica"/>
                <w:bCs/>
                <w:color w:val="000000" w:themeColor="text1"/>
                <w:sz w:val="20"/>
                <w:szCs w:val="20"/>
                <w:shd w:val="clear" w:color="auto" w:fill="FFFFFF"/>
              </w:rPr>
            </w:pPr>
          </w:p>
        </w:tc>
        <w:tc>
          <w:tcPr>
            <w:tcW w:w="1388" w:type="dxa"/>
          </w:tcPr>
          <w:p w14:paraId="35B56A0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0BB28E41" w14:textId="2CD9B00F"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These were a set of policies implemented by the Ministry of Agriculture to reduce food insecurity in Peru. The aim of these policies was to reduce micronutrient deficiencies, malnutrition, and to promote healthy food consumption. These food security policies eventually led to the implementation of CRECER and a improvements in food security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{"citationItems":[{"id":"ITEM-1","itemData":{"DOI":"ISSN 2071-0992","ISBN":"9789251073339","abstract":"Bioenergy developments are high on many countries’ agendas today in an effort to improve energy access, energy security and in the context of concerted efforts towards lowering global green house gas emissions. Over time, however, serious concerns on the food security impacts, social feasibility and sustainability of bioenergy have arisen, especially with first generation bioenergy. In this context FAO, with generous funding from the German Federal Ministry of Food, Agriculture and Consumer Protection (BMELV), set up the Bioenergy and Food Security (BEFS) project to assess how bioenergy developments could be implemented without hindering food security.","author":[{"dropping-particle":"","family":"Khwaja","given":"Yasmeen","non-dropping-particle":"","parse-names":false,"suffix":""}],"container-title":"FAO, Rome","id":"ITEM-1","issued":{"date-parts":[["2010"]]},"title":"Bioenergy and Food Security: The BEFS analysis for Peru","type":"report"},"uris":["http://www.mendeley.com/documents/?uuid=ceacde23-de8a-40e5-94be-62082b83f39b","http://www.mendeley.com/documents/?uuid=ca975126-5974-45a8-8a31-0689eef29f20"]}],"mendeley":{"formattedCitation":"[137]","plainTextFormattedCitation":"[137]","previouslyFormattedCitation":"[130]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[137]</w:t>
            </w:r>
            <w:r w:rsidRPr="003D7162">
              <w:rPr>
                <w:rFonts w:ascii="Helvetica" w:hAnsi="Helvetica" w:cs="Helvetica"/>
                <w:sz w:val="20"/>
                <w:szCs w:val="20"/>
              </w:rPr>
              <w:fldChar w:fldCharType="end"/>
            </w:r>
            <w:r w:rsidRPr="003D7162">
              <w:rPr>
                <w:rFonts w:ascii="Helvetica" w:hAnsi="Helvetica" w:cs="Helvetica"/>
                <w:sz w:val="20"/>
                <w:szCs w:val="20"/>
              </w:rPr>
              <w:t xml:space="preserve">  . These policies were also focused on preventing the risk of nutritional deficiencies and reducing the levels of undernourishment among families with children under five years of age, expectant mothers and other vulnerable segments of the population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{"citationItems":[{"id":"ITEM-1","itemData":{"DOI":"ISSN 2071-0992","ISBN":"9789251073339","abstract":"Bioenergy developments are high on many countries’ agendas today in an effort to improve energy access, energy security and in the context of concerted efforts towards lowering global green house gas emissions. Over time, however, serious concerns on the food security impacts, social feasibility and sustainability of bioenergy have arisen, especially with first generation bioenergy. In this context FAO, with generous funding from the German Federal Ministry of Food, Agriculture and Consumer Protection (BMELV), set up the Bioenergy and Food Security (BEFS) project to assess how bioenergy developments could be implemented without hindering food security.","author":[{"dropping-particle":"","family":"Khwaja","given":"Yasmeen","non-dropping-particle":"","parse-names":false,"suffix":""}],"container-title":"FAO, Rome","id":"ITEM-1","issued":{"date-parts":[["2010"]]},"title":"Bioenergy and Food Security: The BEFS analysis for Peru","type":"report"},"uris":["http://www.mendeley.com/documents/?uuid=ca975126-5974-45a8-8a31-0689eef29f20","http://www.mendeley.com/documents/?uuid=ceacde23-de8a-40e5-94be-62082b83f39b"]}],"mendeley":{"formattedCitation":"[138]","plainTextFormattedCitation":"[138]","previouslyFormattedCitation":"[131]"},"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[138]</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5C080E0E"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6BC7B798" w14:textId="77777777" w:rsidTr="00112A90">
        <w:trPr>
          <w:cantSplit/>
          <w:trHeight w:val="290"/>
        </w:trPr>
        <w:tc>
          <w:tcPr>
            <w:tcW w:w="3471" w:type="dxa"/>
            <w:vMerge/>
          </w:tcPr>
          <w:p w14:paraId="521B90C3"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068D79E9"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7C8A96CA"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Likely important</w:t>
            </w:r>
          </w:p>
        </w:tc>
      </w:tr>
      <w:tr w:rsidR="00D5600B" w:rsidRPr="003D7162" w14:paraId="015D7214" w14:textId="77777777" w:rsidTr="00112A90">
        <w:trPr>
          <w:cantSplit/>
          <w:trHeight w:val="271"/>
        </w:trPr>
        <w:tc>
          <w:tcPr>
            <w:tcW w:w="3471" w:type="dxa"/>
            <w:vMerge w:val="restart"/>
          </w:tcPr>
          <w:p w14:paraId="67DB37E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5 x 5 x 5 campaign </w:t>
            </w:r>
          </w:p>
          <w:p w14:paraId="5FFD8D16"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(2006 – 2011) </w:t>
            </w:r>
          </w:p>
          <w:p w14:paraId="1D1A66DA" w14:textId="77777777" w:rsidR="00D5600B" w:rsidRPr="003D7162" w:rsidRDefault="00D5600B" w:rsidP="000C7ADC">
            <w:pPr>
              <w:pStyle w:val="ListParagraph"/>
              <w:spacing w:line="240" w:lineRule="auto"/>
              <w:ind w:left="360"/>
              <w:rPr>
                <w:rFonts w:ascii="Helvetica" w:hAnsi="Helvetica" w:cs="Helvetica"/>
                <w:sz w:val="20"/>
                <w:szCs w:val="20"/>
              </w:rPr>
            </w:pPr>
          </w:p>
        </w:tc>
        <w:tc>
          <w:tcPr>
            <w:tcW w:w="1388" w:type="dxa"/>
          </w:tcPr>
          <w:p w14:paraId="18E87537"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28E5856A" w14:textId="16E5E432"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5 x 5 x 5 campaign was a pledge signed by presidential candidates during the 2006 election to reduce chronic malnutrition by 5% in children under 5 years over the course of 5 years. President Alan Garcia won the election and pledged to reduce child malnutrition by 9% by focusing on children under-3 years and closing the urban-rural gap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Peru","type":"article"},"uris":["http://www.mendeley.com/documents/?uuid=9e516e41-6157-4ece-bd41-de3ed35f8a53"]},{"id":"ITEM-2","itemData":{"PMID":"20143112392","abstract":"The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Policy","id":"ITEM-2","issued":{"date-parts":[["2014"]]},"page":"26-35","title":"The politics of success in the fight against malnutrition in Peru","type":"article-journal","volume":"44"},"uris":["http://www.mendeley.com/documents/?uuid=04d4f60a-2eb7-45de-81f4-e976dd940b1f","http://www.mendeley.com/documents/?uuid=b480fafd-7062-48c0-84e9-23755a028b61"]}],"mendeley":{"formattedCitation":"[6,12]","plainTextFormattedCitation":"[6,12]","previouslyFormattedCitation":"[6,12]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[6,12]</w:t>
            </w:r>
            <w:r w:rsidRPr="003D7162">
              <w:rPr>
                <w:rFonts w:ascii="Helvetica" w:hAnsi="Helvetica" w:cs="Helvetica"/>
                <w:sz w:val="20"/>
                <w:szCs w:val="20"/>
              </w:rPr>
              <w:fldChar w:fldCharType="end"/>
            </w:r>
            <w:r w:rsidRPr="003D7162">
              <w:rPr>
                <w:rFonts w:ascii="Helvetica" w:hAnsi="Helvetica" w:cs="Helvetica"/>
                <w:sz w:val="20"/>
                <w:szCs w:val="20"/>
              </w:rPr>
              <w:t xml:space="preserve">. The 5 x 5 x 5 campaign also led to the engagement of the </w:t>
            </w:r>
            <w:r w:rsidRPr="003D7162">
              <w:rPr>
                <w:rFonts w:ascii="Helvetica" w:hAnsi="Helvetica" w:cs="Helvetica"/>
                <w:i/>
                <w:iCs/>
                <w:sz w:val="20"/>
                <w:szCs w:val="20"/>
              </w:rPr>
              <w:t>Presidentes Regionales</w:t>
            </w:r>
            <w:r w:rsidRPr="003D7162">
              <w:rPr>
                <w:rFonts w:ascii="Helvetica" w:hAnsi="Helvetica" w:cs="Helvetica"/>
                <w:iCs/>
                <w:sz w:val="20"/>
                <w:szCs w:val="20"/>
              </w:rPr>
              <w:t xml:space="preserve">, which included presidents of all 25 regions of the country, who signed the Lima Declaration on Child Malnutrition which committed them all to reducing chronic malnutrition in children by 5% by 2011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iCs/>
                <w:sz w:val="20"/>
                <w:szCs w:val="20"/>
              </w:rPr>
              <w:t>.</w:t>
            </w:r>
          </w:p>
          <w:p w14:paraId="083C0376"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6F3FD8D5" w14:textId="77777777" w:rsidTr="00112A90">
        <w:trPr>
          <w:cantSplit/>
          <w:trHeight w:val="187"/>
        </w:trPr>
        <w:tc>
          <w:tcPr>
            <w:tcW w:w="3471" w:type="dxa"/>
            <w:vMerge/>
          </w:tcPr>
          <w:p w14:paraId="78EE232F"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2C8AB9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476B0230"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bCs/>
                <w:sz w:val="20"/>
                <w:szCs w:val="20"/>
              </w:rPr>
              <w:t>Likely very important but difficult to measure</w:t>
            </w:r>
          </w:p>
        </w:tc>
      </w:tr>
      <w:tr w:rsidR="00D5600B" w:rsidRPr="003D7162" w14:paraId="008EAC71" w14:textId="77777777" w:rsidTr="00112A90">
        <w:trPr>
          <w:cantSplit/>
          <w:trHeight w:val="271"/>
        </w:trPr>
        <w:tc>
          <w:tcPr>
            <w:tcW w:w="3471" w:type="dxa"/>
            <w:vMerge w:val="restart"/>
          </w:tcPr>
          <w:p w14:paraId="7F6E44B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CRECER</w:t>
            </w:r>
          </w:p>
          <w:p w14:paraId="444ED22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(2007 – 2011) </w:t>
            </w:r>
          </w:p>
          <w:p w14:paraId="1EE132DB" w14:textId="77777777" w:rsidR="00D5600B" w:rsidRPr="003D7162" w:rsidRDefault="00D5600B" w:rsidP="000C7ADC">
            <w:pPr>
              <w:rPr>
                <w:rFonts w:ascii="Helvetica" w:eastAsiaTheme="minorHAnsi" w:hAnsi="Helvetica" w:cs="Helvetica"/>
                <w:bCs/>
                <w:color w:val="000000" w:themeColor="text1"/>
                <w:sz w:val="20"/>
                <w:szCs w:val="20"/>
                <w:shd w:val="clear" w:color="auto" w:fill="FFFFFF"/>
                <w:lang w:val="en-CA" w:eastAsia="en-US"/>
              </w:rPr>
            </w:pPr>
          </w:p>
          <w:p w14:paraId="4068CBBB" w14:textId="77777777" w:rsidR="00D5600B" w:rsidRPr="003D7162" w:rsidRDefault="00D5600B" w:rsidP="000C7ADC">
            <w:pPr>
              <w:rPr>
                <w:rFonts w:ascii="Helvetica" w:eastAsiaTheme="minorHAnsi" w:hAnsi="Helvetica" w:cs="Helvetica"/>
                <w:bCs/>
                <w:color w:val="000000" w:themeColor="text1"/>
                <w:sz w:val="20"/>
                <w:szCs w:val="20"/>
                <w:shd w:val="clear" w:color="auto" w:fill="FFFFFF"/>
                <w:lang w:val="en-CA" w:eastAsia="en-US"/>
              </w:rPr>
            </w:pPr>
          </w:p>
        </w:tc>
        <w:tc>
          <w:tcPr>
            <w:tcW w:w="1388" w:type="dxa"/>
          </w:tcPr>
          <w:p w14:paraId="0F5CAC6A"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714F0C10" w14:textId="3614E49C" w:rsidR="00D5600B" w:rsidRPr="003D7162" w:rsidRDefault="00D5600B" w:rsidP="000C7ADC">
            <w:pPr>
              <w:rPr>
                <w:rFonts w:ascii="Helvetica" w:eastAsiaTheme="minorHAnsi" w:hAnsi="Helvetica" w:cs="Helvetica"/>
                <w:color w:val="000000" w:themeColor="text1"/>
                <w:sz w:val="20"/>
                <w:szCs w:val="20"/>
                <w:lang w:val="en-CA" w:eastAsia="en-US"/>
              </w:rPr>
            </w:pPr>
            <w:r w:rsidRPr="003D7162">
              <w:rPr>
                <w:rFonts w:ascii="Helvetica" w:hAnsi="Helvetica" w:cs="Helvetica"/>
                <w:sz w:val="20"/>
                <w:szCs w:val="20"/>
              </w:rPr>
              <w:t xml:space="preserve">CRECER (“Grow”) was a comprehensive national intervention strategy for promoting, facilitating, and executing a set of poverty reduction and social inclusion programs, combining several initiatives to be managed under the guidance of the Prime Minister’s Office. The program was focused on spending in the poorest communities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w:t>
            </w:r>
            <w:r w:rsidRPr="003D7162">
              <w:rPr>
                <w:rFonts w:ascii="Helvetica" w:hAnsi="Helvetica" w:cs="Helvetica"/>
                <w:sz w:val="20"/>
                <w:szCs w:val="20"/>
              </w:rPr>
              <w:fldChar w:fldCharType="end"/>
            </w:r>
            <w:r w:rsidRPr="003D7162">
              <w:rPr>
                <w:rFonts w:ascii="Helvetica" w:hAnsi="Helvetica" w:cs="Helvetica"/>
                <w:sz w:val="20"/>
                <w:szCs w:val="20"/>
              </w:rPr>
              <w:t xml:space="preserve">. Initially, CRECER began in just 200 of the 1800 districts in Peru. However by 2011, CRECER existed in approximately 900 districts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James","non-dropping-particle":"","parse-names":false,"suffix":""},{"dropping-particle":"","family":"Balarajan","given":"Yarlini","non-dropping-particle":"","parse-names":false,"suffix":""}],"id":"ITEM-1","issued":{"date-parts":[["2013"]]},"note":"Aviva abstracted","publisher-place":"New York","title":"Adressing Malnutrition Multisectorally: What have we learned from recent international experience?","type":"report"},"uris":["http://www.mendeley.com/documents/?uuid=83d4e79f-85a9-4c17-a167-da4ccff04b58"]}],"mendeley":{"formattedCitation":"[33]","plainTextFormattedCitation":"[33]","previouslyFormattedCitation":"[33]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[33]</w:t>
            </w:r>
            <w:r w:rsidRPr="003D7162">
              <w:rPr>
                <w:rFonts w:ascii="Helvetica" w:hAnsi="Helvetica" w:cs="Helvetica"/>
                <w:sz w:val="20"/>
                <w:szCs w:val="20"/>
              </w:rPr>
              <w:fldChar w:fldCharType="end"/>
            </w:r>
            <w:r w:rsidRPr="003D7162">
              <w:rPr>
                <w:rFonts w:ascii="Helvetica" w:hAnsi="Helvetica" w:cs="Helvetica"/>
                <w:sz w:val="20"/>
                <w:szCs w:val="20"/>
              </w:rPr>
              <w:t xml:space="preserve">. This program was not explicitly mentioned in our qualitative analyses, but findings from the literature show that the program was successful as it resulted in a shift in government thinking towards nutrition, food security, and chronic malnutrition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bCs/>
                <w:sz w:val="20"/>
                <w:szCs w:val="20"/>
              </w:rPr>
              <w:t xml:space="preserve">. </w:t>
            </w:r>
            <w:r w:rsidRPr="003D7162">
              <w:rPr>
                <w:rFonts w:ascii="Helvetica" w:hAnsi="Helvetica" w:cs="Helvetica"/>
                <w:sz w:val="20"/>
                <w:szCs w:val="20"/>
              </w:rPr>
              <w:t xml:space="preserve"> In addition, it led to the establishment of Incluir para crecer which is still in place today and focuses on improved health and nutrition across the lifespan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 Therefore, Given CRECER's function as a consolidation of programs and re-prioritization of funding (including JUNTOS), it was likely effective at streamlining focus to important target areas and thus reduced poverty and in turn, may have improved nutrition.</w:t>
            </w:r>
          </w:p>
        </w:tc>
      </w:tr>
      <w:tr w:rsidR="00D5600B" w:rsidRPr="003D7162" w14:paraId="3785020E" w14:textId="77777777" w:rsidTr="00112A90">
        <w:trPr>
          <w:cantSplit/>
          <w:trHeight w:val="416"/>
        </w:trPr>
        <w:tc>
          <w:tcPr>
            <w:tcW w:w="3471" w:type="dxa"/>
            <w:vMerge/>
          </w:tcPr>
          <w:p w14:paraId="7C7A0A71"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70EF955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324260B6"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Important as consolidation of several nutrition-focused initiatives </w:t>
            </w:r>
          </w:p>
        </w:tc>
      </w:tr>
      <w:tr w:rsidR="00D5600B" w:rsidRPr="003D7162" w14:paraId="54551B7F" w14:textId="77777777" w:rsidTr="00112A90">
        <w:trPr>
          <w:cantSplit/>
          <w:trHeight w:val="256"/>
        </w:trPr>
        <w:tc>
          <w:tcPr>
            <w:tcW w:w="3471" w:type="dxa"/>
            <w:vMerge w:val="restart"/>
          </w:tcPr>
          <w:p w14:paraId="04ACA80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Maternal-Neonatal Strategic Program (2007 – present) </w:t>
            </w:r>
          </w:p>
          <w:p w14:paraId="6EB7FA2C" w14:textId="77777777" w:rsidR="00D5600B" w:rsidRPr="003D7162" w:rsidRDefault="00D5600B" w:rsidP="000C7ADC">
            <w:pPr>
              <w:rPr>
                <w:rFonts w:ascii="Helvetica" w:eastAsiaTheme="minorHAnsi" w:hAnsi="Helvetica" w:cs="Helvetica"/>
                <w:bCs/>
                <w:color w:val="000000" w:themeColor="text1"/>
                <w:sz w:val="20"/>
                <w:szCs w:val="20"/>
                <w:shd w:val="clear" w:color="auto" w:fill="FFFFFF"/>
                <w:lang w:val="en-CA" w:eastAsia="en-US"/>
              </w:rPr>
            </w:pPr>
          </w:p>
        </w:tc>
        <w:tc>
          <w:tcPr>
            <w:tcW w:w="1388" w:type="dxa"/>
          </w:tcPr>
          <w:p w14:paraId="23056911"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219C670D" w14:textId="4DC40F9A"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Maternal-Neonatal Strategic Program was created with the intention of addressing the need for universal attention to child and adolescent health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Finanzas.","given":"","non-dropping-particle":"","parse-names":false,"suffix":""}],"id":"ITEM-1","issued":{"date-parts":[["0"]]},"publisher-place":"Lima, Peru","title":"Programa Estrategico Salud Materno Neonatal","type":"report"},"uris":["http://www.mendeley.com/documents/?uuid=ff985575-60d4-4d18-81db-87682ebef375","http://www.mendeley.com/documents/?uuid=59c2e8a0-c95b-4c3b-80ff-6b7b3c89842c"]}],"mendeley":{"formattedCitation":"[139]","plainTextFormattedCitation":"[139]","previouslyFormattedCitation":"[132]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[139]</w:t>
            </w:r>
            <w:r w:rsidRPr="003D7162">
              <w:rPr>
                <w:rFonts w:ascii="Helvetica" w:hAnsi="Helvetica" w:cs="Helvetica"/>
                <w:sz w:val="20"/>
                <w:szCs w:val="20"/>
              </w:rPr>
              <w:fldChar w:fldCharType="end"/>
            </w:r>
            <w:r w:rsidRPr="003D7162">
              <w:rPr>
                <w:rFonts w:ascii="Helvetica" w:hAnsi="Helvetica" w:cs="Helvetica"/>
                <w:sz w:val="20"/>
                <w:szCs w:val="20"/>
              </w:rPr>
              <w:t>. This program focuses on providing family planning services, offering quality prenatal care, identifying risk factors in expectant mothers and ensuring delivery and care of newborns is performed by qualified health personnel</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Finanzas.","given":"","non-dropping-particle":"","parse-names":false,"suffix":""}],"id":"ITEM-1","issued":{"date-parts":[["0"]]},"publisher-place":"Lima, Peru","title":"Programa Estrategico Salud Materno Neonatal","type":"report"},"uris":["http://www.mendeley.com/documents/?uuid=59c2e8a0-c95b-4c3b-80ff-6b7b3c89842c","http://www.mendeley.com/documents/?uuid=ff985575-60d4-4d18-81db-87682ebef375"]}],"mendeley":{"formattedCitation":"[139]","plainTextFormattedCitation":"[139]","previouslyFormattedCitation":"[132]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[139]</w:t>
            </w:r>
            <w:r w:rsidRPr="003D7162">
              <w:rPr>
                <w:rFonts w:ascii="Helvetica" w:hAnsi="Helvetica" w:cs="Helvetica"/>
                <w:sz w:val="20"/>
                <w:szCs w:val="20"/>
              </w:rPr>
              <w:fldChar w:fldCharType="end"/>
            </w:r>
            <w:r w:rsidRPr="003D7162">
              <w:rPr>
                <w:rFonts w:ascii="Helvetica" w:hAnsi="Helvetica" w:cs="Helvetica"/>
                <w:sz w:val="20"/>
                <w:szCs w:val="20"/>
              </w:rPr>
              <w:t xml:space="preserve">.  The program strengthened the basic obstetric care services as well as access and availability of safe blood for delivery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Finanzas.","given":"","non-dropping-particle":"","parse-names":false,"suffix":""}],"id":"ITEM-1","issued":{"date-parts":[["0"]]},"publisher-place":"Lima, Peru","title":"Programa Estrategico Salud Materno Neonatal","type":"report"},"uris":["http://www.mendeley.com/documents/?uuid=59c2e8a0-c95b-4c3b-80ff-6b7b3c89842c","http://www.mendeley.com/documents/?uuid=ff985575-60d4-4d18-81db-87682ebef375"]}],"mendeley":{"formattedCitation":"[139]","plainTextFormattedCitation":"[139]","previouslyFormattedCitation":"[132]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[139]</w:t>
            </w:r>
            <w:r w:rsidRPr="003D7162">
              <w:rPr>
                <w:rFonts w:ascii="Helvetica" w:hAnsi="Helvetica" w:cs="Helvetica"/>
                <w:sz w:val="20"/>
                <w:szCs w:val="20"/>
              </w:rPr>
              <w:fldChar w:fldCharType="end"/>
            </w:r>
            <w:r w:rsidRPr="003D7162">
              <w:rPr>
                <w:rFonts w:ascii="Helvetica" w:hAnsi="Helvetica" w:cs="Helvetica"/>
                <w:sz w:val="20"/>
                <w:szCs w:val="20"/>
              </w:rPr>
              <w:t xml:space="preserve">. This program also provided funding towards Comprehensive Health Insurance (SIS) to increase coverage for women and children and increased the budget for the operation and equipment of neonatal intensive care units across the country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Finanzas.","given":"","non-dropping-particle":"","parse-names":false,"suffix":""}],"id":"ITEM-1","issued":{"date-parts":[["0"]]},"publisher-place":"Lima, Peru","title":"Programa Estrategico Salud Materno Neonatal","type":"report"},"uris":["http://www.mendeley.com/documents/?uuid=59c2e8a0-c95b-4c3b-80ff-6b7b3c89842c","http://www.mendeley.com/documents/?uuid=ff985575-60d4-4d18-81db-87682ebef375"]}],"mendeley":{"formattedCitation":"[139]","plainTextFormattedCitation":"[139]","previouslyFormattedCitation":"[132]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[139]</w:t>
            </w:r>
            <w:r w:rsidRPr="003D7162">
              <w:rPr>
                <w:rFonts w:ascii="Helvetica" w:hAnsi="Helvetica" w:cs="Helvetica"/>
                <w:sz w:val="20"/>
                <w:szCs w:val="20"/>
              </w:rPr>
              <w:fldChar w:fldCharType="end"/>
            </w:r>
            <w:r w:rsidRPr="003D7162">
              <w:rPr>
                <w:rFonts w:ascii="Helvetica" w:hAnsi="Helvetica" w:cs="Helvetica"/>
                <w:sz w:val="20"/>
                <w:szCs w:val="20"/>
              </w:rPr>
              <w:t>. .</w:t>
            </w:r>
          </w:p>
          <w:p w14:paraId="082A2835"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473B917F" w14:textId="77777777" w:rsidTr="00112A90">
        <w:trPr>
          <w:cantSplit/>
          <w:trHeight w:val="304"/>
        </w:trPr>
        <w:tc>
          <w:tcPr>
            <w:tcW w:w="3471" w:type="dxa"/>
            <w:vMerge/>
          </w:tcPr>
          <w:p w14:paraId="600CB159"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1FC97D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Importance</w:t>
            </w:r>
          </w:p>
        </w:tc>
        <w:tc>
          <w:tcPr>
            <w:tcW w:w="4856" w:type="dxa"/>
          </w:tcPr>
          <w:p w14:paraId="325A249E"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Very important</w:t>
            </w:r>
          </w:p>
        </w:tc>
      </w:tr>
      <w:tr w:rsidR="00D5600B" w:rsidRPr="003D7162" w14:paraId="50F10CFE" w14:textId="77777777" w:rsidTr="00112A90">
        <w:trPr>
          <w:cantSplit/>
          <w:trHeight w:val="95"/>
        </w:trPr>
        <w:tc>
          <w:tcPr>
            <w:tcW w:w="3471" w:type="dxa"/>
            <w:vMerge w:val="restart"/>
          </w:tcPr>
          <w:p w14:paraId="534995A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Articulated Nutrition Program </w:t>
            </w:r>
          </w:p>
          <w:p w14:paraId="48FEB2FB" w14:textId="77777777" w:rsidR="00D5600B" w:rsidRPr="003D7162" w:rsidRDefault="00D5600B" w:rsidP="000C7ADC">
            <w:pPr>
              <w:rPr>
                <w:rFonts w:ascii="Helvetica" w:hAnsi="Helvetica" w:cs="Helvetica"/>
                <w:iCs/>
                <w:sz w:val="20"/>
                <w:szCs w:val="20"/>
              </w:rPr>
            </w:pPr>
            <w:r w:rsidRPr="003D7162">
              <w:rPr>
                <w:rFonts w:ascii="Helvetica" w:hAnsi="Helvetica" w:cs="Helvetica"/>
                <w:sz w:val="20"/>
                <w:szCs w:val="20"/>
              </w:rPr>
              <w:t>(2007 – present)</w:t>
            </w:r>
          </w:p>
        </w:tc>
        <w:tc>
          <w:tcPr>
            <w:tcW w:w="1388" w:type="dxa"/>
          </w:tcPr>
          <w:p w14:paraId="6E25316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Description</w:t>
            </w:r>
          </w:p>
        </w:tc>
        <w:tc>
          <w:tcPr>
            <w:tcW w:w="4856" w:type="dxa"/>
          </w:tcPr>
          <w:p w14:paraId="23E63888" w14:textId="76BD0D20"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The Articulated Nutrition Program (PAN)—also known as the Joint Nutritional Strategic Program—was created by the Ministry of Finance in 2008. As a part of the Results Based Budgeting, PAN uses a multi-factorial framework that targets the drivers of stunting. In 2010, PAN’s budget was increased and funds allocated towards the regions of Peru with the highest rates of malnutrition. Specifically, funds were directed towards pneumococcus and rotavirus vaccinations for children; reducing iron deficiency among children and pregnant women; and preventative health and nutrition services to ensure adequate child growth and prevention of growth faltering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Crisis","type":"book"},"uris":["http://www.mendeley.com/documents/?uuid=e0e15657-2af6-4182-a2bb-134f19b12740"]},{"id":"ITEM-2","itemData":{"abstract":"A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James","non-dropping-particle":"","parse-names":false,"suffix":""},{"dropping-particle":"","family":"Balarajan","given":"Yarlini","non-dropping-particle":"","parse-names":false,"suffix":""}],"id":"ITEM-2","issued":{"date-parts":[["2013"]]},"note":"Aviva abstracted","publisher-place":"New York","title":"Adressing Malnutrition Multisectorally: What have we learned from recent international experience?","type":"report"},"uris":["http://www.mendeley.com/documents/?uuid=83d4e79f-85a9-4c17-a167-da4ccff04b58"]}],"mendeley":{"formattedCitation":"[10,33]","plainTextFormattedCitation":"[10,33]","previouslyFormattedCitation":"[10,33]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[10,33]</w:t>
            </w:r>
            <w:r w:rsidRPr="003D7162">
              <w:rPr>
                <w:rFonts w:ascii="Helvetica" w:hAnsi="Helvetica" w:cs="Helvetica"/>
                <w:sz w:val="20"/>
                <w:szCs w:val="20"/>
              </w:rPr>
              <w:fldChar w:fldCharType="end"/>
            </w:r>
            <w:r w:rsidRPr="003D7162">
              <w:rPr>
                <w:rFonts w:ascii="Helvetica" w:hAnsi="Helvetica" w:cs="Helvetica"/>
                <w:sz w:val="20"/>
                <w:szCs w:val="20"/>
              </w:rPr>
              <w:t xml:space="preserve">. PAN also seeks to improve operational capacity (e.g. human resources, supplies, medicines and equipment) in order to address diarrhea and respiratory infections in children, and to increase the allocation of funds for children’s healthcare coverage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7208d635-0cff-4685-b1f1-d9bd0b706e82","http://www.mendeley.com/documents/?uuid=49179fae-7ed1-4321-9a71-78a542fa957f"]}],"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 xml:space="preserve">. Additionally, the program implemented the dispersion of education, information and communication services aimed at families, schools and communities in order to improve hygiene practices in food preparation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49179fae-7ed1-4321-9a71-78a542fa957f","http://www.mendeley.com/documents/?uuid=7208d635-0cff-4685-b1f1-d9bd0b706e82"]}],"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 xml:space="preserve">.There was also training for mothers (e.g. counseling, demonstration sessions and educational sessions) on exclusive breastfeeding, child feeding and care for sick children, all through the Growth and Development Control (CRED) program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49179fae-7ed1-4321-9a71-78a542fa957f","http://www.mendeley.com/documents/?uuid=7208d635-0cff-4685-b1f1-d9bd0b706e82"]}],"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 xml:space="preserve">.Surveillance and improvements to the quality of drinking water through chlorification were undertaken as well as improvements in waste removal and development of water and basic sanitation projects for rural áreas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49179fae-7ed1-4321-9a71-78a542fa957f","http://www.mendeley.com/documents/?uuid=7208d635-0cff-4685-b1f1-d9bd0b706e82"]}],"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 xml:space="preserve">. This program also included the delivery of materials to reduce intra-household pollution as well as provide supplementation of particular micronutrients (i.e. ferrous sulfate and Vitamin A)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49179fae-7ed1-4321-9a71-78a542fa957f","http://www.mendeley.com/documents/?uuid=7208d635-0cff-4685-b1f1-d9bd0b706e82"]}],"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52137EB7" w14:textId="77777777" w:rsidR="00D5600B" w:rsidRPr="003D7162" w:rsidRDefault="00D5600B" w:rsidP="000C7ADC">
            <w:pPr>
              <w:rPr>
                <w:rFonts w:ascii="Helvetica" w:hAnsi="Helvetica" w:cs="Helvetica"/>
                <w:color w:val="000000" w:themeColor="text1"/>
                <w:sz w:val="20"/>
                <w:szCs w:val="20"/>
              </w:rPr>
            </w:pPr>
          </w:p>
        </w:tc>
      </w:tr>
      <w:tr w:rsidR="00D5600B" w:rsidRPr="003D7162" w14:paraId="4FFBEDF7" w14:textId="77777777" w:rsidTr="00112A90">
        <w:trPr>
          <w:cantSplit/>
          <w:trHeight w:val="95"/>
        </w:trPr>
        <w:tc>
          <w:tcPr>
            <w:tcW w:w="3471" w:type="dxa"/>
            <w:vMerge/>
          </w:tcPr>
          <w:p w14:paraId="4A8C564C" w14:textId="77777777" w:rsidR="00D5600B" w:rsidRPr="003D7162" w:rsidRDefault="00D5600B" w:rsidP="000C7ADC">
            <w:pPr>
              <w:rPr>
                <w:rFonts w:ascii="Helvetica" w:eastAsiaTheme="minorHAnsi" w:hAnsi="Helvetica" w:cs="Helvetica"/>
                <w:iCs/>
                <w:sz w:val="20"/>
                <w:szCs w:val="20"/>
                <w:lang w:val="en-CA" w:eastAsia="en-US"/>
              </w:rPr>
            </w:pPr>
          </w:p>
        </w:tc>
        <w:tc>
          <w:tcPr>
            <w:tcW w:w="1388" w:type="dxa"/>
          </w:tcPr>
          <w:p w14:paraId="04D77C47"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Importance</w:t>
            </w:r>
          </w:p>
        </w:tc>
        <w:tc>
          <w:tcPr>
            <w:tcW w:w="4856" w:type="dxa"/>
          </w:tcPr>
          <w:p w14:paraId="59C75B06"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Very important</w:t>
            </w:r>
          </w:p>
        </w:tc>
      </w:tr>
      <w:tr w:rsidR="00D5600B" w:rsidRPr="003D7162" w14:paraId="1BF7B96B" w14:textId="77777777" w:rsidTr="00112A90">
        <w:trPr>
          <w:cantSplit/>
          <w:trHeight w:val="70"/>
        </w:trPr>
        <w:tc>
          <w:tcPr>
            <w:tcW w:w="3471" w:type="dxa"/>
            <w:vMerge w:val="restart"/>
          </w:tcPr>
          <w:p w14:paraId="0EE4EF14"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Implementation of the Universal Healthcare Commitment</w:t>
            </w:r>
          </w:p>
          <w:p w14:paraId="7FB49DA4"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 (2009 – present)</w:t>
            </w:r>
          </w:p>
        </w:tc>
        <w:tc>
          <w:tcPr>
            <w:tcW w:w="1388" w:type="dxa"/>
          </w:tcPr>
          <w:p w14:paraId="4F109271"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Description</w:t>
            </w:r>
          </w:p>
        </w:tc>
        <w:tc>
          <w:tcPr>
            <w:tcW w:w="4856" w:type="dxa"/>
          </w:tcPr>
          <w:p w14:paraId="49CEC840" w14:textId="555FCEEC"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This program refers to a set of actions that took place to fulfill the commitment of Universal Health Insurance (AUS) in Peru. In 2009, the Universal Health Insurance Framework Law was approved, guaranteeing all Peruvians the ability to access health and disease interventions regardless of their wealth  status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uthor":[{"dropping-particle":"","family":"PAHO","given":"","non-dropping-particle":"","parse-names":false,"suffix":""}],"container-title":"Health in Americas","id":"ITEM-2","issued":{"date-parts":[["2012"]]},"note":"Aviva abstracted","title":"Peru","type":"article-journal"},"uris":["http://www.mendeley.com/documents/?uuid=d0867051-e83a-401f-b676-33b7e716d3b1","http://www.mendeley.com/documents/?uuid=00d77d26-26b4-4b05-a8c7-892f9a6b55dd"]}],"mendeley":{"formattedCitation":"[93,141]","plainTextFormattedCitation":"[93,141]","previouslyFormattedCitation":"[93,134]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[93,141]</w:t>
            </w:r>
            <w:r w:rsidRPr="003D7162">
              <w:rPr>
                <w:rFonts w:ascii="Helvetica" w:hAnsi="Helvetica" w:cs="Helvetica"/>
                <w:sz w:val="20"/>
                <w:szCs w:val="20"/>
              </w:rPr>
              <w:fldChar w:fldCharType="end"/>
            </w:r>
            <w:r w:rsidRPr="003D7162">
              <w:rPr>
                <w:rFonts w:ascii="Helvetica" w:hAnsi="Helvetica" w:cs="Helvetica"/>
                <w:sz w:val="20"/>
                <w:szCs w:val="20"/>
              </w:rPr>
              <w:t xml:space="preserve"> . More information on the Universal Health Commitment can be found above. </w:t>
            </w:r>
          </w:p>
          <w:p w14:paraId="1CE518DE" w14:textId="77777777" w:rsidR="00D5600B" w:rsidRPr="003D7162" w:rsidRDefault="00D5600B" w:rsidP="000C7ADC">
            <w:pPr>
              <w:rPr>
                <w:rFonts w:ascii="Helvetica" w:hAnsi="Helvetica" w:cs="Helvetica"/>
                <w:color w:val="000000" w:themeColor="text1"/>
                <w:sz w:val="20"/>
                <w:szCs w:val="20"/>
              </w:rPr>
            </w:pPr>
          </w:p>
        </w:tc>
      </w:tr>
      <w:tr w:rsidR="00D5600B" w:rsidRPr="003D7162" w14:paraId="67504A94" w14:textId="77777777" w:rsidTr="00112A90">
        <w:trPr>
          <w:cantSplit/>
          <w:trHeight w:val="283"/>
        </w:trPr>
        <w:tc>
          <w:tcPr>
            <w:tcW w:w="3471" w:type="dxa"/>
            <w:vMerge/>
          </w:tcPr>
          <w:p w14:paraId="0990FD44"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1A50C072"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Importance</w:t>
            </w:r>
          </w:p>
        </w:tc>
        <w:tc>
          <w:tcPr>
            <w:tcW w:w="4856" w:type="dxa"/>
          </w:tcPr>
          <w:p w14:paraId="26F3855F"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Likely important</w:t>
            </w:r>
          </w:p>
        </w:tc>
      </w:tr>
      <w:tr w:rsidR="00D5600B" w:rsidRPr="003D7162" w14:paraId="614804B9" w14:textId="77777777" w:rsidTr="00112A90">
        <w:trPr>
          <w:cantSplit/>
          <w:trHeight w:val="70"/>
        </w:trPr>
        <w:tc>
          <w:tcPr>
            <w:tcW w:w="3471" w:type="dxa"/>
            <w:vMerge w:val="restart"/>
          </w:tcPr>
          <w:p w14:paraId="0E49EB08"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Incluir para crecer (CRECER II)</w:t>
            </w:r>
          </w:p>
          <w:p w14:paraId="44CA4E86"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 (2011 – present) </w:t>
            </w:r>
          </w:p>
          <w:p w14:paraId="2033427F" w14:textId="77777777" w:rsidR="00D5600B" w:rsidRPr="003D7162" w:rsidRDefault="00D5600B" w:rsidP="000C7ADC">
            <w:pPr>
              <w:rPr>
                <w:rFonts w:ascii="Helvetica" w:hAnsi="Helvetica" w:cs="Helvetica"/>
                <w:sz w:val="20"/>
                <w:szCs w:val="20"/>
              </w:rPr>
            </w:pPr>
          </w:p>
        </w:tc>
        <w:tc>
          <w:tcPr>
            <w:tcW w:w="1388" w:type="dxa"/>
          </w:tcPr>
          <w:p w14:paraId="698AD77A"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Description</w:t>
            </w:r>
          </w:p>
        </w:tc>
        <w:tc>
          <w:tcPr>
            <w:tcW w:w="4856" w:type="dxa"/>
          </w:tcPr>
          <w:p w14:paraId="0E795F41" w14:textId="15491B9D"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Incluir para crecer </w:t>
            </w:r>
            <w:r w:rsidRPr="003D7162">
              <w:rPr>
                <w:rFonts w:ascii="Helvetica" w:hAnsi="Helvetica" w:cs="Helvetica"/>
                <w:bCs/>
                <w:sz w:val="20"/>
                <w:szCs w:val="20"/>
              </w:rPr>
              <w:t>evolved from the earlier CRECER program (</w:t>
            </w:r>
            <w:r w:rsidRPr="003D7162">
              <w:rPr>
                <w:rFonts w:ascii="Helvetica" w:hAnsi="Helvetica" w:cs="Helvetica"/>
                <w:sz w:val="20"/>
                <w:szCs w:val="20"/>
              </w:rPr>
              <w:t xml:space="preserve">2007–2011) </w:t>
            </w:r>
            <w:r w:rsidRPr="003D7162">
              <w:rPr>
                <w:rFonts w:ascii="Helvetica" w:hAnsi="Helvetica" w:cs="Helvetica"/>
                <w:bCs/>
                <w:sz w:val="20"/>
                <w:szCs w:val="20"/>
              </w:rPr>
              <w:t xml:space="preserve">with an ambitious  goal of reducing chronic malnutrition by 13% over a 5 year period through a lifecycle approach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[10]</w:t>
            </w:r>
            <w:r w:rsidRPr="003D7162">
              <w:rPr>
                <w:rFonts w:ascii="Helvetica" w:hAnsi="Helvetica" w:cs="Helvetica"/>
                <w:bCs/>
                <w:sz w:val="20"/>
                <w:szCs w:val="20"/>
              </w:rPr>
              <w:fldChar w:fldCharType="end"/>
            </w:r>
            <w:r w:rsidRPr="003D7162">
              <w:rPr>
                <w:rFonts w:ascii="Helvetica" w:hAnsi="Helvetica" w:cs="Helvetica"/>
                <w:bCs/>
                <w:sz w:val="20"/>
                <w:szCs w:val="20"/>
              </w:rPr>
              <w:t xml:space="preserve">. The new program </w:t>
            </w:r>
            <w:r w:rsidRPr="003D7162">
              <w:rPr>
                <w:rFonts w:ascii="Helvetica" w:hAnsi="Helvetica" w:cs="Helvetica"/>
                <w:sz w:val="20"/>
                <w:szCs w:val="20"/>
              </w:rPr>
              <w:t xml:space="preserve">aims to reduce health gaps and provide interventions for at-risk and vulnerable populations in Peru. It differs from the original CRECER program by targeting the entire lifespan (early infancy through old age), and by harmonizing various government programs. Another difference between Incluir para crecer and CRECER is that the new program includes a focus on five additional health outcomes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 xml:space="preserve">. It is a national-level program that targets 4.8 million people living in mostly urban or marginalized areas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{"citationItems":[{"id":"ITEM-1","itemData":{"abstract":"El MIDIS apuesta por reducir la pobreza y promover el desarrollo y la inclusión social interviniendo simultáneamente en tres horizontes temporales complementarios. En ese sentido, la intervención enfocada en el corto plazo – expresada en medi-das de alivio a la pobreza extrema – es necesaria, pero no suficiente. Para impactar en el mediano plazo, es fundamental intervenir promoviendo oportunidades económicas y la inversión en infraestructura básica. Además, para el largo plazo, es prioritario generar oportunidades para la siguiente generación, con énfasis en la reducción de la desnutrición crónica infantil (DCI), la promoción del desarrollo infantil temprano (DIT) y el desarrollo integral de la niñez y la adolescencia. Todas estas intervenciones están enfocadas principalmente en la población en proceso de desarrollo e inclusión social, partiendo del principio orientador del MIDIS de articular una política de desarrollo e inclusión social desde las personas y para las perso-nas. El MIDIS ejerce hoy la rectoría de la política de desarrollo e inclusión social del país. En ese sentido, el Ministerio cuenta con diversos instrumentos que le permiten ejercer esta responsabilidad siguiendo los criterios y procedimientos de gestión de la política pública. Esta tarea se enmarca en la implementación del Sistema Nacional de Desarrollo e Inclusión Social (SINA-DIS), donde se explicitan las \" reglas de juego \" de la política de desarrollo e inclusión social. El SINADIS es un sistema funcio-nal encargado de asegurar el cumplimiento de las políticas públicas que orientan la intervención del Estado destinadas a reducir la pobreza, las desigualdades, las vulnerabilidades y los riesgos sociales. El MIDIS ejerce esta rectoría promoviendo la articulación de la política de desarrollo e inclusión social, que enlaza esfuerzos intergubernamentales e intersectoriales. En el marco de operación del SINADIS, el MIDIS ha elaborado la Estrategia Nacional de Desarrollo e Inclusión Social \" Crecer para Incluir \" (en adelante, la Estrategia), como un instrumento de gestión que sirve de documento marco para organizar las intervenciones que vienen desarrollando los actores del sistema en torno a resultados y metas comunes. En el marco de operación del SINADIS, el MIDIS ha elaborado la Estrategia Nacional de Desarrollo e Inclusión Social \" Crecer para Incluir \" (en adelante, la Estrategia), como un instrumento de gestión que sirve de documento marco para organizar las intervenciones que vi…","author":[{"dropping-particle":"","family":"Ministerio de Desarrollo e Inclusion Social","given":"","non-dropping-particle":"","parse-names":false,"suffix":""}],"id":"ITEM-1","issued":{"date-parts":[["0"]]},"publisher-place":"Lima, Peru","title":"ESTRATEGIA NACIONAL DE DESARROLLO E INCLUSIÓN SOCIAL: INCLUIR PARA CRECER","type":"report"},"uris":["http://www.mendeley.com/documents/?uuid=ddd7795c-c6ec-4451-a98c-f159ad9b3aab","http://www.mendeley.com/documents/?uuid=69fa232c-8a6c-4476-8a4f-9c2a354ea16a"]}],"mendeley":{"formattedCitation":"[142]","plainTextFormattedCitation":"[142]","previouslyFormattedCitation":"[135]"},"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[142]</w:t>
            </w:r>
            <w:r w:rsidRPr="003D7162">
              <w:rPr>
                <w:rFonts w:ascii="Helvetica" w:hAnsi="Helvetica" w:cs="Helvetica"/>
                <w:sz w:val="20"/>
                <w:szCs w:val="20"/>
              </w:rPr>
              <w:fldChar w:fldCharType="end"/>
            </w:r>
            <w:r w:rsidRPr="003D7162">
              <w:rPr>
                <w:rFonts w:ascii="Helvetica" w:hAnsi="Helvetica" w:cs="Helvetica"/>
                <w:i/>
                <w:sz w:val="20"/>
                <w:szCs w:val="20"/>
              </w:rPr>
              <w:t xml:space="preserve">. </w:t>
            </w:r>
            <w:r w:rsidRPr="003D7162">
              <w:rPr>
                <w:rFonts w:ascii="Helvetica" w:hAnsi="Helvetica" w:cs="Helvetica"/>
                <w:bCs/>
                <w:sz w:val="20"/>
                <w:szCs w:val="20"/>
              </w:rPr>
              <w:t xml:space="preserve">Unfortunately data on the association between stunting and Incluir para crecer was unavailable in both the literature review and in the qualitative report. </w:t>
            </w:r>
          </w:p>
        </w:tc>
      </w:tr>
      <w:tr w:rsidR="00D5600B" w:rsidRPr="003D7162" w14:paraId="75229A64" w14:textId="77777777" w:rsidTr="00112A90">
        <w:trPr>
          <w:cantSplit/>
          <w:trHeight w:val="70"/>
        </w:trPr>
        <w:tc>
          <w:tcPr>
            <w:tcW w:w="3471" w:type="dxa"/>
            <w:vMerge/>
          </w:tcPr>
          <w:p w14:paraId="22EA0B52" w14:textId="77777777" w:rsidR="00D5600B" w:rsidRPr="003D7162" w:rsidRDefault="00D5600B" w:rsidP="000C7ADC">
            <w:pPr>
              <w:rPr>
                <w:rFonts w:ascii="Helvetica" w:hAnsi="Helvetica" w:cs="Helvetica"/>
                <w:sz w:val="20"/>
                <w:szCs w:val="20"/>
              </w:rPr>
            </w:pPr>
          </w:p>
        </w:tc>
        <w:tc>
          <w:tcPr>
            <w:tcW w:w="1388" w:type="dxa"/>
          </w:tcPr>
          <w:p w14:paraId="07C101AA"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Importance</w:t>
            </w:r>
          </w:p>
        </w:tc>
        <w:tc>
          <w:tcPr>
            <w:tcW w:w="4856" w:type="dxa"/>
          </w:tcPr>
          <w:p w14:paraId="12698511"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Likely important</w:t>
            </w:r>
          </w:p>
        </w:tc>
      </w:tr>
    </w:tbl>
    <w:p w14:paraId="4B89D787" w14:textId="77777777" w:rsidR="00D5600B" w:rsidRPr="003D7162" w:rsidRDefault="00D5600B" w:rsidP="000C7ADC">
      <w:pPr>
        <w:rPr>
          <w:rFonts w:ascii="Helvetica" w:hAnsi="Helvetica" w:cs="Helvetica"/>
          <w:lang w:val="en-US"/>
        </w:rPr>
      </w:pPr>
    </w:p>
    <w:p w14:paraId="680F93E7" w14:textId="711BFD1F" w:rsidR="00D5600B" w:rsidRDefault="00D5600B" w:rsidP="000C7ADC">
      <w:pPr>
        <w:rPr>
          <w:rFonts w:ascii="Helvetica" w:hAnsi="Helvetica" w:cs="Helvetica"/>
          <w:lang w:val="en-US"/>
        </w:rPr>
      </w:pPr>
    </w:p>
    <w:p w14:paraId="59CA8D44" w14:textId="4A9A3F0C" w:rsidR="00112A90" w:rsidRDefault="00112A90" w:rsidP="000C7ADC">
      <w:pPr>
        <w:rPr>
          <w:rFonts w:ascii="Helvetica" w:hAnsi="Helvetica" w:cs="Helvetica"/>
          <w:lang w:val="en-US"/>
        </w:rPr>
      </w:pPr>
    </w:p>
    <w:p w14:paraId="1A7184EE" w14:textId="4A9FE60A" w:rsidR="00112A90" w:rsidRDefault="00112A90" w:rsidP="000C7ADC">
      <w:pPr>
        <w:rPr>
          <w:rFonts w:ascii="Helvetica" w:hAnsi="Helvetica" w:cs="Helvetica"/>
          <w:lang w:val="en-US"/>
        </w:rPr>
      </w:pPr>
    </w:p>
    <w:p w14:paraId="7348E24D" w14:textId="1C9C8AD8" w:rsidR="00112A90" w:rsidRDefault="00112A90" w:rsidP="000C7ADC">
      <w:pPr>
        <w:rPr>
          <w:rFonts w:ascii="Helvetica" w:hAnsi="Helvetica" w:cs="Helvetica"/>
          <w:lang w:val="en-US"/>
        </w:rPr>
      </w:pPr>
    </w:p>
    <w:p w14:paraId="3C8754EA" w14:textId="7906288A" w:rsidR="00112A90" w:rsidRDefault="00112A90" w:rsidP="000C7ADC">
      <w:pPr>
        <w:rPr>
          <w:rFonts w:ascii="Helvetica" w:hAnsi="Helvetica" w:cs="Helvetica"/>
          <w:lang w:val="en-US"/>
        </w:rPr>
      </w:pPr>
    </w:p>
    <w:p w14:paraId="7C4E3F9F" w14:textId="36499E2F" w:rsidR="00112A90" w:rsidRDefault="00112A90" w:rsidP="000C7ADC">
      <w:pPr>
        <w:rPr>
          <w:rFonts w:ascii="Helvetica" w:hAnsi="Helvetica" w:cs="Helvetica"/>
          <w:lang w:val="en-US"/>
        </w:rPr>
      </w:pPr>
    </w:p>
    <w:p w14:paraId="414650C2" w14:textId="3F31F1FD" w:rsidR="00112A90" w:rsidRDefault="00112A90" w:rsidP="000C7ADC">
      <w:pPr>
        <w:rPr>
          <w:rFonts w:ascii="Helvetica" w:hAnsi="Helvetica" w:cs="Helvetica"/>
          <w:lang w:val="en-US"/>
        </w:rPr>
      </w:pPr>
    </w:p>
    <w:p w14:paraId="7A1D3C84" w14:textId="3399389B" w:rsidR="00112A90" w:rsidRDefault="00112A90" w:rsidP="000C7ADC">
      <w:pPr>
        <w:rPr>
          <w:rFonts w:ascii="Helvetica" w:hAnsi="Helvetica" w:cs="Helvetica"/>
          <w:lang w:val="en-US"/>
        </w:rPr>
      </w:pPr>
    </w:p>
    <w:p w14:paraId="181D55D2" w14:textId="5FBAABEB" w:rsidR="00112A90" w:rsidRDefault="00112A90" w:rsidP="000C7ADC">
      <w:pPr>
        <w:rPr>
          <w:rFonts w:ascii="Helvetica" w:hAnsi="Helvetica" w:cs="Helvetica"/>
          <w:lang w:val="en-US"/>
        </w:rPr>
      </w:pPr>
    </w:p>
    <w:p w14:paraId="17622FC3" w14:textId="317A7B70" w:rsidR="00112A90" w:rsidRDefault="00112A90" w:rsidP="000C7ADC">
      <w:pPr>
        <w:rPr>
          <w:rFonts w:ascii="Helvetica" w:hAnsi="Helvetica" w:cs="Helvetica"/>
          <w:lang w:val="en-US"/>
        </w:rPr>
      </w:pPr>
    </w:p>
    <w:p w14:paraId="42DE5892" w14:textId="1080BE4D" w:rsidR="00112A90" w:rsidRDefault="00112A90" w:rsidP="000C7ADC">
      <w:pPr>
        <w:rPr>
          <w:rFonts w:ascii="Helvetica" w:hAnsi="Helvetica" w:cs="Helvetica"/>
          <w:lang w:val="en-US"/>
        </w:rPr>
      </w:pPr>
    </w:p>
    <w:p w14:paraId="361143C0" w14:textId="6A2FA5A8" w:rsidR="00112A90" w:rsidRDefault="00112A90" w:rsidP="000C7ADC">
      <w:pPr>
        <w:rPr>
          <w:rFonts w:ascii="Helvetica" w:hAnsi="Helvetica" w:cs="Helvetica"/>
          <w:lang w:val="en-US"/>
        </w:rPr>
      </w:pPr>
    </w:p>
    <w:p w14:paraId="40F30210" w14:textId="6DE9E688" w:rsidR="00112A90" w:rsidRDefault="00112A90" w:rsidP="000C7ADC">
      <w:pPr>
        <w:rPr>
          <w:rFonts w:ascii="Helvetica" w:hAnsi="Helvetica" w:cs="Helvetica"/>
          <w:lang w:val="en-US"/>
        </w:rPr>
      </w:pPr>
    </w:p>
    <w:p w14:paraId="413DCEF1" w14:textId="1D769B49" w:rsidR="00112A90" w:rsidRDefault="00112A90" w:rsidP="000C7ADC">
      <w:pPr>
        <w:rPr>
          <w:rFonts w:ascii="Helvetica" w:hAnsi="Helvetica" w:cs="Helvetica"/>
          <w:lang w:val="en-US"/>
        </w:rPr>
      </w:pPr>
    </w:p>
    <w:p w14:paraId="6A2FF41E" w14:textId="4C99E59F" w:rsidR="00112A90" w:rsidRDefault="00112A90" w:rsidP="000C7ADC">
      <w:pPr>
        <w:rPr>
          <w:rFonts w:ascii="Helvetica" w:hAnsi="Helvetica" w:cs="Helvetica"/>
          <w:lang w:val="en-US"/>
        </w:rPr>
      </w:pPr>
    </w:p>
    <w:p w14:paraId="470AE86B" w14:textId="1846EF2C" w:rsidR="00112A90" w:rsidRDefault="00112A90" w:rsidP="000C7ADC">
      <w:pPr>
        <w:rPr>
          <w:rFonts w:ascii="Helvetica" w:hAnsi="Helvetica" w:cs="Helvetica"/>
          <w:lang w:val="en-US"/>
        </w:rPr>
      </w:pPr>
    </w:p>
    <w:p w14:paraId="745235C3" w14:textId="688E52D5" w:rsidR="00112A90" w:rsidRDefault="00112A90" w:rsidP="000C7ADC">
      <w:pPr>
        <w:rPr>
          <w:rFonts w:ascii="Helvetica" w:hAnsi="Helvetica" w:cs="Helvetica"/>
          <w:lang w:val="en-US"/>
        </w:rPr>
      </w:pPr>
    </w:p>
    <w:p w14:paraId="370CB4AF" w14:textId="55846D27" w:rsidR="00112A90" w:rsidRDefault="00112A90" w:rsidP="000C7ADC">
      <w:pPr>
        <w:rPr>
          <w:rFonts w:ascii="Helvetica" w:hAnsi="Helvetica" w:cs="Helvetica"/>
          <w:lang w:val="en-US"/>
        </w:rPr>
      </w:pPr>
    </w:p>
    <w:p w14:paraId="545C47C9" w14:textId="7368CA11" w:rsidR="00112A90" w:rsidRDefault="00112A90" w:rsidP="000C7ADC">
      <w:pPr>
        <w:rPr>
          <w:rFonts w:ascii="Helvetica" w:hAnsi="Helvetica" w:cs="Helvetica"/>
          <w:lang w:val="en-US"/>
        </w:rPr>
      </w:pPr>
    </w:p>
    <w:p w14:paraId="161CEC35" w14:textId="61D4698B" w:rsidR="00112A90" w:rsidRDefault="00112A90" w:rsidP="000C7ADC">
      <w:pPr>
        <w:rPr>
          <w:rFonts w:ascii="Helvetica" w:hAnsi="Helvetica" w:cs="Helvetica"/>
          <w:lang w:val="en-US"/>
        </w:rPr>
      </w:pPr>
    </w:p>
    <w:p w14:paraId="2CE1ED56" w14:textId="540442A4" w:rsidR="00112A90" w:rsidRDefault="00112A90" w:rsidP="000C7ADC">
      <w:pPr>
        <w:rPr>
          <w:rFonts w:ascii="Helvetica" w:hAnsi="Helvetica" w:cs="Helvetica"/>
          <w:lang w:val="en-US"/>
        </w:rPr>
      </w:pPr>
    </w:p>
    <w:p w14:paraId="427D5EF3" w14:textId="67ED71C6" w:rsidR="00112A90" w:rsidRDefault="00112A90" w:rsidP="000C7ADC">
      <w:pPr>
        <w:rPr>
          <w:rFonts w:ascii="Helvetica" w:hAnsi="Helvetica" w:cs="Helvetica"/>
          <w:lang w:val="en-US"/>
        </w:rPr>
      </w:pPr>
    </w:p>
    <w:p w14:paraId="1B32B95C" w14:textId="77777777" w:rsidR="00112A90" w:rsidRPr="003D7162" w:rsidRDefault="00112A90" w:rsidP="000C7ADC">
      <w:pPr>
        <w:rPr>
          <w:rFonts w:ascii="Helvetica" w:hAnsi="Helvetica" w:cs="Helvetica"/>
          <w:lang w:val="en-US"/>
        </w:rPr>
      </w:pPr>
    </w:p>
    <w:p w14:paraId="1B7B3352" w14:textId="1ADED020" w:rsidR="001070CC" w:rsidRPr="003E1E6C" w:rsidRDefault="00D91F4C" w:rsidP="000C7ADC">
      <w:pPr>
        <w:pStyle w:val="Heading1"/>
        <w:rPr>
          <w:rFonts w:ascii="Helvetica" w:hAnsi="Helvetica" w:cs="Helvetica"/>
          <w:b/>
          <w:sz w:val="24"/>
          <w:szCs w:val="24"/>
        </w:rPr>
      </w:pPr>
      <w:bookmarkStart w:id="47" w:name="_Toc40953334"/>
      <w:r>
        <w:rPr>
          <w:rFonts w:ascii="Helvetica" w:hAnsi="Helvetica" w:cs="Helvetica"/>
          <w:b/>
          <w:sz w:val="24"/>
          <w:szCs w:val="24"/>
        </w:rPr>
        <w:t xml:space="preserve">Supplementary </w:t>
      </w:r>
      <w:r w:rsidR="00551D3F" w:rsidRPr="003E1E6C">
        <w:rPr>
          <w:rFonts w:ascii="Helvetica" w:hAnsi="Helvetica" w:cs="Helvetica"/>
          <w:b/>
          <w:sz w:val="24"/>
          <w:szCs w:val="24"/>
        </w:rPr>
        <w:t>Appendix 7</w:t>
      </w:r>
      <w:r w:rsidR="001070CC" w:rsidRPr="003E1E6C">
        <w:rPr>
          <w:rFonts w:ascii="Helvetica" w:hAnsi="Helvetica" w:cs="Helvetica"/>
          <w:b/>
          <w:sz w:val="24"/>
          <w:szCs w:val="24"/>
        </w:rPr>
        <w:t xml:space="preserve">: </w:t>
      </w:r>
      <w:r w:rsidR="00FA2532" w:rsidRPr="003E1E6C">
        <w:rPr>
          <w:rFonts w:ascii="Helvetica" w:hAnsi="Helvetica" w:cs="Helvetica"/>
          <w:sz w:val="24"/>
          <w:szCs w:val="24"/>
        </w:rPr>
        <w:t>Qualitative</w:t>
      </w:r>
      <w:r w:rsidR="001070CC" w:rsidRPr="003E1E6C">
        <w:rPr>
          <w:rFonts w:ascii="Helvetica" w:hAnsi="Helvetica" w:cs="Helvetica"/>
          <w:sz w:val="24"/>
          <w:szCs w:val="24"/>
        </w:rPr>
        <w:t xml:space="preserve"> Results</w:t>
      </w:r>
      <w:bookmarkEnd w:id="47"/>
    </w:p>
    <w:p w14:paraId="74254598" w14:textId="6B8D0163" w:rsidR="00D5600B" w:rsidRPr="003D7162" w:rsidRDefault="00D5600B" w:rsidP="000C7ADC">
      <w:pPr>
        <w:rPr>
          <w:rFonts w:ascii="Helvetica" w:hAnsi="Helvetica" w:cs="Helvetica"/>
          <w:lang w:val="en-US"/>
        </w:rPr>
      </w:pPr>
    </w:p>
    <w:p w14:paraId="2B1F9DC0"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We present separately in the following sections the results obtained through the FGD and the in-depth interviews. The aim is to extract any differential findings emerging from each activity, as well as to identify common and consistent messages. Results of the FGD are presented first to provide a wide perspective of determinants of stunting reduction as well as a description of the context. We then present the results of the in-depth interviews. </w:t>
      </w:r>
    </w:p>
    <w:p w14:paraId="78C9065E" w14:textId="77777777" w:rsidR="001070CC" w:rsidRPr="003D7162" w:rsidRDefault="001070CC" w:rsidP="000C7ADC">
      <w:pPr>
        <w:rPr>
          <w:rFonts w:ascii="Helvetica" w:hAnsi="Helvetica" w:cs="Helvetica"/>
          <w:b/>
          <w:color w:val="000000" w:themeColor="text1"/>
          <w:sz w:val="22"/>
          <w:szCs w:val="22"/>
        </w:rPr>
      </w:pPr>
    </w:p>
    <w:p w14:paraId="53062D92" w14:textId="5CF26F45" w:rsidR="001070CC" w:rsidRPr="003D7162" w:rsidRDefault="001070CC" w:rsidP="00551D3F">
      <w:pPr>
        <w:rPr>
          <w:rFonts w:ascii="Helvetica" w:hAnsi="Helvetica" w:cs="Helvetica"/>
          <w:b/>
          <w:sz w:val="22"/>
          <w:szCs w:val="22"/>
        </w:rPr>
      </w:pPr>
      <w:bookmarkStart w:id="48" w:name="_Toc516759382"/>
      <w:r w:rsidRPr="003D7162">
        <w:rPr>
          <w:rFonts w:ascii="Helvetica" w:hAnsi="Helvetica" w:cs="Helvetica"/>
          <w:b/>
          <w:sz w:val="22"/>
          <w:szCs w:val="22"/>
        </w:rPr>
        <w:t>Focus Group Discussion</w:t>
      </w:r>
      <w:bookmarkEnd w:id="48"/>
    </w:p>
    <w:p w14:paraId="2F0F29C2" w14:textId="77777777" w:rsidR="001070CC" w:rsidRPr="003D7162" w:rsidRDefault="001070CC" w:rsidP="000C7ADC">
      <w:pPr>
        <w:rPr>
          <w:rFonts w:ascii="Helvetica" w:hAnsi="Helvetica" w:cs="Helvetica"/>
          <w:b/>
          <w:color w:val="000000" w:themeColor="text1"/>
          <w:sz w:val="22"/>
          <w:szCs w:val="22"/>
        </w:rPr>
      </w:pPr>
    </w:p>
    <w:p w14:paraId="73C1CAA5"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A main message that emerged from the FGD was that the rapid decline in stunting began in 2007, but efforts to reduce stunting at a central, regional and local levels were in place long before. These efforts can be placed into 4 categories: a) contextual factors, b) development of a new causal conceptual framework, c) political commitment at central, regional and local level, and civil society participation, and d) implementation of PPR programs, specifically PAN.</w:t>
      </w:r>
    </w:p>
    <w:p w14:paraId="6C880D9B" w14:textId="77777777" w:rsidR="001070CC" w:rsidRPr="003D7162" w:rsidRDefault="001070CC" w:rsidP="000C7ADC">
      <w:pPr>
        <w:rPr>
          <w:rFonts w:ascii="Helvetica" w:hAnsi="Helvetica" w:cs="Helvetica"/>
          <w:color w:val="000000" w:themeColor="text1"/>
          <w:sz w:val="22"/>
          <w:szCs w:val="22"/>
        </w:rPr>
      </w:pPr>
    </w:p>
    <w:p w14:paraId="3A7EE247" w14:textId="5BA389D3" w:rsidR="001070CC" w:rsidRPr="003D7162" w:rsidRDefault="001070CC" w:rsidP="00551D3F">
      <w:pPr>
        <w:rPr>
          <w:rFonts w:ascii="Helvetica" w:hAnsi="Helvetica" w:cs="Helvetica"/>
          <w:b/>
          <w:sz w:val="22"/>
          <w:szCs w:val="22"/>
        </w:rPr>
      </w:pPr>
      <w:bookmarkStart w:id="49" w:name="_Toc516759383"/>
      <w:r w:rsidRPr="003D7162">
        <w:rPr>
          <w:rFonts w:ascii="Helvetica" w:hAnsi="Helvetica" w:cs="Helvetica"/>
          <w:b/>
          <w:sz w:val="22"/>
          <w:szCs w:val="22"/>
        </w:rPr>
        <w:t>Contextual Factors</w:t>
      </w:r>
      <w:bookmarkEnd w:id="49"/>
    </w:p>
    <w:p w14:paraId="30BB9815" w14:textId="77777777" w:rsidR="001070CC" w:rsidRPr="003D7162" w:rsidRDefault="001070CC" w:rsidP="000C7ADC">
      <w:pPr>
        <w:rPr>
          <w:rFonts w:ascii="Helvetica" w:hAnsi="Helvetica" w:cs="Helvetica"/>
          <w:b/>
          <w:color w:val="000000" w:themeColor="text1"/>
          <w:sz w:val="22"/>
          <w:szCs w:val="22"/>
        </w:rPr>
      </w:pPr>
    </w:p>
    <w:p w14:paraId="27C632C0" w14:textId="777B5910"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Various contextual factors characterizing the country in the 1990s and early 2000s played an essential role in setting the scene. First, sustained economic growth since the early 1990s paved the way for a long-term investment in health, particularly in reproductive, maternal and child health. Second, there was a significant reduction in under-5 mortality, fro</w:t>
      </w:r>
      <w:r w:rsidRPr="003D7162">
        <w:rPr>
          <w:rFonts w:ascii="Helvetica" w:eastAsia="Times New Roman" w:hAnsi="Helvetica" w:cs="Helvetica"/>
          <w:color w:val="000000" w:themeColor="text1"/>
          <w:sz w:val="22"/>
          <w:szCs w:val="22"/>
        </w:rPr>
        <w:t xml:space="preserve">m 80.4/1000 live births in 1990 to 38.5/1000 in 2000, </w:t>
      </w:r>
      <w:r w:rsidRPr="003D7162">
        <w:rPr>
          <w:rFonts w:ascii="Helvetica" w:hAnsi="Helvetica" w:cs="Helvetica"/>
          <w:color w:val="000000" w:themeColor="text1"/>
          <w:sz w:val="22"/>
          <w:szCs w:val="22"/>
        </w:rPr>
        <w:t xml:space="preserve">which led to an emphasis on a heathy start in health, growth and development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{"citationItems":[{"id":"ITEM-1","itemData":{"author":[{"dropping-particle":"","family":"The World Bank","given":"","non-dropping-particle":"","parse-names":false,"suffix":""}],"id":"ITEM-1","issued":{"date-parts":[["2018"]]},"title":"Mortality rate, under-5 (per 1,000 live births)","type":"webpage"},"uris":["http://www.mendeley.com/documents/?uuid=64520c02-3a9e-4333-9605-dba2fa4e2252","http://www.mendeley.com/documents/?uuid=dc9c6183-1a7a-4133-9713-7193757ed5c5","http://www.mendeley.com/documents/?uuid=26093669-ac4a-46a0-a048-e74a613d8d17"]}],"mendeley":{"formattedCitation":"[143]","plainTextFormattedCitation":"[143]","previouslyFormattedCitation":"[136]"},"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[143]</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xml:space="preserve">. Third, the defeat of terrorism in the 1990s and return of democracy. Fourth, the consolidation of the democracy (and the corresponding discussion for a definition of a country agenda and the corresponding roadmap) in the early 2000s. There was an active advocacy role of society initiatives such as The National Agreement and The Roundtable Against Poverty, with the inclusion of the fight against poverty and against child stunting as top priorities, along with setting of specific goals followed by monitoring and accountability. In addition, the health reform efforts aimed at strengthening the health system to expand health services related to other sectors for providing other basic services across the country focusing on the poorest areas. This coupled with regional initiatives comprised of the implementation of health intervention packages focused on prevention rather than treatment to gather experience and evidence on preventive and multi-sectorial interventions to reduce child stunting. For example, the Good Start in Life Program (Programa Buen Inicio) led by UNICEF. Finally, the adoption of international commitments such as the Millennium Development Goals (MDGs) by Peru boosted the efforts to achieve measurable improvements in child health and nutrition. </w:t>
      </w:r>
    </w:p>
    <w:p w14:paraId="7995B069" w14:textId="77777777" w:rsidR="001070CC" w:rsidRPr="003D7162" w:rsidRDefault="001070CC" w:rsidP="000C7ADC">
      <w:pPr>
        <w:rPr>
          <w:rFonts w:ascii="Helvetica" w:hAnsi="Helvetica" w:cs="Helvetica"/>
          <w:color w:val="000000" w:themeColor="text1"/>
          <w:sz w:val="22"/>
          <w:szCs w:val="22"/>
        </w:rPr>
      </w:pPr>
    </w:p>
    <w:p w14:paraId="7E9DA2FA"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 xml:space="preserve"> “An important aspect was the economic improvement in our country, which is not enough however; I mean, let´s remember that the improvements started to be consolidated since 2002, 2003. And this is a good starting point for two things. First, as contributors to other interventions, but also to give sustainability to the interventions as well”.</w:t>
      </w:r>
      <w:r w:rsidRPr="003D7162">
        <w:rPr>
          <w:rFonts w:ascii="Helvetica" w:hAnsi="Helvetica" w:cs="Helvetica"/>
          <w:color w:val="000000" w:themeColor="text1"/>
          <w:sz w:val="22"/>
          <w:szCs w:val="22"/>
        </w:rPr>
        <w:t xml:space="preserve"> Participant 6. Former Technical Officer at UNICEF. </w:t>
      </w:r>
    </w:p>
    <w:p w14:paraId="22E99F3D" w14:textId="0DDDBD02" w:rsidR="001070CC" w:rsidRPr="003D7162" w:rsidRDefault="001070CC" w:rsidP="000C7ADC">
      <w:pPr>
        <w:rPr>
          <w:rFonts w:ascii="Helvetica" w:hAnsi="Helvetica" w:cs="Helvetica"/>
          <w:color w:val="000000" w:themeColor="text1"/>
          <w:sz w:val="22"/>
          <w:szCs w:val="22"/>
        </w:rPr>
      </w:pPr>
    </w:p>
    <w:p w14:paraId="778EABA5" w14:textId="2BEB42BD" w:rsidR="001070CC" w:rsidRPr="003D7162" w:rsidRDefault="001070CC" w:rsidP="00551D3F">
      <w:pPr>
        <w:rPr>
          <w:rFonts w:ascii="Helvetica" w:hAnsi="Helvetica" w:cs="Helvetica"/>
          <w:b/>
          <w:sz w:val="22"/>
          <w:szCs w:val="22"/>
        </w:rPr>
      </w:pPr>
      <w:bookmarkStart w:id="50" w:name="_Toc516759384"/>
      <w:r w:rsidRPr="003D7162">
        <w:rPr>
          <w:rFonts w:ascii="Helvetica" w:hAnsi="Helvetica" w:cs="Helvetica"/>
          <w:b/>
          <w:sz w:val="22"/>
          <w:szCs w:val="22"/>
        </w:rPr>
        <w:t>Important Drivers</w:t>
      </w:r>
      <w:bookmarkEnd w:id="50"/>
    </w:p>
    <w:p w14:paraId="375BBF08" w14:textId="77777777" w:rsidR="001070CC" w:rsidRPr="003D7162" w:rsidRDefault="001070CC" w:rsidP="000C7ADC">
      <w:pPr>
        <w:rPr>
          <w:rFonts w:ascii="Helvetica" w:hAnsi="Helvetica" w:cs="Helvetica"/>
          <w:b/>
          <w:color w:val="000000" w:themeColor="text1"/>
          <w:sz w:val="22"/>
          <w:szCs w:val="22"/>
        </w:rPr>
      </w:pPr>
    </w:p>
    <w:p w14:paraId="55BC6F4B"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According to participants, there were key drivers in the reduction of stunting in Peru, in addition to the contextual factors. </w:t>
      </w:r>
    </w:p>
    <w:p w14:paraId="390684D6" w14:textId="77777777" w:rsidR="001070CC" w:rsidRPr="003D7162" w:rsidRDefault="001070CC" w:rsidP="000C7ADC">
      <w:pPr>
        <w:rPr>
          <w:rFonts w:ascii="Helvetica" w:hAnsi="Helvetica" w:cs="Helvetica"/>
          <w:color w:val="000000" w:themeColor="text1"/>
          <w:sz w:val="22"/>
          <w:szCs w:val="22"/>
        </w:rPr>
      </w:pPr>
    </w:p>
    <w:p w14:paraId="4A22D17F"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First, the development of a new causal conceptual framework for child stunting, based on the UNICEF conceptual framework for malnutrition was useful for policy action (Figure 4). The conceptual framework was built on experiences from different NGOs in diverse regions of the country implementing programs aimed at reducing childhood stunting through multi-sectorial and preventive interventions. This transformed the perspective of stunting to a problem that goes beyond a lack of food and poor feeding practices. Therefore, this emphasized the need for the participation of different sectors, a focus on prevention rather than treatment, and a call for the reduction of poverty and improvement of other social determinants of malnutrition. </w:t>
      </w:r>
    </w:p>
    <w:p w14:paraId="34CBC11D" w14:textId="77777777" w:rsidR="001070CC" w:rsidRPr="003D7162" w:rsidRDefault="001070CC" w:rsidP="000C7ADC">
      <w:pPr>
        <w:rPr>
          <w:rFonts w:ascii="Helvetica" w:hAnsi="Helvetica" w:cs="Helvetica"/>
          <w:color w:val="000000" w:themeColor="text1"/>
          <w:sz w:val="22"/>
          <w:szCs w:val="22"/>
        </w:rPr>
      </w:pPr>
    </w:p>
    <w:p w14:paraId="07BC566C"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“When stunting reduction started, in 2005, 2006, there were experiences of different institutions, not only public experiences, which allowed to generate sufficient evidence to know what to do” -</w:t>
      </w:r>
      <w:r w:rsidRPr="003D7162">
        <w:rPr>
          <w:rFonts w:ascii="Helvetica" w:hAnsi="Helvetica" w:cs="Helvetica"/>
          <w:color w:val="000000" w:themeColor="text1"/>
          <w:sz w:val="22"/>
          <w:szCs w:val="22"/>
        </w:rPr>
        <w:t xml:space="preserve"> Participant 2. Member of MIDIS. </w:t>
      </w:r>
    </w:p>
    <w:p w14:paraId="5F4C1B63" w14:textId="77777777" w:rsidR="001070CC" w:rsidRPr="003D7162" w:rsidRDefault="001070CC" w:rsidP="000C7ADC">
      <w:pPr>
        <w:rPr>
          <w:rFonts w:ascii="Helvetica" w:hAnsi="Helvetica" w:cs="Helvetica"/>
          <w:color w:val="000000" w:themeColor="text1"/>
          <w:sz w:val="22"/>
          <w:szCs w:val="22"/>
        </w:rPr>
      </w:pPr>
    </w:p>
    <w:p w14:paraId="05C3A0FA"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An additional key driver of stunting reduction was effective and continued political leadership and commitment to reduce childhood stunting at national, regional and local levels, coupled with strong civil society participation. In 2005, an intense advocacy effort with the presidential candidates led to a formal commitment to include child stunting reduction as a top national priority. This leadership resulted in the implementation of the PPR programs to secure a budget line for the actions. A strong civil society advocacy ensured the positioning of stunting within the political agenda, as well as an effective monitoring process of the programs and policies subsequently implemented. </w:t>
      </w:r>
    </w:p>
    <w:p w14:paraId="3D033B89" w14:textId="77777777" w:rsidR="001070CC" w:rsidRPr="003D7162" w:rsidRDefault="001070CC" w:rsidP="000C7ADC">
      <w:pPr>
        <w:rPr>
          <w:rFonts w:ascii="Helvetica" w:hAnsi="Helvetica" w:cs="Helvetica"/>
          <w:color w:val="000000" w:themeColor="text1"/>
          <w:sz w:val="22"/>
          <w:szCs w:val="22"/>
        </w:rPr>
      </w:pPr>
    </w:p>
    <w:p w14:paraId="400FD0C2" w14:textId="6EA59FA9" w:rsidR="001070CC" w:rsidRPr="003D7162" w:rsidRDefault="003D7162" w:rsidP="000C7ADC">
      <w:pPr>
        <w:rPr>
          <w:rFonts w:ascii="Helvetica" w:hAnsi="Helvetica" w:cs="Helvetica"/>
          <w:color w:val="000000" w:themeColor="text1"/>
          <w:sz w:val="22"/>
          <w:szCs w:val="22"/>
        </w:rPr>
      </w:pPr>
      <w:r>
        <w:rPr>
          <w:rFonts w:ascii="Helvetica" w:hAnsi="Helvetica" w:cs="Helvetica"/>
          <w:i/>
          <w:color w:val="000000" w:themeColor="text1"/>
          <w:sz w:val="22"/>
          <w:szCs w:val="22"/>
        </w:rPr>
        <w:t>“</w:t>
      </w:r>
      <w:r w:rsidR="001070CC" w:rsidRPr="003D7162">
        <w:rPr>
          <w:rFonts w:ascii="Helvetica" w:hAnsi="Helvetica" w:cs="Helvetica"/>
          <w:i/>
          <w:color w:val="000000" w:themeColor="text1"/>
          <w:sz w:val="22"/>
          <w:szCs w:val="22"/>
        </w:rPr>
        <w:t xml:space="preserve">I believe that an important factor in stunting reduction is that it was included in the political agenda as a priority. That made the difference when compared with the approach to other public health problems (…). The fact we had a President that talked about child health and its link with the country development, was crucial” </w:t>
      </w:r>
      <w:r w:rsidR="001070CC" w:rsidRPr="003D7162">
        <w:rPr>
          <w:rFonts w:ascii="Helvetica" w:hAnsi="Helvetica" w:cs="Helvetica"/>
          <w:color w:val="000000" w:themeColor="text1"/>
          <w:sz w:val="22"/>
          <w:szCs w:val="22"/>
        </w:rPr>
        <w:t>– GFD. Participant 5. Coordinator, Nutrition and Child Development, MIDIS</w:t>
      </w:r>
    </w:p>
    <w:p w14:paraId="39C88216" w14:textId="77777777" w:rsidR="001070CC" w:rsidRPr="003D7162" w:rsidRDefault="001070CC" w:rsidP="000C7ADC">
      <w:pPr>
        <w:rPr>
          <w:rFonts w:ascii="Helvetica" w:hAnsi="Helvetica" w:cs="Helvetica"/>
          <w:i/>
          <w:color w:val="000000" w:themeColor="text1"/>
          <w:sz w:val="22"/>
          <w:szCs w:val="22"/>
        </w:rPr>
      </w:pPr>
    </w:p>
    <w:p w14:paraId="5C335723" w14:textId="77777777" w:rsidR="001070CC" w:rsidRPr="003D7162" w:rsidRDefault="001070CC" w:rsidP="000C7ADC">
      <w:pPr>
        <w:rPr>
          <w:rFonts w:ascii="Helvetica" w:hAnsi="Helvetica" w:cs="Helvetica"/>
          <w:i/>
          <w:color w:val="000000" w:themeColor="text1"/>
          <w:sz w:val="22"/>
          <w:szCs w:val="22"/>
        </w:rPr>
      </w:pPr>
      <w:r w:rsidRPr="003D7162">
        <w:rPr>
          <w:rFonts w:ascii="Helvetica" w:hAnsi="Helvetica" w:cs="Helvetica"/>
          <w:i/>
          <w:color w:val="000000" w:themeColor="text1"/>
          <w:sz w:val="22"/>
          <w:szCs w:val="22"/>
        </w:rPr>
        <w:t xml:space="preserve">“(Stunting) was included in the political agenda as a multisectoral problem, needing commitment of regional and local governments… they assumed a lot of responsibility”- </w:t>
      </w:r>
      <w:r w:rsidRPr="003D7162">
        <w:rPr>
          <w:rFonts w:ascii="Helvetica" w:hAnsi="Helvetica" w:cs="Helvetica"/>
          <w:color w:val="000000" w:themeColor="text1"/>
          <w:sz w:val="22"/>
          <w:szCs w:val="22"/>
        </w:rPr>
        <w:t>Participant 3. Member, Technical Team of the Roundtable of Fight Against Poverty.</w:t>
      </w:r>
      <w:r w:rsidRPr="003D7162">
        <w:rPr>
          <w:rFonts w:ascii="Helvetica" w:hAnsi="Helvetica" w:cs="Helvetica"/>
          <w:i/>
          <w:color w:val="000000" w:themeColor="text1"/>
          <w:sz w:val="22"/>
          <w:szCs w:val="22"/>
        </w:rPr>
        <w:t xml:space="preserve"> </w:t>
      </w:r>
    </w:p>
    <w:p w14:paraId="38A2CF0E" w14:textId="77777777" w:rsidR="001070CC" w:rsidRPr="003D7162" w:rsidRDefault="001070CC" w:rsidP="000C7ADC">
      <w:pPr>
        <w:rPr>
          <w:rFonts w:ascii="Helvetica" w:hAnsi="Helvetica" w:cs="Helvetica"/>
          <w:i/>
          <w:color w:val="000000" w:themeColor="text1"/>
          <w:sz w:val="22"/>
          <w:szCs w:val="22"/>
        </w:rPr>
      </w:pPr>
    </w:p>
    <w:p w14:paraId="58EE10CB"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 xml:space="preserve"> “The National Agreement was set up, and priorities were established, such as children (…) The Roundtable Against Poverty was established, and building on it, within the context of the elections in 2005, political candidates signed commitments.”- </w:t>
      </w:r>
      <w:r w:rsidRPr="003D7162">
        <w:rPr>
          <w:rFonts w:ascii="Helvetica" w:hAnsi="Helvetica" w:cs="Helvetica"/>
          <w:color w:val="000000" w:themeColor="text1"/>
          <w:sz w:val="22"/>
          <w:szCs w:val="22"/>
        </w:rPr>
        <w:t>Participant 6. Former Technical Officer at UNICEF.</w:t>
      </w:r>
    </w:p>
    <w:p w14:paraId="40072B3D" w14:textId="77777777" w:rsidR="001070CC" w:rsidRPr="003D7162" w:rsidRDefault="001070CC" w:rsidP="000C7ADC">
      <w:pPr>
        <w:rPr>
          <w:rFonts w:ascii="Helvetica" w:hAnsi="Helvetica" w:cs="Helvetica"/>
          <w:color w:val="000000" w:themeColor="text1"/>
          <w:sz w:val="22"/>
          <w:szCs w:val="22"/>
        </w:rPr>
      </w:pPr>
    </w:p>
    <w:p w14:paraId="6E12A7C9" w14:textId="7B6C1364" w:rsidR="001070CC" w:rsidRPr="003D7162" w:rsidRDefault="001070CC" w:rsidP="00551D3F">
      <w:pPr>
        <w:rPr>
          <w:rFonts w:ascii="Helvetica" w:hAnsi="Helvetica" w:cs="Helvetica"/>
          <w:b/>
          <w:sz w:val="22"/>
          <w:szCs w:val="22"/>
        </w:rPr>
      </w:pPr>
      <w:bookmarkStart w:id="51" w:name="_Toc516759385"/>
      <w:r w:rsidRPr="003D7162">
        <w:rPr>
          <w:rFonts w:ascii="Helvetica" w:hAnsi="Helvetica" w:cs="Helvetica"/>
          <w:b/>
          <w:sz w:val="22"/>
          <w:szCs w:val="22"/>
        </w:rPr>
        <w:t>Specific Policies and Programs: The Articulated Nutrition Program</w:t>
      </w:r>
      <w:bookmarkEnd w:id="51"/>
    </w:p>
    <w:p w14:paraId="5CBBC80C" w14:textId="77777777" w:rsidR="001070CC" w:rsidRPr="003D7162" w:rsidRDefault="001070CC" w:rsidP="000C7ADC">
      <w:pPr>
        <w:rPr>
          <w:rFonts w:ascii="Helvetica" w:hAnsi="Helvetica" w:cs="Helvetica"/>
          <w:b/>
          <w:color w:val="000000" w:themeColor="text1"/>
          <w:sz w:val="22"/>
          <w:szCs w:val="22"/>
        </w:rPr>
      </w:pPr>
    </w:p>
    <w:p w14:paraId="2AF66248"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PPR programs were led by the MoF. These programs systematized previous experiences and evidence from various institutions. Through this approach, the budget was allocated to different regions on the basis of results obtained. For maternal and child health, in 2007, the PAN and the PSMN were first to be introduced. </w:t>
      </w:r>
    </w:p>
    <w:p w14:paraId="4925298A"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With implementation beginning in 2008, PAN utilized several interventions supported by scientific evidence as effective to reduce child stunting. Along with coordinating the implementation of out-of-health interventions such as water and sanitation, PAN was focused on the implementation of key interventions related to child health and nutrition, including the introduction of pneumococcal vaccine and the rotavirus vaccine as part of the national immunization scheme and the promotion of key healthy practices (exclusive breastfeeding, complementary feeding, promotion of handwashing). To strengthen healthy practices, the child growth and development monitoring component of the program was improved, increasing the number of child attendances at a health center and changing the emphasis on mere weight and height control to counseling on key practices to the mother (For more details on PAN, see Appendix 14). </w:t>
      </w:r>
    </w:p>
    <w:p w14:paraId="31B7749E" w14:textId="77777777" w:rsidR="001070CC" w:rsidRPr="003D7162" w:rsidRDefault="001070CC" w:rsidP="000C7ADC">
      <w:pPr>
        <w:rPr>
          <w:rFonts w:ascii="Helvetica" w:hAnsi="Helvetica" w:cs="Helvetica"/>
          <w:color w:val="000000" w:themeColor="text1"/>
          <w:sz w:val="22"/>
          <w:szCs w:val="22"/>
        </w:rPr>
      </w:pPr>
    </w:p>
    <w:p w14:paraId="660190F0"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results of these programs were referred to as the accomplishment of specific progress achieved in terms of intervention coverage and impact indicators, including maternal, neonatal and child mortality, as well as stunting reduction at regional (departmental) level. They established goals and specific interventions and indicators to focus on, with particular emphasis on prevention and on the multi-causal nature of stunting. </w:t>
      </w:r>
    </w:p>
    <w:p w14:paraId="65222239" w14:textId="77777777" w:rsidR="001070CC" w:rsidRPr="003D7162" w:rsidRDefault="001070CC" w:rsidP="000C7ADC">
      <w:pPr>
        <w:rPr>
          <w:rFonts w:ascii="Helvetica" w:hAnsi="Helvetica" w:cs="Helvetica"/>
          <w:color w:val="000000" w:themeColor="text1"/>
          <w:sz w:val="22"/>
          <w:szCs w:val="22"/>
        </w:rPr>
      </w:pPr>
    </w:p>
    <w:p w14:paraId="6987D925"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 xml:space="preserve">“To me, the design of the results-based budgeting programs was very important. We started with the Articulated Nutrition Program and the Strategic Maternal-Neonatal Program, in 2007. I felt that this was the beginning of a big change… because we knew where to reach, how to achieve our goals” - </w:t>
      </w:r>
      <w:r w:rsidRPr="003D7162">
        <w:rPr>
          <w:rFonts w:ascii="Helvetica" w:hAnsi="Helvetica" w:cs="Helvetica"/>
          <w:color w:val="000000" w:themeColor="text1"/>
          <w:sz w:val="22"/>
          <w:szCs w:val="22"/>
        </w:rPr>
        <w:t>Participant 1. Technical Officer, Ministry of Health.</w:t>
      </w:r>
    </w:p>
    <w:p w14:paraId="1BA244A0" w14:textId="77777777" w:rsidR="001070CC" w:rsidRPr="003D7162" w:rsidRDefault="001070CC" w:rsidP="000C7ADC">
      <w:pPr>
        <w:rPr>
          <w:rFonts w:ascii="Helvetica" w:hAnsi="Helvetica" w:cs="Helvetica"/>
          <w:i/>
          <w:color w:val="000000" w:themeColor="text1"/>
          <w:sz w:val="22"/>
          <w:szCs w:val="22"/>
        </w:rPr>
      </w:pPr>
    </w:p>
    <w:p w14:paraId="3B2F5BFB" w14:textId="01B8B678"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PAN’s package of interventions were coordinated between the Ministry of Health, the MIDIS, the Presidency of the Council of Ministers, the Comprehensive Health Insurance (SIS), the Regional Governments and the Local Governments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{"citationItems":[{"id":"ITEM-1","itemData":{"id":"ITEM-1","issued":{"date-parts":[["0"]]},"title":"Programma Articulado Nutricional","type":"webpage"},"uris":["http://www.mendeley.com/documents/?uuid=975113bf-d041-4c54-ac7f-bbb434a6af4f","http://www.mendeley.com/documents/?uuid=a41c898b-de4a-476d-b75d-dd6825f6bf9a","http://www.mendeley.com/documents/?uuid=d80c4dda-18fa-407b-88fd-0ed85ef092dc"]}],"mendeley":{"formattedCitation":"[144]","plainTextFormattedCitation":"[144]","previouslyFormattedCitation":"[137]"},"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[144]</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This program specifically established coordinated goals, interventions and indicators, with articulated strategies, while ensuring the efficient flow of processes and the avoidance of duplicate efforts and expenses.</w:t>
      </w:r>
    </w:p>
    <w:p w14:paraId="22E88C52" w14:textId="77777777" w:rsidR="001070CC" w:rsidRPr="003D7162" w:rsidRDefault="001070CC" w:rsidP="000C7ADC">
      <w:pPr>
        <w:rPr>
          <w:rFonts w:ascii="Helvetica" w:hAnsi="Helvetica" w:cs="Helvetica"/>
          <w:color w:val="000000" w:themeColor="text1"/>
          <w:sz w:val="22"/>
          <w:szCs w:val="22"/>
        </w:rPr>
      </w:pPr>
    </w:p>
    <w:p w14:paraId="4E5BDAFD"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A distinctive characteristic of the Articulated Nutrition Program is its coordination with programs implemented by other sectors. Thus, it was closely coordinated with JUNTOS, a conditional cash transfer program launched by the Peruvian government in 2005 and led by the Ministry of Development and Social Inclusion. To remain beneficiaries of JUNTOS and receive the cash transfer, families had to comply with certain conditionalities that included the use of maternal and child health preventive and curative services. According to participants, JUNTOS served as an effective incentive for families to use child health and education services. </w:t>
      </w:r>
    </w:p>
    <w:p w14:paraId="34ECF467" w14:textId="77777777" w:rsidR="001070CC" w:rsidRPr="003D7162" w:rsidRDefault="001070CC" w:rsidP="000C7ADC">
      <w:pPr>
        <w:rPr>
          <w:rFonts w:ascii="Helvetica" w:hAnsi="Helvetica" w:cs="Helvetica"/>
          <w:color w:val="000000" w:themeColor="text1"/>
          <w:sz w:val="22"/>
          <w:szCs w:val="22"/>
        </w:rPr>
      </w:pPr>
    </w:p>
    <w:p w14:paraId="0168DAC1" w14:textId="43AF5285"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The PAN was built on the experience gained by the implementation of the Good Start in Life Program (</w:t>
      </w:r>
      <w:r w:rsidRPr="003D7162">
        <w:rPr>
          <w:rFonts w:ascii="Helvetica" w:hAnsi="Helvetica" w:cs="Helvetica"/>
          <w:i/>
          <w:color w:val="000000" w:themeColor="text1"/>
          <w:sz w:val="22"/>
          <w:szCs w:val="22"/>
        </w:rPr>
        <w:t>Programa Buen Inicio</w:t>
      </w:r>
      <w:r w:rsidRPr="003D7162">
        <w:rPr>
          <w:rFonts w:ascii="Helvetica" w:hAnsi="Helvetica" w:cs="Helvetica"/>
          <w:color w:val="000000" w:themeColor="text1"/>
          <w:sz w:val="22"/>
          <w:szCs w:val="22"/>
        </w:rPr>
        <w:t xml:space="preserve">) led by UNICEF and by the experience of other NGOs, which demonstrated that working closely with local managers would lead to successful results. The implementation of the PAN was strengthened both financially and technically by the Budget Support Program for the Structured Nutritional Program (EUROPAN), to accelerate the reduction of childhood stunting and the fight against poverty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Cordero","given":"L","non-dropping-particle":"","parse-names":false,"suffix":""},{"dropping-particle":"","family":"Salhuana","given":"R","non-dropping-particle":"","parse-names":false,"suffix":""}],"id":"ITEM-1","issued":{"date-parts":[["2015"]]},"publisher-place":"Peru","title":"Systemisation of the Budget Support Program for the EUROPAN Structured Nutritional Program","type":"report"},"uris":["http://www.mendeley.com/documents/?uuid=7c5881ed-788c-4ad2-a567-a6ae404b4441","http://www.mendeley.com/documents/?uuid=f6e7e30c-0d9b-46cf-aef4-0a76195cb606","http://www.mendeley.com/documents/?uuid=5c10f37d-76f6-4a2f-93df-231b1610519a"]}],"mendeley":{"formattedCitation":"[145]","plainTextFormattedCitation":"[145]","previouslyFormattedCitation":"[138]"},"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[145]</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w:t>
      </w:r>
    </w:p>
    <w:p w14:paraId="2E9CCE98" w14:textId="77777777" w:rsidR="001070CC" w:rsidRPr="003D7162" w:rsidRDefault="001070CC" w:rsidP="000C7ADC">
      <w:pPr>
        <w:rPr>
          <w:rFonts w:ascii="Helvetica" w:hAnsi="Helvetica" w:cs="Helvetica"/>
          <w:color w:val="000000" w:themeColor="text1"/>
          <w:sz w:val="22"/>
          <w:szCs w:val="22"/>
        </w:rPr>
      </w:pPr>
    </w:p>
    <w:p w14:paraId="50AE64B3"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 xml:space="preserve"> “We built on the experience of UNICEF and worked with diverse NGOs at local level. We linked this to EUROPAN experience… and we saw that working closely with the municipalities, with the local managers, we could make things happen”-</w:t>
      </w:r>
      <w:r w:rsidRPr="003D7162">
        <w:rPr>
          <w:rFonts w:ascii="Helvetica" w:hAnsi="Helvetica" w:cs="Helvetica"/>
          <w:color w:val="000000" w:themeColor="text1"/>
          <w:sz w:val="22"/>
          <w:szCs w:val="22"/>
        </w:rPr>
        <w:t xml:space="preserve"> Participant 2. Member of the MIDIS.</w:t>
      </w:r>
    </w:p>
    <w:p w14:paraId="4D5A174F" w14:textId="77777777" w:rsidR="001070CC" w:rsidRPr="003D7162" w:rsidRDefault="001070CC" w:rsidP="000C7ADC">
      <w:pPr>
        <w:rPr>
          <w:rFonts w:ascii="Helvetica" w:hAnsi="Helvetica" w:cs="Helvetica"/>
          <w:i/>
          <w:color w:val="000000" w:themeColor="text1"/>
          <w:sz w:val="22"/>
          <w:szCs w:val="22"/>
        </w:rPr>
      </w:pPr>
    </w:p>
    <w:p w14:paraId="143CFFA1" w14:textId="77777777" w:rsidR="001070CC" w:rsidRPr="003D7162" w:rsidRDefault="001070CC" w:rsidP="000C7ADC">
      <w:pPr>
        <w:spacing w:before="30" w:after="200"/>
        <w:rPr>
          <w:rFonts w:ascii="Helvetica" w:hAnsi="Helvetica" w:cs="Helvetica"/>
          <w:color w:val="000000" w:themeColor="text1"/>
          <w:sz w:val="22"/>
          <w:szCs w:val="22"/>
        </w:rPr>
      </w:pPr>
      <w:r w:rsidRPr="003D7162">
        <w:rPr>
          <w:rFonts w:ascii="Helvetica" w:hAnsi="Helvetica" w:cs="Helvetica"/>
          <w:color w:val="000000" w:themeColor="text1"/>
          <w:sz w:val="22"/>
          <w:szCs w:val="22"/>
        </w:rPr>
        <w:t>Just as they stated when discussing the role of decentralization, participants insisted that technical support was key to make the PPR programs fully operational at the regional level. In regions where technical support was absent or insufficient, the programs failed.</w:t>
      </w:r>
    </w:p>
    <w:p w14:paraId="0327735F" w14:textId="77777777" w:rsidR="001070CC" w:rsidRPr="003D7162" w:rsidRDefault="001070CC" w:rsidP="000C7ADC">
      <w:pPr>
        <w:spacing w:before="30" w:after="200"/>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Among other the facilitators for the implementation of the Articulated Nutrition Program, participants identified performance-based budget allocation/increased budget allocation for key interventions and health system strengthening as prominent ones. </w:t>
      </w:r>
    </w:p>
    <w:p w14:paraId="1B81B99D"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Performance-based budget allocation meant that budget allocation to the regions was dependent on the compliance with the coverage and impact goals established by each region. This allowed investing in a more efficient process of personnel hiring, of equipment and supplies acquisition, and of better training of human resources. Additionally, investment in activities related to growth and development monitoring and to vaccines was prioritized with increased budget allocation. This was accompanied by technical support to the regions on how to spend the budget. In terms of health system strengthening, particular emphasis was put to increase substantially the number of health facilities at regional level, as well as to attract human resources for health and to retain them, particularly in rural areas. </w:t>
      </w:r>
    </w:p>
    <w:p w14:paraId="5ABA750E" w14:textId="77777777" w:rsidR="001070CC" w:rsidRPr="003D7162" w:rsidRDefault="001070CC" w:rsidP="000C7ADC">
      <w:pPr>
        <w:rPr>
          <w:rFonts w:ascii="Helvetica" w:hAnsi="Helvetica" w:cs="Helvetica"/>
          <w:color w:val="000000" w:themeColor="text1"/>
          <w:sz w:val="22"/>
          <w:szCs w:val="22"/>
        </w:rPr>
      </w:pPr>
    </w:p>
    <w:p w14:paraId="3E2993B2"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There were some limitations in the implementation of the PAN and the PSMN. One of them is the quality of expenditure. Various activities were reported as part of the programs that in fact, did not belong to them. Another issue was that the budget was re-oriented to interventions that were part of the PPR, but neglected the budget line of other areas such as the health sector. </w:t>
      </w:r>
    </w:p>
    <w:p w14:paraId="5C13E5EF" w14:textId="77777777" w:rsidR="001070CC" w:rsidRPr="003D7162" w:rsidRDefault="001070CC" w:rsidP="000C7ADC">
      <w:pPr>
        <w:rPr>
          <w:rFonts w:ascii="Helvetica" w:hAnsi="Helvetica" w:cs="Helvetica"/>
          <w:color w:val="000000" w:themeColor="text1"/>
          <w:sz w:val="22"/>
          <w:szCs w:val="22"/>
        </w:rPr>
      </w:pPr>
    </w:p>
    <w:p w14:paraId="0268EC9A" w14:textId="77777777" w:rsidR="001070CC" w:rsidRPr="003D7162" w:rsidRDefault="001070CC" w:rsidP="000C7ADC">
      <w:pPr>
        <w:rPr>
          <w:rFonts w:ascii="Helvetica" w:hAnsi="Helvetica" w:cs="Helvetica"/>
          <w:i/>
          <w:color w:val="000000" w:themeColor="text1"/>
          <w:sz w:val="22"/>
          <w:szCs w:val="22"/>
        </w:rPr>
      </w:pPr>
      <w:r w:rsidRPr="003D7162">
        <w:rPr>
          <w:rFonts w:ascii="Helvetica" w:hAnsi="Helvetica" w:cs="Helvetica"/>
          <w:color w:val="000000" w:themeColor="text1"/>
          <w:sz w:val="22"/>
          <w:szCs w:val="22"/>
        </w:rPr>
        <w:t>An additional challenge was the lack of health workforce to provide the growth and development monitoring, as well as logistic problems in putting interventions into place, such as the vaccines. These problems forced the regions to additionally invest in hiring human resources for health. There were also managerial barriers, mainly in terms of programming the distribution of supplies. Thus, one challenge at that level was to ensure a real commitment from decision makers to reach the established goals. One way to face this challenge was to implement performance-based incentives for managers.</w:t>
      </w:r>
      <w:r w:rsidRPr="003D7162">
        <w:rPr>
          <w:rFonts w:ascii="Helvetica" w:hAnsi="Helvetica" w:cs="Helvetica"/>
          <w:i/>
          <w:color w:val="000000" w:themeColor="text1"/>
          <w:sz w:val="22"/>
          <w:szCs w:val="22"/>
        </w:rPr>
        <w:t xml:space="preserve"> </w:t>
      </w:r>
    </w:p>
    <w:p w14:paraId="0E497D35" w14:textId="77777777" w:rsidR="001070CC" w:rsidRPr="003D7162" w:rsidRDefault="001070CC" w:rsidP="000C7ADC">
      <w:pPr>
        <w:rPr>
          <w:rFonts w:ascii="Helvetica" w:hAnsi="Helvetica" w:cs="Helvetica"/>
          <w:i/>
          <w:color w:val="000000" w:themeColor="text1"/>
          <w:sz w:val="22"/>
          <w:szCs w:val="22"/>
        </w:rPr>
      </w:pPr>
    </w:p>
    <w:p w14:paraId="345502A5"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Participants also acknowledged some drawbacks of JUNTOS that hampered a better coordination with PAN. For instance, the impact evaluations have been weak, and the results are not necessarily in line with the coverage information. Also, JUNTOS struggled to communicate appropriately to the families about the specific conditionalities and as a consequence sometimes families were removed from the program but did not understand the reasons of their exclusion. Additionally, it has not been clearly marketed as a program aimed at improving child health, but as a program targeted to mothers instead. Finally, it has not been clear for how long the families would remain as beneficiaries of JUNTOS.</w:t>
      </w:r>
    </w:p>
    <w:p w14:paraId="3C533AC0" w14:textId="77777777" w:rsidR="001070CC" w:rsidRPr="003D7162" w:rsidRDefault="001070CC" w:rsidP="000C7ADC">
      <w:pPr>
        <w:rPr>
          <w:rFonts w:ascii="Helvetica" w:hAnsi="Helvetica" w:cs="Helvetica"/>
          <w:color w:val="000000" w:themeColor="text1"/>
          <w:sz w:val="22"/>
          <w:szCs w:val="22"/>
        </w:rPr>
      </w:pPr>
    </w:p>
    <w:p w14:paraId="6001A42D"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Finally, the participants acknowledged the improvements in data generation, including the DHS and other administrative datasets, and how their increased use added evidence to strengthen advocacy, measured progress, and strengthened regional motivation. However, participants mentioned that some administrative datasets are limited to certain segments of the population, such as those attending the health facilities, but do not necessarily provide community level information.</w:t>
      </w:r>
    </w:p>
    <w:p w14:paraId="3A0436AD" w14:textId="77777777" w:rsidR="001070CC" w:rsidRPr="003D7162" w:rsidRDefault="001070CC" w:rsidP="000C7ADC">
      <w:pPr>
        <w:rPr>
          <w:rFonts w:ascii="Helvetica" w:hAnsi="Helvetica" w:cs="Helvetica"/>
          <w:color w:val="000000" w:themeColor="text1"/>
          <w:sz w:val="22"/>
          <w:szCs w:val="22"/>
        </w:rPr>
      </w:pPr>
    </w:p>
    <w:p w14:paraId="4EB26D01" w14:textId="27F3F6A1" w:rsidR="001070CC" w:rsidRPr="003D7162" w:rsidRDefault="001070CC" w:rsidP="00551D3F">
      <w:pPr>
        <w:rPr>
          <w:rFonts w:ascii="Helvetica" w:hAnsi="Helvetica" w:cs="Helvetica"/>
          <w:b/>
          <w:sz w:val="22"/>
          <w:szCs w:val="22"/>
        </w:rPr>
      </w:pPr>
      <w:bookmarkStart w:id="52" w:name="_Toc516759386"/>
      <w:r w:rsidRPr="003D7162">
        <w:rPr>
          <w:rFonts w:ascii="Helvetica" w:hAnsi="Helvetica" w:cs="Helvetica"/>
          <w:b/>
          <w:sz w:val="22"/>
          <w:szCs w:val="22"/>
        </w:rPr>
        <w:t>In Depth-Interviews</w:t>
      </w:r>
      <w:bookmarkEnd w:id="52"/>
    </w:p>
    <w:p w14:paraId="2E0C9741" w14:textId="77777777" w:rsidR="001070CC" w:rsidRPr="003D7162" w:rsidRDefault="001070CC" w:rsidP="000C7ADC">
      <w:pPr>
        <w:rPr>
          <w:rFonts w:ascii="Helvetica" w:hAnsi="Helvetica" w:cs="Helvetica"/>
          <w:b/>
          <w:color w:val="000000" w:themeColor="text1"/>
          <w:sz w:val="22"/>
          <w:szCs w:val="22"/>
        </w:rPr>
      </w:pPr>
    </w:p>
    <w:p w14:paraId="341374ED" w14:textId="77777777" w:rsidR="001070CC" w:rsidRPr="003D7162" w:rsidRDefault="001070CC" w:rsidP="000C7ADC">
      <w:pPr>
        <w:rPr>
          <w:rFonts w:ascii="Helvetica" w:hAnsi="Helvetica" w:cs="Helvetica"/>
          <w:bCs/>
          <w:color w:val="000000" w:themeColor="text1"/>
          <w:sz w:val="22"/>
          <w:szCs w:val="22"/>
        </w:rPr>
      </w:pPr>
      <w:r w:rsidRPr="003D7162">
        <w:rPr>
          <w:rFonts w:ascii="Helvetica" w:hAnsi="Helvetica" w:cs="Helvetica"/>
          <w:bCs/>
          <w:color w:val="000000" w:themeColor="text1"/>
          <w:sz w:val="22"/>
          <w:szCs w:val="22"/>
        </w:rPr>
        <w:t xml:space="preserve">Participants agreed that stunting reduction was more apparent following 2007. They concurred that the substantial reduction observed since 2007 was preceded by the experience gained through the independent implementation of different programs, in areas with the highest stunting prevalence. All participants stated that these experiences laid the foundation on which later multi-sectorial policies and programs led by the government were designed and implemented, which were based on a PPR approach, specifically the PAN. In line with the messages that emerged from the FGD, the interviews revealed the importance of contextual factors, they emphasized the role of the civil society advocacy as a separate and key driver, and also acknowledged the importance of the PAN. The interviewees also mentioned the importance of additional policies and programs. </w:t>
      </w:r>
    </w:p>
    <w:p w14:paraId="6979798B" w14:textId="77777777" w:rsidR="001070CC" w:rsidRPr="003D7162" w:rsidRDefault="001070CC" w:rsidP="000C7ADC">
      <w:pPr>
        <w:rPr>
          <w:rFonts w:ascii="Helvetica" w:hAnsi="Helvetica" w:cs="Helvetica"/>
          <w:bCs/>
          <w:color w:val="000000" w:themeColor="text1"/>
          <w:sz w:val="22"/>
          <w:szCs w:val="22"/>
        </w:rPr>
      </w:pPr>
    </w:p>
    <w:p w14:paraId="7438B457" w14:textId="7C30CF26" w:rsidR="001070CC" w:rsidRPr="003D7162" w:rsidRDefault="001070CC" w:rsidP="00551D3F">
      <w:pPr>
        <w:rPr>
          <w:rFonts w:ascii="Helvetica" w:hAnsi="Helvetica" w:cs="Helvetica"/>
          <w:b/>
          <w:sz w:val="22"/>
          <w:szCs w:val="22"/>
        </w:rPr>
      </w:pPr>
      <w:bookmarkStart w:id="53" w:name="_Toc516759387"/>
      <w:r w:rsidRPr="003D7162">
        <w:rPr>
          <w:rFonts w:ascii="Helvetica" w:hAnsi="Helvetica" w:cs="Helvetica"/>
          <w:b/>
          <w:sz w:val="22"/>
          <w:szCs w:val="22"/>
        </w:rPr>
        <w:t>Contextual Factors</w:t>
      </w:r>
      <w:bookmarkEnd w:id="53"/>
    </w:p>
    <w:p w14:paraId="3E6B6E8F" w14:textId="77777777" w:rsidR="001070CC" w:rsidRPr="003D7162" w:rsidRDefault="001070CC" w:rsidP="000C7ADC">
      <w:pPr>
        <w:rPr>
          <w:rFonts w:ascii="Helvetica" w:hAnsi="Helvetica" w:cs="Helvetica"/>
          <w:b/>
          <w:bCs/>
          <w:color w:val="000000" w:themeColor="text1"/>
          <w:sz w:val="22"/>
          <w:szCs w:val="22"/>
        </w:rPr>
      </w:pPr>
    </w:p>
    <w:p w14:paraId="3A7D2EA7"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Similar to the perceptions of the FGD participants, interviewees also pointed out the role of the same contextual factors that facilitated the implementation of policies and programs aimed at reducing childhood stunting. Namely: a) the sustained economic growth, b) the reduction of child and infant mortality, c) the terrorism defeat in 1991 and the subsequent consolidation of the democracy in the early 2000s that allowed an agenda of country reconstruction, d) the adoption of MDGs by the Peruvian government and specifically those related to maternal and child health and nutrition, and e) the support provided by international organizations like the International Development Bank to sustained governmental design and implementation of interventions that could be monitored in terms of coverage and impact indicators. </w:t>
      </w:r>
    </w:p>
    <w:p w14:paraId="6F739A2D" w14:textId="77777777" w:rsidR="001070CC" w:rsidRPr="003D7162" w:rsidRDefault="001070CC" w:rsidP="000C7ADC">
      <w:pPr>
        <w:rPr>
          <w:rFonts w:ascii="Helvetica" w:hAnsi="Helvetica" w:cs="Helvetica"/>
          <w:color w:val="000000" w:themeColor="text1"/>
          <w:sz w:val="22"/>
          <w:szCs w:val="22"/>
        </w:rPr>
      </w:pPr>
    </w:p>
    <w:p w14:paraId="40EEA490" w14:textId="77777777" w:rsidR="001070CC" w:rsidRPr="003D7162" w:rsidRDefault="001070CC" w:rsidP="000C7ADC">
      <w:pPr>
        <w:rPr>
          <w:rFonts w:ascii="Helvetica" w:hAnsi="Helvetica" w:cs="Helvetica"/>
          <w:color w:val="000000" w:themeColor="text1"/>
          <w:sz w:val="22"/>
          <w:szCs w:val="22"/>
        </w:rPr>
      </w:pP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Before in Peru we were more concerned on avoiding deaths. That was in the 90s. Now we are more concerned on avoiding malnutrition and anemia”. </w:t>
      </w:r>
      <w:r w:rsidRPr="003D7162">
        <w:rPr>
          <w:rFonts w:ascii="Helvetica" w:hAnsi="Helvetica" w:cs="Helvetica"/>
          <w:color w:val="000000" w:themeColor="text1"/>
          <w:sz w:val="22"/>
          <w:szCs w:val="22"/>
        </w:rPr>
        <w:t>Participant 1. Technical Officer, Ministry of Economy and Finances.</w:t>
      </w:r>
      <w:r w:rsidRPr="003D7162" w:rsidDel="000E1C85">
        <w:rPr>
          <w:rFonts w:ascii="Helvetica" w:hAnsi="Helvetica" w:cs="Helvetica"/>
          <w:color w:val="000000" w:themeColor="text1"/>
          <w:sz w:val="22"/>
          <w:szCs w:val="22"/>
        </w:rPr>
        <w:t xml:space="preserve"> </w:t>
      </w:r>
    </w:p>
    <w:p w14:paraId="1E2BF7AA" w14:textId="77777777" w:rsidR="001070CC" w:rsidRPr="003D7162" w:rsidRDefault="001070CC" w:rsidP="000C7ADC">
      <w:pPr>
        <w:rPr>
          <w:rFonts w:ascii="Helvetica" w:hAnsi="Helvetica" w:cs="Helvetica"/>
          <w:color w:val="000000" w:themeColor="text1"/>
          <w:sz w:val="22"/>
          <w:szCs w:val="22"/>
        </w:rPr>
      </w:pPr>
    </w:p>
    <w:p w14:paraId="17C8F5F3" w14:textId="77777777" w:rsidR="001070CC" w:rsidRPr="003D7162" w:rsidRDefault="001070CC" w:rsidP="000C7ADC">
      <w:pPr>
        <w:rPr>
          <w:rFonts w:ascii="Helvetica" w:hAnsi="Helvetica" w:cs="Helvetica"/>
          <w:color w:val="000000" w:themeColor="text1"/>
          <w:sz w:val="22"/>
          <w:szCs w:val="22"/>
        </w:rPr>
      </w:pP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We were leaving a profound country crisis (referring to terrorism), and also a break of democratic institutionality represented by the last period of Fujimori. Then there was a profound reflection by people with decision power, by the media. It was an important moment. It was a period when the need of having clear objectives, of building a country and making real changes for the people and particularly for the most vulnerable segments was discussed and defined. The need of privileging children and of building sustained policies across governments was clearly defined”.</w:t>
      </w:r>
      <w:r w:rsidRPr="003D7162">
        <w:rPr>
          <w:rFonts w:ascii="Helvetica" w:hAnsi="Helvetica" w:cs="Helvetica"/>
          <w:color w:val="000000" w:themeColor="text1"/>
          <w:sz w:val="22"/>
          <w:szCs w:val="22"/>
        </w:rPr>
        <w:t xml:space="preserve"> Participant 5. Pediatrician. Former Technical Officer at UNICEF.</w:t>
      </w:r>
      <w:r w:rsidRPr="003D7162" w:rsidDel="000E1C85">
        <w:rPr>
          <w:rFonts w:ascii="Helvetica" w:hAnsi="Helvetica" w:cs="Helvetica"/>
          <w:color w:val="000000" w:themeColor="text1"/>
          <w:sz w:val="22"/>
          <w:szCs w:val="22"/>
        </w:rPr>
        <w:t xml:space="preserve"> </w:t>
      </w:r>
    </w:p>
    <w:p w14:paraId="13901FCE" w14:textId="77777777" w:rsidR="001070CC" w:rsidRPr="003D7162" w:rsidRDefault="001070CC" w:rsidP="000C7ADC">
      <w:pPr>
        <w:rPr>
          <w:rFonts w:ascii="Helvetica" w:hAnsi="Helvetica" w:cs="Helvetica"/>
          <w:color w:val="000000" w:themeColor="text1"/>
          <w:sz w:val="22"/>
          <w:szCs w:val="22"/>
        </w:rPr>
      </w:pPr>
    </w:p>
    <w:p w14:paraId="1B20E1FA" w14:textId="7787CD54" w:rsidR="001070CC" w:rsidRPr="003D7162" w:rsidRDefault="001070CC" w:rsidP="00551D3F">
      <w:pPr>
        <w:rPr>
          <w:rFonts w:ascii="Helvetica" w:hAnsi="Helvetica" w:cs="Helvetica"/>
          <w:b/>
          <w:sz w:val="22"/>
          <w:szCs w:val="22"/>
        </w:rPr>
      </w:pPr>
      <w:bookmarkStart w:id="54" w:name="_Toc516759388"/>
      <w:r w:rsidRPr="003D7162">
        <w:rPr>
          <w:rFonts w:ascii="Helvetica" w:hAnsi="Helvetica" w:cs="Helvetica"/>
          <w:b/>
          <w:sz w:val="22"/>
          <w:szCs w:val="22"/>
        </w:rPr>
        <w:t>Important Drivers</w:t>
      </w:r>
      <w:bookmarkEnd w:id="54"/>
    </w:p>
    <w:p w14:paraId="5789F9E1" w14:textId="77777777" w:rsidR="001070CC" w:rsidRPr="003D7162" w:rsidRDefault="001070CC" w:rsidP="000C7ADC">
      <w:pPr>
        <w:rPr>
          <w:rFonts w:ascii="Helvetica" w:hAnsi="Helvetica" w:cs="Helvetica"/>
          <w:b/>
          <w:bCs/>
          <w:color w:val="000000" w:themeColor="text1"/>
          <w:sz w:val="22"/>
          <w:szCs w:val="22"/>
        </w:rPr>
      </w:pPr>
    </w:p>
    <w:p w14:paraId="63440035"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According to interviewees, a main driver of stunting reduction was the change in paradigm of the determinants of stunting, from a feeding problem, to a multi-sectorial problem </w:t>
      </w:r>
      <w:r w:rsidRPr="003D7162">
        <w:rPr>
          <w:rFonts w:ascii="Helvetica" w:hAnsi="Helvetica" w:cs="Helvetica"/>
          <w:bCs/>
          <w:color w:val="000000" w:themeColor="text1"/>
          <w:sz w:val="22"/>
          <w:szCs w:val="22"/>
        </w:rPr>
        <w:t>that needed to be addressed by different stakeholders and sectors</w:t>
      </w:r>
      <w:r w:rsidRPr="003D7162">
        <w:rPr>
          <w:rFonts w:ascii="Helvetica" w:hAnsi="Helvetica" w:cs="Helvetica"/>
          <w:color w:val="000000" w:themeColor="text1"/>
          <w:sz w:val="22"/>
          <w:szCs w:val="22"/>
        </w:rPr>
        <w:t xml:space="preserve">. Albeit the health aspect continued to be considered, other factors were incorporated such as: a) childhood disease prevention (namely diarrheal diseases and ARI) that was reflected by emphasizing vaccine implementation, b) growth and development monitoring  (once per month) focused on the promotion of key practices at home, such as, healthy raising practices and improved hygiene, c) the role played by political champions, d) the role of different ministries besides the Ministry of Health, e) the role of regional and local governments, f) the role of health personnel, and g) the role of families and mothers. </w:t>
      </w:r>
      <w:r w:rsidRPr="003D7162">
        <w:rPr>
          <w:rFonts w:ascii="Helvetica" w:hAnsi="Helvetica" w:cs="Helvetica"/>
          <w:bCs/>
          <w:color w:val="000000" w:themeColor="text1"/>
          <w:sz w:val="22"/>
          <w:szCs w:val="22"/>
        </w:rPr>
        <w:t xml:space="preserve">There were various success stories led by different organizations that we highlight below. These stories were instrumental in providing evidence and advocacy at all governmental levels, and paved the way for designing and implementing effective national level interventions to reduce stunting. </w:t>
      </w:r>
      <w:r w:rsidRPr="003D7162">
        <w:rPr>
          <w:rFonts w:ascii="Helvetica" w:hAnsi="Helvetica" w:cs="Helvetica"/>
          <w:color w:val="000000" w:themeColor="text1"/>
          <w:sz w:val="22"/>
          <w:szCs w:val="22"/>
        </w:rPr>
        <w:t xml:space="preserve">There were diverse stakeholders involved, in particular, the NGOs played a prominent role. </w:t>
      </w:r>
    </w:p>
    <w:p w14:paraId="42C8D86E" w14:textId="77777777" w:rsidR="001070CC" w:rsidRPr="003D7162" w:rsidRDefault="001070CC" w:rsidP="000C7ADC">
      <w:pPr>
        <w:rPr>
          <w:rFonts w:ascii="Helvetica" w:hAnsi="Helvetica" w:cs="Helvetica"/>
          <w:color w:val="000000" w:themeColor="text1"/>
          <w:sz w:val="22"/>
          <w:szCs w:val="22"/>
        </w:rPr>
      </w:pPr>
    </w:p>
    <w:p w14:paraId="2E23D25F" w14:textId="77777777" w:rsidR="001070CC" w:rsidRPr="003D7162" w:rsidRDefault="001070CC" w:rsidP="000C7ADC">
      <w:pPr>
        <w:rPr>
          <w:rFonts w:ascii="Helvetica" w:hAnsi="Helvetica" w:cs="Helvetica"/>
          <w:bCs/>
          <w:color w:val="000000" w:themeColor="text1"/>
          <w:sz w:val="22"/>
          <w:szCs w:val="22"/>
        </w:rPr>
      </w:pP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You stop looking at stunting as a feeding problem, and you start considering it as a multifactorial problem, although you don</w:t>
      </w: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t forget that infections have a role (in the origin of stunting). Then you start linking the different interventions</w:t>
      </w:r>
      <w:r w:rsidRPr="003D7162">
        <w:rPr>
          <w:rFonts w:ascii="Helvetica" w:eastAsia="Helvetica" w:hAnsi="Helvetica" w:cs="Helvetica"/>
          <w:i/>
          <w:color w:val="000000" w:themeColor="text1"/>
          <w:sz w:val="22"/>
          <w:szCs w:val="22"/>
        </w:rPr>
        <w:t>”-</w:t>
      </w:r>
      <w:r w:rsidRPr="003D7162">
        <w:rPr>
          <w:rFonts w:ascii="Helvetica" w:hAnsi="Helvetica" w:cs="Helvetica"/>
          <w:color w:val="000000" w:themeColor="text1"/>
          <w:sz w:val="22"/>
          <w:szCs w:val="22"/>
        </w:rPr>
        <w:t xml:space="preserve"> </w:t>
      </w:r>
      <w:r w:rsidRPr="003D7162">
        <w:rPr>
          <w:rFonts w:ascii="Helvetica" w:hAnsi="Helvetica" w:cs="Helvetica"/>
          <w:bCs/>
          <w:color w:val="000000" w:themeColor="text1"/>
          <w:sz w:val="22"/>
          <w:szCs w:val="22"/>
        </w:rPr>
        <w:t>Participant 8. Technical Advisor, MoF</w:t>
      </w:r>
    </w:p>
    <w:p w14:paraId="2F4A5B42" w14:textId="77777777" w:rsidR="001070CC" w:rsidRPr="003D7162" w:rsidRDefault="001070CC" w:rsidP="000C7ADC">
      <w:pPr>
        <w:rPr>
          <w:rFonts w:ascii="Helvetica" w:hAnsi="Helvetica" w:cs="Helvetica"/>
          <w:color w:val="000000" w:themeColor="text1"/>
          <w:sz w:val="22"/>
          <w:szCs w:val="22"/>
        </w:rPr>
      </w:pPr>
    </w:p>
    <w:p w14:paraId="529BB729"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bCs/>
          <w:color w:val="000000" w:themeColor="text1"/>
          <w:sz w:val="22"/>
          <w:szCs w:val="22"/>
        </w:rPr>
        <w:t xml:space="preserve">Political leadership and commitment at all levels was another key ingredient acknowledged by interviewees. </w:t>
      </w:r>
      <w:r w:rsidRPr="003D7162">
        <w:rPr>
          <w:rFonts w:ascii="Helvetica" w:hAnsi="Helvetica" w:cs="Helvetica"/>
          <w:color w:val="000000" w:themeColor="text1"/>
          <w:sz w:val="22"/>
          <w:szCs w:val="22"/>
        </w:rPr>
        <w:t xml:space="preserve">In particular, the inclusion of stunting reduction as a top priority in the national and local agendas. The establishment of the National Agreement in 2001 was instrumental to reach the agreement between the diverse political parties, and to establish long-term policies to be implemented across different governments. One of these policies was the acknowledgement of the rights of children to fulfill their full potential and to achieve a healthy and productive life. </w:t>
      </w:r>
    </w:p>
    <w:p w14:paraId="3ACE84F9" w14:textId="77777777" w:rsidR="001070CC" w:rsidRPr="003D7162" w:rsidRDefault="001070CC" w:rsidP="000C7ADC">
      <w:pPr>
        <w:rPr>
          <w:rFonts w:ascii="Helvetica" w:hAnsi="Helvetica" w:cs="Helvetica"/>
          <w:color w:val="000000" w:themeColor="text1"/>
          <w:sz w:val="22"/>
          <w:szCs w:val="22"/>
        </w:rPr>
      </w:pPr>
    </w:p>
    <w:p w14:paraId="1FD01F92"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Participants also acknowledged that the signature of a commitment to reduce under-5 stunting by 5 percent points during a period of 5 years (Strategy 5x5x5) by all the presidential candidates in 2005 was monumental. Diverse NGOs lectured the candidates on the importance of reducing stunting for the country and on the available evidence, based on the success stories they experienced in Andean and Amazon areas, and to obtain their formal commitment.  All participants insisted that the political commitment at regional and local levels was crucial, through transfer of political, financial and technical power to regional and local governments, a process that is, still unfinished and has faced many problems that go beyond the scope of this analysis. This transfer process was facilitated by the President of the Republic and the relationship established by the central government with the local actors. To achieve the engagement of regional and local governments with the implementation of interventions to reduce stunting, diverse strategies were implemented, including performance-based financial and non-financial incentives. One of them was the “Municipal Seal” (</w:t>
      </w:r>
      <w:r w:rsidRPr="003D7162">
        <w:rPr>
          <w:rFonts w:ascii="Helvetica" w:hAnsi="Helvetica" w:cs="Helvetica"/>
          <w:i/>
          <w:color w:val="000000" w:themeColor="text1"/>
          <w:sz w:val="22"/>
          <w:szCs w:val="22"/>
        </w:rPr>
        <w:t>Sello Municipal</w:t>
      </w:r>
      <w:r w:rsidRPr="003D7162">
        <w:rPr>
          <w:rFonts w:ascii="Helvetica" w:hAnsi="Helvetica" w:cs="Helvetica"/>
          <w:color w:val="000000" w:themeColor="text1"/>
          <w:sz w:val="22"/>
          <w:szCs w:val="22"/>
        </w:rPr>
        <w:t xml:space="preserve">), which was an award that acknowledged the achievement of a particular municipality. </w:t>
      </w:r>
    </w:p>
    <w:p w14:paraId="0E57F916" w14:textId="77777777" w:rsidR="001070CC" w:rsidRPr="003D7162" w:rsidRDefault="001070CC" w:rsidP="000C7ADC">
      <w:pPr>
        <w:rPr>
          <w:rFonts w:ascii="Helvetica" w:hAnsi="Helvetica" w:cs="Helvetica"/>
          <w:color w:val="000000" w:themeColor="text1"/>
          <w:sz w:val="22"/>
          <w:szCs w:val="22"/>
        </w:rPr>
      </w:pPr>
    </w:p>
    <w:p w14:paraId="5FFB7AAF" w14:textId="77777777" w:rsidR="001070CC" w:rsidRPr="003D7162" w:rsidRDefault="001070CC" w:rsidP="000C7ADC">
      <w:pPr>
        <w:rPr>
          <w:rFonts w:ascii="Helvetica" w:hAnsi="Helvetica" w:cs="Helvetica"/>
          <w:i/>
          <w:color w:val="000000" w:themeColor="text1"/>
          <w:sz w:val="22"/>
          <w:szCs w:val="22"/>
        </w:rPr>
      </w:pP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I think that a central factor was the continued dialogue with the political parties, initially through the National Agreement. That occurred at about 2004, 2005. Besides, one of the priority themes within the National Agreement was to work on the rights of children” </w:t>
      </w:r>
      <w:r w:rsidRPr="003D7162">
        <w:rPr>
          <w:rFonts w:ascii="Helvetica" w:hAnsi="Helvetica" w:cs="Helvetica"/>
          <w:color w:val="000000" w:themeColor="text1"/>
          <w:sz w:val="22"/>
          <w:szCs w:val="22"/>
        </w:rPr>
        <w:t>Participant 6. Member, Roundtable Against Poverty.</w:t>
      </w:r>
      <w:r w:rsidRPr="003D7162">
        <w:rPr>
          <w:rFonts w:ascii="Helvetica" w:hAnsi="Helvetica" w:cs="Helvetica"/>
          <w:i/>
          <w:color w:val="000000" w:themeColor="text1"/>
          <w:sz w:val="22"/>
          <w:szCs w:val="22"/>
        </w:rPr>
        <w:t xml:space="preserve"> </w:t>
      </w:r>
    </w:p>
    <w:p w14:paraId="4D9E8688" w14:textId="77777777" w:rsidR="001070CC" w:rsidRPr="003D7162" w:rsidRDefault="001070CC" w:rsidP="000C7ADC">
      <w:pPr>
        <w:rPr>
          <w:rFonts w:ascii="Helvetica" w:hAnsi="Helvetica" w:cs="Helvetica"/>
          <w:i/>
          <w:color w:val="000000" w:themeColor="text1"/>
          <w:sz w:val="22"/>
          <w:szCs w:val="22"/>
        </w:rPr>
      </w:pPr>
    </w:p>
    <w:p w14:paraId="559BEC04"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“There were specific goals (for municipalities to achieve), such as ID for all children and citizens. Contests involving local governments were conducted, and the winner municipalities received the Municipal Seal, along with a President photograph and a plaque</w:t>
      </w: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 </w:t>
      </w:r>
      <w:r w:rsidRPr="003D7162">
        <w:rPr>
          <w:rFonts w:ascii="Helvetica" w:hAnsi="Helvetica" w:cs="Helvetica"/>
          <w:color w:val="000000" w:themeColor="text1"/>
          <w:sz w:val="22"/>
          <w:szCs w:val="22"/>
        </w:rPr>
        <w:t>Participant 2. Independent Consultant. Former Member, MIDIS.</w:t>
      </w:r>
    </w:p>
    <w:p w14:paraId="59BA42C6" w14:textId="77777777" w:rsidR="001070CC" w:rsidRPr="003D7162" w:rsidRDefault="001070CC" w:rsidP="000C7ADC">
      <w:pPr>
        <w:rPr>
          <w:rFonts w:ascii="Helvetica" w:hAnsi="Helvetica" w:cs="Helvetica"/>
          <w:color w:val="000000" w:themeColor="text1"/>
          <w:sz w:val="22"/>
          <w:szCs w:val="22"/>
        </w:rPr>
      </w:pPr>
    </w:p>
    <w:p w14:paraId="59A0804B" w14:textId="50850A49"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bCs/>
          <w:color w:val="000000" w:themeColor="text1"/>
          <w:sz w:val="22"/>
          <w:szCs w:val="22"/>
        </w:rPr>
        <w:t xml:space="preserve">According to interviewees, civil society advocacy </w:t>
      </w:r>
      <w:r w:rsidRPr="003D7162">
        <w:rPr>
          <w:rFonts w:ascii="Helvetica" w:hAnsi="Helvetica" w:cs="Helvetica"/>
          <w:color w:val="000000" w:themeColor="text1"/>
          <w:sz w:val="22"/>
          <w:szCs w:val="22"/>
        </w:rPr>
        <w:t xml:space="preserve">was important and aligned the population needs with the budget. That is, they identified the priorities and allocated the budget according to those needs. There was an intense advocacy at the MoF. Two organizational components critical to channel the civil society advocacy role were the Roundtable Against Poverty and the Child Malnutrition Initiative (CMI). Their members included NGO affiliates whose experiences to reduce stunting were considered successful and thus useful to extend the evidence-based interventions at national level. The Roundtable Against Poverty was previously mentioned. As for the CMI, it was a collective organization promoted initially in 2006 by ADRA, CARE, Caritas, and PRISMA. USAID was incorporated shortly afterwards. This included a technical group and a communication group. In 2006, the Roundtable Against Poverty, FAO, PAHO, WFP, UNICEF and UNFPA were incorporated, and The World Bank was invited. Generaciones Futuras and the Instituto de Investigaciones Nutricionales were incorporated in 2007 and 2008, respectively. Acción Contra el Hambre (2010), Plan Internacional (2010), World Vision (2011) and Management Sciences for Health (2011) were later additions. Currently, the CMI has 17 organizations as active members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{"citationItems":[{"id":"ITEM-1","itemData":{"id":"ITEM-1","issued":{"date-parts":[["0"]]},"title":"Iniciativa Contra la Desnutrición. Historia de la Iniciativa Contra la Desnutrición","type":"webpage"},"uris":["http://www.mendeley.com/documents/?uuid=5a81850b-c48b-40bd-83bc-907aa70c4a48","http://www.mendeley.com/documents/?uuid=c401f7f8-5f30-4a24-b51b-1036ab9d2036","http://www.mendeley.com/documents/?uuid=843a6151-cde6-41f0-b514-0e41a84a778f"]}],"mendeley":{"formattedCitation":"[146]","plainTextFormattedCitation":"[146]","previouslyFormattedCitation":"[139]"},"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[146]</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w:t>
      </w:r>
    </w:p>
    <w:p w14:paraId="7D669954" w14:textId="77777777" w:rsidR="001070CC" w:rsidRPr="003D7162" w:rsidRDefault="001070CC" w:rsidP="000C7ADC">
      <w:pPr>
        <w:rPr>
          <w:rFonts w:ascii="Helvetica" w:hAnsi="Helvetica" w:cs="Helvetica"/>
          <w:color w:val="000000" w:themeColor="text1"/>
          <w:sz w:val="22"/>
          <w:szCs w:val="22"/>
        </w:rPr>
      </w:pPr>
    </w:p>
    <w:p w14:paraId="641534C8" w14:textId="7E93E46A"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CMI was instrumental in achieving the commitment of political candidates in the fight against stunting in the general elections of 2006 and 2011. In addition, it provided technical support to the central and regional governments in the design and implementation of interventions to reduce stunting. The CMI collaborated with the MoF to establish the PPR programs to improve budget allocation at regional and local levels. Its advocacy was decisive for the preparation of annual reports on stunting and its determinants at regional level by the National Institute of Statistics and Computing (INEI). It contributes to the monitoring of the progress achieved in stunting reduction at national and regional levels. Finally, it has provided support to the national and regional governments to contact with national and international organizations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{"citationItems":[{"id":"ITEM-1","itemData":{"id":"ITEM-1","issued":{"date-parts":[["0"]]},"title":"Iniciativa Contra la Desnutrición. Historia de la Iniciativa Contra la Desnutrición","type":"webpage"},"uris":["http://www.mendeley.com/documents/?uuid=843a6151-cde6-41f0-b514-0e41a84a778f","http://www.mendeley.com/documents/?uuid=c401f7f8-5f30-4a24-b51b-1036ab9d2036","http://www.mendeley.com/documents/?uuid=5a81850b-c48b-40bd-83bc-907aa70c4a48"]}],"mendeley":{"formattedCitation":"[146]","plainTextFormattedCitation":"[146]","previouslyFormattedCitation":"[139]"},"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[146]</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w:t>
      </w:r>
    </w:p>
    <w:p w14:paraId="1C96D3DF" w14:textId="77777777" w:rsidR="001070CC" w:rsidRPr="003D7162" w:rsidRDefault="001070CC" w:rsidP="000C7ADC">
      <w:pPr>
        <w:rPr>
          <w:rFonts w:ascii="Helvetica" w:hAnsi="Helvetica" w:cs="Helvetica"/>
          <w:bCs/>
          <w:color w:val="000000" w:themeColor="text1"/>
          <w:sz w:val="22"/>
          <w:szCs w:val="22"/>
        </w:rPr>
      </w:pPr>
    </w:p>
    <w:p w14:paraId="614AC51C"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“The civil society advocacy on childhood issue was very important</w:t>
      </w: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 they talked directly to the Minister of Economy and Finances </w:t>
      </w: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 Then we worked together all the process (of policies and programs implementation) with all civil society members”. </w:t>
      </w:r>
      <w:r w:rsidRPr="003D7162">
        <w:rPr>
          <w:rFonts w:ascii="Helvetica" w:hAnsi="Helvetica" w:cs="Helvetica"/>
          <w:color w:val="000000" w:themeColor="text1"/>
          <w:sz w:val="22"/>
          <w:szCs w:val="22"/>
        </w:rPr>
        <w:t>Participant 2. Independent Consultant. Former Member, MIDIS.</w:t>
      </w:r>
    </w:p>
    <w:p w14:paraId="0C78BEBB" w14:textId="77777777" w:rsidR="001070CC" w:rsidRPr="003D7162" w:rsidRDefault="001070CC" w:rsidP="000C7ADC">
      <w:pPr>
        <w:rPr>
          <w:rFonts w:ascii="Helvetica" w:hAnsi="Helvetica" w:cs="Helvetica"/>
          <w:color w:val="000000" w:themeColor="text1"/>
          <w:sz w:val="22"/>
          <w:szCs w:val="22"/>
        </w:rPr>
      </w:pPr>
    </w:p>
    <w:p w14:paraId="0F39D391"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The implementation of a cross-cutting PPR program, namely the PAN, was mentioned by all participants as the key factor in the accelerated stunting reduction in Peru from 2008 onward, and we elaborate on it in a later section.</w:t>
      </w:r>
    </w:p>
    <w:p w14:paraId="38762E07" w14:textId="77777777" w:rsidR="001070CC" w:rsidRPr="003D7162" w:rsidRDefault="001070CC" w:rsidP="000C7ADC">
      <w:pPr>
        <w:rPr>
          <w:rFonts w:ascii="Helvetica" w:hAnsi="Helvetica" w:cs="Helvetica"/>
          <w:i/>
          <w:color w:val="000000" w:themeColor="text1"/>
          <w:sz w:val="22"/>
          <w:szCs w:val="22"/>
        </w:rPr>
      </w:pPr>
    </w:p>
    <w:p w14:paraId="28D09FE8" w14:textId="2FDCF857" w:rsidR="001070CC" w:rsidRPr="003D7162" w:rsidRDefault="001070CC" w:rsidP="00551D3F">
      <w:pPr>
        <w:rPr>
          <w:rFonts w:ascii="Helvetica" w:hAnsi="Helvetica" w:cs="Helvetica"/>
          <w:b/>
          <w:sz w:val="22"/>
          <w:szCs w:val="22"/>
        </w:rPr>
      </w:pPr>
      <w:bookmarkStart w:id="55" w:name="_Toc516759389"/>
      <w:r w:rsidRPr="003D7162">
        <w:rPr>
          <w:rFonts w:ascii="Helvetica" w:hAnsi="Helvetica" w:cs="Helvetica"/>
          <w:b/>
          <w:sz w:val="22"/>
          <w:szCs w:val="22"/>
        </w:rPr>
        <w:t>Pre-2007 Landmark Policies and Programs</w:t>
      </w:r>
      <w:bookmarkEnd w:id="55"/>
    </w:p>
    <w:p w14:paraId="66934731" w14:textId="77777777" w:rsidR="001070CC" w:rsidRPr="003D7162" w:rsidRDefault="001070CC" w:rsidP="000C7ADC">
      <w:pPr>
        <w:rPr>
          <w:rFonts w:ascii="Helvetica" w:hAnsi="Helvetica" w:cs="Helvetica"/>
          <w:b/>
          <w:bCs/>
          <w:color w:val="000000" w:themeColor="text1"/>
          <w:sz w:val="22"/>
          <w:szCs w:val="22"/>
        </w:rPr>
      </w:pPr>
    </w:p>
    <w:p w14:paraId="3B1F20AE" w14:textId="77777777" w:rsidR="001070CC" w:rsidRPr="003D7162" w:rsidRDefault="001070CC" w:rsidP="000C7ADC">
      <w:pPr>
        <w:rPr>
          <w:rFonts w:ascii="Helvetica" w:hAnsi="Helvetica" w:cs="Helvetica"/>
          <w:bCs/>
          <w:color w:val="000000" w:themeColor="text1"/>
          <w:sz w:val="22"/>
          <w:szCs w:val="22"/>
        </w:rPr>
      </w:pPr>
      <w:r w:rsidRPr="003D7162">
        <w:rPr>
          <w:rFonts w:ascii="Helvetica" w:hAnsi="Helvetica" w:cs="Helvetica"/>
          <w:bCs/>
          <w:color w:val="000000" w:themeColor="text1"/>
          <w:sz w:val="22"/>
          <w:szCs w:val="22"/>
        </w:rPr>
        <w:t>While acknowledging the key role of PPR programs and specifically of the PAN in the reduction of childhood stunting, interviewees pointed out that there were pre-2007 landmark programs that laid out the foundation for later implementation of cross-cutting multidisciplinary and prevention-centered policies and programs to reduce stunting. We elaborate on them following a chronological sequence in the forthcoming sections.</w:t>
      </w:r>
    </w:p>
    <w:p w14:paraId="3435930C" w14:textId="77777777" w:rsidR="001070CC" w:rsidRPr="003D7162" w:rsidRDefault="001070CC" w:rsidP="000C7ADC">
      <w:pPr>
        <w:rPr>
          <w:rFonts w:ascii="Helvetica" w:hAnsi="Helvetica" w:cs="Helvetica"/>
          <w:bCs/>
          <w:color w:val="000000" w:themeColor="text1"/>
          <w:sz w:val="22"/>
          <w:szCs w:val="22"/>
        </w:rPr>
      </w:pPr>
    </w:p>
    <w:p w14:paraId="0656F30D" w14:textId="5E06732B"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bCs/>
          <w:color w:val="000000" w:themeColor="text1"/>
          <w:sz w:val="22"/>
          <w:szCs w:val="22"/>
        </w:rPr>
        <w:t xml:space="preserve">First, </w:t>
      </w:r>
      <w:r w:rsidRPr="003D7162">
        <w:rPr>
          <w:rFonts w:ascii="Helvetica" w:hAnsi="Helvetica" w:cs="Helvetica"/>
          <w:color w:val="000000" w:themeColor="text1"/>
          <w:sz w:val="22"/>
          <w:szCs w:val="22"/>
        </w:rPr>
        <w:t>the Social Development Cooperation Fund-</w:t>
      </w:r>
      <w:r w:rsidRPr="003D7162">
        <w:rPr>
          <w:rFonts w:ascii="Helvetica" w:hAnsi="Helvetica" w:cs="Helvetica"/>
          <w:i/>
          <w:color w:val="000000" w:themeColor="text1"/>
          <w:sz w:val="22"/>
          <w:szCs w:val="22"/>
        </w:rPr>
        <w:t>(Fondo de Cooperación para el Desarrollo Social, FONCODES)</w:t>
      </w:r>
      <w:r w:rsidRPr="003D7162">
        <w:rPr>
          <w:rFonts w:ascii="Helvetica" w:hAnsi="Helvetica" w:cs="Helvetica"/>
          <w:color w:val="000000" w:themeColor="text1"/>
          <w:sz w:val="22"/>
          <w:szCs w:val="22"/>
        </w:rPr>
        <w:t xml:space="preserve">, was a key factor in the design and implementation of antipoverty strategies during the 1990s, it started in 1991. The main objectives included generation of employment, poverty alleviation, and improving the accessibility of social services through direct investment in infrastructure construction in rural areas and shanty towns with high poverty levels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{"citationItems":[{"id":"ITEM-1","itemData":{"author":[{"dropping-particle":"","family":"Schady","given":"N R","non-dropping-particle":"","parse-names":false,"suffix":""}],"container-title":"The American Political Science Review","id":"ITEM-1","issue":"2","issued":{"date-parts":[["2000"]]},"page":"289-95","title":"The political economy of expenditures by the Peruvian Social Fund (FONCODES), 1991-95","type":"article-journal","volume":"94"},"uris":["http://www.mendeley.com/documents/?uuid=87138acd-e4c2-4e2d-bb6d-b0cdcb5c0f24","http://www.mendeley.com/documents/?uuid=8bb50a35-140f-4b29-b74b-c2709c714778","http://www.mendeley.com/documents/?uuid=4738366e-3d45-49be-a9ec-4601010a21a9"]}],"mendeley":{"formattedCitation":"[147]","plainTextFormattedCitation":"[147]","previouslyFormattedCitation":"[140]"},"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[147]</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After a decade of implementation, FONCODES incorporated a training component and participation at local level, keeping the executive core team, and further focusing on rural areas. It was part of the Ministry of Woman and Social Development. FONCODES strategies included the generation of sustainable economic opportunities for extremely poor rural families, and facilitating the coordination between private actors and the community. FONCODES was therefore conceived as a contributor to the reduction of social exclusion and as a facilitator of the incorporation of poor families to the formal market. FONCODES also led to an increase in the accessibility to basic services such as water and sanitation which may have also contributed to stunting reduction.</w:t>
      </w:r>
    </w:p>
    <w:p w14:paraId="50B6FC55" w14:textId="77777777" w:rsidR="001070CC" w:rsidRPr="003D7162" w:rsidRDefault="001070CC" w:rsidP="000C7ADC">
      <w:pPr>
        <w:rPr>
          <w:rFonts w:ascii="Helvetica" w:hAnsi="Helvetica" w:cs="Helvetica"/>
          <w:color w:val="000000" w:themeColor="text1"/>
          <w:sz w:val="22"/>
          <w:szCs w:val="22"/>
        </w:rPr>
      </w:pPr>
    </w:p>
    <w:p w14:paraId="16FB3514" w14:textId="77777777" w:rsidR="001070CC" w:rsidRPr="003D7162" w:rsidRDefault="001070CC" w:rsidP="000C7ADC">
      <w:pPr>
        <w:rPr>
          <w:rFonts w:ascii="Helvetica" w:hAnsi="Helvetica" w:cs="Helvetica"/>
          <w:bCs/>
          <w:color w:val="000000" w:themeColor="text1"/>
          <w:sz w:val="22"/>
          <w:szCs w:val="22"/>
        </w:rPr>
      </w:pPr>
      <w:r w:rsidRPr="003D7162">
        <w:rPr>
          <w:rFonts w:ascii="Helvetica" w:hAnsi="Helvetica" w:cs="Helvetica"/>
          <w:color w:val="000000" w:themeColor="text1"/>
          <w:sz w:val="22"/>
          <w:szCs w:val="22"/>
        </w:rPr>
        <w:t xml:space="preserve">Second, the </w:t>
      </w:r>
      <w:r w:rsidRPr="003D7162">
        <w:rPr>
          <w:rFonts w:ascii="Helvetica" w:hAnsi="Helvetica" w:cs="Helvetica"/>
          <w:bCs/>
          <w:color w:val="000000" w:themeColor="text1"/>
          <w:sz w:val="22"/>
          <w:szCs w:val="22"/>
        </w:rPr>
        <w:t>Good Start in Life Program (</w:t>
      </w:r>
      <w:r w:rsidRPr="003D7162">
        <w:rPr>
          <w:rFonts w:ascii="Helvetica" w:hAnsi="Helvetica" w:cs="Helvetica"/>
          <w:i/>
          <w:color w:val="000000" w:themeColor="text1"/>
          <w:sz w:val="22"/>
          <w:szCs w:val="22"/>
        </w:rPr>
        <w:t>Buen Inicio)</w:t>
      </w:r>
      <w:r w:rsidRPr="003D7162">
        <w:rPr>
          <w:rFonts w:ascii="Helvetica" w:hAnsi="Helvetica" w:cs="Helvetica"/>
          <w:color w:val="000000" w:themeColor="text1"/>
          <w:sz w:val="22"/>
          <w:szCs w:val="22"/>
        </w:rPr>
        <w:t xml:space="preserve">, led by UNICEF and was implemented in 2000 in 4 departments such as: Andes (Cusco, Cajamarca, Apurimac) and the Amazon (Loreto). This program required active and coordinated participation of diverse NGOs, health personnel, diverse ministries and communities. </w:t>
      </w:r>
      <w:r w:rsidRPr="003D7162">
        <w:rPr>
          <w:rFonts w:ascii="Helvetica" w:hAnsi="Helvetica" w:cs="Helvetica"/>
          <w:i/>
          <w:color w:val="000000" w:themeColor="text1"/>
          <w:sz w:val="22"/>
          <w:szCs w:val="22"/>
        </w:rPr>
        <w:t>Buen Inicio</w:t>
      </w:r>
      <w:r w:rsidRPr="003D7162">
        <w:rPr>
          <w:rFonts w:ascii="Helvetica" w:hAnsi="Helvetica" w:cs="Helvetica"/>
          <w:color w:val="000000" w:themeColor="text1"/>
          <w:sz w:val="22"/>
          <w:szCs w:val="22"/>
        </w:rPr>
        <w:t xml:space="preserve"> included two main components: a) management processes, including strengthening of institutional and individual capacities, and strengthening of financial, human and organizational resources, which crossed all operational levels and programmatic areas, and built on a participatory approach and b) a package of interventions focused on young children that included a preventative and promotional approach in nutrition, hygiene, health, and psychological stimulus. This intervention included five main aspects: research, training, social communication, information and advocacy, growth and development monitoring, and community surveillance. The actions encompassed the continuum of care, including antenatal care, nutrition of pregnant women, infants and children, exclusive breastfeeding, iron and vitamin A supplementation, growth and developing monitoring, child stimulus, iodine-supplemented salt consumption, and personal and familial hygiene.</w:t>
      </w:r>
      <w:r w:rsidRPr="003D7162">
        <w:rPr>
          <w:rFonts w:ascii="Helvetica" w:hAnsi="Helvetica" w:cs="Helvetica"/>
          <w:bCs/>
          <w:color w:val="000000" w:themeColor="text1"/>
          <w:sz w:val="22"/>
          <w:szCs w:val="22"/>
        </w:rPr>
        <w:t xml:space="preserve"> </w:t>
      </w:r>
    </w:p>
    <w:p w14:paraId="3E2FFED5" w14:textId="77777777" w:rsidR="001070CC" w:rsidRPr="003D7162" w:rsidRDefault="001070CC" w:rsidP="000C7ADC">
      <w:pPr>
        <w:rPr>
          <w:rFonts w:ascii="Helvetica" w:hAnsi="Helvetica" w:cs="Helvetica"/>
          <w:bCs/>
          <w:color w:val="000000" w:themeColor="text1"/>
          <w:sz w:val="22"/>
          <w:szCs w:val="22"/>
        </w:rPr>
      </w:pPr>
    </w:p>
    <w:p w14:paraId="524FFE8E" w14:textId="487EEF3A"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bCs/>
          <w:color w:val="000000" w:themeColor="text1"/>
          <w:sz w:val="22"/>
          <w:szCs w:val="22"/>
        </w:rPr>
        <w:t xml:space="preserve">Third, the Program of Support to Health Sector Reform (PARSALUD 1) implemented since 2003 by the Ministry of Health, which aimed </w:t>
      </w:r>
      <w:r w:rsidRPr="003D7162">
        <w:rPr>
          <w:rFonts w:ascii="Helvetica" w:hAnsi="Helvetica" w:cs="Helvetica"/>
          <w:color w:val="000000" w:themeColor="text1"/>
          <w:sz w:val="22"/>
          <w:szCs w:val="22"/>
        </w:rPr>
        <w:t xml:space="preserve">at increasing the coverage of essential interventions with emphasis on mothers and newborns of poor areas. PARSALUD established this by strengthening infrastructure, improving the supply of equipment and drugs, by training personnel in health management and clinical capabilities, and by addressing cultural adaptation of health services to increase the demand for health services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{"citationItems":[{"id":"ITEM-1","itemData":{"author":[{"dropping-particle":"","family":"Ministerio de Salud (MINSA).","given":"","non-dropping-particle":"","parse-names":false,"suffix":""}],"id":"ITEM-1","issued":{"date-parts":[["0"]]},"title":"Primera fase del programa de apoyo a la reforma del sector salud PARSALUD I. Lecciones aprendidas","type":"webpage"},"uris":["http://www.mendeley.com/documents/?uuid=28252867-ab3a-4a17-929f-b6300c5391c3","http://www.mendeley.com/documents/?uuid=8563ce0c-0beb-4c9a-bdbd-1445f49ab646","http://www.mendeley.com/documents/?uuid=e7646221-2d65-4fdc-9914-39cc01a15ef0"]}],"mendeley":{"formattedCitation":"[148]","plainTextFormattedCitation":"[148]","previouslyFormattedCitation":"[141]"},"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[148]</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xml:space="preserve">. </w:t>
      </w:r>
    </w:p>
    <w:p w14:paraId="61E56ADF" w14:textId="77777777" w:rsidR="001070CC" w:rsidRPr="003D7162" w:rsidRDefault="001070CC" w:rsidP="000C7ADC">
      <w:pPr>
        <w:rPr>
          <w:rFonts w:ascii="Helvetica" w:hAnsi="Helvetica" w:cs="Helvetica"/>
          <w:color w:val="000000" w:themeColor="text1"/>
          <w:sz w:val="22"/>
          <w:szCs w:val="22"/>
        </w:rPr>
      </w:pPr>
    </w:p>
    <w:p w14:paraId="3941CC52" w14:textId="1AF44D80"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Fourth, the Sustainable Networks for Food Security Program-REDESA, (</w:t>
      </w:r>
      <w:r w:rsidRPr="003D7162">
        <w:rPr>
          <w:rFonts w:ascii="Helvetica" w:hAnsi="Helvetica" w:cs="Helvetica"/>
          <w:i/>
          <w:color w:val="000000" w:themeColor="text1"/>
          <w:sz w:val="22"/>
          <w:szCs w:val="22"/>
        </w:rPr>
        <w:t>Programa Redes Sostenibles para la Seguridad Alimentaria, REDESA</w:t>
      </w:r>
      <w:r w:rsidRPr="003D7162">
        <w:rPr>
          <w:rFonts w:ascii="Helvetica" w:hAnsi="Helvetica" w:cs="Helvetica"/>
          <w:color w:val="000000" w:themeColor="text1"/>
          <w:sz w:val="22"/>
          <w:szCs w:val="22"/>
        </w:rPr>
        <w:t>) was implemented by CARE from 2002 to 2006, in the rural communities of Ancash, Apur</w:t>
      </w:r>
      <w:r w:rsidRPr="003D7162">
        <w:rPr>
          <w:rFonts w:ascii="Helvetica" w:eastAsia="Helvetica" w:hAnsi="Helvetica" w:cs="Helvetica"/>
          <w:color w:val="000000" w:themeColor="text1"/>
          <w:sz w:val="22"/>
          <w:szCs w:val="22"/>
        </w:rPr>
        <w:t>ímac, Ayacucho, Cajamarca, Huancavelica and</w:t>
      </w:r>
      <w:r w:rsidRPr="003D7162">
        <w:rPr>
          <w:rFonts w:ascii="Helvetica" w:hAnsi="Helvetica" w:cs="Helvetica"/>
          <w:color w:val="000000" w:themeColor="text1"/>
          <w:sz w:val="22"/>
          <w:szCs w:val="22"/>
        </w:rPr>
        <w:t xml:space="preserve"> Puno. The main goal of the program was the reduction of stunting in children younger than 3 years old. Of note, it did not include food distribution as one of its actions. The program intervention relied “on a combination of sustainable income generation and improvement of health conditions, with a cross-cutting focus on building networks of strategic alliances and partnerships with local, public, private sector and civil society organizations”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ISBN":"9789972227257","author":[{"dropping-particle":"","family":"Flores","given":"Rosa","non-dropping-particle":"","parse-names":false,"suffix":""},{"dropping-particle":"","family":"Rojas","given":"Carlos","non-dropping-particle":"","parse-names":false,"suffix":""}],"id":"ITEM-1","issued":{"date-parts":[["2007"]]},"publisher-place":"Lima, Peru","title":"Impact of an Intervention on Food Security, REDESA Program Final Evaluation","type":"report"},"uris":["http://www.mendeley.com/documents/?uuid=b6f6fb5c-4886-4f51-b97b-9c893ced512e"]}],"mendeley":{"formattedCitation":"[128]","plainTextFormattedCitation":"[128]","previouslyFormattedCitation":"[121]"},"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[128]</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xml:space="preserve">.  </w:t>
      </w:r>
    </w:p>
    <w:p w14:paraId="2C48416E" w14:textId="77777777" w:rsidR="001070CC" w:rsidRPr="003D7162" w:rsidRDefault="001070CC" w:rsidP="000C7ADC">
      <w:pPr>
        <w:rPr>
          <w:rFonts w:ascii="Helvetica" w:hAnsi="Helvetica" w:cs="Helvetica"/>
          <w:color w:val="000000" w:themeColor="text1"/>
          <w:sz w:val="22"/>
          <w:szCs w:val="22"/>
        </w:rPr>
      </w:pPr>
    </w:p>
    <w:p w14:paraId="6B02D20E" w14:textId="4B2FFFF1" w:rsidR="001070CC" w:rsidRPr="003D7162" w:rsidRDefault="001070CC" w:rsidP="00551D3F">
      <w:pPr>
        <w:rPr>
          <w:rFonts w:ascii="Helvetica" w:hAnsi="Helvetica" w:cs="Helvetica"/>
          <w:b/>
          <w:sz w:val="22"/>
          <w:szCs w:val="22"/>
        </w:rPr>
      </w:pPr>
      <w:bookmarkStart w:id="56" w:name="_Toc516759390"/>
      <w:r w:rsidRPr="003D7162">
        <w:rPr>
          <w:rFonts w:ascii="Helvetica" w:hAnsi="Helvetica" w:cs="Helvetica"/>
          <w:b/>
          <w:sz w:val="22"/>
          <w:szCs w:val="22"/>
        </w:rPr>
        <w:t>PPR Programs: The PAN</w:t>
      </w:r>
      <w:bookmarkEnd w:id="56"/>
    </w:p>
    <w:p w14:paraId="66414CA8" w14:textId="77777777" w:rsidR="001070CC" w:rsidRPr="003D7162" w:rsidRDefault="001070CC" w:rsidP="000C7ADC">
      <w:pPr>
        <w:rPr>
          <w:rFonts w:ascii="Helvetica" w:hAnsi="Helvetica" w:cs="Helvetica"/>
          <w:b/>
          <w:bCs/>
          <w:color w:val="000000" w:themeColor="text1"/>
          <w:sz w:val="22"/>
          <w:szCs w:val="22"/>
        </w:rPr>
      </w:pPr>
    </w:p>
    <w:p w14:paraId="7226C6AF" w14:textId="60C18C4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bCs/>
          <w:color w:val="000000" w:themeColor="text1"/>
          <w:sz w:val="22"/>
          <w:szCs w:val="22"/>
        </w:rPr>
        <w:t xml:space="preserve">It was introduced and led by the MoF in 2007 and scaled up in 2009. It is part of the </w:t>
      </w:r>
      <w:r w:rsidRPr="003D7162">
        <w:rPr>
          <w:rFonts w:ascii="Helvetica" w:hAnsi="Helvetica" w:cs="Helvetica"/>
          <w:color w:val="000000" w:themeColor="text1"/>
          <w:sz w:val="22"/>
          <w:szCs w:val="22"/>
        </w:rPr>
        <w:t xml:space="preserve">PPR approach, which links budget allocation to measurable products and population-relevant results. This required a strong institutional commitment, a clear identification of those responsible for implementing the PPR interventions, clear accountability mechanisms on public spending, as well as a functional information system for monitoring different aspects of the program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[10]</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w:t>
      </w:r>
      <w:r w:rsidRPr="003D7162">
        <w:rPr>
          <w:rFonts w:ascii="Helvetica" w:hAnsi="Helvetica" w:cs="Helvetica"/>
          <w:bCs/>
          <w:color w:val="000000" w:themeColor="text1"/>
          <w:sz w:val="22"/>
          <w:szCs w:val="22"/>
        </w:rPr>
        <w:t xml:space="preserve"> </w:t>
      </w:r>
      <w:r w:rsidRPr="003D7162">
        <w:rPr>
          <w:rFonts w:ascii="Helvetica" w:hAnsi="Helvetica" w:cs="Helvetica"/>
          <w:color w:val="000000" w:themeColor="text1"/>
          <w:sz w:val="22"/>
          <w:szCs w:val="22"/>
        </w:rPr>
        <w:t xml:space="preserve">The PPR strategy was introduced in Peru in 2007 and continues to date. It was adopted by Peru after a series of analyses showed that the efforts to improve human development indicators including childhood stunting had not led to the expected results. At the same time, various experiences, particularly in certain departments of the Andes and the Amazon, showed that it is possible to reduce poverty, to increase the coverage of different interventions and to improve social indicators such as literacy and child nutrition. Civil society members, communities and organizations participated in analytical efforts and in the pressuring different government levels to be accountable when implementing and evaluating public interventions. Likewise, the need to emphasize the quality of services was acknowledged. Thus, the PPR strategy was implemented with the specific objective to ensure that the population but particularly the most vulnerable populations receive the required public services, to achieve a better quality of life.            </w:t>
      </w:r>
    </w:p>
    <w:p w14:paraId="54A118DD" w14:textId="0B7A8E54" w:rsidR="001070CC" w:rsidRPr="003D7162" w:rsidRDefault="001070CC" w:rsidP="000C7ADC">
      <w:pPr>
        <w:rPr>
          <w:rFonts w:ascii="Helvetica" w:hAnsi="Helvetica" w:cs="Helvetica"/>
          <w:bCs/>
          <w:color w:val="000000" w:themeColor="text1"/>
          <w:sz w:val="22"/>
          <w:szCs w:val="22"/>
        </w:rPr>
      </w:pPr>
      <w:r w:rsidRPr="003D7162">
        <w:rPr>
          <w:rFonts w:ascii="Helvetica" w:hAnsi="Helvetica" w:cs="Helvetica"/>
          <w:color w:val="000000" w:themeColor="text1"/>
          <w:sz w:val="22"/>
          <w:szCs w:val="22"/>
        </w:rPr>
        <w:t xml:space="preserve"> </w:t>
      </w:r>
    </w:p>
    <w:p w14:paraId="4343C8B3" w14:textId="77777777" w:rsidR="001070CC" w:rsidRPr="003D7162" w:rsidRDefault="001070CC" w:rsidP="000C7ADC">
      <w:pPr>
        <w:rPr>
          <w:rFonts w:ascii="Helvetica" w:hAnsi="Helvetica" w:cs="Helvetica"/>
          <w:color w:val="000000" w:themeColor="text1"/>
          <w:sz w:val="22"/>
          <w:szCs w:val="22"/>
        </w:rPr>
      </w:pPr>
      <w:r w:rsidRPr="003D7162">
        <w:rPr>
          <w:rFonts w:ascii="Helvetica" w:eastAsia="Helvetica" w:hAnsi="Helvetica" w:cs="Helvetica"/>
          <w:i/>
          <w:color w:val="000000" w:themeColor="text1"/>
          <w:sz w:val="22"/>
          <w:szCs w:val="22"/>
        </w:rPr>
        <w:t xml:space="preserve"> “</w:t>
      </w:r>
      <w:r w:rsidRPr="003D7162">
        <w:rPr>
          <w:rFonts w:ascii="Helvetica" w:hAnsi="Helvetica" w:cs="Helvetica"/>
          <w:i/>
          <w:color w:val="000000" w:themeColor="text1"/>
          <w:sz w:val="22"/>
          <w:szCs w:val="22"/>
        </w:rPr>
        <w:t>In 2007 (PPR) started to be designed, during 2008 the design was refined and implementation started. By 2009 there was already a budget line and spending (in interventions implementation) started, such as vaccines. I think that we could see the results by 2010</w:t>
      </w: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The program is in line with an evidence-based policy. It was a special, robust program”. </w:t>
      </w:r>
      <w:r w:rsidRPr="003D7162">
        <w:rPr>
          <w:rFonts w:ascii="Helvetica" w:hAnsi="Helvetica" w:cs="Helvetica"/>
          <w:color w:val="000000" w:themeColor="text1"/>
          <w:sz w:val="22"/>
          <w:szCs w:val="22"/>
        </w:rPr>
        <w:t>Participant 3.  Former Member, Technical Team of the MoF.</w:t>
      </w:r>
    </w:p>
    <w:p w14:paraId="1A7762E1" w14:textId="77777777" w:rsidR="001070CC" w:rsidRPr="003D7162" w:rsidRDefault="001070CC" w:rsidP="000C7ADC">
      <w:pPr>
        <w:rPr>
          <w:rFonts w:ascii="Helvetica" w:hAnsi="Helvetica" w:cs="Helvetica"/>
          <w:i/>
          <w:color w:val="000000" w:themeColor="text1"/>
          <w:sz w:val="22"/>
          <w:szCs w:val="22"/>
        </w:rPr>
      </w:pPr>
    </w:p>
    <w:p w14:paraId="71192222"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According to participants, although a systematic and rigorous evaluation on its impact has not been conducted, PPR implementation has been successful, particularly in giving areas of the country that were able to achieve substantial improvements of indicators like childhood stunting. They concurred that achievements of PPR implementation include the definition of specific goals, the identification of priority interventions and indicators, and emphasizing prevention and multi-causality of the stunting problem. It also allowed the coordination between different sectors such as the Presidency of the Council of Ministers, the Ministry of Health, the Ministry of Education, the Ministry of the Woman and Social Development, the MIDIS, the Comprehensive Health Insurance (SIS), the Regional Governments and the Local Governments. It also endorsed the coordination between programs such as the CCT program JUNTOS, water and sanitation programs, education programs, and health programs such as the Comprehensive Health Insurance System (SIS), which had started earlier.</w:t>
      </w:r>
    </w:p>
    <w:p w14:paraId="6C3F6EBB"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 </w:t>
      </w:r>
    </w:p>
    <w:p w14:paraId="5887E9DA" w14:textId="77777777" w:rsidR="001070CC" w:rsidRPr="003D7162" w:rsidRDefault="001070CC" w:rsidP="000C7ADC">
      <w:pPr>
        <w:rPr>
          <w:rFonts w:ascii="Helvetica" w:hAnsi="Helvetica" w:cs="Helvetica"/>
          <w:color w:val="000000" w:themeColor="text1"/>
          <w:sz w:val="22"/>
          <w:szCs w:val="22"/>
        </w:rPr>
      </w:pPr>
      <w:r w:rsidRPr="003D7162">
        <w:rPr>
          <w:rFonts w:ascii="Helvetica" w:eastAsia="Helvetica" w:hAnsi="Helvetica" w:cs="Helvetica"/>
          <w:i/>
          <w:color w:val="000000" w:themeColor="text1"/>
          <w:sz w:val="22"/>
          <w:szCs w:val="22"/>
        </w:rPr>
        <w:t xml:space="preserve"> “</w:t>
      </w:r>
      <w:r w:rsidRPr="003D7162">
        <w:rPr>
          <w:rFonts w:ascii="Helvetica" w:hAnsi="Helvetica" w:cs="Helvetica"/>
          <w:i/>
          <w:color w:val="000000" w:themeColor="text1"/>
          <w:sz w:val="22"/>
          <w:szCs w:val="22"/>
        </w:rPr>
        <w:t>The results-based budgeting programs were not all successful, but one in particular was successful and was sustained, it was the Articulated Nutrition Program. This, yes, it played an important role, it was key, very important (in the fight against stunting)”</w:t>
      </w:r>
      <w:r w:rsidRPr="003D7162">
        <w:rPr>
          <w:rFonts w:ascii="Helvetica" w:hAnsi="Helvetica" w:cs="Helvetica"/>
          <w:color w:val="000000" w:themeColor="text1"/>
          <w:sz w:val="22"/>
          <w:szCs w:val="22"/>
        </w:rPr>
        <w:t>. Participant 7. Technical Officer, PAHO.</w:t>
      </w:r>
    </w:p>
    <w:p w14:paraId="71233C04" w14:textId="77777777" w:rsidR="001070CC" w:rsidRPr="003D7162" w:rsidRDefault="001070CC" w:rsidP="000C7ADC">
      <w:pPr>
        <w:rPr>
          <w:rFonts w:ascii="Helvetica" w:hAnsi="Helvetica" w:cs="Helvetica"/>
          <w:color w:val="000000" w:themeColor="text1"/>
          <w:sz w:val="22"/>
          <w:szCs w:val="22"/>
        </w:rPr>
      </w:pPr>
    </w:p>
    <w:p w14:paraId="6FC24DE7"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program articulated the implementation of several interventions supported by scientific evidence as effective to reduce child stunting. In addition, the PAN was focused on the implementation of key interventions related to child health and nutrition, including the introduction of pneumococcal vaccine and the rotavirus vaccine as part of the national immunization scheme and the promotion of key healthy practices (exclusive breastfeeding, complementary feeding, promotion of handwashing). To strengthen the healthy practices, the growth and development monitoring component was improved, therefore increasing the number of child attendances and shifting the focus from weight and height control to counseling on key practices to the mother. </w:t>
      </w:r>
    </w:p>
    <w:p w14:paraId="0C3378DA" w14:textId="77777777" w:rsidR="001070CC" w:rsidRPr="003D7162" w:rsidRDefault="001070CC" w:rsidP="000C7ADC">
      <w:pPr>
        <w:rPr>
          <w:rFonts w:ascii="Helvetica" w:hAnsi="Helvetica" w:cs="Helvetica"/>
          <w:color w:val="000000" w:themeColor="text1"/>
          <w:sz w:val="22"/>
          <w:szCs w:val="22"/>
        </w:rPr>
      </w:pPr>
    </w:p>
    <w:p w14:paraId="2DB00642"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PPR monitoring, specifically monitoring of PAN also required a more thorough monitoring, and thus it was agreed that the DHS had to report on its progress twice a year, an initiative that complemented the previous decision to conduct annually the DHS from 2004 onward, thus strengthening monitoring at national and departmental level. Likewise, PPR led to implementation of additional information systems to monitor health services provision, availability of equipment, supplies, human resources, and other administrative information not provided by the DHS. </w:t>
      </w:r>
    </w:p>
    <w:p w14:paraId="54ECDB41" w14:textId="77777777" w:rsidR="001070CC" w:rsidRPr="003D7162" w:rsidRDefault="001070CC" w:rsidP="000C7ADC">
      <w:pPr>
        <w:rPr>
          <w:rFonts w:ascii="Helvetica" w:hAnsi="Helvetica" w:cs="Helvetica"/>
          <w:color w:val="000000" w:themeColor="text1"/>
          <w:sz w:val="22"/>
          <w:szCs w:val="22"/>
        </w:rPr>
      </w:pPr>
    </w:p>
    <w:p w14:paraId="1DA43F2E"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Participants identified three additional prominent facilitating factors for the implementation of the PAN prior to 2007. Firstly, performance-based budget allocation was dependent on the compliance with the coverage and impact goals established by each region. This allowed a more efficient process of personnel hiring, of equipment and supplies acquisition, and of training of human resources. Secondly, increased budget allocation for key interventions in all regions, with the highest priority given to activities related to growth and development monitoring, and to vaccines, was accompanied by technical support to the regions on how to spend the budget. Thirdly, health system strengthening, with a particular emphasis on increasing the number of health facilities at the regional level, and to attract HRH and to retain them, in rural areas. </w:t>
      </w:r>
    </w:p>
    <w:p w14:paraId="41189723" w14:textId="77777777" w:rsidR="001070CC" w:rsidRPr="003D7162" w:rsidRDefault="001070CC" w:rsidP="000C7ADC">
      <w:pPr>
        <w:rPr>
          <w:rFonts w:ascii="Helvetica" w:hAnsi="Helvetica" w:cs="Helvetica"/>
          <w:color w:val="000000" w:themeColor="text1"/>
          <w:sz w:val="22"/>
          <w:szCs w:val="22"/>
        </w:rPr>
      </w:pPr>
    </w:p>
    <w:p w14:paraId="676AE1DE"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Some drawbacks highlighted by participants in the implementation of the PAN was the inability of healthcare force to provide growth and development monitoring. In addition, there were logistic issues making intervention products and vaccines unavailable.  These problems forced the regions to further invest in HRH. There were also managerial challenges, such as organizing the distribution of supplies, and a lack of decision power of nurses on logistics. One way to face this challenge was to implement performance-based incentives for managers.</w:t>
      </w:r>
      <w:r w:rsidRPr="003D7162">
        <w:rPr>
          <w:rFonts w:ascii="Helvetica" w:hAnsi="Helvetica" w:cs="Helvetica"/>
          <w:i/>
          <w:color w:val="000000" w:themeColor="text1"/>
          <w:sz w:val="22"/>
          <w:szCs w:val="22"/>
        </w:rPr>
        <w:t xml:space="preserve"> </w:t>
      </w:r>
      <w:r w:rsidRPr="003D7162">
        <w:rPr>
          <w:rFonts w:ascii="Helvetica" w:hAnsi="Helvetica" w:cs="Helvetica"/>
          <w:color w:val="000000" w:themeColor="text1"/>
          <w:sz w:val="22"/>
          <w:szCs w:val="22"/>
        </w:rPr>
        <w:t>There was also poor compliance with technical guidelines, although it was not a generalized problem, and it was probably due to limited training of health personnel at the local level.</w:t>
      </w:r>
    </w:p>
    <w:p w14:paraId="0A67FEC8" w14:textId="77777777" w:rsidR="001070CC" w:rsidRPr="003D7162" w:rsidRDefault="001070CC" w:rsidP="000C7ADC">
      <w:pPr>
        <w:rPr>
          <w:rFonts w:ascii="Helvetica" w:hAnsi="Helvetica" w:cs="Helvetica"/>
          <w:color w:val="000000" w:themeColor="text1"/>
          <w:sz w:val="22"/>
          <w:szCs w:val="22"/>
        </w:rPr>
      </w:pPr>
    </w:p>
    <w:p w14:paraId="52A5FF2B" w14:textId="1909F7A7" w:rsidR="001070CC" w:rsidRPr="003D7162" w:rsidRDefault="001070CC" w:rsidP="000C7ADC">
      <w:pPr>
        <w:pStyle w:val="p1"/>
        <w:rPr>
          <w:rFonts w:cs="Helvetica"/>
          <w:color w:val="000000" w:themeColor="text1"/>
          <w:sz w:val="22"/>
          <w:szCs w:val="22"/>
        </w:rPr>
      </w:pPr>
      <w:r w:rsidRPr="003D7162">
        <w:rPr>
          <w:rFonts w:cs="Helvetica"/>
          <w:color w:val="000000" w:themeColor="text1"/>
          <w:sz w:val="22"/>
          <w:szCs w:val="22"/>
        </w:rPr>
        <w:t>Of note, along with the PAN and the PSMN, other PPR programs focused on infants and children were also implemented. These programs include the identity program to provide identification for all citizens and in particular children, the education program to monitor learning achievements, and the road program, an expanded initiative aimed at improving access to basic services and to market opportunities through road infrastructure construction.</w:t>
      </w:r>
    </w:p>
    <w:p w14:paraId="2E6E6E40" w14:textId="5D886A02" w:rsidR="001070CC" w:rsidRPr="003D7162" w:rsidRDefault="001070CC" w:rsidP="000C7ADC">
      <w:pPr>
        <w:pStyle w:val="p1"/>
        <w:rPr>
          <w:rFonts w:cs="Helvetica"/>
          <w:color w:val="000000" w:themeColor="text1"/>
          <w:sz w:val="22"/>
          <w:szCs w:val="22"/>
        </w:rPr>
      </w:pPr>
    </w:p>
    <w:p w14:paraId="3F55A9E7" w14:textId="66248324" w:rsidR="001070CC" w:rsidRPr="003D7162" w:rsidRDefault="001070CC" w:rsidP="000C7ADC">
      <w:pPr>
        <w:pStyle w:val="p1"/>
        <w:rPr>
          <w:rFonts w:cs="Helvetica"/>
          <w:color w:val="000000" w:themeColor="text1"/>
          <w:sz w:val="24"/>
          <w:szCs w:val="24"/>
        </w:rPr>
      </w:pPr>
    </w:p>
    <w:p w14:paraId="7A873D4E" w14:textId="77777777" w:rsidR="00771ED2" w:rsidRPr="003D7162" w:rsidRDefault="00771ED2" w:rsidP="000C7ADC">
      <w:pPr>
        <w:spacing w:after="160"/>
        <w:rPr>
          <w:rFonts w:ascii="Helvetica" w:eastAsiaTheme="minorHAnsi" w:hAnsi="Helvetica" w:cs="Helvetica"/>
          <w:color w:val="000000" w:themeColor="text1"/>
          <w:lang w:val="en-US" w:eastAsia="es-ES_tradnl"/>
        </w:rPr>
      </w:pPr>
      <w:r w:rsidRPr="003D7162">
        <w:rPr>
          <w:rFonts w:ascii="Helvetica" w:hAnsi="Helvetica" w:cs="Helvetica"/>
          <w:color w:val="000000" w:themeColor="text1"/>
        </w:rPr>
        <w:br w:type="page"/>
      </w:r>
    </w:p>
    <w:p w14:paraId="4316B5DB" w14:textId="70E32833" w:rsidR="001070CC" w:rsidRPr="003D7162" w:rsidRDefault="00D91F4C" w:rsidP="00551D3F">
      <w:pPr>
        <w:pStyle w:val="Heading1"/>
        <w:rPr>
          <w:rFonts w:ascii="Helvetica" w:hAnsi="Helvetica" w:cs="Helvetica"/>
          <w:b/>
        </w:rPr>
      </w:pPr>
      <w:bookmarkStart w:id="57" w:name="_Toc40953335"/>
      <w:r w:rsidRPr="00B01B77">
        <w:rPr>
          <w:rFonts w:ascii="Helvetica" w:hAnsi="Helvetica" w:cs="Helvetica"/>
          <w:b/>
          <w:szCs w:val="28"/>
        </w:rPr>
        <w:t xml:space="preserve">Supplementary </w:t>
      </w:r>
      <w:r w:rsidR="00551D3F" w:rsidRPr="003D7162">
        <w:rPr>
          <w:rFonts w:ascii="Helvetica" w:hAnsi="Helvetica" w:cs="Helvetica"/>
          <w:b/>
        </w:rPr>
        <w:t xml:space="preserve">Appendix </w:t>
      </w:r>
      <w:r w:rsidR="001070CC" w:rsidRPr="003D7162">
        <w:rPr>
          <w:rFonts w:ascii="Helvetica" w:hAnsi="Helvetica" w:cs="Helvetica"/>
          <w:b/>
        </w:rPr>
        <w:t>References</w:t>
      </w:r>
      <w:bookmarkEnd w:id="57"/>
    </w:p>
    <w:p w14:paraId="7AC0C050" w14:textId="77777777" w:rsidR="00551D3F" w:rsidRPr="003D7162" w:rsidRDefault="00551D3F" w:rsidP="00551D3F">
      <w:pPr>
        <w:rPr>
          <w:rFonts w:ascii="Helvetica" w:hAnsi="Helvetica" w:cs="Helvetica"/>
          <w:lang w:val="en-US" w:eastAsia="es-ES_tradnl"/>
        </w:rPr>
      </w:pPr>
    </w:p>
    <w:p w14:paraId="525A6E52" w14:textId="327975A1"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b/>
          <w:color w:val="000000" w:themeColor="text1"/>
          <w:sz w:val="22"/>
          <w:szCs w:val="22"/>
        </w:rPr>
        <w:fldChar w:fldCharType="begin" w:fldLock="1"/>
      </w:r>
      <w:r w:rsidRPr="003D7162">
        <w:rPr>
          <w:rFonts w:ascii="Helvetica" w:hAnsi="Helvetica" w:cs="Helvetica"/>
          <w:b/>
          <w:color w:val="000000" w:themeColor="text1"/>
          <w:sz w:val="22"/>
          <w:szCs w:val="22"/>
        </w:rPr>
        <w:instrText xml:space="preserve">ADDIN Mendeley Bibliography CSL_BIBLIOGRAPHY </w:instrText>
      </w:r>
      <w:r w:rsidRPr="003D7162">
        <w:rPr>
          <w:rFonts w:ascii="Helvetica" w:hAnsi="Helvetica" w:cs="Helvetica"/>
          <w:b/>
          <w:color w:val="000000" w:themeColor="text1"/>
          <w:sz w:val="22"/>
          <w:szCs w:val="22"/>
        </w:rPr>
        <w:fldChar w:fldCharType="separate"/>
      </w:r>
      <w:r w:rsidRPr="003D7162">
        <w:rPr>
          <w:rFonts w:ascii="Helvetica" w:hAnsi="Helvetica" w:cs="Helvetica"/>
          <w:noProof/>
          <w:sz w:val="22"/>
          <w:szCs w:val="22"/>
        </w:rPr>
        <w:t xml:space="preserve">1 </w:t>
      </w:r>
      <w:r w:rsidRPr="003D7162">
        <w:rPr>
          <w:rFonts w:ascii="Helvetica" w:hAnsi="Helvetica" w:cs="Helvetica"/>
          <w:noProof/>
          <w:sz w:val="22"/>
          <w:szCs w:val="22"/>
        </w:rPr>
        <w:tab/>
        <w:t>World Bank. World Bank Indicators. 2018.https://data.worldbank.org/indicator</w:t>
      </w:r>
    </w:p>
    <w:p w14:paraId="7247177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 </w:t>
      </w:r>
      <w:r w:rsidRPr="003D7162">
        <w:rPr>
          <w:rFonts w:ascii="Helvetica" w:hAnsi="Helvetica" w:cs="Helvetica"/>
          <w:noProof/>
          <w:sz w:val="22"/>
          <w:szCs w:val="22"/>
        </w:rPr>
        <w:tab/>
        <w:t>JMP. Joint Monitoring Programme for Water, Supply, Sanitation and Hygiene: Peru. 2017.https://washdata.org/data/household#!/</w:t>
      </w:r>
    </w:p>
    <w:p w14:paraId="2C5BAAE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 </w:t>
      </w:r>
      <w:r w:rsidRPr="003D7162">
        <w:rPr>
          <w:rFonts w:ascii="Helvetica" w:hAnsi="Helvetica" w:cs="Helvetica"/>
          <w:noProof/>
          <w:sz w:val="22"/>
          <w:szCs w:val="22"/>
        </w:rPr>
        <w:tab/>
        <w:t xml:space="preserve">Black RE, Allen LH, Bhutta ZA,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Maternal and Child Undernutrition: Maternal and child undernutrition: global and regional exposures and health consequences. </w:t>
      </w:r>
      <w:r w:rsidRPr="003D7162">
        <w:rPr>
          <w:rFonts w:ascii="Helvetica" w:hAnsi="Helvetica" w:cs="Helvetica"/>
          <w:i/>
          <w:iCs/>
          <w:noProof/>
          <w:sz w:val="22"/>
          <w:szCs w:val="22"/>
        </w:rPr>
        <w:t>Lancet</w:t>
      </w:r>
      <w:r w:rsidRPr="003D7162">
        <w:rPr>
          <w:rFonts w:ascii="Helvetica" w:hAnsi="Helvetica" w:cs="Helvetica"/>
          <w:noProof/>
          <w:sz w:val="22"/>
          <w:szCs w:val="22"/>
        </w:rPr>
        <w:t xml:space="preserve"> 2008;</w:t>
      </w:r>
      <w:r w:rsidRPr="003D7162">
        <w:rPr>
          <w:rFonts w:ascii="Helvetica" w:hAnsi="Helvetica" w:cs="Helvetica"/>
          <w:b/>
          <w:bCs/>
          <w:noProof/>
          <w:sz w:val="22"/>
          <w:szCs w:val="22"/>
        </w:rPr>
        <w:t>371</w:t>
      </w:r>
      <w:r w:rsidRPr="003D7162">
        <w:rPr>
          <w:rFonts w:ascii="Helvetica" w:hAnsi="Helvetica" w:cs="Helvetica"/>
          <w:noProof/>
          <w:sz w:val="22"/>
          <w:szCs w:val="22"/>
        </w:rPr>
        <w:t>:243–60. doi:10.1016/S0140</w:t>
      </w:r>
    </w:p>
    <w:p w14:paraId="53B88A8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 </w:t>
      </w:r>
      <w:r w:rsidRPr="003D7162">
        <w:rPr>
          <w:rFonts w:ascii="Helvetica" w:hAnsi="Helvetica" w:cs="Helvetica"/>
          <w:noProof/>
          <w:sz w:val="22"/>
          <w:szCs w:val="22"/>
        </w:rPr>
        <w:tab/>
        <w:t xml:space="preserve">Stifel D, Alderman H. The ‘Glass of Milk’ subsidy program and malnutrition in Peru. </w:t>
      </w:r>
      <w:r w:rsidRPr="003D7162">
        <w:rPr>
          <w:rFonts w:ascii="Helvetica" w:hAnsi="Helvetica" w:cs="Helvetica"/>
          <w:i/>
          <w:iCs/>
          <w:noProof/>
          <w:sz w:val="22"/>
          <w:szCs w:val="22"/>
        </w:rPr>
        <w:t>World Bank Econ Rev</w:t>
      </w:r>
      <w:r w:rsidRPr="003D7162">
        <w:rPr>
          <w:rFonts w:ascii="Helvetica" w:hAnsi="Helvetica" w:cs="Helvetica"/>
          <w:noProof/>
          <w:sz w:val="22"/>
          <w:szCs w:val="22"/>
        </w:rPr>
        <w:t xml:space="preserve"> 2006;</w:t>
      </w:r>
      <w:r w:rsidRPr="003D7162">
        <w:rPr>
          <w:rFonts w:ascii="Helvetica" w:hAnsi="Helvetica" w:cs="Helvetica"/>
          <w:b/>
          <w:bCs/>
          <w:noProof/>
          <w:sz w:val="22"/>
          <w:szCs w:val="22"/>
        </w:rPr>
        <w:t>20</w:t>
      </w:r>
      <w:r w:rsidRPr="003D7162">
        <w:rPr>
          <w:rFonts w:ascii="Helvetica" w:hAnsi="Helvetica" w:cs="Helvetica"/>
          <w:noProof/>
          <w:sz w:val="22"/>
          <w:szCs w:val="22"/>
        </w:rPr>
        <w:t>:421–48. doi:10.1093/wber/lhl002</w:t>
      </w:r>
    </w:p>
    <w:p w14:paraId="69A74DB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 </w:t>
      </w:r>
      <w:r w:rsidRPr="003D7162">
        <w:rPr>
          <w:rFonts w:ascii="Helvetica" w:hAnsi="Helvetica" w:cs="Helvetica"/>
          <w:noProof/>
          <w:sz w:val="22"/>
          <w:szCs w:val="22"/>
        </w:rPr>
        <w:tab/>
        <w:t xml:space="preserve">Gross R, Lechtig A, Lopez de Romana D. Baseline evaluation of nutritional status and government feeding programs in Chiclayo, Peru.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2006;</w:t>
      </w:r>
      <w:r w:rsidRPr="003D7162">
        <w:rPr>
          <w:rFonts w:ascii="Helvetica" w:hAnsi="Helvetica" w:cs="Helvetica"/>
          <w:b/>
          <w:bCs/>
          <w:noProof/>
          <w:sz w:val="22"/>
          <w:szCs w:val="22"/>
        </w:rPr>
        <w:t>27</w:t>
      </w:r>
      <w:r w:rsidRPr="003D7162">
        <w:rPr>
          <w:rFonts w:ascii="Helvetica" w:hAnsi="Helvetica" w:cs="Helvetica"/>
          <w:noProof/>
          <w:sz w:val="22"/>
          <w:szCs w:val="22"/>
        </w:rPr>
        <w:t>:S115–21.</w:t>
      </w:r>
    </w:p>
    <w:p w14:paraId="525E065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 </w:t>
      </w:r>
      <w:r w:rsidRPr="003D7162">
        <w:rPr>
          <w:rFonts w:ascii="Helvetica" w:hAnsi="Helvetica" w:cs="Helvetica"/>
          <w:noProof/>
          <w:sz w:val="22"/>
          <w:szCs w:val="22"/>
        </w:rPr>
        <w:tab/>
        <w:t>Acosta AM. Analysing success in the fight against malnutrition in Peru. IDS Work. Pap. - Inst. Dev. Stud. 2011.</w:t>
      </w:r>
    </w:p>
    <w:p w14:paraId="7C25A6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 </w:t>
      </w:r>
      <w:r w:rsidRPr="003D7162">
        <w:rPr>
          <w:rFonts w:ascii="Helvetica" w:hAnsi="Helvetica" w:cs="Helvetica"/>
          <w:noProof/>
          <w:sz w:val="22"/>
          <w:szCs w:val="22"/>
        </w:rPr>
        <w:tab/>
        <w:t xml:space="preserve">World Bank. </w:t>
      </w:r>
      <w:r w:rsidRPr="003D7162">
        <w:rPr>
          <w:rFonts w:ascii="Helvetica" w:hAnsi="Helvetica" w:cs="Helvetica"/>
          <w:i/>
          <w:iCs/>
          <w:noProof/>
          <w:sz w:val="22"/>
          <w:szCs w:val="22"/>
        </w:rPr>
        <w:t>Peru: Country Program Evaluation for the world Bank Group, 2003-09</w:t>
      </w:r>
      <w:r w:rsidRPr="003D7162">
        <w:rPr>
          <w:rFonts w:ascii="Helvetica" w:hAnsi="Helvetica" w:cs="Helvetica"/>
          <w:noProof/>
          <w:sz w:val="22"/>
          <w:szCs w:val="22"/>
        </w:rPr>
        <w:t xml:space="preserve">. Washington, D.C.: : The International Bank for Reconstruction and Development 2011. </w:t>
      </w:r>
    </w:p>
    <w:p w14:paraId="4B836BD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 </w:t>
      </w:r>
      <w:r w:rsidRPr="003D7162">
        <w:rPr>
          <w:rFonts w:ascii="Helvetica" w:hAnsi="Helvetica" w:cs="Helvetica"/>
          <w:noProof/>
          <w:sz w:val="22"/>
          <w:szCs w:val="22"/>
        </w:rPr>
        <w:tab/>
        <w:t xml:space="preserve">Galasso E, Wagstaff A, Naudeau 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The Economic Costs of Stunting and How to Reduce Them. 2017. http://pubdocs.worldbank.org/en/536661487971403516/PRN05-March2017-Economic-Costs-of-Stunting.pdf (accessed 14 Dec 2017).</w:t>
      </w:r>
    </w:p>
    <w:p w14:paraId="0BCDA2D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 </w:t>
      </w:r>
      <w:r w:rsidRPr="003D7162">
        <w:rPr>
          <w:rFonts w:ascii="Helvetica" w:hAnsi="Helvetica" w:cs="Helvetica"/>
          <w:noProof/>
          <w:sz w:val="22"/>
          <w:szCs w:val="22"/>
        </w:rPr>
        <w:tab/>
        <w:t xml:space="preserve">Krishna A, Oh J, Lee JK,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Short-term and long-term associations between household wealth and physical growth: a cross-comparative analysis of children from four low- and middle-income countries. </w:t>
      </w:r>
      <w:r w:rsidRPr="003D7162">
        <w:rPr>
          <w:rFonts w:ascii="Helvetica" w:hAnsi="Helvetica" w:cs="Helvetica"/>
          <w:i/>
          <w:iCs/>
          <w:noProof/>
          <w:sz w:val="22"/>
          <w:szCs w:val="22"/>
        </w:rPr>
        <w:t>Glob Heal Action</w:t>
      </w:r>
      <w:r w:rsidRPr="003D7162">
        <w:rPr>
          <w:rFonts w:ascii="Helvetica" w:hAnsi="Helvetica" w:cs="Helvetica"/>
          <w:noProof/>
          <w:sz w:val="22"/>
          <w:szCs w:val="22"/>
        </w:rPr>
        <w:t xml:space="preserve"> 2015;</w:t>
      </w:r>
      <w:r w:rsidRPr="003D7162">
        <w:rPr>
          <w:rFonts w:ascii="Helvetica" w:hAnsi="Helvetica" w:cs="Helvetica"/>
          <w:b/>
          <w:bCs/>
          <w:noProof/>
          <w:sz w:val="22"/>
          <w:szCs w:val="22"/>
        </w:rPr>
        <w:t>8</w:t>
      </w:r>
      <w:r w:rsidRPr="003D7162">
        <w:rPr>
          <w:rFonts w:ascii="Helvetica" w:hAnsi="Helvetica" w:cs="Helvetica"/>
          <w:noProof/>
          <w:sz w:val="22"/>
          <w:szCs w:val="22"/>
        </w:rPr>
        <w:t>:26523.</w:t>
      </w:r>
    </w:p>
    <w:p w14:paraId="6AEC529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 </w:t>
      </w:r>
      <w:r w:rsidRPr="003D7162">
        <w:rPr>
          <w:rFonts w:ascii="Helvetica" w:hAnsi="Helvetica" w:cs="Helvetica"/>
          <w:noProof/>
          <w:sz w:val="22"/>
          <w:szCs w:val="22"/>
        </w:rPr>
        <w:tab/>
        <w:t xml:space="preserve">Marini A, Rokx C, Gallagher P. </w:t>
      </w:r>
      <w:r w:rsidRPr="003D7162">
        <w:rPr>
          <w:rFonts w:ascii="Helvetica" w:hAnsi="Helvetica" w:cs="Helvetica"/>
          <w:i/>
          <w:iCs/>
          <w:noProof/>
          <w:sz w:val="22"/>
          <w:szCs w:val="22"/>
        </w:rPr>
        <w:t>Standing Tall Peru’s Success in Overcoming its Stunting Crisis</w:t>
      </w:r>
      <w:r w:rsidRPr="003D7162">
        <w:rPr>
          <w:rFonts w:ascii="Helvetica" w:hAnsi="Helvetica" w:cs="Helvetica"/>
          <w:noProof/>
          <w:sz w:val="22"/>
          <w:szCs w:val="22"/>
        </w:rPr>
        <w:t xml:space="preserve">. Washington, DC: : International Bank for Reconstruction and Development / The World Bank Group 2017. </w:t>
      </w:r>
    </w:p>
    <w:p w14:paraId="07285D5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 </w:t>
      </w:r>
      <w:r w:rsidRPr="003D7162">
        <w:rPr>
          <w:rFonts w:ascii="Helvetica" w:hAnsi="Helvetica" w:cs="Helvetica"/>
          <w:noProof/>
          <w:sz w:val="22"/>
          <w:szCs w:val="22"/>
        </w:rPr>
        <w:tab/>
        <w:t xml:space="preserve">Urke HB, Mittelmark MB, Valdivia M. Trends in stunting and overweight in Peruvian pre-schoolers from 1991 to 2011: Findings from the Demographic and Health Surveys. </w:t>
      </w:r>
      <w:r w:rsidRPr="003D7162">
        <w:rPr>
          <w:rFonts w:ascii="Helvetica" w:hAnsi="Helvetica" w:cs="Helvetica"/>
          <w:i/>
          <w:iCs/>
          <w:noProof/>
          <w:sz w:val="22"/>
          <w:szCs w:val="22"/>
        </w:rPr>
        <w:t>Public Health Nutr</w:t>
      </w:r>
      <w:r w:rsidRPr="003D7162">
        <w:rPr>
          <w:rFonts w:ascii="Helvetica" w:hAnsi="Helvetica" w:cs="Helvetica"/>
          <w:noProof/>
          <w:sz w:val="22"/>
          <w:szCs w:val="22"/>
        </w:rPr>
        <w:t xml:space="preserve"> 2013;</w:t>
      </w:r>
      <w:r w:rsidRPr="003D7162">
        <w:rPr>
          <w:rFonts w:ascii="Helvetica" w:hAnsi="Helvetica" w:cs="Helvetica"/>
          <w:b/>
          <w:bCs/>
          <w:noProof/>
          <w:sz w:val="22"/>
          <w:szCs w:val="22"/>
        </w:rPr>
        <w:t>17</w:t>
      </w:r>
      <w:r w:rsidRPr="003D7162">
        <w:rPr>
          <w:rFonts w:ascii="Helvetica" w:hAnsi="Helvetica" w:cs="Helvetica"/>
          <w:noProof/>
          <w:sz w:val="22"/>
          <w:szCs w:val="22"/>
        </w:rPr>
        <w:t>:2407–18. doi:10.1017/S1368980014000275</w:t>
      </w:r>
    </w:p>
    <w:p w14:paraId="3290C1C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 </w:t>
      </w:r>
      <w:r w:rsidRPr="003D7162">
        <w:rPr>
          <w:rFonts w:ascii="Helvetica" w:hAnsi="Helvetica" w:cs="Helvetica"/>
          <w:noProof/>
          <w:sz w:val="22"/>
          <w:szCs w:val="22"/>
        </w:rPr>
        <w:tab/>
        <w:t xml:space="preserve">Acosta AM, Haddad L. The politics of success in the fight against malnutrition in Peru. </w:t>
      </w:r>
      <w:r w:rsidRPr="003D7162">
        <w:rPr>
          <w:rFonts w:ascii="Helvetica" w:hAnsi="Helvetica" w:cs="Helvetica"/>
          <w:i/>
          <w:iCs/>
          <w:noProof/>
          <w:sz w:val="22"/>
          <w:szCs w:val="22"/>
        </w:rPr>
        <w:t>Food Policy</w:t>
      </w:r>
      <w:r w:rsidRPr="003D7162">
        <w:rPr>
          <w:rFonts w:ascii="Helvetica" w:hAnsi="Helvetica" w:cs="Helvetica"/>
          <w:noProof/>
          <w:sz w:val="22"/>
          <w:szCs w:val="22"/>
        </w:rPr>
        <w:t xml:space="preserve"> 2014;</w:t>
      </w:r>
      <w:r w:rsidRPr="003D7162">
        <w:rPr>
          <w:rFonts w:ascii="Helvetica" w:hAnsi="Helvetica" w:cs="Helvetica"/>
          <w:b/>
          <w:bCs/>
          <w:noProof/>
          <w:sz w:val="22"/>
          <w:szCs w:val="22"/>
        </w:rPr>
        <w:t>44</w:t>
      </w:r>
      <w:r w:rsidRPr="003D7162">
        <w:rPr>
          <w:rFonts w:ascii="Helvetica" w:hAnsi="Helvetica" w:cs="Helvetica"/>
          <w:noProof/>
          <w:sz w:val="22"/>
          <w:szCs w:val="22"/>
        </w:rPr>
        <w:t>:26–35.</w:t>
      </w:r>
    </w:p>
    <w:p w14:paraId="7666782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 </w:t>
      </w:r>
      <w:r w:rsidRPr="003D7162">
        <w:rPr>
          <w:rFonts w:ascii="Helvetica" w:hAnsi="Helvetica" w:cs="Helvetica"/>
          <w:noProof/>
          <w:sz w:val="22"/>
          <w:szCs w:val="22"/>
        </w:rPr>
        <w:tab/>
        <w:t xml:space="preserve">Escobal J, Benites S. Algunos impactos del programa JUNTOS en el bienestar de los niños: Evidencia basada en el estudio Niños del Milenio. </w:t>
      </w:r>
      <w:r w:rsidRPr="003D7162">
        <w:rPr>
          <w:rFonts w:ascii="Helvetica" w:hAnsi="Helvetica" w:cs="Helvetica"/>
          <w:i/>
          <w:iCs/>
          <w:noProof/>
          <w:sz w:val="22"/>
          <w:szCs w:val="22"/>
        </w:rPr>
        <w:t>Boletín 7 Políticas Públicas del Estud Niños del Milen</w:t>
      </w:r>
      <w:r w:rsidRPr="003D7162">
        <w:rPr>
          <w:rFonts w:ascii="Helvetica" w:hAnsi="Helvetica" w:cs="Helvetica"/>
          <w:noProof/>
          <w:sz w:val="22"/>
          <w:szCs w:val="22"/>
        </w:rPr>
        <w:t xml:space="preserve"> 2012.</w:t>
      </w:r>
    </w:p>
    <w:p w14:paraId="541B9AD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 </w:t>
      </w:r>
      <w:r w:rsidRPr="003D7162">
        <w:rPr>
          <w:rFonts w:ascii="Helvetica" w:hAnsi="Helvetica" w:cs="Helvetica"/>
          <w:noProof/>
          <w:sz w:val="22"/>
          <w:szCs w:val="22"/>
        </w:rPr>
        <w:tab/>
        <w:t xml:space="preserve">Huicho L, Huayanay-Espinoza CA, Herrera-Perez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Factors behind the success story of under-five stunting in Peru: a district ecological multilevel analysis. </w:t>
      </w:r>
      <w:r w:rsidRPr="003D7162">
        <w:rPr>
          <w:rFonts w:ascii="Helvetica" w:hAnsi="Helvetica" w:cs="Helvetica"/>
          <w:i/>
          <w:iCs/>
          <w:noProof/>
          <w:sz w:val="22"/>
          <w:szCs w:val="22"/>
        </w:rPr>
        <w:t>BMC Pediatr</w:t>
      </w:r>
      <w:r w:rsidRPr="003D7162">
        <w:rPr>
          <w:rFonts w:ascii="Helvetica" w:hAnsi="Helvetica" w:cs="Helvetica"/>
          <w:noProof/>
          <w:sz w:val="22"/>
          <w:szCs w:val="22"/>
        </w:rPr>
        <w:t xml:space="preserve"> 2017;</w:t>
      </w:r>
      <w:r w:rsidRPr="003D7162">
        <w:rPr>
          <w:rFonts w:ascii="Helvetica" w:hAnsi="Helvetica" w:cs="Helvetica"/>
          <w:b/>
          <w:bCs/>
          <w:noProof/>
          <w:sz w:val="22"/>
          <w:szCs w:val="22"/>
        </w:rPr>
        <w:t>17</w:t>
      </w:r>
      <w:r w:rsidRPr="003D7162">
        <w:rPr>
          <w:rFonts w:ascii="Helvetica" w:hAnsi="Helvetica" w:cs="Helvetica"/>
          <w:noProof/>
          <w:sz w:val="22"/>
          <w:szCs w:val="22"/>
        </w:rPr>
        <w:t>:29. doi:10.1186/s12887-017-0790-3</w:t>
      </w:r>
    </w:p>
    <w:p w14:paraId="420F6ED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15 </w:t>
      </w:r>
      <w:r w:rsidRPr="003D7162">
        <w:rPr>
          <w:rFonts w:ascii="Helvetica" w:hAnsi="Helvetica" w:cs="Helvetica"/>
          <w:noProof/>
          <w:sz w:val="22"/>
          <w:szCs w:val="22"/>
        </w:rPr>
        <w:tab/>
        <w:t>Marini, Alessandra, Arias O. The three factors to halving childhood stunting in Peru over just a decade | Investing in Health. World Bank. 2016.</w:t>
      </w:r>
    </w:p>
    <w:p w14:paraId="651BEDF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16 </w:t>
      </w:r>
      <w:r w:rsidRPr="003D7162">
        <w:rPr>
          <w:rFonts w:ascii="Helvetica" w:hAnsi="Helvetica" w:cs="Helvetica"/>
          <w:noProof/>
          <w:sz w:val="22"/>
          <w:szCs w:val="22"/>
        </w:rPr>
        <w:tab/>
        <w:t xml:space="preserve">Sanchez A, Melendez G, Behrman J. The Impact of the Juntos Conditional Cash Transfer Programme in Peru on Nutritional and Cognitive Outcomes: Does the Age of Exposure Matter? Oxford, UK: 2016. </w:t>
      </w:r>
    </w:p>
    <w:p w14:paraId="7B842D7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17 </w:t>
      </w:r>
      <w:r w:rsidRPr="003D7162">
        <w:rPr>
          <w:rFonts w:ascii="Helvetica" w:hAnsi="Helvetica" w:cs="Helvetica"/>
          <w:noProof/>
          <w:sz w:val="22"/>
          <w:szCs w:val="22"/>
        </w:rPr>
        <w:tab/>
        <w:t xml:space="preserve">Sánchez A, Jaramillo M. Impacto del programa Juntos sobre nutrición temprana. </w:t>
      </w:r>
      <w:r w:rsidRPr="003D7162">
        <w:rPr>
          <w:rFonts w:ascii="Helvetica" w:hAnsi="Helvetica" w:cs="Helvetica"/>
          <w:i/>
          <w:iCs/>
          <w:noProof/>
          <w:sz w:val="22"/>
          <w:szCs w:val="22"/>
        </w:rPr>
        <w:t>Work Pap Ser</w:t>
      </w:r>
      <w:r w:rsidRPr="003D7162">
        <w:rPr>
          <w:rFonts w:ascii="Helvetica" w:hAnsi="Helvetica" w:cs="Helvetica"/>
          <w:noProof/>
          <w:sz w:val="22"/>
          <w:szCs w:val="22"/>
        </w:rPr>
        <w:t xml:space="preserve"> Published Online First: 2012.http://www2.juntos.gob.pe/storage/ckeditor/hjMwhziLC2TXCSy15luSbHINWKTuwO.pdf</w:t>
      </w:r>
    </w:p>
    <w:p w14:paraId="18D0EBD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18 </w:t>
      </w:r>
      <w:r w:rsidRPr="003D7162">
        <w:rPr>
          <w:rFonts w:ascii="Helvetica" w:hAnsi="Helvetica" w:cs="Helvetica"/>
          <w:noProof/>
          <w:sz w:val="22"/>
          <w:szCs w:val="22"/>
        </w:rPr>
        <w:tab/>
        <w:t xml:space="preserve">Hernandez-Vasquez A, Tapia-Lopez E. [Chronic Malnutrition among Children under Five in Peru: A Spatial Analysis of Nutritional Data, 2010-2016]. </w:t>
      </w:r>
      <w:r w:rsidRPr="003D7162">
        <w:rPr>
          <w:rFonts w:ascii="Helvetica" w:hAnsi="Helvetica" w:cs="Helvetica"/>
          <w:i/>
          <w:iCs/>
          <w:noProof/>
          <w:sz w:val="22"/>
          <w:szCs w:val="22"/>
        </w:rPr>
        <w:t>Rev Esp Salud Publica</w:t>
      </w:r>
      <w:r w:rsidRPr="003D7162">
        <w:rPr>
          <w:rFonts w:ascii="Helvetica" w:hAnsi="Helvetica" w:cs="Helvetica"/>
          <w:noProof/>
          <w:sz w:val="22"/>
          <w:szCs w:val="22"/>
        </w:rPr>
        <w:t xml:space="preserve"> 2017;:19.</w:t>
      </w:r>
    </w:p>
    <w:p w14:paraId="21F3BD1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19 </w:t>
      </w:r>
      <w:r w:rsidRPr="003D7162">
        <w:rPr>
          <w:rFonts w:ascii="Helvetica" w:hAnsi="Helvetica" w:cs="Helvetica"/>
          <w:noProof/>
          <w:sz w:val="22"/>
          <w:szCs w:val="22"/>
        </w:rPr>
        <w:tab/>
        <w:t xml:space="preserve">Huicho L, Huayanay-Espinoza CA, Herrera-Perez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Examining national and district-level trends in neonatal health in Peru through an equity lens: a success story driven by political will and societal advocacy. </w:t>
      </w:r>
      <w:r w:rsidRPr="003D7162">
        <w:rPr>
          <w:rFonts w:ascii="Helvetica" w:hAnsi="Helvetica" w:cs="Helvetica"/>
          <w:i/>
          <w:iCs/>
          <w:noProof/>
          <w:sz w:val="22"/>
          <w:szCs w:val="22"/>
        </w:rPr>
        <w:t>BMC Public Health</w:t>
      </w:r>
      <w:r w:rsidRPr="003D7162">
        <w:rPr>
          <w:rFonts w:ascii="Helvetica" w:hAnsi="Helvetica" w:cs="Helvetica"/>
          <w:noProof/>
          <w:sz w:val="22"/>
          <w:szCs w:val="22"/>
        </w:rPr>
        <w:t xml:space="preserve"> 2016;</w:t>
      </w:r>
      <w:r w:rsidRPr="003D7162">
        <w:rPr>
          <w:rFonts w:ascii="Helvetica" w:hAnsi="Helvetica" w:cs="Helvetica"/>
          <w:b/>
          <w:bCs/>
          <w:noProof/>
          <w:sz w:val="22"/>
          <w:szCs w:val="22"/>
        </w:rPr>
        <w:t>16</w:t>
      </w:r>
      <w:r w:rsidRPr="003D7162">
        <w:rPr>
          <w:rFonts w:ascii="Helvetica" w:hAnsi="Helvetica" w:cs="Helvetica"/>
          <w:noProof/>
          <w:sz w:val="22"/>
          <w:szCs w:val="22"/>
        </w:rPr>
        <w:t>. doi:10.1186/s12889-016-3405-2</w:t>
      </w:r>
    </w:p>
    <w:p w14:paraId="1EAAFB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20 </w:t>
      </w:r>
      <w:r w:rsidRPr="003D7162">
        <w:rPr>
          <w:rFonts w:ascii="Helvetica" w:hAnsi="Helvetica" w:cs="Helvetica"/>
          <w:noProof/>
          <w:sz w:val="22"/>
          <w:szCs w:val="22"/>
        </w:rPr>
        <w:tab/>
        <w:t xml:space="preserve">Yamada Fukusaki G, Castro JF, Yamada Fukusaki G,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Poverty, inequality, and social policies in Peru : as poor as it gets. </w:t>
      </w:r>
      <w:r w:rsidRPr="003D7162">
        <w:rPr>
          <w:rFonts w:ascii="Helvetica" w:hAnsi="Helvetica" w:cs="Helvetica"/>
          <w:i/>
          <w:iCs/>
          <w:noProof/>
          <w:sz w:val="22"/>
          <w:szCs w:val="22"/>
        </w:rPr>
        <w:t>Univ del Pacífico</w:t>
      </w:r>
      <w:r w:rsidRPr="003D7162">
        <w:rPr>
          <w:rFonts w:ascii="Helvetica" w:hAnsi="Helvetica" w:cs="Helvetica"/>
          <w:noProof/>
          <w:sz w:val="22"/>
          <w:szCs w:val="22"/>
        </w:rPr>
        <w:t xml:space="preserve"> 2012.</w:t>
      </w:r>
    </w:p>
    <w:p w14:paraId="20912B4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21 </w:t>
      </w:r>
      <w:r w:rsidRPr="003D7162">
        <w:rPr>
          <w:rFonts w:ascii="Helvetica" w:hAnsi="Helvetica" w:cs="Helvetica"/>
          <w:noProof/>
          <w:sz w:val="22"/>
          <w:szCs w:val="22"/>
        </w:rPr>
        <w:tab/>
        <w:t xml:space="preserve">Lutter C, Chaparro C. </w:t>
      </w:r>
      <w:r w:rsidRPr="003D7162">
        <w:rPr>
          <w:rFonts w:ascii="Helvetica" w:hAnsi="Helvetica" w:cs="Helvetica"/>
          <w:i/>
          <w:iCs/>
          <w:noProof/>
          <w:sz w:val="22"/>
          <w:szCs w:val="22"/>
        </w:rPr>
        <w:t>Malnutrition in infants and young children in Latin America and the Caribbean : Achieving the and Millennium Development Goals</w:t>
      </w:r>
      <w:r w:rsidRPr="003D7162">
        <w:rPr>
          <w:rFonts w:ascii="Helvetica" w:hAnsi="Helvetica" w:cs="Helvetica"/>
          <w:noProof/>
          <w:sz w:val="22"/>
          <w:szCs w:val="22"/>
        </w:rPr>
        <w:t xml:space="preserve">. 2008. </w:t>
      </w:r>
    </w:p>
    <w:p w14:paraId="7C3699A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22 </w:t>
      </w:r>
      <w:r w:rsidRPr="003D7162">
        <w:rPr>
          <w:rFonts w:ascii="Helvetica" w:hAnsi="Helvetica" w:cs="Helvetica"/>
          <w:noProof/>
          <w:sz w:val="22"/>
          <w:szCs w:val="22"/>
        </w:rPr>
        <w:tab/>
        <w:t xml:space="preserve">Larrea C, Freire W. Social inequality and child malnutrition in four Andean countries. </w:t>
      </w:r>
      <w:r w:rsidRPr="003D7162">
        <w:rPr>
          <w:rFonts w:ascii="Helvetica" w:hAnsi="Helvetica" w:cs="Helvetica"/>
          <w:i/>
          <w:iCs/>
          <w:noProof/>
          <w:sz w:val="22"/>
          <w:szCs w:val="22"/>
        </w:rPr>
        <w:t>Rev Panam Salud Publica/Pan Am J Public Heal</w:t>
      </w:r>
      <w:r w:rsidRPr="003D7162">
        <w:rPr>
          <w:rFonts w:ascii="Helvetica" w:hAnsi="Helvetica" w:cs="Helvetica"/>
          <w:noProof/>
          <w:sz w:val="22"/>
          <w:szCs w:val="22"/>
        </w:rPr>
        <w:t xml:space="preserve"> 2002;</w:t>
      </w:r>
      <w:r w:rsidRPr="003D7162">
        <w:rPr>
          <w:rFonts w:ascii="Helvetica" w:hAnsi="Helvetica" w:cs="Helvetica"/>
          <w:b/>
          <w:bCs/>
          <w:noProof/>
          <w:sz w:val="22"/>
          <w:szCs w:val="22"/>
        </w:rPr>
        <w:t>11</w:t>
      </w:r>
      <w:r w:rsidRPr="003D7162">
        <w:rPr>
          <w:rFonts w:ascii="Helvetica" w:hAnsi="Helvetica" w:cs="Helvetica"/>
          <w:noProof/>
          <w:sz w:val="22"/>
          <w:szCs w:val="22"/>
        </w:rPr>
        <w:t>:356–64.</w:t>
      </w:r>
    </w:p>
    <w:p w14:paraId="55B2CCA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23 </w:t>
      </w:r>
      <w:r w:rsidRPr="003D7162">
        <w:rPr>
          <w:rFonts w:ascii="Helvetica" w:hAnsi="Helvetica" w:cs="Helvetica"/>
          <w:noProof/>
          <w:sz w:val="22"/>
          <w:szCs w:val="22"/>
        </w:rPr>
        <w:tab/>
        <w:t xml:space="preserve">Anticona C, San Sebastian M. Anemia and malnutrition in indigenous children and adolescents of the Peruvian Amazon in a context of lead exposure: a cross-sectional study. </w:t>
      </w:r>
      <w:r w:rsidRPr="003D7162">
        <w:rPr>
          <w:rFonts w:ascii="Helvetica" w:hAnsi="Helvetica" w:cs="Helvetica"/>
          <w:i/>
          <w:iCs/>
          <w:noProof/>
          <w:sz w:val="22"/>
          <w:szCs w:val="22"/>
        </w:rPr>
        <w:t>Glob Health Action</w:t>
      </w:r>
      <w:r w:rsidRPr="003D7162">
        <w:rPr>
          <w:rFonts w:ascii="Helvetica" w:hAnsi="Helvetica" w:cs="Helvetica"/>
          <w:noProof/>
          <w:sz w:val="22"/>
          <w:szCs w:val="22"/>
        </w:rPr>
        <w:t xml:space="preserve"> 2014;</w:t>
      </w:r>
      <w:r w:rsidRPr="003D7162">
        <w:rPr>
          <w:rFonts w:ascii="Helvetica" w:hAnsi="Helvetica" w:cs="Helvetica"/>
          <w:b/>
          <w:bCs/>
          <w:noProof/>
          <w:sz w:val="22"/>
          <w:szCs w:val="22"/>
        </w:rPr>
        <w:t>7</w:t>
      </w:r>
      <w:r w:rsidRPr="003D7162">
        <w:rPr>
          <w:rFonts w:ascii="Helvetica" w:hAnsi="Helvetica" w:cs="Helvetica"/>
          <w:noProof/>
          <w:sz w:val="22"/>
          <w:szCs w:val="22"/>
        </w:rPr>
        <w:t>:22888.</w:t>
      </w:r>
    </w:p>
    <w:p w14:paraId="4762FDA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24 </w:t>
      </w:r>
      <w:r w:rsidRPr="003D7162">
        <w:rPr>
          <w:rFonts w:ascii="Helvetica" w:hAnsi="Helvetica" w:cs="Helvetica"/>
          <w:noProof/>
          <w:sz w:val="22"/>
          <w:szCs w:val="22"/>
        </w:rPr>
        <w:tab/>
        <w:t xml:space="preserve">Nolan LB. Rural-urban child height for age trajectories and their heterogeneous determinants in four developing countries. </w:t>
      </w:r>
      <w:r w:rsidRPr="003D7162">
        <w:rPr>
          <w:rFonts w:ascii="Helvetica" w:hAnsi="Helvetica" w:cs="Helvetica"/>
          <w:i/>
          <w:iCs/>
          <w:noProof/>
          <w:sz w:val="22"/>
          <w:szCs w:val="22"/>
        </w:rPr>
        <w:t>Popul Res Policy Rev</w:t>
      </w:r>
      <w:r w:rsidRPr="003D7162">
        <w:rPr>
          <w:rFonts w:ascii="Helvetica" w:hAnsi="Helvetica" w:cs="Helvetica"/>
          <w:noProof/>
          <w:sz w:val="22"/>
          <w:szCs w:val="22"/>
        </w:rPr>
        <w:t xml:space="preserve"> 2016;</w:t>
      </w:r>
      <w:r w:rsidRPr="003D7162">
        <w:rPr>
          <w:rFonts w:ascii="Helvetica" w:hAnsi="Helvetica" w:cs="Helvetica"/>
          <w:b/>
          <w:bCs/>
          <w:noProof/>
          <w:sz w:val="22"/>
          <w:szCs w:val="22"/>
        </w:rPr>
        <w:t>35</w:t>
      </w:r>
      <w:r w:rsidRPr="003D7162">
        <w:rPr>
          <w:rFonts w:ascii="Helvetica" w:hAnsi="Helvetica" w:cs="Helvetica"/>
          <w:noProof/>
          <w:sz w:val="22"/>
          <w:szCs w:val="22"/>
        </w:rPr>
        <w:t>:599–629.</w:t>
      </w:r>
    </w:p>
    <w:p w14:paraId="3BAA1D0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25 </w:t>
      </w:r>
      <w:r w:rsidRPr="003D7162">
        <w:rPr>
          <w:rFonts w:ascii="Helvetica" w:hAnsi="Helvetica" w:cs="Helvetica"/>
          <w:noProof/>
          <w:sz w:val="22"/>
          <w:szCs w:val="22"/>
        </w:rPr>
        <w:tab/>
        <w:t>Aramburú La Torre AM. Diversidad alimentaria y su asociación con el retraso del crecimiento en niños de 6-23 meses. Perú, 2008-2010. 2014;:viii,62-viii,62.http://bvssp.icict.fiocruz.br/lildbi/docsonline/get.php?id=3890</w:t>
      </w:r>
    </w:p>
    <w:p w14:paraId="082961B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26 </w:t>
      </w:r>
      <w:r w:rsidRPr="003D7162">
        <w:rPr>
          <w:rFonts w:ascii="Helvetica" w:hAnsi="Helvetica" w:cs="Helvetica"/>
          <w:noProof/>
          <w:sz w:val="22"/>
          <w:szCs w:val="22"/>
        </w:rPr>
        <w:tab/>
        <w:t xml:space="preserve">Loret De Mola C, Quispe R, Valle GA,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Nutritional Transition in Children under Five Years and Women of Reproductive Age: A 15-Years Trend Analysis in Peru. </w:t>
      </w:r>
      <w:r w:rsidRPr="003D7162">
        <w:rPr>
          <w:rFonts w:ascii="Helvetica" w:hAnsi="Helvetica" w:cs="Helvetica"/>
          <w:i/>
          <w:iCs/>
          <w:noProof/>
          <w:sz w:val="22"/>
          <w:szCs w:val="22"/>
        </w:rPr>
        <w:t>PLoS One</w:t>
      </w:r>
      <w:r w:rsidRPr="003D7162">
        <w:rPr>
          <w:rFonts w:ascii="Helvetica" w:hAnsi="Helvetica" w:cs="Helvetica"/>
          <w:noProof/>
          <w:sz w:val="22"/>
          <w:szCs w:val="22"/>
        </w:rPr>
        <w:t xml:space="preserve"> 2014;</w:t>
      </w:r>
      <w:r w:rsidRPr="003D7162">
        <w:rPr>
          <w:rFonts w:ascii="Helvetica" w:hAnsi="Helvetica" w:cs="Helvetica"/>
          <w:b/>
          <w:bCs/>
          <w:noProof/>
          <w:sz w:val="22"/>
          <w:szCs w:val="22"/>
        </w:rPr>
        <w:t>9</w:t>
      </w:r>
      <w:r w:rsidRPr="003D7162">
        <w:rPr>
          <w:rFonts w:ascii="Helvetica" w:hAnsi="Helvetica" w:cs="Helvetica"/>
          <w:noProof/>
          <w:sz w:val="22"/>
          <w:szCs w:val="22"/>
        </w:rPr>
        <w:t>:e92550. doi:10.1371/journal.pone.0092550</w:t>
      </w:r>
    </w:p>
    <w:p w14:paraId="3695F20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27 </w:t>
      </w:r>
      <w:r w:rsidRPr="003D7162">
        <w:rPr>
          <w:rFonts w:ascii="Helvetica" w:hAnsi="Helvetica" w:cs="Helvetica"/>
          <w:noProof/>
          <w:sz w:val="22"/>
          <w:szCs w:val="22"/>
        </w:rPr>
        <w:tab/>
        <w:t xml:space="preserve">UNICEF. </w:t>
      </w:r>
      <w:r w:rsidRPr="003D7162">
        <w:rPr>
          <w:rFonts w:ascii="Helvetica" w:hAnsi="Helvetica" w:cs="Helvetica"/>
          <w:i/>
          <w:iCs/>
          <w:noProof/>
          <w:sz w:val="22"/>
          <w:szCs w:val="22"/>
        </w:rPr>
        <w:t>Improving child nutrition: The achievable imperative for global progress.</w:t>
      </w:r>
      <w:r w:rsidRPr="003D7162">
        <w:rPr>
          <w:rFonts w:ascii="Helvetica" w:hAnsi="Helvetica" w:cs="Helvetica"/>
          <w:noProof/>
          <w:sz w:val="22"/>
          <w:szCs w:val="22"/>
        </w:rPr>
        <w:t xml:space="preserve"> 2013. doi:978-92-806-4686-3</w:t>
      </w:r>
    </w:p>
    <w:p w14:paraId="31730D3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28 </w:t>
      </w:r>
      <w:r w:rsidRPr="003D7162">
        <w:rPr>
          <w:rFonts w:ascii="Helvetica" w:hAnsi="Helvetica" w:cs="Helvetica"/>
          <w:noProof/>
          <w:sz w:val="22"/>
          <w:szCs w:val="22"/>
        </w:rPr>
        <w:tab/>
        <w:t xml:space="preserve">Pawson IG, Huicho L. Persistence of growth stunting in a Peruvian high altitude community, 1964-1999. </w:t>
      </w:r>
      <w:r w:rsidRPr="003D7162">
        <w:rPr>
          <w:rFonts w:ascii="Helvetica" w:hAnsi="Helvetica" w:cs="Helvetica"/>
          <w:i/>
          <w:iCs/>
          <w:noProof/>
          <w:sz w:val="22"/>
          <w:szCs w:val="22"/>
        </w:rPr>
        <w:t>Am J Hum Biol</w:t>
      </w:r>
      <w:r w:rsidRPr="003D7162">
        <w:rPr>
          <w:rFonts w:ascii="Helvetica" w:hAnsi="Helvetica" w:cs="Helvetica"/>
          <w:noProof/>
          <w:sz w:val="22"/>
          <w:szCs w:val="22"/>
        </w:rPr>
        <w:t xml:space="preserve"> 2010;</w:t>
      </w:r>
      <w:r w:rsidRPr="003D7162">
        <w:rPr>
          <w:rFonts w:ascii="Helvetica" w:hAnsi="Helvetica" w:cs="Helvetica"/>
          <w:b/>
          <w:bCs/>
          <w:noProof/>
          <w:sz w:val="22"/>
          <w:szCs w:val="22"/>
        </w:rPr>
        <w:t>22</w:t>
      </w:r>
      <w:r w:rsidRPr="003D7162">
        <w:rPr>
          <w:rFonts w:ascii="Helvetica" w:hAnsi="Helvetica" w:cs="Helvetica"/>
          <w:noProof/>
          <w:sz w:val="22"/>
          <w:szCs w:val="22"/>
        </w:rPr>
        <w:t>:367–74.</w:t>
      </w:r>
    </w:p>
    <w:p w14:paraId="25CF284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29 </w:t>
      </w:r>
      <w:r w:rsidRPr="003D7162">
        <w:rPr>
          <w:rFonts w:ascii="Helvetica" w:hAnsi="Helvetica" w:cs="Helvetica"/>
          <w:noProof/>
          <w:sz w:val="22"/>
          <w:szCs w:val="22"/>
        </w:rPr>
        <w:tab/>
        <w:t xml:space="preserve">De Meer K, Bergman R, Kusner JS,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Differences in physical growth of Aymara and Quechua children living at high altitude in Peru. </w:t>
      </w:r>
      <w:r w:rsidRPr="003D7162">
        <w:rPr>
          <w:rFonts w:ascii="Helvetica" w:hAnsi="Helvetica" w:cs="Helvetica"/>
          <w:i/>
          <w:iCs/>
          <w:noProof/>
          <w:sz w:val="22"/>
          <w:szCs w:val="22"/>
        </w:rPr>
        <w:t>Am J Phys Anthropol</w:t>
      </w:r>
      <w:r w:rsidRPr="003D7162">
        <w:rPr>
          <w:rFonts w:ascii="Helvetica" w:hAnsi="Helvetica" w:cs="Helvetica"/>
          <w:noProof/>
          <w:sz w:val="22"/>
          <w:szCs w:val="22"/>
        </w:rPr>
        <w:t xml:space="preserve"> 1993;</w:t>
      </w:r>
      <w:r w:rsidRPr="003D7162">
        <w:rPr>
          <w:rFonts w:ascii="Helvetica" w:hAnsi="Helvetica" w:cs="Helvetica"/>
          <w:b/>
          <w:bCs/>
          <w:noProof/>
          <w:sz w:val="22"/>
          <w:szCs w:val="22"/>
        </w:rPr>
        <w:t>90</w:t>
      </w:r>
      <w:r w:rsidRPr="003D7162">
        <w:rPr>
          <w:rFonts w:ascii="Helvetica" w:hAnsi="Helvetica" w:cs="Helvetica"/>
          <w:noProof/>
          <w:sz w:val="22"/>
          <w:szCs w:val="22"/>
        </w:rPr>
        <w:t>:59–75.</w:t>
      </w:r>
    </w:p>
    <w:p w14:paraId="1748630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30 </w:t>
      </w:r>
      <w:r w:rsidRPr="003D7162">
        <w:rPr>
          <w:rFonts w:ascii="Helvetica" w:hAnsi="Helvetica" w:cs="Helvetica"/>
          <w:noProof/>
          <w:sz w:val="22"/>
          <w:szCs w:val="22"/>
        </w:rPr>
        <w:tab/>
        <w:t xml:space="preserve">Sobrino M, Gutiérrez C, Cunha AJ,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Child malnutrition in children under 5 years of age in Peru: Trends and determinants. </w:t>
      </w:r>
      <w:r w:rsidRPr="003D7162">
        <w:rPr>
          <w:rFonts w:ascii="Helvetica" w:hAnsi="Helvetica" w:cs="Helvetica"/>
          <w:i/>
          <w:iCs/>
          <w:noProof/>
          <w:sz w:val="22"/>
          <w:szCs w:val="22"/>
        </w:rPr>
        <w:t>Rev Panam Salud Publica/Pan Am J Public Heal</w:t>
      </w:r>
      <w:r w:rsidRPr="003D7162">
        <w:rPr>
          <w:rFonts w:ascii="Helvetica" w:hAnsi="Helvetica" w:cs="Helvetica"/>
          <w:noProof/>
          <w:sz w:val="22"/>
          <w:szCs w:val="22"/>
        </w:rPr>
        <w:t xml:space="preserve"> 2014;</w:t>
      </w:r>
      <w:r w:rsidRPr="003D7162">
        <w:rPr>
          <w:rFonts w:ascii="Helvetica" w:hAnsi="Helvetica" w:cs="Helvetica"/>
          <w:b/>
          <w:bCs/>
          <w:noProof/>
          <w:sz w:val="22"/>
          <w:szCs w:val="22"/>
        </w:rPr>
        <w:t>35</w:t>
      </w:r>
      <w:r w:rsidRPr="003D7162">
        <w:rPr>
          <w:rFonts w:ascii="Helvetica" w:hAnsi="Helvetica" w:cs="Helvetica"/>
          <w:noProof/>
          <w:sz w:val="22"/>
          <w:szCs w:val="22"/>
        </w:rPr>
        <w:t>:104–12.</w:t>
      </w:r>
    </w:p>
    <w:p w14:paraId="4F0C422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31 </w:t>
      </w:r>
      <w:r w:rsidRPr="003D7162">
        <w:rPr>
          <w:rFonts w:ascii="Helvetica" w:hAnsi="Helvetica" w:cs="Helvetica"/>
          <w:noProof/>
          <w:sz w:val="22"/>
          <w:szCs w:val="22"/>
        </w:rPr>
        <w:tab/>
        <w:t xml:space="preserve">Gragnolati M, Marini A. Nonlinear effects of altitude on child growth in Peru a multilevel analysis. </w:t>
      </w:r>
      <w:r w:rsidRPr="003D7162">
        <w:rPr>
          <w:rFonts w:ascii="Helvetica" w:hAnsi="Helvetica" w:cs="Helvetica"/>
          <w:i/>
          <w:iCs/>
          <w:noProof/>
          <w:sz w:val="22"/>
          <w:szCs w:val="22"/>
        </w:rPr>
        <w:t>Policy Res Work Pap 3823</w:t>
      </w:r>
      <w:r w:rsidRPr="003D7162">
        <w:rPr>
          <w:rFonts w:ascii="Helvetica" w:hAnsi="Helvetica" w:cs="Helvetica"/>
          <w:noProof/>
          <w:sz w:val="22"/>
          <w:szCs w:val="22"/>
        </w:rPr>
        <w:t xml:space="preserve"> 2006;:1–21.</w:t>
      </w:r>
    </w:p>
    <w:p w14:paraId="2452FC5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32 </w:t>
      </w:r>
      <w:r w:rsidRPr="003D7162">
        <w:rPr>
          <w:rFonts w:ascii="Helvetica" w:hAnsi="Helvetica" w:cs="Helvetica"/>
          <w:noProof/>
          <w:sz w:val="22"/>
          <w:szCs w:val="22"/>
        </w:rPr>
        <w:tab/>
        <w:t xml:space="preserve">Yosef S, Goulden J. Commitments and accountability: Peru’s unique nutrition journey. In: Gillespie S, Hodge J, Yosef 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eds. </w:t>
      </w:r>
      <w:r w:rsidRPr="003D7162">
        <w:rPr>
          <w:rFonts w:ascii="Helvetica" w:hAnsi="Helvetica" w:cs="Helvetica"/>
          <w:i/>
          <w:iCs/>
          <w:noProof/>
          <w:sz w:val="22"/>
          <w:szCs w:val="22"/>
        </w:rPr>
        <w:t>Nourishing millions: Stories of Change in Nutrition</w:t>
      </w:r>
      <w:r w:rsidRPr="003D7162">
        <w:rPr>
          <w:rFonts w:ascii="Helvetica" w:hAnsi="Helvetica" w:cs="Helvetica"/>
          <w:noProof/>
          <w:sz w:val="22"/>
          <w:szCs w:val="22"/>
        </w:rPr>
        <w:t>. Washington, D.C.: : International Food Policy Research Institute (IFPRI) 2016. 125–32. doi:10.2499/9780896295889_14</w:t>
      </w:r>
    </w:p>
    <w:p w14:paraId="1EA70FC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33 </w:t>
      </w:r>
      <w:r w:rsidRPr="003D7162">
        <w:rPr>
          <w:rFonts w:ascii="Helvetica" w:hAnsi="Helvetica" w:cs="Helvetica"/>
          <w:noProof/>
          <w:sz w:val="22"/>
          <w:szCs w:val="22"/>
        </w:rPr>
        <w:tab/>
        <w:t xml:space="preserve">Levinson FJ, Balarajan Y. Adressing Malnutrition Multisectorally: What have we learned from recent international experience? New York: 2013. </w:t>
      </w:r>
    </w:p>
    <w:p w14:paraId="0A147F3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34 </w:t>
      </w:r>
      <w:r w:rsidRPr="003D7162">
        <w:rPr>
          <w:rFonts w:ascii="Helvetica" w:hAnsi="Helvetica" w:cs="Helvetica"/>
          <w:noProof/>
          <w:sz w:val="22"/>
          <w:szCs w:val="22"/>
        </w:rPr>
        <w:tab/>
        <w:t xml:space="preserve">Perova E, Vakis R. 5 Years in Juntos: New Evidence on the Program’s Short and Long-Term Impacts. </w:t>
      </w:r>
      <w:r w:rsidRPr="003D7162">
        <w:rPr>
          <w:rFonts w:ascii="Helvetica" w:hAnsi="Helvetica" w:cs="Helvetica"/>
          <w:i/>
          <w:iCs/>
          <w:noProof/>
          <w:sz w:val="22"/>
          <w:szCs w:val="22"/>
        </w:rPr>
        <w:t>Economía</w:t>
      </w:r>
      <w:r w:rsidRPr="003D7162">
        <w:rPr>
          <w:rFonts w:ascii="Helvetica" w:hAnsi="Helvetica" w:cs="Helvetica"/>
          <w:noProof/>
          <w:sz w:val="22"/>
          <w:szCs w:val="22"/>
        </w:rPr>
        <w:t xml:space="preserve"> 2012;</w:t>
      </w:r>
      <w:r w:rsidRPr="003D7162">
        <w:rPr>
          <w:rFonts w:ascii="Helvetica" w:hAnsi="Helvetica" w:cs="Helvetica"/>
          <w:b/>
          <w:bCs/>
          <w:noProof/>
          <w:sz w:val="22"/>
          <w:szCs w:val="22"/>
        </w:rPr>
        <w:t>35</w:t>
      </w:r>
      <w:r w:rsidRPr="003D7162">
        <w:rPr>
          <w:rFonts w:ascii="Helvetica" w:hAnsi="Helvetica" w:cs="Helvetica"/>
          <w:noProof/>
          <w:sz w:val="22"/>
          <w:szCs w:val="22"/>
        </w:rPr>
        <w:t>:53–82.</w:t>
      </w:r>
    </w:p>
    <w:p w14:paraId="4F62010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35 </w:t>
      </w:r>
      <w:r w:rsidRPr="003D7162">
        <w:rPr>
          <w:rFonts w:ascii="Helvetica" w:hAnsi="Helvetica" w:cs="Helvetica"/>
          <w:noProof/>
          <w:sz w:val="22"/>
          <w:szCs w:val="22"/>
        </w:rPr>
        <w:tab/>
        <w:t xml:space="preserve">Gajate-Garrido G. Excluding the Rural Population The Impact of Public Expenditure on Child Malnutrition in Peru. </w:t>
      </w:r>
      <w:r w:rsidRPr="003D7162">
        <w:rPr>
          <w:rFonts w:ascii="Helvetica" w:hAnsi="Helvetica" w:cs="Helvetica"/>
          <w:i/>
          <w:iCs/>
          <w:noProof/>
          <w:sz w:val="22"/>
          <w:szCs w:val="22"/>
        </w:rPr>
        <w:t>Policy Res Work Pap 6666</w:t>
      </w:r>
      <w:r w:rsidRPr="003D7162">
        <w:rPr>
          <w:rFonts w:ascii="Helvetica" w:hAnsi="Helvetica" w:cs="Helvetica"/>
          <w:noProof/>
          <w:sz w:val="22"/>
          <w:szCs w:val="22"/>
        </w:rPr>
        <w:t xml:space="preserve"> 2013.</w:t>
      </w:r>
    </w:p>
    <w:p w14:paraId="7DCD65E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36 </w:t>
      </w:r>
      <w:r w:rsidRPr="003D7162">
        <w:rPr>
          <w:rFonts w:ascii="Helvetica" w:hAnsi="Helvetica" w:cs="Helvetica"/>
          <w:noProof/>
          <w:sz w:val="22"/>
          <w:szCs w:val="22"/>
        </w:rPr>
        <w:tab/>
        <w:t xml:space="preserve">Huicho L, Davila M, Gonzales F,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Implementation of the Integrated Management of Childhood Illness strategy in Peru and its association with health indicators: an ecological analysis. </w:t>
      </w:r>
      <w:r w:rsidRPr="003D7162">
        <w:rPr>
          <w:rFonts w:ascii="Helvetica" w:hAnsi="Helvetica" w:cs="Helvetica"/>
          <w:i/>
          <w:iCs/>
          <w:noProof/>
          <w:sz w:val="22"/>
          <w:szCs w:val="22"/>
        </w:rPr>
        <w:t>Health Policy Plan</w:t>
      </w:r>
      <w:r w:rsidRPr="003D7162">
        <w:rPr>
          <w:rFonts w:ascii="Helvetica" w:hAnsi="Helvetica" w:cs="Helvetica"/>
          <w:noProof/>
          <w:sz w:val="22"/>
          <w:szCs w:val="22"/>
        </w:rPr>
        <w:t xml:space="preserve"> 2005;</w:t>
      </w:r>
      <w:r w:rsidRPr="003D7162">
        <w:rPr>
          <w:rFonts w:ascii="Helvetica" w:hAnsi="Helvetica" w:cs="Helvetica"/>
          <w:b/>
          <w:bCs/>
          <w:noProof/>
          <w:sz w:val="22"/>
          <w:szCs w:val="22"/>
        </w:rPr>
        <w:t>20</w:t>
      </w:r>
      <w:r w:rsidRPr="003D7162">
        <w:rPr>
          <w:rFonts w:ascii="Helvetica" w:hAnsi="Helvetica" w:cs="Helvetica"/>
          <w:noProof/>
          <w:sz w:val="22"/>
          <w:szCs w:val="22"/>
        </w:rPr>
        <w:t>:i32–41.</w:t>
      </w:r>
    </w:p>
    <w:p w14:paraId="4BCAD68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37 </w:t>
      </w:r>
      <w:r w:rsidRPr="003D7162">
        <w:rPr>
          <w:rFonts w:ascii="Helvetica" w:hAnsi="Helvetica" w:cs="Helvetica"/>
          <w:noProof/>
          <w:sz w:val="22"/>
          <w:szCs w:val="22"/>
        </w:rPr>
        <w:tab/>
        <w:t xml:space="preserve">Forero-Ramirez N, Gamboa LF, Bedi 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Child malnutrition and prenatal care: evidence from three Latin American countries. </w:t>
      </w:r>
      <w:r w:rsidRPr="003D7162">
        <w:rPr>
          <w:rFonts w:ascii="Helvetica" w:hAnsi="Helvetica" w:cs="Helvetica"/>
          <w:i/>
          <w:iCs/>
          <w:noProof/>
          <w:sz w:val="22"/>
          <w:szCs w:val="22"/>
        </w:rPr>
        <w:t>Rev Panam Salud Publica/Pan Am J Public Heal</w:t>
      </w:r>
      <w:r w:rsidRPr="003D7162">
        <w:rPr>
          <w:rFonts w:ascii="Helvetica" w:hAnsi="Helvetica" w:cs="Helvetica"/>
          <w:noProof/>
          <w:sz w:val="22"/>
          <w:szCs w:val="22"/>
        </w:rPr>
        <w:t xml:space="preserve"> 2014;</w:t>
      </w:r>
      <w:r w:rsidRPr="003D7162">
        <w:rPr>
          <w:rFonts w:ascii="Helvetica" w:hAnsi="Helvetica" w:cs="Helvetica"/>
          <w:b/>
          <w:bCs/>
          <w:noProof/>
          <w:sz w:val="22"/>
          <w:szCs w:val="22"/>
        </w:rPr>
        <w:t>35</w:t>
      </w:r>
      <w:r w:rsidRPr="003D7162">
        <w:rPr>
          <w:rFonts w:ascii="Helvetica" w:hAnsi="Helvetica" w:cs="Helvetica"/>
          <w:noProof/>
          <w:sz w:val="22"/>
          <w:szCs w:val="22"/>
        </w:rPr>
        <w:t>:163–71.</w:t>
      </w:r>
    </w:p>
    <w:p w14:paraId="3F961A2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38 </w:t>
      </w:r>
      <w:r w:rsidRPr="003D7162">
        <w:rPr>
          <w:rFonts w:ascii="Helvetica" w:hAnsi="Helvetica" w:cs="Helvetica"/>
          <w:noProof/>
          <w:sz w:val="22"/>
          <w:szCs w:val="22"/>
        </w:rPr>
        <w:tab/>
        <w:t xml:space="preserve">Robert RC, Gittelsohn J, Creed-Kanashiro HM,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Implementation examined in a health center-delivered, educational intervention that improved infant growth in Trujillo, Peru: successes and challenges. </w:t>
      </w:r>
      <w:r w:rsidRPr="003D7162">
        <w:rPr>
          <w:rFonts w:ascii="Helvetica" w:hAnsi="Helvetica" w:cs="Helvetica"/>
          <w:i/>
          <w:iCs/>
          <w:noProof/>
          <w:sz w:val="22"/>
          <w:szCs w:val="22"/>
        </w:rPr>
        <w:t>Health Educ Res</w:t>
      </w:r>
      <w:r w:rsidRPr="003D7162">
        <w:rPr>
          <w:rFonts w:ascii="Helvetica" w:hAnsi="Helvetica" w:cs="Helvetica"/>
          <w:noProof/>
          <w:sz w:val="22"/>
          <w:szCs w:val="22"/>
        </w:rPr>
        <w:t xml:space="preserve"> 2006;</w:t>
      </w:r>
      <w:r w:rsidRPr="003D7162">
        <w:rPr>
          <w:rFonts w:ascii="Helvetica" w:hAnsi="Helvetica" w:cs="Helvetica"/>
          <w:b/>
          <w:bCs/>
          <w:noProof/>
          <w:sz w:val="22"/>
          <w:szCs w:val="22"/>
        </w:rPr>
        <w:t>22</w:t>
      </w:r>
      <w:r w:rsidRPr="003D7162">
        <w:rPr>
          <w:rFonts w:ascii="Helvetica" w:hAnsi="Helvetica" w:cs="Helvetica"/>
          <w:noProof/>
          <w:sz w:val="22"/>
          <w:szCs w:val="22"/>
        </w:rPr>
        <w:t>:318–31. doi:10.1093/her/cyl078</w:t>
      </w:r>
    </w:p>
    <w:p w14:paraId="7C76C4E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39 </w:t>
      </w:r>
      <w:r w:rsidRPr="003D7162">
        <w:rPr>
          <w:rFonts w:ascii="Helvetica" w:hAnsi="Helvetica" w:cs="Helvetica"/>
          <w:noProof/>
          <w:sz w:val="22"/>
          <w:szCs w:val="22"/>
        </w:rPr>
        <w:tab/>
        <w:t xml:space="preserve">Lutter CK, Iannotti L, Creed-Kanashiro H,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Key principles to improve programmes and interventions in complementary feeding. </w:t>
      </w:r>
      <w:r w:rsidRPr="003D7162">
        <w:rPr>
          <w:rFonts w:ascii="Helvetica" w:hAnsi="Helvetica" w:cs="Helvetica"/>
          <w:i/>
          <w:iCs/>
          <w:noProof/>
          <w:sz w:val="22"/>
          <w:szCs w:val="22"/>
        </w:rPr>
        <w:t>Matern Child Nutr</w:t>
      </w:r>
      <w:r w:rsidRPr="003D7162">
        <w:rPr>
          <w:rFonts w:ascii="Helvetica" w:hAnsi="Helvetica" w:cs="Helvetica"/>
          <w:noProof/>
          <w:sz w:val="22"/>
          <w:szCs w:val="22"/>
        </w:rPr>
        <w:t xml:space="preserve"> 2013;</w:t>
      </w:r>
      <w:r w:rsidRPr="003D7162">
        <w:rPr>
          <w:rFonts w:ascii="Helvetica" w:hAnsi="Helvetica" w:cs="Helvetica"/>
          <w:b/>
          <w:bCs/>
          <w:noProof/>
          <w:sz w:val="22"/>
          <w:szCs w:val="22"/>
        </w:rPr>
        <w:t>9 Suppl 2</w:t>
      </w:r>
      <w:r w:rsidRPr="003D7162">
        <w:rPr>
          <w:rFonts w:ascii="Helvetica" w:hAnsi="Helvetica" w:cs="Helvetica"/>
          <w:noProof/>
          <w:sz w:val="22"/>
          <w:szCs w:val="22"/>
        </w:rPr>
        <w:t>:101–15.</w:t>
      </w:r>
    </w:p>
    <w:p w14:paraId="736BBCB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40 </w:t>
      </w:r>
      <w:r w:rsidRPr="003D7162">
        <w:rPr>
          <w:rFonts w:ascii="Helvetica" w:hAnsi="Helvetica" w:cs="Helvetica"/>
          <w:noProof/>
          <w:sz w:val="22"/>
          <w:szCs w:val="22"/>
        </w:rPr>
        <w:tab/>
        <w:t xml:space="preserve">Lechtig A, Cornale G, Ugaz ME,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Nutritional impact of the good start in life program (Buen Inicio) in Peru: decreased prevalence of stunting, anemia and vitamin A deficiency in children less than three years of age, from the poorest indigenous populations in the Andean highlands and the. </w:t>
      </w:r>
      <w:r w:rsidRPr="003D7162">
        <w:rPr>
          <w:rFonts w:ascii="Helvetica" w:hAnsi="Helvetica" w:cs="Helvetica"/>
          <w:i/>
          <w:iCs/>
          <w:noProof/>
          <w:sz w:val="22"/>
          <w:szCs w:val="22"/>
        </w:rPr>
        <w:t>Sight Life Mag</w:t>
      </w:r>
      <w:r w:rsidRPr="003D7162">
        <w:rPr>
          <w:rFonts w:ascii="Helvetica" w:hAnsi="Helvetica" w:cs="Helvetica"/>
          <w:noProof/>
          <w:sz w:val="22"/>
          <w:szCs w:val="22"/>
        </w:rPr>
        <w:t xml:space="preserve"> 2009;</w:t>
      </w:r>
      <w:r w:rsidRPr="003D7162">
        <w:rPr>
          <w:rFonts w:ascii="Helvetica" w:hAnsi="Helvetica" w:cs="Helvetica"/>
          <w:b/>
          <w:bCs/>
          <w:noProof/>
          <w:sz w:val="22"/>
          <w:szCs w:val="22"/>
        </w:rPr>
        <w:t>2</w:t>
      </w:r>
      <w:r w:rsidRPr="003D7162">
        <w:rPr>
          <w:rFonts w:ascii="Helvetica" w:hAnsi="Helvetica" w:cs="Helvetica"/>
          <w:noProof/>
          <w:sz w:val="22"/>
          <w:szCs w:val="22"/>
        </w:rPr>
        <w:t>:16–9.http://ovidsp.ovid.com/ovidweb.cgi?T=JS&amp;CSC=Y&amp;NEWS=N&amp;PAGE=fulltext&amp;D=caba6&amp;AN=20093251211</w:t>
      </w:r>
    </w:p>
    <w:p w14:paraId="07345FC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41 </w:t>
      </w:r>
      <w:r w:rsidRPr="003D7162">
        <w:rPr>
          <w:rFonts w:ascii="Helvetica" w:hAnsi="Helvetica" w:cs="Helvetica"/>
          <w:noProof/>
          <w:sz w:val="22"/>
          <w:szCs w:val="22"/>
        </w:rPr>
        <w:tab/>
        <w:t xml:space="preserve">Santos AP, Oliart-Guzman H, Branco LFCC,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Prevalence of nutritional deficiencies and morbidity by infectious diseases in children 0-5 years of age in Inapari in the Peruvian Amazon. </w:t>
      </w:r>
      <w:r w:rsidRPr="003D7162">
        <w:rPr>
          <w:rFonts w:ascii="Helvetica" w:hAnsi="Helvetica" w:cs="Helvetica"/>
          <w:i/>
          <w:iCs/>
          <w:noProof/>
          <w:sz w:val="22"/>
          <w:szCs w:val="22"/>
        </w:rPr>
        <w:t>Rev Patol Trop</w:t>
      </w:r>
      <w:r w:rsidRPr="003D7162">
        <w:rPr>
          <w:rFonts w:ascii="Helvetica" w:hAnsi="Helvetica" w:cs="Helvetica"/>
          <w:noProof/>
          <w:sz w:val="22"/>
          <w:szCs w:val="22"/>
        </w:rPr>
        <w:t xml:space="preserve"> 2016;</w:t>
      </w:r>
      <w:r w:rsidRPr="003D7162">
        <w:rPr>
          <w:rFonts w:ascii="Helvetica" w:hAnsi="Helvetica" w:cs="Helvetica"/>
          <w:b/>
          <w:bCs/>
          <w:noProof/>
          <w:sz w:val="22"/>
          <w:szCs w:val="22"/>
        </w:rPr>
        <w:t>45</w:t>
      </w:r>
      <w:r w:rsidRPr="003D7162">
        <w:rPr>
          <w:rFonts w:ascii="Helvetica" w:hAnsi="Helvetica" w:cs="Helvetica"/>
          <w:noProof/>
          <w:sz w:val="22"/>
          <w:szCs w:val="22"/>
        </w:rPr>
        <w:t>:305–21.</w:t>
      </w:r>
    </w:p>
    <w:p w14:paraId="7F4B02E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42 </w:t>
      </w:r>
      <w:r w:rsidRPr="003D7162">
        <w:rPr>
          <w:rFonts w:ascii="Helvetica" w:hAnsi="Helvetica" w:cs="Helvetica"/>
          <w:noProof/>
          <w:sz w:val="22"/>
          <w:szCs w:val="22"/>
        </w:rPr>
        <w:tab/>
        <w:t xml:space="preserve">Humphries D, Dearden KA, Schott W,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Children with access to improved sanitation but not improved water are at lower risk of stunting compared to children without access: a cohort study in Ethiopia, India, Peru, and Vietnam. </w:t>
      </w:r>
      <w:r w:rsidRPr="003D7162">
        <w:rPr>
          <w:rFonts w:ascii="Helvetica" w:hAnsi="Helvetica" w:cs="Helvetica"/>
          <w:i/>
          <w:iCs/>
          <w:noProof/>
          <w:sz w:val="22"/>
          <w:szCs w:val="22"/>
        </w:rPr>
        <w:t>Am J Trop Med Hyg</w:t>
      </w:r>
      <w:r w:rsidRPr="003D7162">
        <w:rPr>
          <w:rFonts w:ascii="Helvetica" w:hAnsi="Helvetica" w:cs="Helvetica"/>
          <w:noProof/>
          <w:sz w:val="22"/>
          <w:szCs w:val="22"/>
        </w:rPr>
        <w:t xml:space="preserve"> 2014;</w:t>
      </w:r>
      <w:r w:rsidRPr="003D7162">
        <w:rPr>
          <w:rFonts w:ascii="Helvetica" w:hAnsi="Helvetica" w:cs="Helvetica"/>
          <w:b/>
          <w:bCs/>
          <w:noProof/>
          <w:sz w:val="22"/>
          <w:szCs w:val="22"/>
        </w:rPr>
        <w:t>1)</w:t>
      </w:r>
      <w:r w:rsidRPr="003D7162">
        <w:rPr>
          <w:rFonts w:ascii="Helvetica" w:hAnsi="Helvetica" w:cs="Helvetica"/>
          <w:noProof/>
          <w:sz w:val="22"/>
          <w:szCs w:val="22"/>
        </w:rPr>
        <w:t>:180.</w:t>
      </w:r>
    </w:p>
    <w:p w14:paraId="7BBC095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43 </w:t>
      </w:r>
      <w:r w:rsidRPr="003D7162">
        <w:rPr>
          <w:rFonts w:ascii="Helvetica" w:hAnsi="Helvetica" w:cs="Helvetica"/>
          <w:noProof/>
          <w:sz w:val="22"/>
          <w:szCs w:val="22"/>
        </w:rPr>
        <w:tab/>
        <w:t xml:space="preserve">Hartinger S, Lanata C, Hattendorf 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A community randomized controlled trial of an integrated home-based intervention improving household-air pollution, drinking water quality and hygiene in rural peru. Am. J. Trop. Med. Hyg. 2012;</w:t>
      </w:r>
      <w:r w:rsidRPr="003D7162">
        <w:rPr>
          <w:rFonts w:ascii="Helvetica" w:hAnsi="Helvetica" w:cs="Helvetica"/>
          <w:b/>
          <w:bCs/>
          <w:noProof/>
          <w:sz w:val="22"/>
          <w:szCs w:val="22"/>
        </w:rPr>
        <w:t>87</w:t>
      </w:r>
      <w:r w:rsidRPr="003D7162">
        <w:rPr>
          <w:rFonts w:ascii="Helvetica" w:hAnsi="Helvetica" w:cs="Helvetica"/>
          <w:noProof/>
          <w:sz w:val="22"/>
          <w:szCs w:val="22"/>
        </w:rPr>
        <w:t>:285.</w:t>
      </w:r>
    </w:p>
    <w:p w14:paraId="77BE9D1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44 </w:t>
      </w:r>
      <w:r w:rsidRPr="003D7162">
        <w:rPr>
          <w:rFonts w:ascii="Helvetica" w:hAnsi="Helvetica" w:cs="Helvetica"/>
          <w:noProof/>
          <w:sz w:val="22"/>
          <w:szCs w:val="22"/>
        </w:rPr>
        <w:tab/>
        <w:t xml:space="preserve">Gyorkos TW, Maheu-Giroux M, Casap,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Stunting and helminth infection in early preschool-age children in a resource-poor community in the Amazon lowlands of Peru. </w:t>
      </w:r>
      <w:r w:rsidRPr="003D7162">
        <w:rPr>
          <w:rFonts w:ascii="Helvetica" w:hAnsi="Helvetica" w:cs="Helvetica"/>
          <w:i/>
          <w:iCs/>
          <w:noProof/>
          <w:sz w:val="22"/>
          <w:szCs w:val="22"/>
        </w:rPr>
        <w:t>Trans R Soc Trop Med Hyg</w:t>
      </w:r>
      <w:r w:rsidRPr="003D7162">
        <w:rPr>
          <w:rFonts w:ascii="Helvetica" w:hAnsi="Helvetica" w:cs="Helvetica"/>
          <w:noProof/>
          <w:sz w:val="22"/>
          <w:szCs w:val="22"/>
        </w:rPr>
        <w:t xml:space="preserve"> 2011;</w:t>
      </w:r>
      <w:r w:rsidRPr="003D7162">
        <w:rPr>
          <w:rFonts w:ascii="Helvetica" w:hAnsi="Helvetica" w:cs="Helvetica"/>
          <w:b/>
          <w:bCs/>
          <w:noProof/>
          <w:sz w:val="22"/>
          <w:szCs w:val="22"/>
        </w:rPr>
        <w:t>105</w:t>
      </w:r>
      <w:r w:rsidRPr="003D7162">
        <w:rPr>
          <w:rFonts w:ascii="Helvetica" w:hAnsi="Helvetica" w:cs="Helvetica"/>
          <w:noProof/>
          <w:sz w:val="22"/>
          <w:szCs w:val="22"/>
        </w:rPr>
        <w:t>:204–8. doi:10.1016/j.trstmh.2010.12.003</w:t>
      </w:r>
    </w:p>
    <w:p w14:paraId="669CDFB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45 </w:t>
      </w:r>
      <w:r w:rsidRPr="003D7162">
        <w:rPr>
          <w:rFonts w:ascii="Helvetica" w:hAnsi="Helvetica" w:cs="Helvetica"/>
          <w:noProof/>
          <w:sz w:val="22"/>
          <w:szCs w:val="22"/>
        </w:rPr>
        <w:tab/>
        <w:t xml:space="preserve">Casapía M, Joseph SA, Núñez 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Parasite and maternal risk factors for malnutrition in preschool-age children in Belen, Peru using the new WHO child growth standards. </w:t>
      </w:r>
      <w:r w:rsidRPr="003D7162">
        <w:rPr>
          <w:rFonts w:ascii="Helvetica" w:hAnsi="Helvetica" w:cs="Helvetica"/>
          <w:i/>
          <w:iCs/>
          <w:noProof/>
          <w:sz w:val="22"/>
          <w:szCs w:val="22"/>
        </w:rPr>
        <w:t>Br J Nutr</w:t>
      </w:r>
      <w:r w:rsidRPr="003D7162">
        <w:rPr>
          <w:rFonts w:ascii="Helvetica" w:hAnsi="Helvetica" w:cs="Helvetica"/>
          <w:noProof/>
          <w:sz w:val="22"/>
          <w:szCs w:val="22"/>
        </w:rPr>
        <w:t xml:space="preserve"> 2007;</w:t>
      </w:r>
      <w:r w:rsidRPr="003D7162">
        <w:rPr>
          <w:rFonts w:ascii="Helvetica" w:hAnsi="Helvetica" w:cs="Helvetica"/>
          <w:b/>
          <w:bCs/>
          <w:noProof/>
          <w:sz w:val="22"/>
          <w:szCs w:val="22"/>
        </w:rPr>
        <w:t>98</w:t>
      </w:r>
      <w:r w:rsidRPr="003D7162">
        <w:rPr>
          <w:rFonts w:ascii="Helvetica" w:hAnsi="Helvetica" w:cs="Helvetica"/>
          <w:noProof/>
          <w:sz w:val="22"/>
          <w:szCs w:val="22"/>
        </w:rPr>
        <w:t>:1259–66. doi:10.1017/S0007114507795272</w:t>
      </w:r>
    </w:p>
    <w:p w14:paraId="2B3EFBB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46 </w:t>
      </w:r>
      <w:r w:rsidRPr="003D7162">
        <w:rPr>
          <w:rFonts w:ascii="Helvetica" w:hAnsi="Helvetica" w:cs="Helvetica"/>
          <w:noProof/>
          <w:sz w:val="22"/>
          <w:szCs w:val="22"/>
        </w:rPr>
        <w:tab/>
        <w:t xml:space="preserve">Georgiadis A, Benny L, Duc LT,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Growth recovery and faltering through early adolescence in low- and middle-income countries: Determinants and implications for cognitive development. </w:t>
      </w:r>
      <w:r w:rsidRPr="003D7162">
        <w:rPr>
          <w:rFonts w:ascii="Helvetica" w:hAnsi="Helvetica" w:cs="Helvetica"/>
          <w:i/>
          <w:iCs/>
          <w:noProof/>
          <w:sz w:val="22"/>
          <w:szCs w:val="22"/>
        </w:rPr>
        <w:t>Soc Sci Med</w:t>
      </w:r>
      <w:r w:rsidRPr="003D7162">
        <w:rPr>
          <w:rFonts w:ascii="Helvetica" w:hAnsi="Helvetica" w:cs="Helvetica"/>
          <w:noProof/>
          <w:sz w:val="22"/>
          <w:szCs w:val="22"/>
        </w:rPr>
        <w:t xml:space="preserve"> 2017;</w:t>
      </w:r>
      <w:r w:rsidRPr="003D7162">
        <w:rPr>
          <w:rFonts w:ascii="Helvetica" w:hAnsi="Helvetica" w:cs="Helvetica"/>
          <w:b/>
          <w:bCs/>
          <w:noProof/>
          <w:sz w:val="22"/>
          <w:szCs w:val="22"/>
        </w:rPr>
        <w:t>179</w:t>
      </w:r>
      <w:r w:rsidRPr="003D7162">
        <w:rPr>
          <w:rFonts w:ascii="Helvetica" w:hAnsi="Helvetica" w:cs="Helvetica"/>
          <w:noProof/>
          <w:sz w:val="22"/>
          <w:szCs w:val="22"/>
        </w:rPr>
        <w:t>:81–90.http://libaccess.mcmaster.ca/login?url=http://ovidsp.ovid.com/ovidweb.cgi?T=JS&amp;CSC=Y&amp;NEWS=N&amp;PAGE=fulltext&amp;D=prem&amp;AN=28260638</w:t>
      </w:r>
    </w:p>
    <w:p w14:paraId="2A4AA67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47 </w:t>
      </w:r>
      <w:r w:rsidRPr="003D7162">
        <w:rPr>
          <w:rFonts w:ascii="Helvetica" w:hAnsi="Helvetica" w:cs="Helvetica"/>
          <w:noProof/>
          <w:sz w:val="22"/>
          <w:szCs w:val="22"/>
        </w:rPr>
        <w:tab/>
        <w:t xml:space="preserve">Cabada MM, Goodrich MR, Graham B,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Prevalence of intestinal helminths, anemia, and malnutrition in Paucartambo, Peru. </w:t>
      </w:r>
      <w:r w:rsidRPr="003D7162">
        <w:rPr>
          <w:rFonts w:ascii="Helvetica" w:hAnsi="Helvetica" w:cs="Helvetica"/>
          <w:i/>
          <w:iCs/>
          <w:noProof/>
          <w:sz w:val="22"/>
          <w:szCs w:val="22"/>
        </w:rPr>
        <w:t>Rev Panam Salud Publica/Pan Am J Public Heal</w:t>
      </w:r>
      <w:r w:rsidRPr="003D7162">
        <w:rPr>
          <w:rFonts w:ascii="Helvetica" w:hAnsi="Helvetica" w:cs="Helvetica"/>
          <w:noProof/>
          <w:sz w:val="22"/>
          <w:szCs w:val="22"/>
        </w:rPr>
        <w:t xml:space="preserve"> 2015;</w:t>
      </w:r>
      <w:r w:rsidRPr="003D7162">
        <w:rPr>
          <w:rFonts w:ascii="Helvetica" w:hAnsi="Helvetica" w:cs="Helvetica"/>
          <w:b/>
          <w:bCs/>
          <w:noProof/>
          <w:sz w:val="22"/>
          <w:szCs w:val="22"/>
        </w:rPr>
        <w:t>37</w:t>
      </w:r>
      <w:r w:rsidRPr="003D7162">
        <w:rPr>
          <w:rFonts w:ascii="Helvetica" w:hAnsi="Helvetica" w:cs="Helvetica"/>
          <w:noProof/>
          <w:sz w:val="22"/>
          <w:szCs w:val="22"/>
        </w:rPr>
        <w:t>:69–75.</w:t>
      </w:r>
    </w:p>
    <w:p w14:paraId="0CE0218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48 </w:t>
      </w:r>
      <w:r w:rsidRPr="003D7162">
        <w:rPr>
          <w:rFonts w:ascii="Helvetica" w:hAnsi="Helvetica" w:cs="Helvetica"/>
          <w:noProof/>
          <w:sz w:val="22"/>
          <w:szCs w:val="22"/>
        </w:rPr>
        <w:tab/>
        <w:t xml:space="preserve">Huicho L, Vila MD, Campos M,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Scaling up Integrated Management of Childhood Illness to the national level: achievements and challenges in Peru. </w:t>
      </w:r>
      <w:r w:rsidRPr="003D7162">
        <w:rPr>
          <w:rFonts w:ascii="Helvetica" w:hAnsi="Helvetica" w:cs="Helvetica"/>
          <w:i/>
          <w:iCs/>
          <w:noProof/>
          <w:sz w:val="22"/>
          <w:szCs w:val="22"/>
        </w:rPr>
        <w:t>Health Policy Plan</w:t>
      </w:r>
      <w:r w:rsidRPr="003D7162">
        <w:rPr>
          <w:rFonts w:ascii="Helvetica" w:hAnsi="Helvetica" w:cs="Helvetica"/>
          <w:noProof/>
          <w:sz w:val="22"/>
          <w:szCs w:val="22"/>
        </w:rPr>
        <w:t xml:space="preserve"> 2005;</w:t>
      </w:r>
      <w:r w:rsidRPr="003D7162">
        <w:rPr>
          <w:rFonts w:ascii="Helvetica" w:hAnsi="Helvetica" w:cs="Helvetica"/>
          <w:b/>
          <w:bCs/>
          <w:noProof/>
          <w:sz w:val="22"/>
          <w:szCs w:val="22"/>
        </w:rPr>
        <w:t>20</w:t>
      </w:r>
      <w:r w:rsidRPr="003D7162">
        <w:rPr>
          <w:rFonts w:ascii="Helvetica" w:hAnsi="Helvetica" w:cs="Helvetica"/>
          <w:noProof/>
          <w:sz w:val="22"/>
          <w:szCs w:val="22"/>
        </w:rPr>
        <w:t>:14–24. doi:10.1093/heapol/czi002</w:t>
      </w:r>
    </w:p>
    <w:p w14:paraId="0D73282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49 </w:t>
      </w:r>
      <w:r w:rsidRPr="003D7162">
        <w:rPr>
          <w:rFonts w:ascii="Helvetica" w:hAnsi="Helvetica" w:cs="Helvetica"/>
          <w:noProof/>
          <w:sz w:val="22"/>
          <w:szCs w:val="22"/>
        </w:rPr>
        <w:tab/>
        <w:t xml:space="preserve">Valdivia M. Poverty, health infrastructure and the nutrition of Peruvian children. </w:t>
      </w:r>
      <w:r w:rsidRPr="003D7162">
        <w:rPr>
          <w:rFonts w:ascii="Helvetica" w:hAnsi="Helvetica" w:cs="Helvetica"/>
          <w:i/>
          <w:iCs/>
          <w:noProof/>
          <w:sz w:val="22"/>
          <w:szCs w:val="22"/>
        </w:rPr>
        <w:t>Econ Hum Biol</w:t>
      </w:r>
      <w:r w:rsidRPr="003D7162">
        <w:rPr>
          <w:rFonts w:ascii="Helvetica" w:hAnsi="Helvetica" w:cs="Helvetica"/>
          <w:noProof/>
          <w:sz w:val="22"/>
          <w:szCs w:val="22"/>
        </w:rPr>
        <w:t xml:space="preserve"> 2004;</w:t>
      </w:r>
      <w:r w:rsidRPr="003D7162">
        <w:rPr>
          <w:rFonts w:ascii="Helvetica" w:hAnsi="Helvetica" w:cs="Helvetica"/>
          <w:b/>
          <w:bCs/>
          <w:noProof/>
          <w:sz w:val="22"/>
          <w:szCs w:val="22"/>
        </w:rPr>
        <w:t>2</w:t>
      </w:r>
      <w:r w:rsidRPr="003D7162">
        <w:rPr>
          <w:rFonts w:ascii="Helvetica" w:hAnsi="Helvetica" w:cs="Helvetica"/>
          <w:noProof/>
          <w:sz w:val="22"/>
          <w:szCs w:val="22"/>
        </w:rPr>
        <w:t>:489–510. doi:10.1016/j.ehb.2004.10.008</w:t>
      </w:r>
    </w:p>
    <w:p w14:paraId="15D7965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50 </w:t>
      </w:r>
      <w:r w:rsidRPr="003D7162">
        <w:rPr>
          <w:rFonts w:ascii="Helvetica" w:hAnsi="Helvetica" w:cs="Helvetica"/>
          <w:noProof/>
          <w:sz w:val="22"/>
          <w:szCs w:val="22"/>
        </w:rPr>
        <w:tab/>
        <w:t xml:space="preserve">Shin H. Child health in Peru: Importance of regional variation and community effects on children’s height and weight. </w:t>
      </w:r>
      <w:r w:rsidRPr="003D7162">
        <w:rPr>
          <w:rFonts w:ascii="Helvetica" w:hAnsi="Helvetica" w:cs="Helvetica"/>
          <w:i/>
          <w:iCs/>
          <w:noProof/>
          <w:sz w:val="22"/>
          <w:szCs w:val="22"/>
        </w:rPr>
        <w:t>J Health Soc Behav</w:t>
      </w:r>
      <w:r w:rsidRPr="003D7162">
        <w:rPr>
          <w:rFonts w:ascii="Helvetica" w:hAnsi="Helvetica" w:cs="Helvetica"/>
          <w:noProof/>
          <w:sz w:val="22"/>
          <w:szCs w:val="22"/>
        </w:rPr>
        <w:t xml:space="preserve"> 2007;</w:t>
      </w:r>
      <w:r w:rsidRPr="003D7162">
        <w:rPr>
          <w:rFonts w:ascii="Helvetica" w:hAnsi="Helvetica" w:cs="Helvetica"/>
          <w:b/>
          <w:bCs/>
          <w:noProof/>
          <w:sz w:val="22"/>
          <w:szCs w:val="22"/>
        </w:rPr>
        <w:t>48</w:t>
      </w:r>
      <w:r w:rsidRPr="003D7162">
        <w:rPr>
          <w:rFonts w:ascii="Helvetica" w:hAnsi="Helvetica" w:cs="Helvetica"/>
          <w:noProof/>
          <w:sz w:val="22"/>
          <w:szCs w:val="22"/>
        </w:rPr>
        <w:t>:418–33.</w:t>
      </w:r>
    </w:p>
    <w:p w14:paraId="0AB04AD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51 </w:t>
      </w:r>
      <w:r w:rsidRPr="003D7162">
        <w:rPr>
          <w:rFonts w:ascii="Helvetica" w:hAnsi="Helvetica" w:cs="Helvetica"/>
          <w:noProof/>
          <w:sz w:val="22"/>
          <w:szCs w:val="22"/>
        </w:rPr>
        <w:tab/>
        <w:t xml:space="preserve">Urke HB, Bull T, Mittelmark MB. Socioeconomic status and chronic child malnutrition: wealth and maternal education matter more in the Peruvian Andes than nationally. </w:t>
      </w:r>
      <w:r w:rsidRPr="003D7162">
        <w:rPr>
          <w:rFonts w:ascii="Helvetica" w:hAnsi="Helvetica" w:cs="Helvetica"/>
          <w:i/>
          <w:iCs/>
          <w:noProof/>
          <w:sz w:val="22"/>
          <w:szCs w:val="22"/>
        </w:rPr>
        <w:t>Nutr Res</w:t>
      </w:r>
      <w:r w:rsidRPr="003D7162">
        <w:rPr>
          <w:rFonts w:ascii="Helvetica" w:hAnsi="Helvetica" w:cs="Helvetica"/>
          <w:noProof/>
          <w:sz w:val="22"/>
          <w:szCs w:val="22"/>
        </w:rPr>
        <w:t xml:space="preserve"> 2011;</w:t>
      </w:r>
      <w:r w:rsidRPr="003D7162">
        <w:rPr>
          <w:rFonts w:ascii="Helvetica" w:hAnsi="Helvetica" w:cs="Helvetica"/>
          <w:b/>
          <w:bCs/>
          <w:noProof/>
          <w:sz w:val="22"/>
          <w:szCs w:val="22"/>
        </w:rPr>
        <w:t>31</w:t>
      </w:r>
      <w:r w:rsidRPr="003D7162">
        <w:rPr>
          <w:rFonts w:ascii="Helvetica" w:hAnsi="Helvetica" w:cs="Helvetica"/>
          <w:noProof/>
          <w:sz w:val="22"/>
          <w:szCs w:val="22"/>
        </w:rPr>
        <w:t>:741–7.</w:t>
      </w:r>
    </w:p>
    <w:p w14:paraId="2834313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52 </w:t>
      </w:r>
      <w:r w:rsidRPr="003D7162">
        <w:rPr>
          <w:rFonts w:ascii="Helvetica" w:hAnsi="Helvetica" w:cs="Helvetica"/>
          <w:noProof/>
          <w:sz w:val="22"/>
          <w:szCs w:val="22"/>
        </w:rPr>
        <w:tab/>
        <w:t xml:space="preserve">Alderman H, Hentschel J, Sabates R. With the help of one’s neighbors: externalities in the production of nutrition in Peru. </w:t>
      </w:r>
      <w:r w:rsidRPr="003D7162">
        <w:rPr>
          <w:rFonts w:ascii="Helvetica" w:hAnsi="Helvetica" w:cs="Helvetica"/>
          <w:i/>
          <w:iCs/>
          <w:noProof/>
          <w:sz w:val="22"/>
          <w:szCs w:val="22"/>
        </w:rPr>
        <w:t>Soc Sci Med</w:t>
      </w:r>
      <w:r w:rsidRPr="003D7162">
        <w:rPr>
          <w:rFonts w:ascii="Helvetica" w:hAnsi="Helvetica" w:cs="Helvetica"/>
          <w:noProof/>
          <w:sz w:val="22"/>
          <w:szCs w:val="22"/>
        </w:rPr>
        <w:t xml:space="preserve"> 2003;</w:t>
      </w:r>
      <w:r w:rsidRPr="003D7162">
        <w:rPr>
          <w:rFonts w:ascii="Helvetica" w:hAnsi="Helvetica" w:cs="Helvetica"/>
          <w:b/>
          <w:bCs/>
          <w:noProof/>
          <w:sz w:val="22"/>
          <w:szCs w:val="22"/>
        </w:rPr>
        <w:t>56</w:t>
      </w:r>
      <w:r w:rsidRPr="003D7162">
        <w:rPr>
          <w:rFonts w:ascii="Helvetica" w:hAnsi="Helvetica" w:cs="Helvetica"/>
          <w:noProof/>
          <w:sz w:val="22"/>
          <w:szCs w:val="22"/>
        </w:rPr>
        <w:t>:2019–31.</w:t>
      </w:r>
    </w:p>
    <w:p w14:paraId="7551B2C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53 </w:t>
      </w:r>
      <w:r w:rsidRPr="003D7162">
        <w:rPr>
          <w:rFonts w:ascii="Helvetica" w:hAnsi="Helvetica" w:cs="Helvetica"/>
          <w:noProof/>
          <w:sz w:val="22"/>
          <w:szCs w:val="22"/>
        </w:rPr>
        <w:tab/>
        <w:t xml:space="preserve">Saito M, Goel-Apaza S, Espetia 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Multiple norovirus infections in a birth cohort in a peruvian periurban community. </w:t>
      </w:r>
      <w:r w:rsidRPr="003D7162">
        <w:rPr>
          <w:rFonts w:ascii="Helvetica" w:hAnsi="Helvetica" w:cs="Helvetica"/>
          <w:i/>
          <w:iCs/>
          <w:noProof/>
          <w:sz w:val="22"/>
          <w:szCs w:val="22"/>
        </w:rPr>
        <w:t>Clin Infect Dis</w:t>
      </w:r>
      <w:r w:rsidRPr="003D7162">
        <w:rPr>
          <w:rFonts w:ascii="Helvetica" w:hAnsi="Helvetica" w:cs="Helvetica"/>
          <w:noProof/>
          <w:sz w:val="22"/>
          <w:szCs w:val="22"/>
        </w:rPr>
        <w:t xml:space="preserve"> 2014;</w:t>
      </w:r>
      <w:r w:rsidRPr="003D7162">
        <w:rPr>
          <w:rFonts w:ascii="Helvetica" w:hAnsi="Helvetica" w:cs="Helvetica"/>
          <w:b/>
          <w:bCs/>
          <w:noProof/>
          <w:sz w:val="22"/>
          <w:szCs w:val="22"/>
        </w:rPr>
        <w:t>58</w:t>
      </w:r>
      <w:r w:rsidRPr="003D7162">
        <w:rPr>
          <w:rFonts w:ascii="Helvetica" w:hAnsi="Helvetica" w:cs="Helvetica"/>
          <w:noProof/>
          <w:sz w:val="22"/>
          <w:szCs w:val="22"/>
        </w:rPr>
        <w:t>:483–91.</w:t>
      </w:r>
    </w:p>
    <w:p w14:paraId="5A451A7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54 </w:t>
      </w:r>
      <w:r w:rsidRPr="003D7162">
        <w:rPr>
          <w:rFonts w:ascii="Helvetica" w:hAnsi="Helvetica" w:cs="Helvetica"/>
          <w:noProof/>
          <w:sz w:val="22"/>
          <w:szCs w:val="22"/>
        </w:rPr>
        <w:tab/>
        <w:t xml:space="preserve">Iannotti LL, Zavaleta N, Leon Z,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Growth and body composition of Peruvian infants in a peri urban setting.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2009;</w:t>
      </w:r>
      <w:r w:rsidRPr="003D7162">
        <w:rPr>
          <w:rFonts w:ascii="Helvetica" w:hAnsi="Helvetica" w:cs="Helvetica"/>
          <w:b/>
          <w:bCs/>
          <w:noProof/>
          <w:sz w:val="22"/>
          <w:szCs w:val="22"/>
        </w:rPr>
        <w:t>30</w:t>
      </w:r>
      <w:r w:rsidRPr="003D7162">
        <w:rPr>
          <w:rFonts w:ascii="Helvetica" w:hAnsi="Helvetica" w:cs="Helvetica"/>
          <w:noProof/>
          <w:sz w:val="22"/>
          <w:szCs w:val="22"/>
        </w:rPr>
        <w:t>:245–53.</w:t>
      </w:r>
    </w:p>
    <w:p w14:paraId="2814554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55 </w:t>
      </w:r>
      <w:r w:rsidRPr="003D7162">
        <w:rPr>
          <w:rFonts w:ascii="Helvetica" w:hAnsi="Helvetica" w:cs="Helvetica"/>
          <w:noProof/>
          <w:sz w:val="22"/>
          <w:szCs w:val="22"/>
        </w:rPr>
        <w:tab/>
        <w:t xml:space="preserve">Schott WB, Crookston BT, Lundeen EA,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Periods of child growth up to age 8 years in Ethiopia, India, Peru and Vietnam: Key distal household and community factors. </w:t>
      </w:r>
      <w:r w:rsidRPr="003D7162">
        <w:rPr>
          <w:rFonts w:ascii="Helvetica" w:hAnsi="Helvetica" w:cs="Helvetica"/>
          <w:i/>
          <w:iCs/>
          <w:noProof/>
          <w:sz w:val="22"/>
          <w:szCs w:val="22"/>
        </w:rPr>
        <w:t>Soc Sci Med</w:t>
      </w:r>
      <w:r w:rsidRPr="003D7162">
        <w:rPr>
          <w:rFonts w:ascii="Helvetica" w:hAnsi="Helvetica" w:cs="Helvetica"/>
          <w:noProof/>
          <w:sz w:val="22"/>
          <w:szCs w:val="22"/>
        </w:rPr>
        <w:t xml:space="preserve"> 2013;</w:t>
      </w:r>
      <w:r w:rsidRPr="003D7162">
        <w:rPr>
          <w:rFonts w:ascii="Helvetica" w:hAnsi="Helvetica" w:cs="Helvetica"/>
          <w:b/>
          <w:bCs/>
          <w:noProof/>
          <w:sz w:val="22"/>
          <w:szCs w:val="22"/>
        </w:rPr>
        <w:t>97</w:t>
      </w:r>
      <w:r w:rsidRPr="003D7162">
        <w:rPr>
          <w:rFonts w:ascii="Helvetica" w:hAnsi="Helvetica" w:cs="Helvetica"/>
          <w:noProof/>
          <w:sz w:val="22"/>
          <w:szCs w:val="22"/>
        </w:rPr>
        <w:t>:278–87.</w:t>
      </w:r>
    </w:p>
    <w:p w14:paraId="2F17E0F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56 </w:t>
      </w:r>
      <w:r w:rsidRPr="003D7162">
        <w:rPr>
          <w:rFonts w:ascii="Helvetica" w:hAnsi="Helvetica" w:cs="Helvetica"/>
          <w:noProof/>
          <w:sz w:val="22"/>
          <w:szCs w:val="22"/>
        </w:rPr>
        <w:tab/>
        <w:t xml:space="preserve">Mariños-Anticona C, Chaña-Toledo R, Medina-Osis 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Determinantes sociales de la desnutrición crónica infantil en el Perú. </w:t>
      </w:r>
      <w:r w:rsidRPr="003D7162">
        <w:rPr>
          <w:rFonts w:ascii="Helvetica" w:hAnsi="Helvetica" w:cs="Helvetica"/>
          <w:i/>
          <w:iCs/>
          <w:noProof/>
          <w:sz w:val="22"/>
          <w:szCs w:val="22"/>
        </w:rPr>
        <w:t>Rev peru epidemiol</w:t>
      </w:r>
      <w:r w:rsidRPr="003D7162">
        <w:rPr>
          <w:rFonts w:ascii="Helvetica" w:hAnsi="Helvetica" w:cs="Helvetica"/>
          <w:noProof/>
          <w:sz w:val="22"/>
          <w:szCs w:val="22"/>
        </w:rPr>
        <w:t xml:space="preserve"> 2014;</w:t>
      </w:r>
      <w:r w:rsidRPr="003D7162">
        <w:rPr>
          <w:rFonts w:ascii="Helvetica" w:hAnsi="Helvetica" w:cs="Helvetica"/>
          <w:b/>
          <w:bCs/>
          <w:noProof/>
          <w:sz w:val="22"/>
          <w:szCs w:val="22"/>
        </w:rPr>
        <w:t>18</w:t>
      </w:r>
      <w:r w:rsidRPr="003D7162">
        <w:rPr>
          <w:rFonts w:ascii="Helvetica" w:hAnsi="Helvetica" w:cs="Helvetica"/>
          <w:noProof/>
          <w:sz w:val="22"/>
          <w:szCs w:val="22"/>
        </w:rPr>
        <w:t>:1–7.</w:t>
      </w:r>
    </w:p>
    <w:p w14:paraId="421EB76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57 </w:t>
      </w:r>
      <w:r w:rsidRPr="003D7162">
        <w:rPr>
          <w:rFonts w:ascii="Helvetica" w:hAnsi="Helvetica" w:cs="Helvetica"/>
          <w:noProof/>
          <w:sz w:val="22"/>
          <w:szCs w:val="22"/>
        </w:rPr>
        <w:tab/>
        <w:t xml:space="preserve">PAHO. Peru. </w:t>
      </w:r>
      <w:r w:rsidRPr="003D7162">
        <w:rPr>
          <w:rFonts w:ascii="Helvetica" w:hAnsi="Helvetica" w:cs="Helvetica"/>
          <w:i/>
          <w:iCs/>
          <w:noProof/>
          <w:sz w:val="22"/>
          <w:szCs w:val="22"/>
        </w:rPr>
        <w:t>Heal Am</w:t>
      </w:r>
      <w:r w:rsidRPr="003D7162">
        <w:rPr>
          <w:rFonts w:ascii="Helvetica" w:hAnsi="Helvetica" w:cs="Helvetica"/>
          <w:noProof/>
          <w:sz w:val="22"/>
          <w:szCs w:val="22"/>
        </w:rPr>
        <w:t xml:space="preserve"> 2012.</w:t>
      </w:r>
    </w:p>
    <w:p w14:paraId="2F6EC96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58 </w:t>
      </w:r>
      <w:r w:rsidRPr="003D7162">
        <w:rPr>
          <w:rFonts w:ascii="Helvetica" w:hAnsi="Helvetica" w:cs="Helvetica"/>
          <w:noProof/>
          <w:sz w:val="22"/>
          <w:szCs w:val="22"/>
        </w:rPr>
        <w:tab/>
        <w:t xml:space="preserve">Ruel MT, Menon P. Child feeding practices are associated with child nutritional status in Latin America: innovative uses of the Demographic and Health Surveys.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2002;</w:t>
      </w:r>
      <w:r w:rsidRPr="003D7162">
        <w:rPr>
          <w:rFonts w:ascii="Helvetica" w:hAnsi="Helvetica" w:cs="Helvetica"/>
          <w:b/>
          <w:bCs/>
          <w:noProof/>
          <w:sz w:val="22"/>
          <w:szCs w:val="22"/>
        </w:rPr>
        <w:t>132</w:t>
      </w:r>
      <w:r w:rsidRPr="003D7162">
        <w:rPr>
          <w:rFonts w:ascii="Helvetica" w:hAnsi="Helvetica" w:cs="Helvetica"/>
          <w:noProof/>
          <w:sz w:val="22"/>
          <w:szCs w:val="22"/>
        </w:rPr>
        <w:t>:1180–7.</w:t>
      </w:r>
    </w:p>
    <w:p w14:paraId="483240B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59 </w:t>
      </w:r>
      <w:r w:rsidRPr="003D7162">
        <w:rPr>
          <w:rFonts w:ascii="Helvetica" w:hAnsi="Helvetica" w:cs="Helvetica"/>
          <w:noProof/>
          <w:sz w:val="22"/>
          <w:szCs w:val="22"/>
        </w:rPr>
        <w:tab/>
        <w:t>Favara M. ‘United we stand divided we fall’: maternal social participation and children’s nutritional status in Peru. Policy Res. Work. Pap. - World Bank; 2012. (6264)38 pp. 78 ref. 2012.</w:t>
      </w:r>
    </w:p>
    <w:p w14:paraId="4AE9E92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60 </w:t>
      </w:r>
      <w:r w:rsidRPr="003D7162">
        <w:rPr>
          <w:rFonts w:ascii="Helvetica" w:hAnsi="Helvetica" w:cs="Helvetica"/>
          <w:noProof/>
          <w:sz w:val="22"/>
          <w:szCs w:val="22"/>
        </w:rPr>
        <w:tab/>
        <w:t xml:space="preserve">De Silva MJ, Harpham T. Maternal social capital and child nutritional status in four developing countries. </w:t>
      </w:r>
      <w:r w:rsidRPr="003D7162">
        <w:rPr>
          <w:rFonts w:ascii="Helvetica" w:hAnsi="Helvetica" w:cs="Helvetica"/>
          <w:i/>
          <w:iCs/>
          <w:noProof/>
          <w:sz w:val="22"/>
          <w:szCs w:val="22"/>
        </w:rPr>
        <w:t>Heal Place</w:t>
      </w:r>
      <w:r w:rsidRPr="003D7162">
        <w:rPr>
          <w:rFonts w:ascii="Helvetica" w:hAnsi="Helvetica" w:cs="Helvetica"/>
          <w:noProof/>
          <w:sz w:val="22"/>
          <w:szCs w:val="22"/>
        </w:rPr>
        <w:t xml:space="preserve"> 2007;</w:t>
      </w:r>
      <w:r w:rsidRPr="003D7162">
        <w:rPr>
          <w:rFonts w:ascii="Helvetica" w:hAnsi="Helvetica" w:cs="Helvetica"/>
          <w:b/>
          <w:bCs/>
          <w:noProof/>
          <w:sz w:val="22"/>
          <w:szCs w:val="22"/>
        </w:rPr>
        <w:t>13</w:t>
      </w:r>
      <w:r w:rsidRPr="003D7162">
        <w:rPr>
          <w:rFonts w:ascii="Helvetica" w:hAnsi="Helvetica" w:cs="Helvetica"/>
          <w:noProof/>
          <w:sz w:val="22"/>
          <w:szCs w:val="22"/>
        </w:rPr>
        <w:t>:341–55.</w:t>
      </w:r>
    </w:p>
    <w:p w14:paraId="0AA23EE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61 </w:t>
      </w:r>
      <w:r w:rsidRPr="003D7162">
        <w:rPr>
          <w:rFonts w:ascii="Helvetica" w:hAnsi="Helvetica" w:cs="Helvetica"/>
          <w:noProof/>
          <w:sz w:val="22"/>
          <w:szCs w:val="22"/>
        </w:rPr>
        <w:tab/>
        <w:t xml:space="preserve">Bennett I, Schott W, Krutikova 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Maternal Mental Health and Child Growth and Developmental Outcomes in Four Developing Countries. 2014. doi:10.1136/jech.2005.039180</w:t>
      </w:r>
    </w:p>
    <w:p w14:paraId="0D53230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62 </w:t>
      </w:r>
      <w:r w:rsidRPr="003D7162">
        <w:rPr>
          <w:rFonts w:ascii="Helvetica" w:hAnsi="Helvetica" w:cs="Helvetica"/>
          <w:noProof/>
          <w:sz w:val="22"/>
          <w:szCs w:val="22"/>
        </w:rPr>
        <w:tab/>
        <w:t xml:space="preserve">Harpham T, Huttly S, De Silva MJ,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Maternal mental health and child nutritional status in four developing countries. </w:t>
      </w:r>
      <w:r w:rsidRPr="003D7162">
        <w:rPr>
          <w:rFonts w:ascii="Helvetica" w:hAnsi="Helvetica" w:cs="Helvetica"/>
          <w:i/>
          <w:iCs/>
          <w:noProof/>
          <w:sz w:val="22"/>
          <w:szCs w:val="22"/>
        </w:rPr>
        <w:t>J Epidemiol Community Health</w:t>
      </w:r>
      <w:r w:rsidRPr="003D7162">
        <w:rPr>
          <w:rFonts w:ascii="Helvetica" w:hAnsi="Helvetica" w:cs="Helvetica"/>
          <w:noProof/>
          <w:sz w:val="22"/>
          <w:szCs w:val="22"/>
        </w:rPr>
        <w:t xml:space="preserve"> 2005;</w:t>
      </w:r>
      <w:r w:rsidRPr="003D7162">
        <w:rPr>
          <w:rFonts w:ascii="Helvetica" w:hAnsi="Helvetica" w:cs="Helvetica"/>
          <w:b/>
          <w:bCs/>
          <w:noProof/>
          <w:sz w:val="22"/>
          <w:szCs w:val="22"/>
        </w:rPr>
        <w:t>59</w:t>
      </w:r>
      <w:r w:rsidRPr="003D7162">
        <w:rPr>
          <w:rFonts w:ascii="Helvetica" w:hAnsi="Helvetica" w:cs="Helvetica"/>
          <w:noProof/>
          <w:sz w:val="22"/>
          <w:szCs w:val="22"/>
        </w:rPr>
        <w:t>:1060–4.</w:t>
      </w:r>
    </w:p>
    <w:p w14:paraId="497426A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63 </w:t>
      </w:r>
      <w:r w:rsidRPr="003D7162">
        <w:rPr>
          <w:rFonts w:ascii="Helvetica" w:hAnsi="Helvetica" w:cs="Helvetica"/>
          <w:noProof/>
          <w:sz w:val="22"/>
          <w:szCs w:val="22"/>
        </w:rPr>
        <w:tab/>
        <w:t xml:space="preserve">Penny ME, Creed-Kanashiro HM, Robert RC,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Effectiveness of an educational intervention delivered through the health services to improve nutrition in young children: a cluster-randomised controlled trial. </w:t>
      </w:r>
      <w:r w:rsidRPr="003D7162">
        <w:rPr>
          <w:rFonts w:ascii="Helvetica" w:hAnsi="Helvetica" w:cs="Helvetica"/>
          <w:i/>
          <w:iCs/>
          <w:noProof/>
          <w:sz w:val="22"/>
          <w:szCs w:val="22"/>
        </w:rPr>
        <w:t>Lancet</w:t>
      </w:r>
      <w:r w:rsidRPr="003D7162">
        <w:rPr>
          <w:rFonts w:ascii="Helvetica" w:hAnsi="Helvetica" w:cs="Helvetica"/>
          <w:noProof/>
          <w:sz w:val="22"/>
          <w:szCs w:val="22"/>
        </w:rPr>
        <w:t xml:space="preserve"> 2005;</w:t>
      </w:r>
      <w:r w:rsidRPr="003D7162">
        <w:rPr>
          <w:rFonts w:ascii="Helvetica" w:hAnsi="Helvetica" w:cs="Helvetica"/>
          <w:b/>
          <w:bCs/>
          <w:noProof/>
          <w:sz w:val="22"/>
          <w:szCs w:val="22"/>
        </w:rPr>
        <w:t>365</w:t>
      </w:r>
      <w:r w:rsidRPr="003D7162">
        <w:rPr>
          <w:rFonts w:ascii="Helvetica" w:hAnsi="Helvetica" w:cs="Helvetica"/>
          <w:noProof/>
          <w:sz w:val="22"/>
          <w:szCs w:val="22"/>
        </w:rPr>
        <w:t>:1863–72. doi:10.1016/S0140-6736(05)66426-4</w:t>
      </w:r>
    </w:p>
    <w:p w14:paraId="07FB9D5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64 </w:t>
      </w:r>
      <w:r w:rsidRPr="003D7162">
        <w:rPr>
          <w:rFonts w:ascii="Helvetica" w:hAnsi="Helvetica" w:cs="Helvetica"/>
          <w:noProof/>
          <w:sz w:val="22"/>
          <w:szCs w:val="22"/>
        </w:rPr>
        <w:tab/>
        <w:t xml:space="preserve">Waters HR, Penny ME, Creed-Kanashiro HM,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The cost-effectiveness of a child nutrition education programme in Peru. Published Online First: 2006. doi:10.1093/heapol/czl010</w:t>
      </w:r>
    </w:p>
    <w:p w14:paraId="5AD0408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65 </w:t>
      </w:r>
      <w:r w:rsidRPr="003D7162">
        <w:rPr>
          <w:rFonts w:ascii="Helvetica" w:hAnsi="Helvetica" w:cs="Helvetica"/>
          <w:noProof/>
          <w:sz w:val="22"/>
          <w:szCs w:val="22"/>
        </w:rPr>
        <w:tab/>
        <w:t xml:space="preserve">Hamad R, Fernald LCH, Karlan DS. Health education for microcredit clients in Peru: a randomized controlled trial. </w:t>
      </w:r>
      <w:r w:rsidRPr="003D7162">
        <w:rPr>
          <w:rFonts w:ascii="Helvetica" w:hAnsi="Helvetica" w:cs="Helvetica"/>
          <w:i/>
          <w:iCs/>
          <w:noProof/>
          <w:sz w:val="22"/>
          <w:szCs w:val="22"/>
        </w:rPr>
        <w:t>BMC Public Health</w:t>
      </w:r>
      <w:r w:rsidRPr="003D7162">
        <w:rPr>
          <w:rFonts w:ascii="Helvetica" w:hAnsi="Helvetica" w:cs="Helvetica"/>
          <w:noProof/>
          <w:sz w:val="22"/>
          <w:szCs w:val="22"/>
        </w:rPr>
        <w:t xml:space="preserve"> 2011;</w:t>
      </w:r>
      <w:r w:rsidRPr="003D7162">
        <w:rPr>
          <w:rFonts w:ascii="Helvetica" w:hAnsi="Helvetica" w:cs="Helvetica"/>
          <w:b/>
          <w:bCs/>
          <w:noProof/>
          <w:sz w:val="22"/>
          <w:szCs w:val="22"/>
        </w:rPr>
        <w:t>11</w:t>
      </w:r>
      <w:r w:rsidRPr="003D7162">
        <w:rPr>
          <w:rFonts w:ascii="Helvetica" w:hAnsi="Helvetica" w:cs="Helvetica"/>
          <w:noProof/>
          <w:sz w:val="22"/>
          <w:szCs w:val="22"/>
        </w:rPr>
        <w:t>.</w:t>
      </w:r>
    </w:p>
    <w:p w14:paraId="0247D1F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66 </w:t>
      </w:r>
      <w:r w:rsidRPr="003D7162">
        <w:rPr>
          <w:rFonts w:ascii="Helvetica" w:hAnsi="Helvetica" w:cs="Helvetica"/>
          <w:noProof/>
          <w:sz w:val="22"/>
          <w:szCs w:val="22"/>
        </w:rPr>
        <w:tab/>
        <w:t xml:space="preserve">Marin CM, Segura JL, Bern 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Seasonal change in nutritional status among young children in an urban shanty town in Peru. </w:t>
      </w:r>
      <w:r w:rsidRPr="003D7162">
        <w:rPr>
          <w:rFonts w:ascii="Helvetica" w:hAnsi="Helvetica" w:cs="Helvetica"/>
          <w:i/>
          <w:iCs/>
          <w:noProof/>
          <w:sz w:val="22"/>
          <w:szCs w:val="22"/>
        </w:rPr>
        <w:t>Trans R Soc Trop Med Hyg</w:t>
      </w:r>
      <w:r w:rsidRPr="003D7162">
        <w:rPr>
          <w:rFonts w:ascii="Helvetica" w:hAnsi="Helvetica" w:cs="Helvetica"/>
          <w:noProof/>
          <w:sz w:val="22"/>
          <w:szCs w:val="22"/>
        </w:rPr>
        <w:t xml:space="preserve"> 1996;</w:t>
      </w:r>
      <w:r w:rsidRPr="003D7162">
        <w:rPr>
          <w:rFonts w:ascii="Helvetica" w:hAnsi="Helvetica" w:cs="Helvetica"/>
          <w:b/>
          <w:bCs/>
          <w:noProof/>
          <w:sz w:val="22"/>
          <w:szCs w:val="22"/>
        </w:rPr>
        <w:t>90</w:t>
      </w:r>
      <w:r w:rsidRPr="003D7162">
        <w:rPr>
          <w:rFonts w:ascii="Helvetica" w:hAnsi="Helvetica" w:cs="Helvetica"/>
          <w:noProof/>
          <w:sz w:val="22"/>
          <w:szCs w:val="22"/>
        </w:rPr>
        <w:t>:442–5.</w:t>
      </w:r>
    </w:p>
    <w:p w14:paraId="184F75B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67 </w:t>
      </w:r>
      <w:r w:rsidRPr="003D7162">
        <w:rPr>
          <w:rFonts w:ascii="Helvetica" w:hAnsi="Helvetica" w:cs="Helvetica"/>
          <w:noProof/>
          <w:sz w:val="22"/>
          <w:szCs w:val="22"/>
        </w:rPr>
        <w:tab/>
        <w:t xml:space="preserve">Moseson H, Hamad R, Fernald L. Microcredit participation and child health: results from a cross-sectional study in Peru. </w:t>
      </w:r>
      <w:r w:rsidRPr="003D7162">
        <w:rPr>
          <w:rFonts w:ascii="Helvetica" w:hAnsi="Helvetica" w:cs="Helvetica"/>
          <w:i/>
          <w:iCs/>
          <w:noProof/>
          <w:sz w:val="22"/>
          <w:szCs w:val="22"/>
        </w:rPr>
        <w:t>J Epidemiol Community Heal</w:t>
      </w:r>
      <w:r w:rsidRPr="003D7162">
        <w:rPr>
          <w:rFonts w:ascii="Helvetica" w:hAnsi="Helvetica" w:cs="Helvetica"/>
          <w:noProof/>
          <w:sz w:val="22"/>
          <w:szCs w:val="22"/>
        </w:rPr>
        <w:t xml:space="preserve"> 2014;</w:t>
      </w:r>
      <w:r w:rsidRPr="003D7162">
        <w:rPr>
          <w:rFonts w:ascii="Helvetica" w:hAnsi="Helvetica" w:cs="Helvetica"/>
          <w:b/>
          <w:bCs/>
          <w:noProof/>
          <w:sz w:val="22"/>
          <w:szCs w:val="22"/>
        </w:rPr>
        <w:t>68</w:t>
      </w:r>
      <w:r w:rsidRPr="003D7162">
        <w:rPr>
          <w:rFonts w:ascii="Helvetica" w:hAnsi="Helvetica" w:cs="Helvetica"/>
          <w:noProof/>
          <w:sz w:val="22"/>
          <w:szCs w:val="22"/>
        </w:rPr>
        <w:t>:1175–81.</w:t>
      </w:r>
    </w:p>
    <w:p w14:paraId="3B636D5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68 </w:t>
      </w:r>
      <w:r w:rsidRPr="003D7162">
        <w:rPr>
          <w:rFonts w:ascii="Helvetica" w:hAnsi="Helvetica" w:cs="Helvetica"/>
          <w:noProof/>
          <w:sz w:val="22"/>
          <w:szCs w:val="22"/>
        </w:rPr>
        <w:tab/>
        <w:t xml:space="preserve">Roche ML, Creed-Kanashiro HM, Tuesta I,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Traditional Food System Provides Dietary Quality for the Awajún in the Peruvian Amazon. </w:t>
      </w:r>
      <w:r w:rsidRPr="003D7162">
        <w:rPr>
          <w:rFonts w:ascii="Helvetica" w:hAnsi="Helvetica" w:cs="Helvetica"/>
          <w:i/>
          <w:iCs/>
          <w:noProof/>
          <w:sz w:val="22"/>
          <w:szCs w:val="22"/>
        </w:rPr>
        <w:t>Ecol Food Nutr</w:t>
      </w:r>
      <w:r w:rsidRPr="003D7162">
        <w:rPr>
          <w:rFonts w:ascii="Helvetica" w:hAnsi="Helvetica" w:cs="Helvetica"/>
          <w:noProof/>
          <w:sz w:val="22"/>
          <w:szCs w:val="22"/>
        </w:rPr>
        <w:t xml:space="preserve"> 2007;</w:t>
      </w:r>
      <w:r w:rsidRPr="003D7162">
        <w:rPr>
          <w:rFonts w:ascii="Helvetica" w:hAnsi="Helvetica" w:cs="Helvetica"/>
          <w:b/>
          <w:bCs/>
          <w:noProof/>
          <w:sz w:val="22"/>
          <w:szCs w:val="22"/>
        </w:rPr>
        <w:t>46</w:t>
      </w:r>
      <w:r w:rsidRPr="003D7162">
        <w:rPr>
          <w:rFonts w:ascii="Helvetica" w:hAnsi="Helvetica" w:cs="Helvetica"/>
          <w:noProof/>
          <w:sz w:val="22"/>
          <w:szCs w:val="22"/>
        </w:rPr>
        <w:t>:377–99.</w:t>
      </w:r>
    </w:p>
    <w:p w14:paraId="706638C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69 </w:t>
      </w:r>
      <w:r w:rsidRPr="003D7162">
        <w:rPr>
          <w:rFonts w:ascii="Helvetica" w:hAnsi="Helvetica" w:cs="Helvetica"/>
          <w:noProof/>
          <w:sz w:val="22"/>
          <w:szCs w:val="22"/>
        </w:rPr>
        <w:tab/>
        <w:t xml:space="preserve">Flores-Bendezu J, Calderon J, Rojas B,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Chronic malnutrition and anemia in children under 5 years of indigenous households of Peru - analysis of Demographic and Health Survey 2013. </w:t>
      </w:r>
      <w:r w:rsidRPr="003D7162">
        <w:rPr>
          <w:rFonts w:ascii="Helvetica" w:hAnsi="Helvetica" w:cs="Helvetica"/>
          <w:i/>
          <w:iCs/>
          <w:noProof/>
          <w:sz w:val="22"/>
          <w:szCs w:val="22"/>
        </w:rPr>
        <w:t>An la Fac Med</w:t>
      </w:r>
      <w:r w:rsidRPr="003D7162">
        <w:rPr>
          <w:rFonts w:ascii="Helvetica" w:hAnsi="Helvetica" w:cs="Helvetica"/>
          <w:noProof/>
          <w:sz w:val="22"/>
          <w:szCs w:val="22"/>
        </w:rPr>
        <w:t xml:space="preserve"> 2015;</w:t>
      </w:r>
      <w:r w:rsidRPr="003D7162">
        <w:rPr>
          <w:rFonts w:ascii="Helvetica" w:hAnsi="Helvetica" w:cs="Helvetica"/>
          <w:b/>
          <w:bCs/>
          <w:noProof/>
          <w:sz w:val="22"/>
          <w:szCs w:val="22"/>
        </w:rPr>
        <w:t>76</w:t>
      </w:r>
      <w:r w:rsidRPr="003D7162">
        <w:rPr>
          <w:rFonts w:ascii="Helvetica" w:hAnsi="Helvetica" w:cs="Helvetica"/>
          <w:noProof/>
          <w:sz w:val="22"/>
          <w:szCs w:val="22"/>
        </w:rPr>
        <w:t>:135–40.</w:t>
      </w:r>
    </w:p>
    <w:p w14:paraId="1C9D47D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70 </w:t>
      </w:r>
      <w:r w:rsidRPr="003D7162">
        <w:rPr>
          <w:rFonts w:ascii="Helvetica" w:hAnsi="Helvetica" w:cs="Helvetica"/>
          <w:noProof/>
          <w:sz w:val="22"/>
          <w:szCs w:val="22"/>
        </w:rPr>
        <w:tab/>
        <w:t>Dornan P, Woodhead M. How Inequalities Develop through Childhood. 2015.</w:t>
      </w:r>
    </w:p>
    <w:p w14:paraId="58DAE93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71 </w:t>
      </w:r>
      <w:r w:rsidRPr="003D7162">
        <w:rPr>
          <w:rFonts w:ascii="Helvetica" w:hAnsi="Helvetica" w:cs="Helvetica"/>
          <w:noProof/>
          <w:sz w:val="22"/>
          <w:szCs w:val="22"/>
        </w:rPr>
        <w:tab/>
        <w:t xml:space="preserve">Humphries DL, Dearden KA, Crookston BT,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Household food group expenditure patterns are associated with child anthropometry at ages 5, 8 and 12 years in Ethiopia, India, Peru and Vietnam. </w:t>
      </w:r>
      <w:r w:rsidRPr="003D7162">
        <w:rPr>
          <w:rFonts w:ascii="Helvetica" w:hAnsi="Helvetica" w:cs="Helvetica"/>
          <w:i/>
          <w:iCs/>
          <w:noProof/>
          <w:sz w:val="22"/>
          <w:szCs w:val="22"/>
        </w:rPr>
        <w:t>Econ Hum Biol</w:t>
      </w:r>
      <w:r w:rsidRPr="003D7162">
        <w:rPr>
          <w:rFonts w:ascii="Helvetica" w:hAnsi="Helvetica" w:cs="Helvetica"/>
          <w:noProof/>
          <w:sz w:val="22"/>
          <w:szCs w:val="22"/>
        </w:rPr>
        <w:t xml:space="preserve"> 2017;</w:t>
      </w:r>
      <w:r w:rsidRPr="003D7162">
        <w:rPr>
          <w:rFonts w:ascii="Helvetica" w:hAnsi="Helvetica" w:cs="Helvetica"/>
          <w:b/>
          <w:bCs/>
          <w:noProof/>
          <w:sz w:val="22"/>
          <w:szCs w:val="22"/>
        </w:rPr>
        <w:t>26</w:t>
      </w:r>
      <w:r w:rsidRPr="003D7162">
        <w:rPr>
          <w:rFonts w:ascii="Helvetica" w:hAnsi="Helvetica" w:cs="Helvetica"/>
          <w:noProof/>
          <w:sz w:val="22"/>
          <w:szCs w:val="22"/>
        </w:rPr>
        <w:t>:30–41.</w:t>
      </w:r>
    </w:p>
    <w:p w14:paraId="6130B29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72 </w:t>
      </w:r>
      <w:r w:rsidRPr="003D7162">
        <w:rPr>
          <w:rFonts w:ascii="Helvetica" w:hAnsi="Helvetica" w:cs="Helvetica"/>
          <w:noProof/>
          <w:sz w:val="22"/>
          <w:szCs w:val="22"/>
        </w:rPr>
        <w:tab/>
        <w:t xml:space="preserve">Humphries DL, Dearden KA, Crookston BT,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Cross-sectional and longitudinal associations between household food security and child anthropometry at ages 5 and 8 years in Ethiopia, India, Peru, and Vietnam.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2015;</w:t>
      </w:r>
      <w:r w:rsidRPr="003D7162">
        <w:rPr>
          <w:rFonts w:ascii="Helvetica" w:hAnsi="Helvetica" w:cs="Helvetica"/>
          <w:b/>
          <w:bCs/>
          <w:noProof/>
          <w:sz w:val="22"/>
          <w:szCs w:val="22"/>
        </w:rPr>
        <w:t>145</w:t>
      </w:r>
      <w:r w:rsidRPr="003D7162">
        <w:rPr>
          <w:rFonts w:ascii="Helvetica" w:hAnsi="Helvetica" w:cs="Helvetica"/>
          <w:noProof/>
          <w:sz w:val="22"/>
          <w:szCs w:val="22"/>
        </w:rPr>
        <w:t>:1924–33.</w:t>
      </w:r>
    </w:p>
    <w:p w14:paraId="2440817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73 </w:t>
      </w:r>
      <w:r w:rsidRPr="003D7162">
        <w:rPr>
          <w:rFonts w:ascii="Helvetica" w:hAnsi="Helvetica" w:cs="Helvetica"/>
          <w:noProof/>
          <w:sz w:val="22"/>
          <w:szCs w:val="22"/>
        </w:rPr>
        <w:tab/>
        <w:t xml:space="preserve">Checkley W, Epstein LD, Gilman RH,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Effects of acute diarrhea on linear growth in Peruvian children. </w:t>
      </w:r>
      <w:r w:rsidRPr="003D7162">
        <w:rPr>
          <w:rFonts w:ascii="Helvetica" w:hAnsi="Helvetica" w:cs="Helvetica"/>
          <w:i/>
          <w:iCs/>
          <w:noProof/>
          <w:sz w:val="22"/>
          <w:szCs w:val="22"/>
        </w:rPr>
        <w:t>Am J Epidemiol</w:t>
      </w:r>
      <w:r w:rsidRPr="003D7162">
        <w:rPr>
          <w:rFonts w:ascii="Helvetica" w:hAnsi="Helvetica" w:cs="Helvetica"/>
          <w:noProof/>
          <w:sz w:val="22"/>
          <w:szCs w:val="22"/>
        </w:rPr>
        <w:t xml:space="preserve"> 2003;</w:t>
      </w:r>
      <w:r w:rsidRPr="003D7162">
        <w:rPr>
          <w:rFonts w:ascii="Helvetica" w:hAnsi="Helvetica" w:cs="Helvetica"/>
          <w:b/>
          <w:bCs/>
          <w:noProof/>
          <w:sz w:val="22"/>
          <w:szCs w:val="22"/>
        </w:rPr>
        <w:t>157</w:t>
      </w:r>
      <w:r w:rsidRPr="003D7162">
        <w:rPr>
          <w:rFonts w:ascii="Helvetica" w:hAnsi="Helvetica" w:cs="Helvetica"/>
          <w:noProof/>
          <w:sz w:val="22"/>
          <w:szCs w:val="22"/>
        </w:rPr>
        <w:t>:166–75.</w:t>
      </w:r>
    </w:p>
    <w:p w14:paraId="59B3323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74 </w:t>
      </w:r>
      <w:r w:rsidRPr="003D7162">
        <w:rPr>
          <w:rFonts w:ascii="Helvetica" w:hAnsi="Helvetica" w:cs="Helvetica"/>
          <w:noProof/>
          <w:sz w:val="22"/>
          <w:szCs w:val="22"/>
        </w:rPr>
        <w:tab/>
        <w:t xml:space="preserve">Lee GO, Paredes Olortegui M, Salmón-Mulanovich G,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Early child health in an informal settlement in the Peruvian Amazon. </w:t>
      </w:r>
      <w:r w:rsidRPr="003D7162">
        <w:rPr>
          <w:rFonts w:ascii="Helvetica" w:hAnsi="Helvetica" w:cs="Helvetica"/>
          <w:i/>
          <w:iCs/>
          <w:noProof/>
          <w:sz w:val="22"/>
          <w:szCs w:val="22"/>
        </w:rPr>
        <w:t>BMC Int Health Hum Rights</w:t>
      </w:r>
      <w:r w:rsidRPr="003D7162">
        <w:rPr>
          <w:rFonts w:ascii="Helvetica" w:hAnsi="Helvetica" w:cs="Helvetica"/>
          <w:noProof/>
          <w:sz w:val="22"/>
          <w:szCs w:val="22"/>
        </w:rPr>
        <w:t xml:space="preserve"> 2016;</w:t>
      </w:r>
      <w:r w:rsidRPr="003D7162">
        <w:rPr>
          <w:rFonts w:ascii="Helvetica" w:hAnsi="Helvetica" w:cs="Helvetica"/>
          <w:b/>
          <w:bCs/>
          <w:noProof/>
          <w:sz w:val="22"/>
          <w:szCs w:val="22"/>
        </w:rPr>
        <w:t>16</w:t>
      </w:r>
      <w:r w:rsidRPr="003D7162">
        <w:rPr>
          <w:rFonts w:ascii="Helvetica" w:hAnsi="Helvetica" w:cs="Helvetica"/>
          <w:noProof/>
          <w:sz w:val="22"/>
          <w:szCs w:val="22"/>
        </w:rPr>
        <w:t>:1–9. doi:10.1186/s12914-016-0099-6</w:t>
      </w:r>
    </w:p>
    <w:p w14:paraId="4A9ADB4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75 </w:t>
      </w:r>
      <w:r w:rsidRPr="003D7162">
        <w:rPr>
          <w:rFonts w:ascii="Helvetica" w:hAnsi="Helvetica" w:cs="Helvetica"/>
          <w:noProof/>
          <w:sz w:val="22"/>
          <w:szCs w:val="22"/>
        </w:rPr>
        <w:tab/>
        <w:t xml:space="preserve">Lee G, Yori P, Olortegui MP,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Comparative effects of vivax malaria, fever and diarrhoea on child growth. </w:t>
      </w:r>
      <w:r w:rsidRPr="003D7162">
        <w:rPr>
          <w:rFonts w:ascii="Helvetica" w:hAnsi="Helvetica" w:cs="Helvetica"/>
          <w:i/>
          <w:iCs/>
          <w:noProof/>
          <w:sz w:val="22"/>
          <w:szCs w:val="22"/>
        </w:rPr>
        <w:t>Int J Epidemiol</w:t>
      </w:r>
      <w:r w:rsidRPr="003D7162">
        <w:rPr>
          <w:rFonts w:ascii="Helvetica" w:hAnsi="Helvetica" w:cs="Helvetica"/>
          <w:noProof/>
          <w:sz w:val="22"/>
          <w:szCs w:val="22"/>
        </w:rPr>
        <w:t xml:space="preserve"> 2012;</w:t>
      </w:r>
      <w:r w:rsidRPr="003D7162">
        <w:rPr>
          <w:rFonts w:ascii="Helvetica" w:hAnsi="Helvetica" w:cs="Helvetica"/>
          <w:b/>
          <w:bCs/>
          <w:noProof/>
          <w:sz w:val="22"/>
          <w:szCs w:val="22"/>
        </w:rPr>
        <w:t>41</w:t>
      </w:r>
      <w:r w:rsidRPr="003D7162">
        <w:rPr>
          <w:rFonts w:ascii="Helvetica" w:hAnsi="Helvetica" w:cs="Helvetica"/>
          <w:noProof/>
          <w:sz w:val="22"/>
          <w:szCs w:val="22"/>
        </w:rPr>
        <w:t>:531–9.</w:t>
      </w:r>
    </w:p>
    <w:p w14:paraId="31DADE1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76 </w:t>
      </w:r>
      <w:r w:rsidRPr="003D7162">
        <w:rPr>
          <w:rFonts w:ascii="Helvetica" w:hAnsi="Helvetica" w:cs="Helvetica"/>
          <w:noProof/>
          <w:sz w:val="22"/>
          <w:szCs w:val="22"/>
        </w:rPr>
        <w:tab/>
        <w:t xml:space="preserve">Acosta GJ, Vigo NI, Durand D,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Diarrheagenic Escherichia coli: prevalence and pathotype distribution in children from Peruvian rural communities. </w:t>
      </w:r>
      <w:r w:rsidRPr="003D7162">
        <w:rPr>
          <w:rFonts w:ascii="Helvetica" w:hAnsi="Helvetica" w:cs="Helvetica"/>
          <w:i/>
          <w:iCs/>
          <w:noProof/>
          <w:sz w:val="22"/>
          <w:szCs w:val="22"/>
        </w:rPr>
        <w:t>Am J Trop Med Hyg</w:t>
      </w:r>
      <w:r w:rsidRPr="003D7162">
        <w:rPr>
          <w:rFonts w:ascii="Helvetica" w:hAnsi="Helvetica" w:cs="Helvetica"/>
          <w:noProof/>
          <w:sz w:val="22"/>
          <w:szCs w:val="22"/>
        </w:rPr>
        <w:t xml:space="preserve"> 2016;</w:t>
      </w:r>
      <w:r w:rsidRPr="003D7162">
        <w:rPr>
          <w:rFonts w:ascii="Helvetica" w:hAnsi="Helvetica" w:cs="Helvetica"/>
          <w:b/>
          <w:bCs/>
          <w:noProof/>
          <w:sz w:val="22"/>
          <w:szCs w:val="22"/>
        </w:rPr>
        <w:t>95</w:t>
      </w:r>
      <w:r w:rsidRPr="003D7162">
        <w:rPr>
          <w:rFonts w:ascii="Helvetica" w:hAnsi="Helvetica" w:cs="Helvetica"/>
          <w:noProof/>
          <w:sz w:val="22"/>
          <w:szCs w:val="22"/>
        </w:rPr>
        <w:t>:574–9.</w:t>
      </w:r>
    </w:p>
    <w:p w14:paraId="348764D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77 </w:t>
      </w:r>
      <w:r w:rsidRPr="003D7162">
        <w:rPr>
          <w:rFonts w:ascii="Helvetica" w:hAnsi="Helvetica" w:cs="Helvetica"/>
          <w:noProof/>
          <w:sz w:val="22"/>
          <w:szCs w:val="22"/>
        </w:rPr>
        <w:tab/>
        <w:t xml:space="preserve">Jaganath D, Saito M, Gilman RH,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First Detected Helicobacter pylori Infection in Infancy Modifies the Association Between Diarrheal Disease and Childhood Growth in Peru. </w:t>
      </w:r>
      <w:r w:rsidRPr="003D7162">
        <w:rPr>
          <w:rFonts w:ascii="Helvetica" w:hAnsi="Helvetica" w:cs="Helvetica"/>
          <w:i/>
          <w:iCs/>
          <w:noProof/>
          <w:sz w:val="22"/>
          <w:szCs w:val="22"/>
        </w:rPr>
        <w:t>Helicobacter</w:t>
      </w:r>
      <w:r w:rsidRPr="003D7162">
        <w:rPr>
          <w:rFonts w:ascii="Helvetica" w:hAnsi="Helvetica" w:cs="Helvetica"/>
          <w:noProof/>
          <w:sz w:val="22"/>
          <w:szCs w:val="22"/>
        </w:rPr>
        <w:t xml:space="preserve"> 2014;</w:t>
      </w:r>
      <w:r w:rsidRPr="003D7162">
        <w:rPr>
          <w:rFonts w:ascii="Helvetica" w:hAnsi="Helvetica" w:cs="Helvetica"/>
          <w:b/>
          <w:bCs/>
          <w:noProof/>
          <w:sz w:val="22"/>
          <w:szCs w:val="22"/>
        </w:rPr>
        <w:t>19</w:t>
      </w:r>
      <w:r w:rsidRPr="003D7162">
        <w:rPr>
          <w:rFonts w:ascii="Helvetica" w:hAnsi="Helvetica" w:cs="Helvetica"/>
          <w:noProof/>
          <w:sz w:val="22"/>
          <w:szCs w:val="22"/>
        </w:rPr>
        <w:t>:272–9.</w:t>
      </w:r>
    </w:p>
    <w:p w14:paraId="493433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78 </w:t>
      </w:r>
      <w:r w:rsidRPr="003D7162">
        <w:rPr>
          <w:rFonts w:ascii="Helvetica" w:hAnsi="Helvetica" w:cs="Helvetica"/>
          <w:noProof/>
          <w:sz w:val="22"/>
          <w:szCs w:val="22"/>
        </w:rPr>
        <w:tab/>
        <w:t xml:space="preserve">Passaro DJ, Taylor DN, Gilman RH,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Growth slowing after acute Helicobacter pylori infection is age-dependent. </w:t>
      </w:r>
      <w:r w:rsidRPr="003D7162">
        <w:rPr>
          <w:rFonts w:ascii="Helvetica" w:hAnsi="Helvetica" w:cs="Helvetica"/>
          <w:i/>
          <w:iCs/>
          <w:noProof/>
          <w:sz w:val="22"/>
          <w:szCs w:val="22"/>
        </w:rPr>
        <w:t>J Pediatr Gastroenterol Nutr</w:t>
      </w:r>
      <w:r w:rsidRPr="003D7162">
        <w:rPr>
          <w:rFonts w:ascii="Helvetica" w:hAnsi="Helvetica" w:cs="Helvetica"/>
          <w:noProof/>
          <w:sz w:val="22"/>
          <w:szCs w:val="22"/>
        </w:rPr>
        <w:t xml:space="preserve"> 2002;</w:t>
      </w:r>
      <w:r w:rsidRPr="003D7162">
        <w:rPr>
          <w:rFonts w:ascii="Helvetica" w:hAnsi="Helvetica" w:cs="Helvetica"/>
          <w:b/>
          <w:bCs/>
          <w:noProof/>
          <w:sz w:val="22"/>
          <w:szCs w:val="22"/>
        </w:rPr>
        <w:t>35</w:t>
      </w:r>
      <w:r w:rsidRPr="003D7162">
        <w:rPr>
          <w:rFonts w:ascii="Helvetica" w:hAnsi="Helvetica" w:cs="Helvetica"/>
          <w:noProof/>
          <w:sz w:val="22"/>
          <w:szCs w:val="22"/>
        </w:rPr>
        <w:t>:522–6.</w:t>
      </w:r>
    </w:p>
    <w:p w14:paraId="72BA7CD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79 </w:t>
      </w:r>
      <w:r w:rsidRPr="003D7162">
        <w:rPr>
          <w:rFonts w:ascii="Helvetica" w:hAnsi="Helvetica" w:cs="Helvetica"/>
          <w:noProof/>
          <w:sz w:val="22"/>
          <w:szCs w:val="22"/>
        </w:rPr>
        <w:tab/>
        <w:t xml:space="preserve">Joseph SA, Casapia M, Montresor 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The Effect of Deworming on Growth in One-Year-Old Children Living in a Soil-Transmitted Helminth-Endemic Area of Peru: A Randomized Controlled Trial.[Erratum appears in PLoS Negl Trop Dis. 2015 Dec;9(12):e0004288; PMID: 26636967]. </w:t>
      </w:r>
      <w:r w:rsidRPr="003D7162">
        <w:rPr>
          <w:rFonts w:ascii="Helvetica" w:hAnsi="Helvetica" w:cs="Helvetica"/>
          <w:i/>
          <w:iCs/>
          <w:noProof/>
          <w:sz w:val="22"/>
          <w:szCs w:val="22"/>
        </w:rPr>
        <w:t>PLoS Neglected Trop Dis [electronic Resour</w:t>
      </w:r>
      <w:r w:rsidRPr="003D7162">
        <w:rPr>
          <w:rFonts w:ascii="Helvetica" w:hAnsi="Helvetica" w:cs="Helvetica"/>
          <w:noProof/>
          <w:sz w:val="22"/>
          <w:szCs w:val="22"/>
        </w:rPr>
        <w:t xml:space="preserve"> 2015;</w:t>
      </w:r>
      <w:r w:rsidRPr="003D7162">
        <w:rPr>
          <w:rFonts w:ascii="Helvetica" w:hAnsi="Helvetica" w:cs="Helvetica"/>
          <w:b/>
          <w:bCs/>
          <w:noProof/>
          <w:sz w:val="22"/>
          <w:szCs w:val="22"/>
        </w:rPr>
        <w:t>9</w:t>
      </w:r>
      <w:r w:rsidRPr="003D7162">
        <w:rPr>
          <w:rFonts w:ascii="Helvetica" w:hAnsi="Helvetica" w:cs="Helvetica"/>
          <w:noProof/>
          <w:sz w:val="22"/>
          <w:szCs w:val="22"/>
        </w:rPr>
        <w:t>:e0004020.</w:t>
      </w:r>
    </w:p>
    <w:p w14:paraId="77545CC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80 </w:t>
      </w:r>
      <w:r w:rsidRPr="003D7162">
        <w:rPr>
          <w:rFonts w:ascii="Helvetica" w:hAnsi="Helvetica" w:cs="Helvetica"/>
          <w:noProof/>
          <w:sz w:val="22"/>
          <w:szCs w:val="22"/>
        </w:rPr>
        <w:tab/>
        <w:t xml:space="preserve">Hollm-Delgado M, Gilman RH, Bern 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Lack of an adverse effect of Giardia intestinalis infection on the health of Peruvian children. </w:t>
      </w:r>
      <w:r w:rsidRPr="003D7162">
        <w:rPr>
          <w:rFonts w:ascii="Helvetica" w:hAnsi="Helvetica" w:cs="Helvetica"/>
          <w:i/>
          <w:iCs/>
          <w:noProof/>
          <w:sz w:val="22"/>
          <w:szCs w:val="22"/>
        </w:rPr>
        <w:t>Am J Epidemiol</w:t>
      </w:r>
      <w:r w:rsidRPr="003D7162">
        <w:rPr>
          <w:rFonts w:ascii="Helvetica" w:hAnsi="Helvetica" w:cs="Helvetica"/>
          <w:noProof/>
          <w:sz w:val="22"/>
          <w:szCs w:val="22"/>
        </w:rPr>
        <w:t xml:space="preserve"> 2008;</w:t>
      </w:r>
      <w:r w:rsidRPr="003D7162">
        <w:rPr>
          <w:rFonts w:ascii="Helvetica" w:hAnsi="Helvetica" w:cs="Helvetica"/>
          <w:b/>
          <w:bCs/>
          <w:noProof/>
          <w:sz w:val="22"/>
          <w:szCs w:val="22"/>
        </w:rPr>
        <w:t>168</w:t>
      </w:r>
      <w:r w:rsidRPr="003D7162">
        <w:rPr>
          <w:rFonts w:ascii="Helvetica" w:hAnsi="Helvetica" w:cs="Helvetica"/>
          <w:noProof/>
          <w:sz w:val="22"/>
          <w:szCs w:val="22"/>
        </w:rPr>
        <w:t>:647–55.</w:t>
      </w:r>
    </w:p>
    <w:p w14:paraId="7A79523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81 </w:t>
      </w:r>
      <w:r w:rsidRPr="003D7162">
        <w:rPr>
          <w:rFonts w:ascii="Helvetica" w:hAnsi="Helvetica" w:cs="Helvetica"/>
          <w:noProof/>
          <w:sz w:val="22"/>
          <w:szCs w:val="22"/>
        </w:rPr>
        <w:tab/>
        <w:t xml:space="preserve">Mofid LS, Casapía M, Aguilar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A Double-Blind Randomized Controlled Trial of Maternal Postpartum Deworming to Improve Infant Weight Gain in the Peruvian Amazon. </w:t>
      </w:r>
      <w:r w:rsidRPr="003D7162">
        <w:rPr>
          <w:rFonts w:ascii="Helvetica" w:hAnsi="Helvetica" w:cs="Helvetica"/>
          <w:i/>
          <w:iCs/>
          <w:noProof/>
          <w:sz w:val="22"/>
          <w:szCs w:val="22"/>
        </w:rPr>
        <w:t>PLoS Negl Trop Dis</w:t>
      </w:r>
      <w:r w:rsidRPr="003D7162">
        <w:rPr>
          <w:rFonts w:ascii="Helvetica" w:hAnsi="Helvetica" w:cs="Helvetica"/>
          <w:noProof/>
          <w:sz w:val="22"/>
          <w:szCs w:val="22"/>
        </w:rPr>
        <w:t xml:space="preserve"> 2017;</w:t>
      </w:r>
      <w:r w:rsidRPr="003D7162">
        <w:rPr>
          <w:rFonts w:ascii="Helvetica" w:hAnsi="Helvetica" w:cs="Helvetica"/>
          <w:b/>
          <w:bCs/>
          <w:noProof/>
          <w:sz w:val="22"/>
          <w:szCs w:val="22"/>
        </w:rPr>
        <w:t>11</w:t>
      </w:r>
      <w:r w:rsidRPr="003D7162">
        <w:rPr>
          <w:rFonts w:ascii="Helvetica" w:hAnsi="Helvetica" w:cs="Helvetica"/>
          <w:noProof/>
          <w:sz w:val="22"/>
          <w:szCs w:val="22"/>
        </w:rPr>
        <w:t>. doi:10.1371/journal.pntd.0005098</w:t>
      </w:r>
    </w:p>
    <w:p w14:paraId="1B5483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82 </w:t>
      </w:r>
      <w:r w:rsidRPr="003D7162">
        <w:rPr>
          <w:rFonts w:ascii="Helvetica" w:hAnsi="Helvetica" w:cs="Helvetica"/>
          <w:noProof/>
          <w:sz w:val="22"/>
          <w:szCs w:val="22"/>
        </w:rPr>
        <w:tab/>
        <w:t xml:space="preserve">Creed-Kanashiro HM, Carrasco M, Abad M,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Promotion of traditional foods to improve the nutrition and health of the Awajun of the Cenepa River in Peru. Rome: 2013. </w:t>
      </w:r>
    </w:p>
    <w:p w14:paraId="14576F2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83 </w:t>
      </w:r>
      <w:r w:rsidRPr="003D7162">
        <w:rPr>
          <w:rFonts w:ascii="Helvetica" w:hAnsi="Helvetica" w:cs="Helvetica"/>
          <w:noProof/>
          <w:sz w:val="22"/>
          <w:szCs w:val="22"/>
        </w:rPr>
        <w:tab/>
        <w:t xml:space="preserve">Iannotti L, Zavaleta N, León Z,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Maternal zinc supplementation and growth in Peruvian infants. Am. J. Clin. Nutr. 2008;</w:t>
      </w:r>
      <w:r w:rsidRPr="003D7162">
        <w:rPr>
          <w:rFonts w:ascii="Helvetica" w:hAnsi="Helvetica" w:cs="Helvetica"/>
          <w:b/>
          <w:bCs/>
          <w:noProof/>
          <w:sz w:val="22"/>
          <w:szCs w:val="22"/>
        </w:rPr>
        <w:t>88</w:t>
      </w:r>
      <w:r w:rsidRPr="003D7162">
        <w:rPr>
          <w:rFonts w:ascii="Helvetica" w:hAnsi="Helvetica" w:cs="Helvetica"/>
          <w:noProof/>
          <w:sz w:val="22"/>
          <w:szCs w:val="22"/>
        </w:rPr>
        <w:t>:154–60.</w:t>
      </w:r>
    </w:p>
    <w:p w14:paraId="7950E00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84 </w:t>
      </w:r>
      <w:r w:rsidRPr="003D7162">
        <w:rPr>
          <w:rFonts w:ascii="Helvetica" w:hAnsi="Helvetica" w:cs="Helvetica"/>
          <w:noProof/>
          <w:sz w:val="22"/>
          <w:szCs w:val="22"/>
        </w:rPr>
        <w:tab/>
        <w:t xml:space="preserve">Penny M, Marin R, Duran 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Randomized controlled trial of the effect of daily supplementation with zinc or multiple micronutrients on the morbidity, growth, and micronutrient status of young Peruvian children. Am. J. Clin. Nutr. 2004;</w:t>
      </w:r>
      <w:r w:rsidRPr="003D7162">
        <w:rPr>
          <w:rFonts w:ascii="Helvetica" w:hAnsi="Helvetica" w:cs="Helvetica"/>
          <w:b/>
          <w:bCs/>
          <w:noProof/>
          <w:sz w:val="22"/>
          <w:szCs w:val="22"/>
        </w:rPr>
        <w:t>79</w:t>
      </w:r>
      <w:r w:rsidRPr="003D7162">
        <w:rPr>
          <w:rFonts w:ascii="Helvetica" w:hAnsi="Helvetica" w:cs="Helvetica"/>
          <w:noProof/>
          <w:sz w:val="22"/>
          <w:szCs w:val="22"/>
        </w:rPr>
        <w:t>:457–65.</w:t>
      </w:r>
    </w:p>
    <w:p w14:paraId="2EAF156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85 </w:t>
      </w:r>
      <w:r w:rsidRPr="003D7162">
        <w:rPr>
          <w:rFonts w:ascii="Helvetica" w:hAnsi="Helvetica" w:cs="Helvetica"/>
          <w:noProof/>
          <w:sz w:val="22"/>
          <w:szCs w:val="22"/>
        </w:rPr>
        <w:tab/>
        <w:t xml:space="preserve">Arsenault JE, Havel PJ, de Romaña DL,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Longitudinal measures of circulating leptin and ghrelin concentrations are associated with the growth of young Peruvian children but are not affected by zinc supplementation. </w:t>
      </w:r>
      <w:r w:rsidRPr="003D7162">
        <w:rPr>
          <w:rFonts w:ascii="Helvetica" w:hAnsi="Helvetica" w:cs="Helvetica"/>
          <w:i/>
          <w:iCs/>
          <w:noProof/>
          <w:sz w:val="22"/>
          <w:szCs w:val="22"/>
        </w:rPr>
        <w:t>Am J Clin Nutr</w:t>
      </w:r>
      <w:r w:rsidRPr="003D7162">
        <w:rPr>
          <w:rFonts w:ascii="Helvetica" w:hAnsi="Helvetica" w:cs="Helvetica"/>
          <w:noProof/>
          <w:sz w:val="22"/>
          <w:szCs w:val="22"/>
        </w:rPr>
        <w:t xml:space="preserve"> 2007;</w:t>
      </w:r>
      <w:r w:rsidRPr="003D7162">
        <w:rPr>
          <w:rFonts w:ascii="Helvetica" w:hAnsi="Helvetica" w:cs="Helvetica"/>
          <w:b/>
          <w:bCs/>
          <w:noProof/>
          <w:sz w:val="22"/>
          <w:szCs w:val="22"/>
        </w:rPr>
        <w:t>86</w:t>
      </w:r>
      <w:r w:rsidRPr="003D7162">
        <w:rPr>
          <w:rFonts w:ascii="Helvetica" w:hAnsi="Helvetica" w:cs="Helvetica"/>
          <w:noProof/>
          <w:sz w:val="22"/>
          <w:szCs w:val="22"/>
        </w:rPr>
        <w:t>:1111–9.</w:t>
      </w:r>
    </w:p>
    <w:p w14:paraId="0DD403E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86 </w:t>
      </w:r>
      <w:r w:rsidRPr="003D7162">
        <w:rPr>
          <w:rFonts w:ascii="Helvetica" w:hAnsi="Helvetica" w:cs="Helvetica"/>
          <w:noProof/>
          <w:sz w:val="22"/>
          <w:szCs w:val="22"/>
        </w:rPr>
        <w:tab/>
        <w:t xml:space="preserve">Brown KH, de Romaña DL, Arsenault JE,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Comparison of the effects of zinc delivered in a fortified food or a liquid supplement on the growth, morbidity, and plasma zinc concentrations of young Peruvian children. </w:t>
      </w:r>
      <w:r w:rsidRPr="003D7162">
        <w:rPr>
          <w:rFonts w:ascii="Helvetica" w:hAnsi="Helvetica" w:cs="Helvetica"/>
          <w:i/>
          <w:iCs/>
          <w:noProof/>
          <w:sz w:val="22"/>
          <w:szCs w:val="22"/>
        </w:rPr>
        <w:t>Am J Clin Nutr</w:t>
      </w:r>
      <w:r w:rsidRPr="003D7162">
        <w:rPr>
          <w:rFonts w:ascii="Helvetica" w:hAnsi="Helvetica" w:cs="Helvetica"/>
          <w:noProof/>
          <w:sz w:val="22"/>
          <w:szCs w:val="22"/>
        </w:rPr>
        <w:t xml:space="preserve"> 2007;</w:t>
      </w:r>
      <w:r w:rsidRPr="003D7162">
        <w:rPr>
          <w:rFonts w:ascii="Helvetica" w:hAnsi="Helvetica" w:cs="Helvetica"/>
          <w:b/>
          <w:bCs/>
          <w:noProof/>
          <w:sz w:val="22"/>
          <w:szCs w:val="22"/>
        </w:rPr>
        <w:t>85</w:t>
      </w:r>
      <w:r w:rsidRPr="003D7162">
        <w:rPr>
          <w:rFonts w:ascii="Helvetica" w:hAnsi="Helvetica" w:cs="Helvetica"/>
          <w:noProof/>
          <w:sz w:val="22"/>
          <w:szCs w:val="22"/>
        </w:rPr>
        <w:t>:538–47.</w:t>
      </w:r>
    </w:p>
    <w:p w14:paraId="19A7853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87 </w:t>
      </w:r>
      <w:r w:rsidRPr="003D7162">
        <w:rPr>
          <w:rFonts w:ascii="Helvetica" w:hAnsi="Helvetica" w:cs="Helvetica"/>
          <w:noProof/>
          <w:sz w:val="22"/>
          <w:szCs w:val="22"/>
        </w:rPr>
        <w:tab/>
        <w:t xml:space="preserve">Lopez de Romana G, Cusirramos S, Lopez de Romana D,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Efficacy of multiple micronutrient supplementation for improving anemia, micronutrient status, growth, and morbidity of Peruvian infants.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2005;</w:t>
      </w:r>
      <w:r w:rsidRPr="003D7162">
        <w:rPr>
          <w:rFonts w:ascii="Helvetica" w:hAnsi="Helvetica" w:cs="Helvetica"/>
          <w:b/>
          <w:bCs/>
          <w:noProof/>
          <w:sz w:val="22"/>
          <w:szCs w:val="22"/>
        </w:rPr>
        <w:t>135</w:t>
      </w:r>
      <w:r w:rsidRPr="003D7162">
        <w:rPr>
          <w:rFonts w:ascii="Helvetica" w:hAnsi="Helvetica" w:cs="Helvetica"/>
          <w:noProof/>
          <w:sz w:val="22"/>
          <w:szCs w:val="22"/>
        </w:rPr>
        <w:t>:646S-652S.</w:t>
      </w:r>
    </w:p>
    <w:p w14:paraId="4AADB0C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88 </w:t>
      </w:r>
      <w:r w:rsidRPr="003D7162">
        <w:rPr>
          <w:rFonts w:ascii="Helvetica" w:hAnsi="Helvetica" w:cs="Helvetica"/>
          <w:noProof/>
          <w:sz w:val="22"/>
          <w:szCs w:val="22"/>
        </w:rPr>
        <w:tab/>
        <w:t xml:space="preserve">López de Romaña D, Verona S, Aquino Vivanco O,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Protective effect of multimicronutrient supplementation against anemia among children, women, and adolescent girls in lower-income areas of Chiclayo, Peru.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2006;</w:t>
      </w:r>
      <w:r w:rsidRPr="003D7162">
        <w:rPr>
          <w:rFonts w:ascii="Helvetica" w:hAnsi="Helvetica" w:cs="Helvetica"/>
          <w:b/>
          <w:bCs/>
          <w:noProof/>
          <w:sz w:val="22"/>
          <w:szCs w:val="22"/>
        </w:rPr>
        <w:t>27</w:t>
      </w:r>
      <w:r w:rsidRPr="003D7162">
        <w:rPr>
          <w:rFonts w:ascii="Helvetica" w:hAnsi="Helvetica" w:cs="Helvetica"/>
          <w:noProof/>
          <w:sz w:val="22"/>
          <w:szCs w:val="22"/>
        </w:rPr>
        <w:t>:S143–50.</w:t>
      </w:r>
    </w:p>
    <w:p w14:paraId="04644F9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89 </w:t>
      </w:r>
      <w:r w:rsidRPr="003D7162">
        <w:rPr>
          <w:rFonts w:ascii="Helvetica" w:hAnsi="Helvetica" w:cs="Helvetica"/>
          <w:noProof/>
          <w:sz w:val="22"/>
          <w:szCs w:val="22"/>
        </w:rPr>
        <w:tab/>
        <w:t xml:space="preserve">Smuts CM, Lombard CJ, Spinnler Benadé AJ,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Efficacy of a foodlet-based multiple micronutrient supplement for preventing growth faltering, anemia, and micronutrient deficiency of infants: The four country IRIS trial pooled data analysis.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2005;</w:t>
      </w:r>
      <w:r w:rsidRPr="003D7162">
        <w:rPr>
          <w:rFonts w:ascii="Helvetica" w:hAnsi="Helvetica" w:cs="Helvetica"/>
          <w:b/>
          <w:bCs/>
          <w:noProof/>
          <w:sz w:val="22"/>
          <w:szCs w:val="22"/>
        </w:rPr>
        <w:t>135</w:t>
      </w:r>
      <w:r w:rsidRPr="003D7162">
        <w:rPr>
          <w:rFonts w:ascii="Helvetica" w:hAnsi="Helvetica" w:cs="Helvetica"/>
          <w:noProof/>
          <w:sz w:val="22"/>
          <w:szCs w:val="22"/>
        </w:rPr>
        <w:t>:631S-638S.</w:t>
      </w:r>
    </w:p>
    <w:p w14:paraId="174E004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90 </w:t>
      </w:r>
      <w:r w:rsidRPr="003D7162">
        <w:rPr>
          <w:rFonts w:ascii="Helvetica" w:hAnsi="Helvetica" w:cs="Helvetica"/>
          <w:noProof/>
          <w:sz w:val="22"/>
          <w:szCs w:val="22"/>
        </w:rPr>
        <w:tab/>
        <w:t xml:space="preserve">De Romania GL. Experience with complementary feeding in the FONCODES Project.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2000;</w:t>
      </w:r>
      <w:r w:rsidRPr="003D7162">
        <w:rPr>
          <w:rFonts w:ascii="Helvetica" w:hAnsi="Helvetica" w:cs="Helvetica"/>
          <w:b/>
          <w:bCs/>
          <w:noProof/>
          <w:sz w:val="22"/>
          <w:szCs w:val="22"/>
        </w:rPr>
        <w:t>21</w:t>
      </w:r>
      <w:r w:rsidRPr="003D7162">
        <w:rPr>
          <w:rFonts w:ascii="Helvetica" w:hAnsi="Helvetica" w:cs="Helvetica"/>
          <w:noProof/>
          <w:sz w:val="22"/>
          <w:szCs w:val="22"/>
        </w:rPr>
        <w:t>:43–8.</w:t>
      </w:r>
    </w:p>
    <w:p w14:paraId="266DE5B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91 </w:t>
      </w:r>
      <w:r w:rsidRPr="003D7162">
        <w:rPr>
          <w:rFonts w:ascii="Helvetica" w:hAnsi="Helvetica" w:cs="Helvetica"/>
          <w:noProof/>
          <w:sz w:val="22"/>
          <w:szCs w:val="22"/>
        </w:rPr>
        <w:tab/>
        <w:t xml:space="preserve">Duggan C, Penny ME, Hibberd P,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Oligofructose-supplemented infant cereal: 2 randomized, blinded, community-based trials in Peruvian infants. </w:t>
      </w:r>
      <w:r w:rsidRPr="003D7162">
        <w:rPr>
          <w:rFonts w:ascii="Helvetica" w:hAnsi="Helvetica" w:cs="Helvetica"/>
          <w:i/>
          <w:iCs/>
          <w:noProof/>
          <w:sz w:val="22"/>
          <w:szCs w:val="22"/>
        </w:rPr>
        <w:t>Am J Clin Nutr</w:t>
      </w:r>
      <w:r w:rsidRPr="003D7162">
        <w:rPr>
          <w:rFonts w:ascii="Helvetica" w:hAnsi="Helvetica" w:cs="Helvetica"/>
          <w:noProof/>
          <w:sz w:val="22"/>
          <w:szCs w:val="22"/>
        </w:rPr>
        <w:t xml:space="preserve"> 2003;</w:t>
      </w:r>
      <w:r w:rsidRPr="003D7162">
        <w:rPr>
          <w:rFonts w:ascii="Helvetica" w:hAnsi="Helvetica" w:cs="Helvetica"/>
          <w:b/>
          <w:bCs/>
          <w:noProof/>
          <w:sz w:val="22"/>
          <w:szCs w:val="22"/>
        </w:rPr>
        <w:t>77</w:t>
      </w:r>
      <w:r w:rsidRPr="003D7162">
        <w:rPr>
          <w:rFonts w:ascii="Helvetica" w:hAnsi="Helvetica" w:cs="Helvetica"/>
          <w:noProof/>
          <w:sz w:val="22"/>
          <w:szCs w:val="22"/>
        </w:rPr>
        <w:t>:937–42.</w:t>
      </w:r>
    </w:p>
    <w:p w14:paraId="61122DE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92 </w:t>
      </w:r>
      <w:r w:rsidRPr="003D7162">
        <w:rPr>
          <w:rFonts w:ascii="Helvetica" w:hAnsi="Helvetica" w:cs="Helvetica"/>
          <w:noProof/>
          <w:sz w:val="22"/>
          <w:szCs w:val="22"/>
        </w:rPr>
        <w:tab/>
        <w:t xml:space="preserve">Lechtig A, Cornale G, Ugaz ME,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Decreasing stunting, anemia, and vitamin A deficiency in Peru: results of the Good Start in Life Program.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2009;</w:t>
      </w:r>
      <w:r w:rsidRPr="003D7162">
        <w:rPr>
          <w:rFonts w:ascii="Helvetica" w:hAnsi="Helvetica" w:cs="Helvetica"/>
          <w:b/>
          <w:bCs/>
          <w:noProof/>
          <w:sz w:val="22"/>
          <w:szCs w:val="22"/>
        </w:rPr>
        <w:t>30</w:t>
      </w:r>
      <w:r w:rsidRPr="003D7162">
        <w:rPr>
          <w:rFonts w:ascii="Helvetica" w:hAnsi="Helvetica" w:cs="Helvetica"/>
          <w:noProof/>
          <w:sz w:val="22"/>
          <w:szCs w:val="22"/>
        </w:rPr>
        <w:t>:37–48.</w:t>
      </w:r>
    </w:p>
    <w:p w14:paraId="1177553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93 </w:t>
      </w:r>
      <w:r w:rsidRPr="003D7162">
        <w:rPr>
          <w:rFonts w:ascii="Helvetica" w:hAnsi="Helvetica" w:cs="Helvetica"/>
          <w:noProof/>
          <w:sz w:val="22"/>
          <w:szCs w:val="22"/>
        </w:rPr>
        <w:tab/>
        <w:t xml:space="preserve">Huicho L, Segura ER, Huayanay-Espinoza CA,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Child health and nutrition in Peru within an antipoverty political agenda: a Countdown to 2015 country case study. </w:t>
      </w:r>
      <w:r w:rsidRPr="003D7162">
        <w:rPr>
          <w:rFonts w:ascii="Helvetica" w:hAnsi="Helvetica" w:cs="Helvetica"/>
          <w:i/>
          <w:iCs/>
          <w:noProof/>
          <w:sz w:val="22"/>
          <w:szCs w:val="22"/>
        </w:rPr>
        <w:t>Lancet Glob Heal</w:t>
      </w:r>
      <w:r w:rsidRPr="003D7162">
        <w:rPr>
          <w:rFonts w:ascii="Helvetica" w:hAnsi="Helvetica" w:cs="Helvetica"/>
          <w:noProof/>
          <w:sz w:val="22"/>
          <w:szCs w:val="22"/>
        </w:rPr>
        <w:t xml:space="preserve"> 2016;</w:t>
      </w:r>
      <w:r w:rsidRPr="003D7162">
        <w:rPr>
          <w:rFonts w:ascii="Helvetica" w:hAnsi="Helvetica" w:cs="Helvetica"/>
          <w:b/>
          <w:bCs/>
          <w:noProof/>
          <w:sz w:val="22"/>
          <w:szCs w:val="22"/>
        </w:rPr>
        <w:t>4</w:t>
      </w:r>
      <w:r w:rsidRPr="003D7162">
        <w:rPr>
          <w:rFonts w:ascii="Helvetica" w:hAnsi="Helvetica" w:cs="Helvetica"/>
          <w:noProof/>
          <w:sz w:val="22"/>
          <w:szCs w:val="22"/>
        </w:rPr>
        <w:t>:e414–26. doi:10.1016/S2214-109X(16)00085-1</w:t>
      </w:r>
    </w:p>
    <w:p w14:paraId="2A0C696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94 </w:t>
      </w:r>
      <w:r w:rsidRPr="003D7162">
        <w:rPr>
          <w:rFonts w:ascii="Helvetica" w:hAnsi="Helvetica" w:cs="Helvetica"/>
          <w:noProof/>
          <w:sz w:val="22"/>
          <w:szCs w:val="22"/>
        </w:rPr>
        <w:tab/>
        <w:t xml:space="preserve">Rojas D C, Flores M R, Céspedes K R. Resultados de un programa de seguridad alimentaria en la reducción de la desnutrición crónica y sus factores causales en niños peruanos. </w:t>
      </w:r>
      <w:r w:rsidRPr="003D7162">
        <w:rPr>
          <w:rFonts w:ascii="Helvetica" w:hAnsi="Helvetica" w:cs="Helvetica"/>
          <w:i/>
          <w:iCs/>
          <w:noProof/>
          <w:sz w:val="22"/>
          <w:szCs w:val="22"/>
        </w:rPr>
        <w:t>Rev Peru Med Exp Salud Publica</w:t>
      </w:r>
      <w:r w:rsidRPr="003D7162">
        <w:rPr>
          <w:rFonts w:ascii="Helvetica" w:hAnsi="Helvetica" w:cs="Helvetica"/>
          <w:noProof/>
          <w:sz w:val="22"/>
          <w:szCs w:val="22"/>
        </w:rPr>
        <w:t xml:space="preserve"> 2007;</w:t>
      </w:r>
      <w:r w:rsidRPr="003D7162">
        <w:rPr>
          <w:rFonts w:ascii="Helvetica" w:hAnsi="Helvetica" w:cs="Helvetica"/>
          <w:b/>
          <w:bCs/>
          <w:noProof/>
          <w:sz w:val="22"/>
          <w:szCs w:val="22"/>
        </w:rPr>
        <w:t>24</w:t>
      </w:r>
      <w:r w:rsidRPr="003D7162">
        <w:rPr>
          <w:rFonts w:ascii="Helvetica" w:hAnsi="Helvetica" w:cs="Helvetica"/>
          <w:noProof/>
          <w:sz w:val="22"/>
          <w:szCs w:val="22"/>
        </w:rPr>
        <w:t>:111–20.</w:t>
      </w:r>
    </w:p>
    <w:p w14:paraId="3934997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95 </w:t>
      </w:r>
      <w:r w:rsidRPr="003D7162">
        <w:rPr>
          <w:rFonts w:ascii="Helvetica" w:hAnsi="Helvetica" w:cs="Helvetica"/>
          <w:noProof/>
          <w:sz w:val="22"/>
          <w:szCs w:val="22"/>
        </w:rPr>
        <w:tab/>
        <w:t xml:space="preserve">Marquis GS, Habicht JP, Lanata CF,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Association of breastfeeding and stunting in Peruvian toddlers: An example of reverse causality. </w:t>
      </w:r>
      <w:r w:rsidRPr="003D7162">
        <w:rPr>
          <w:rFonts w:ascii="Helvetica" w:hAnsi="Helvetica" w:cs="Helvetica"/>
          <w:i/>
          <w:iCs/>
          <w:noProof/>
          <w:sz w:val="22"/>
          <w:szCs w:val="22"/>
        </w:rPr>
        <w:t>Int J Epidemiol</w:t>
      </w:r>
      <w:r w:rsidRPr="003D7162">
        <w:rPr>
          <w:rFonts w:ascii="Helvetica" w:hAnsi="Helvetica" w:cs="Helvetica"/>
          <w:noProof/>
          <w:sz w:val="22"/>
          <w:szCs w:val="22"/>
        </w:rPr>
        <w:t xml:space="preserve"> 1997;</w:t>
      </w:r>
      <w:r w:rsidRPr="003D7162">
        <w:rPr>
          <w:rFonts w:ascii="Helvetica" w:hAnsi="Helvetica" w:cs="Helvetica"/>
          <w:b/>
          <w:bCs/>
          <w:noProof/>
          <w:sz w:val="22"/>
          <w:szCs w:val="22"/>
        </w:rPr>
        <w:t>26</w:t>
      </w:r>
      <w:r w:rsidRPr="003D7162">
        <w:rPr>
          <w:rFonts w:ascii="Helvetica" w:hAnsi="Helvetica" w:cs="Helvetica"/>
          <w:noProof/>
          <w:sz w:val="22"/>
          <w:szCs w:val="22"/>
        </w:rPr>
        <w:t>:349–56.</w:t>
      </w:r>
    </w:p>
    <w:p w14:paraId="31F1410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96 </w:t>
      </w:r>
      <w:r w:rsidRPr="003D7162">
        <w:rPr>
          <w:rFonts w:ascii="Helvetica" w:hAnsi="Helvetica" w:cs="Helvetica"/>
          <w:noProof/>
          <w:sz w:val="22"/>
          <w:szCs w:val="22"/>
        </w:rPr>
        <w:tab/>
        <w:t xml:space="preserve">Marquis GS, Habicht JP. Breastfeeding and stunting among toddlers in Peru. </w:t>
      </w:r>
      <w:r w:rsidRPr="003D7162">
        <w:rPr>
          <w:rFonts w:ascii="Helvetica" w:hAnsi="Helvetica" w:cs="Helvetica"/>
          <w:i/>
          <w:iCs/>
          <w:noProof/>
          <w:sz w:val="22"/>
          <w:szCs w:val="22"/>
        </w:rPr>
        <w:t>Adv Exp Med Biol</w:t>
      </w:r>
      <w:r w:rsidRPr="003D7162">
        <w:rPr>
          <w:rFonts w:ascii="Helvetica" w:hAnsi="Helvetica" w:cs="Helvetica"/>
          <w:noProof/>
          <w:sz w:val="22"/>
          <w:szCs w:val="22"/>
        </w:rPr>
        <w:t xml:space="preserve"> 2000;</w:t>
      </w:r>
      <w:r w:rsidRPr="003D7162">
        <w:rPr>
          <w:rFonts w:ascii="Helvetica" w:hAnsi="Helvetica" w:cs="Helvetica"/>
          <w:b/>
          <w:bCs/>
          <w:noProof/>
          <w:sz w:val="22"/>
          <w:szCs w:val="22"/>
        </w:rPr>
        <w:t>478</w:t>
      </w:r>
      <w:r w:rsidRPr="003D7162">
        <w:rPr>
          <w:rFonts w:ascii="Helvetica" w:hAnsi="Helvetica" w:cs="Helvetica"/>
          <w:noProof/>
          <w:sz w:val="22"/>
          <w:szCs w:val="22"/>
        </w:rPr>
        <w:t>:163–72.</w:t>
      </w:r>
    </w:p>
    <w:p w14:paraId="0F58839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97 </w:t>
      </w:r>
      <w:r w:rsidRPr="003D7162">
        <w:rPr>
          <w:rFonts w:ascii="Helvetica" w:hAnsi="Helvetica" w:cs="Helvetica"/>
          <w:noProof/>
          <w:sz w:val="22"/>
          <w:szCs w:val="22"/>
        </w:rPr>
        <w:tab/>
        <w:t xml:space="preserve">Marquis GS, Habicht J, Lanata CF,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Breast milk or animal-product foods improve linear growth of Peruvian toddlers consuming marginal diets. </w:t>
      </w:r>
      <w:r w:rsidRPr="003D7162">
        <w:rPr>
          <w:rFonts w:ascii="Helvetica" w:hAnsi="Helvetica" w:cs="Helvetica"/>
          <w:i/>
          <w:iCs/>
          <w:noProof/>
          <w:sz w:val="22"/>
          <w:szCs w:val="22"/>
        </w:rPr>
        <w:t>Am J Clin Nutr</w:t>
      </w:r>
      <w:r w:rsidRPr="003D7162">
        <w:rPr>
          <w:rFonts w:ascii="Helvetica" w:hAnsi="Helvetica" w:cs="Helvetica"/>
          <w:noProof/>
          <w:sz w:val="22"/>
          <w:szCs w:val="22"/>
        </w:rPr>
        <w:t xml:space="preserve"> 1997;</w:t>
      </w:r>
      <w:r w:rsidRPr="003D7162">
        <w:rPr>
          <w:rFonts w:ascii="Helvetica" w:hAnsi="Helvetica" w:cs="Helvetica"/>
          <w:b/>
          <w:bCs/>
          <w:noProof/>
          <w:sz w:val="22"/>
          <w:szCs w:val="22"/>
        </w:rPr>
        <w:t>66</w:t>
      </w:r>
      <w:r w:rsidRPr="003D7162">
        <w:rPr>
          <w:rFonts w:ascii="Helvetica" w:hAnsi="Helvetica" w:cs="Helvetica"/>
          <w:noProof/>
          <w:sz w:val="22"/>
          <w:szCs w:val="22"/>
        </w:rPr>
        <w:t>:1102–9.</w:t>
      </w:r>
    </w:p>
    <w:p w14:paraId="51BDB7E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98 </w:t>
      </w:r>
      <w:r w:rsidRPr="003D7162">
        <w:rPr>
          <w:rFonts w:ascii="Helvetica" w:hAnsi="Helvetica" w:cs="Helvetica"/>
          <w:noProof/>
          <w:sz w:val="22"/>
          <w:szCs w:val="22"/>
        </w:rPr>
        <w:tab/>
        <w:t xml:space="preserve">Krishna A, Fink G, Berkman LF,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Short- and long-run associations between birth weight and children’s height. </w:t>
      </w:r>
      <w:r w:rsidRPr="003D7162">
        <w:rPr>
          <w:rFonts w:ascii="Helvetica" w:hAnsi="Helvetica" w:cs="Helvetica"/>
          <w:i/>
          <w:iCs/>
          <w:noProof/>
          <w:sz w:val="22"/>
          <w:szCs w:val="22"/>
        </w:rPr>
        <w:t>Econ Hum Biol</w:t>
      </w:r>
      <w:r w:rsidRPr="003D7162">
        <w:rPr>
          <w:rFonts w:ascii="Helvetica" w:hAnsi="Helvetica" w:cs="Helvetica"/>
          <w:noProof/>
          <w:sz w:val="22"/>
          <w:szCs w:val="22"/>
        </w:rPr>
        <w:t xml:space="preserve"> 2016;</w:t>
      </w:r>
      <w:r w:rsidRPr="003D7162">
        <w:rPr>
          <w:rFonts w:ascii="Helvetica" w:hAnsi="Helvetica" w:cs="Helvetica"/>
          <w:b/>
          <w:bCs/>
          <w:noProof/>
          <w:sz w:val="22"/>
          <w:szCs w:val="22"/>
        </w:rPr>
        <w:t>21</w:t>
      </w:r>
      <w:r w:rsidRPr="003D7162">
        <w:rPr>
          <w:rFonts w:ascii="Helvetica" w:hAnsi="Helvetica" w:cs="Helvetica"/>
          <w:noProof/>
          <w:sz w:val="22"/>
          <w:szCs w:val="22"/>
        </w:rPr>
        <w:t>:156–66.</w:t>
      </w:r>
    </w:p>
    <w:p w14:paraId="76444C7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99 </w:t>
      </w:r>
      <w:r w:rsidRPr="003D7162">
        <w:rPr>
          <w:rFonts w:ascii="Helvetica" w:hAnsi="Helvetica" w:cs="Helvetica"/>
          <w:noProof/>
          <w:sz w:val="22"/>
          <w:szCs w:val="22"/>
        </w:rPr>
        <w:tab/>
        <w:t>Budge S. Maternal Perceptions of Child Weight and Height and the Double Burden of Malnutrition : MSc Project Report height and the double burden of malnutrition : Young Lives , Peru Supervisors : Paula Sheppard &amp; Lenka Benova. 2015.</w:t>
      </w:r>
    </w:p>
    <w:p w14:paraId="35374D2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100 </w:t>
      </w:r>
      <w:r w:rsidRPr="003D7162">
        <w:rPr>
          <w:rFonts w:ascii="Helvetica" w:hAnsi="Helvetica" w:cs="Helvetica"/>
          <w:noProof/>
          <w:sz w:val="22"/>
          <w:szCs w:val="22"/>
        </w:rPr>
        <w:tab/>
        <w:t xml:space="preserve">Joseph SA, Casapia M, Blouin B,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Risk factors associated with malnutrition in one-year-old children living in the Peruvian Amazon. </w:t>
      </w:r>
      <w:r w:rsidRPr="003D7162">
        <w:rPr>
          <w:rFonts w:ascii="Helvetica" w:hAnsi="Helvetica" w:cs="Helvetica"/>
          <w:i/>
          <w:iCs/>
          <w:noProof/>
          <w:sz w:val="22"/>
          <w:szCs w:val="22"/>
        </w:rPr>
        <w:t>PLoS Negl Trop Dis</w:t>
      </w:r>
      <w:r w:rsidRPr="003D7162">
        <w:rPr>
          <w:rFonts w:ascii="Helvetica" w:hAnsi="Helvetica" w:cs="Helvetica"/>
          <w:noProof/>
          <w:sz w:val="22"/>
          <w:szCs w:val="22"/>
        </w:rPr>
        <w:t xml:space="preserve"> 2014;</w:t>
      </w:r>
      <w:r w:rsidRPr="003D7162">
        <w:rPr>
          <w:rFonts w:ascii="Helvetica" w:hAnsi="Helvetica" w:cs="Helvetica"/>
          <w:b/>
          <w:bCs/>
          <w:noProof/>
          <w:sz w:val="22"/>
          <w:szCs w:val="22"/>
        </w:rPr>
        <w:t>8</w:t>
      </w:r>
      <w:r w:rsidRPr="003D7162">
        <w:rPr>
          <w:rFonts w:ascii="Helvetica" w:hAnsi="Helvetica" w:cs="Helvetica"/>
          <w:noProof/>
          <w:sz w:val="22"/>
          <w:szCs w:val="22"/>
        </w:rPr>
        <w:t>.</w:t>
      </w:r>
    </w:p>
    <w:p w14:paraId="259685E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101 </w:t>
      </w:r>
      <w:r w:rsidRPr="003D7162">
        <w:rPr>
          <w:rFonts w:ascii="Helvetica" w:hAnsi="Helvetica" w:cs="Helvetica"/>
          <w:noProof/>
          <w:sz w:val="22"/>
          <w:szCs w:val="22"/>
        </w:rPr>
        <w:tab/>
        <w:t xml:space="preserve">Roche ML, Creed-Kanashiro HM, Tuesta I,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Infant and young child feeding in the Peruvian Amazon: the need to promote exclusive breastfeeding and nutrient-dense traditional complementary foods. </w:t>
      </w:r>
      <w:r w:rsidRPr="003D7162">
        <w:rPr>
          <w:rFonts w:ascii="Helvetica" w:hAnsi="Helvetica" w:cs="Helvetica"/>
          <w:i/>
          <w:iCs/>
          <w:noProof/>
          <w:sz w:val="22"/>
          <w:szCs w:val="22"/>
        </w:rPr>
        <w:t>Matern Child Nutr</w:t>
      </w:r>
      <w:r w:rsidRPr="003D7162">
        <w:rPr>
          <w:rFonts w:ascii="Helvetica" w:hAnsi="Helvetica" w:cs="Helvetica"/>
          <w:noProof/>
          <w:sz w:val="22"/>
          <w:szCs w:val="22"/>
        </w:rPr>
        <w:t xml:space="preserve"> 2011;</w:t>
      </w:r>
      <w:r w:rsidRPr="003D7162">
        <w:rPr>
          <w:rFonts w:ascii="Helvetica" w:hAnsi="Helvetica" w:cs="Helvetica"/>
          <w:b/>
          <w:bCs/>
          <w:noProof/>
          <w:sz w:val="22"/>
          <w:szCs w:val="22"/>
        </w:rPr>
        <w:t>7</w:t>
      </w:r>
      <w:r w:rsidRPr="003D7162">
        <w:rPr>
          <w:rFonts w:ascii="Helvetica" w:hAnsi="Helvetica" w:cs="Helvetica"/>
          <w:noProof/>
          <w:sz w:val="22"/>
          <w:szCs w:val="22"/>
        </w:rPr>
        <w:t>:284–94.</w:t>
      </w:r>
    </w:p>
    <w:p w14:paraId="1A9B375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102 </w:t>
      </w:r>
      <w:r w:rsidRPr="003D7162">
        <w:rPr>
          <w:rFonts w:ascii="Helvetica" w:hAnsi="Helvetica" w:cs="Helvetica"/>
          <w:noProof/>
          <w:sz w:val="22"/>
          <w:szCs w:val="22"/>
        </w:rPr>
        <w:tab/>
        <w:t>Dornan P, Pells K. From Infancy to Adolescence: Growing Up in Poverty Preliminary Findings from Round 4 of Young Lives. 2014.</w:t>
      </w:r>
    </w:p>
    <w:p w14:paraId="4FA6272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103 </w:t>
      </w:r>
      <w:r w:rsidRPr="003D7162">
        <w:rPr>
          <w:rFonts w:ascii="Helvetica" w:hAnsi="Helvetica" w:cs="Helvetica"/>
          <w:noProof/>
          <w:sz w:val="22"/>
          <w:szCs w:val="22"/>
        </w:rPr>
        <w:tab/>
        <w:t xml:space="preserve">Sobrino M, Gutierrez C, Alarcon 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Birth interval and stunting in children under five years of age in Peru (1996-2014). </w:t>
      </w:r>
      <w:r w:rsidRPr="003D7162">
        <w:rPr>
          <w:rFonts w:ascii="Helvetica" w:hAnsi="Helvetica" w:cs="Helvetica"/>
          <w:i/>
          <w:iCs/>
          <w:noProof/>
          <w:sz w:val="22"/>
          <w:szCs w:val="22"/>
        </w:rPr>
        <w:t>Child Care, Heal Dev</w:t>
      </w:r>
      <w:r w:rsidRPr="003D7162">
        <w:rPr>
          <w:rFonts w:ascii="Helvetica" w:hAnsi="Helvetica" w:cs="Helvetica"/>
          <w:noProof/>
          <w:sz w:val="22"/>
          <w:szCs w:val="22"/>
        </w:rPr>
        <w:t xml:space="preserve"> 2017;</w:t>
      </w:r>
      <w:r w:rsidRPr="003D7162">
        <w:rPr>
          <w:rFonts w:ascii="Helvetica" w:hAnsi="Helvetica" w:cs="Helvetica"/>
          <w:b/>
          <w:bCs/>
          <w:noProof/>
          <w:sz w:val="22"/>
          <w:szCs w:val="22"/>
        </w:rPr>
        <w:t>43</w:t>
      </w:r>
      <w:r w:rsidRPr="003D7162">
        <w:rPr>
          <w:rFonts w:ascii="Helvetica" w:hAnsi="Helvetica" w:cs="Helvetica"/>
          <w:noProof/>
          <w:sz w:val="22"/>
          <w:szCs w:val="22"/>
        </w:rPr>
        <w:t>:97–103.http://libaccess.mcmaster.ca/login?url=http://ovidsp.ovid.com/ovidweb.cgi?T=JS&amp;CSC=Y&amp;NEWS=N&amp;PAGE=fulltext&amp;D=prem&amp;AN=27804155</w:t>
      </w:r>
    </w:p>
    <w:p w14:paraId="3439896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104 </w:t>
      </w:r>
      <w:r w:rsidRPr="003D7162">
        <w:rPr>
          <w:rFonts w:ascii="Helvetica" w:hAnsi="Helvetica" w:cs="Helvetica"/>
          <w:noProof/>
          <w:sz w:val="22"/>
          <w:szCs w:val="22"/>
        </w:rPr>
        <w:tab/>
        <w:t xml:space="preserve">Victora C G, Huttly, S R, Fuchs, S 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The role of conceptual frameworks in epidemiological analysis: a hierarchical approach. </w:t>
      </w:r>
      <w:r w:rsidRPr="003D7162">
        <w:rPr>
          <w:rFonts w:ascii="Helvetica" w:hAnsi="Helvetica" w:cs="Helvetica"/>
          <w:i/>
          <w:iCs/>
          <w:noProof/>
          <w:sz w:val="22"/>
          <w:szCs w:val="22"/>
        </w:rPr>
        <w:t>Int J Epidemiol</w:t>
      </w:r>
      <w:r w:rsidRPr="003D7162">
        <w:rPr>
          <w:rFonts w:ascii="Helvetica" w:hAnsi="Helvetica" w:cs="Helvetica"/>
          <w:noProof/>
          <w:sz w:val="22"/>
          <w:szCs w:val="22"/>
        </w:rPr>
        <w:t xml:space="preserve"> 1997;</w:t>
      </w:r>
      <w:r w:rsidRPr="003D7162">
        <w:rPr>
          <w:rFonts w:ascii="Helvetica" w:hAnsi="Helvetica" w:cs="Helvetica"/>
          <w:b/>
          <w:bCs/>
          <w:noProof/>
          <w:sz w:val="22"/>
          <w:szCs w:val="22"/>
        </w:rPr>
        <w:t>26</w:t>
      </w:r>
      <w:r w:rsidRPr="003D7162">
        <w:rPr>
          <w:rFonts w:ascii="Helvetica" w:hAnsi="Helvetica" w:cs="Helvetica"/>
          <w:noProof/>
          <w:sz w:val="22"/>
          <w:szCs w:val="22"/>
        </w:rPr>
        <w:t>:224–7.</w:t>
      </w:r>
    </w:p>
    <w:p w14:paraId="1E599DD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105 </w:t>
      </w:r>
      <w:r w:rsidRPr="003D7162">
        <w:rPr>
          <w:rFonts w:ascii="Helvetica" w:hAnsi="Helvetica" w:cs="Helvetica"/>
          <w:noProof/>
          <w:sz w:val="22"/>
          <w:szCs w:val="22"/>
        </w:rPr>
        <w:tab/>
        <w:t xml:space="preserve">Jann B. The Blinder–Oaxaca decomposition for linear regression models. </w:t>
      </w:r>
      <w:r w:rsidRPr="003D7162">
        <w:rPr>
          <w:rFonts w:ascii="Helvetica" w:hAnsi="Helvetica" w:cs="Helvetica"/>
          <w:i/>
          <w:iCs/>
          <w:noProof/>
          <w:sz w:val="22"/>
          <w:szCs w:val="22"/>
        </w:rPr>
        <w:t>Stata J</w:t>
      </w:r>
      <w:r w:rsidRPr="003D7162">
        <w:rPr>
          <w:rFonts w:ascii="Helvetica" w:hAnsi="Helvetica" w:cs="Helvetica"/>
          <w:noProof/>
          <w:sz w:val="22"/>
          <w:szCs w:val="22"/>
        </w:rPr>
        <w:t xml:space="preserve"> 2008;</w:t>
      </w:r>
      <w:r w:rsidRPr="003D7162">
        <w:rPr>
          <w:rFonts w:ascii="Helvetica" w:hAnsi="Helvetica" w:cs="Helvetica"/>
          <w:b/>
          <w:bCs/>
          <w:noProof/>
          <w:sz w:val="22"/>
          <w:szCs w:val="22"/>
        </w:rPr>
        <w:t>8</w:t>
      </w:r>
      <w:r w:rsidRPr="003D7162">
        <w:rPr>
          <w:rFonts w:ascii="Helvetica" w:hAnsi="Helvetica" w:cs="Helvetica"/>
          <w:noProof/>
          <w:sz w:val="22"/>
          <w:szCs w:val="22"/>
        </w:rPr>
        <w:t>:453–79.</w:t>
      </w:r>
    </w:p>
    <w:p w14:paraId="6F0853D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106 </w:t>
      </w:r>
      <w:r w:rsidRPr="003D7162">
        <w:rPr>
          <w:rFonts w:ascii="Helvetica" w:hAnsi="Helvetica" w:cs="Helvetica"/>
          <w:noProof/>
          <w:sz w:val="22"/>
          <w:szCs w:val="22"/>
        </w:rPr>
        <w:tab/>
        <w:t xml:space="preserve">Headey D, Hoddinott J, Park S. Accounting for nutritional changes in six success stories: A regression- decomposition approach. </w:t>
      </w:r>
      <w:r w:rsidRPr="003D7162">
        <w:rPr>
          <w:rFonts w:ascii="Helvetica" w:hAnsi="Helvetica" w:cs="Helvetica"/>
          <w:i/>
          <w:iCs/>
          <w:noProof/>
          <w:sz w:val="22"/>
          <w:szCs w:val="22"/>
        </w:rPr>
        <w:t>Glob Food Sec</w:t>
      </w:r>
      <w:r w:rsidRPr="003D7162">
        <w:rPr>
          <w:rFonts w:ascii="Helvetica" w:hAnsi="Helvetica" w:cs="Helvetica"/>
          <w:noProof/>
          <w:sz w:val="22"/>
          <w:szCs w:val="22"/>
        </w:rPr>
        <w:t xml:space="preserve"> 2017;</w:t>
      </w:r>
      <w:r w:rsidRPr="003D7162">
        <w:rPr>
          <w:rFonts w:ascii="Helvetica" w:hAnsi="Helvetica" w:cs="Helvetica"/>
          <w:b/>
          <w:bCs/>
          <w:noProof/>
          <w:sz w:val="22"/>
          <w:szCs w:val="22"/>
        </w:rPr>
        <w:t>13</w:t>
      </w:r>
      <w:r w:rsidRPr="003D7162">
        <w:rPr>
          <w:rFonts w:ascii="Helvetica" w:hAnsi="Helvetica" w:cs="Helvetica"/>
          <w:noProof/>
          <w:sz w:val="22"/>
          <w:szCs w:val="22"/>
        </w:rPr>
        <w:t>:12–20. doi:10.1016/j.gfs.2017.02.003</w:t>
      </w:r>
    </w:p>
    <w:p w14:paraId="2D85FF3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107 </w:t>
      </w:r>
      <w:r w:rsidRPr="003D7162">
        <w:rPr>
          <w:rFonts w:ascii="Helvetica" w:hAnsi="Helvetica" w:cs="Helvetica"/>
          <w:noProof/>
          <w:sz w:val="22"/>
          <w:szCs w:val="22"/>
        </w:rPr>
        <w:tab/>
        <w:t xml:space="preserve">Headey D, Hoddinott J, Park S. Drivers of nutritional change in four South Asian countries: A dynamic observational analysis. </w:t>
      </w:r>
      <w:r w:rsidRPr="003D7162">
        <w:rPr>
          <w:rFonts w:ascii="Helvetica" w:hAnsi="Helvetica" w:cs="Helvetica"/>
          <w:i/>
          <w:iCs/>
          <w:noProof/>
          <w:sz w:val="22"/>
          <w:szCs w:val="22"/>
        </w:rPr>
        <w:t>Matern Child Nutr</w:t>
      </w:r>
      <w:r w:rsidRPr="003D7162">
        <w:rPr>
          <w:rFonts w:ascii="Helvetica" w:hAnsi="Helvetica" w:cs="Helvetica"/>
          <w:noProof/>
          <w:sz w:val="22"/>
          <w:szCs w:val="22"/>
        </w:rPr>
        <w:t xml:space="preserve"> 2016;</w:t>
      </w:r>
      <w:r w:rsidRPr="003D7162">
        <w:rPr>
          <w:rFonts w:ascii="Helvetica" w:hAnsi="Helvetica" w:cs="Helvetica"/>
          <w:b/>
          <w:bCs/>
          <w:noProof/>
          <w:sz w:val="22"/>
          <w:szCs w:val="22"/>
        </w:rPr>
        <w:t>12</w:t>
      </w:r>
      <w:r w:rsidRPr="003D7162">
        <w:rPr>
          <w:rFonts w:ascii="Helvetica" w:hAnsi="Helvetica" w:cs="Helvetica"/>
          <w:noProof/>
          <w:sz w:val="22"/>
          <w:szCs w:val="22"/>
        </w:rPr>
        <w:t>:210–8. doi:10.1111/mcn.12274</w:t>
      </w:r>
    </w:p>
    <w:p w14:paraId="089C577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108 </w:t>
      </w:r>
      <w:r w:rsidRPr="003D7162">
        <w:rPr>
          <w:rFonts w:ascii="Helvetica" w:hAnsi="Helvetica" w:cs="Helvetica"/>
          <w:noProof/>
          <w:sz w:val="22"/>
          <w:szCs w:val="22"/>
        </w:rPr>
        <w:tab/>
        <w:t xml:space="preserve">Woodruff BA, Wirth JP, Bailes 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Determinants of stunting reduction in Ethiopia 2000 – 2011. </w:t>
      </w:r>
      <w:r w:rsidRPr="003D7162">
        <w:rPr>
          <w:rFonts w:ascii="Helvetica" w:hAnsi="Helvetica" w:cs="Helvetica"/>
          <w:i/>
          <w:iCs/>
          <w:noProof/>
          <w:sz w:val="22"/>
          <w:szCs w:val="22"/>
        </w:rPr>
        <w:t>Matern Child Nutr</w:t>
      </w:r>
      <w:r w:rsidRPr="003D7162">
        <w:rPr>
          <w:rFonts w:ascii="Helvetica" w:hAnsi="Helvetica" w:cs="Helvetica"/>
          <w:noProof/>
          <w:sz w:val="22"/>
          <w:szCs w:val="22"/>
        </w:rPr>
        <w:t xml:space="preserve"> 2017;</w:t>
      </w:r>
      <w:r w:rsidRPr="003D7162">
        <w:rPr>
          <w:rFonts w:ascii="Helvetica" w:hAnsi="Helvetica" w:cs="Helvetica"/>
          <w:b/>
          <w:bCs/>
          <w:noProof/>
          <w:sz w:val="22"/>
          <w:szCs w:val="22"/>
        </w:rPr>
        <w:t>13</w:t>
      </w:r>
      <w:r w:rsidRPr="003D7162">
        <w:rPr>
          <w:rFonts w:ascii="Helvetica" w:hAnsi="Helvetica" w:cs="Helvetica"/>
          <w:noProof/>
          <w:sz w:val="22"/>
          <w:szCs w:val="22"/>
        </w:rPr>
        <w:t>. doi:10.1111/mcn.12307</w:t>
      </w:r>
    </w:p>
    <w:p w14:paraId="70D4477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109 </w:t>
      </w:r>
      <w:r w:rsidRPr="003D7162">
        <w:rPr>
          <w:rFonts w:ascii="Helvetica" w:hAnsi="Helvetica" w:cs="Helvetica"/>
          <w:noProof/>
          <w:sz w:val="22"/>
          <w:szCs w:val="22"/>
        </w:rPr>
        <w:tab/>
        <w:t xml:space="preserve">Headey DD, Hoddinott J. Understanding the Rapid Reduction of Undernutrition in Nepal. </w:t>
      </w:r>
      <w:r w:rsidRPr="003D7162">
        <w:rPr>
          <w:rFonts w:ascii="Helvetica" w:hAnsi="Helvetica" w:cs="Helvetica"/>
          <w:i/>
          <w:iCs/>
          <w:noProof/>
          <w:sz w:val="22"/>
          <w:szCs w:val="22"/>
        </w:rPr>
        <w:t>PLoS One</w:t>
      </w:r>
      <w:r w:rsidRPr="003D7162">
        <w:rPr>
          <w:rFonts w:ascii="Helvetica" w:hAnsi="Helvetica" w:cs="Helvetica"/>
          <w:noProof/>
          <w:sz w:val="22"/>
          <w:szCs w:val="22"/>
        </w:rPr>
        <w:t xml:space="preserve"> 2015;</w:t>
      </w:r>
      <w:r w:rsidRPr="003D7162">
        <w:rPr>
          <w:rFonts w:ascii="Helvetica" w:hAnsi="Helvetica" w:cs="Helvetica"/>
          <w:b/>
          <w:bCs/>
          <w:noProof/>
          <w:sz w:val="22"/>
          <w:szCs w:val="22"/>
        </w:rPr>
        <w:t>10</w:t>
      </w:r>
      <w:r w:rsidRPr="003D7162">
        <w:rPr>
          <w:rFonts w:ascii="Helvetica" w:hAnsi="Helvetica" w:cs="Helvetica"/>
          <w:noProof/>
          <w:sz w:val="22"/>
          <w:szCs w:val="22"/>
        </w:rPr>
        <w:t>:e0145738. doi:10.1371/journal.pone.0145738</w:t>
      </w:r>
    </w:p>
    <w:p w14:paraId="1AC5CAB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110 </w:t>
      </w:r>
      <w:r w:rsidRPr="003D7162">
        <w:rPr>
          <w:rFonts w:ascii="Helvetica" w:hAnsi="Helvetica" w:cs="Helvetica"/>
          <w:noProof/>
          <w:sz w:val="22"/>
          <w:szCs w:val="22"/>
        </w:rPr>
        <w:tab/>
        <w:t xml:space="preserve">Alderman H, Headey D. The timing of growth faltering has important implications for observational analyses of the underlying determinants of nutrition outcomes. </w:t>
      </w:r>
      <w:r w:rsidRPr="003D7162">
        <w:rPr>
          <w:rFonts w:ascii="Helvetica" w:hAnsi="Helvetica" w:cs="Helvetica"/>
          <w:i/>
          <w:iCs/>
          <w:noProof/>
          <w:sz w:val="22"/>
          <w:szCs w:val="22"/>
        </w:rPr>
        <w:t>PLoS One</w:t>
      </w:r>
      <w:r w:rsidRPr="003D7162">
        <w:rPr>
          <w:rFonts w:ascii="Helvetica" w:hAnsi="Helvetica" w:cs="Helvetica"/>
          <w:noProof/>
          <w:sz w:val="22"/>
          <w:szCs w:val="22"/>
        </w:rPr>
        <w:t xml:space="preserve"> 2018;</w:t>
      </w:r>
      <w:r w:rsidRPr="003D7162">
        <w:rPr>
          <w:rFonts w:ascii="Helvetica" w:hAnsi="Helvetica" w:cs="Helvetica"/>
          <w:b/>
          <w:bCs/>
          <w:noProof/>
          <w:sz w:val="22"/>
          <w:szCs w:val="22"/>
        </w:rPr>
        <w:t>13</w:t>
      </w:r>
      <w:r w:rsidRPr="003D7162">
        <w:rPr>
          <w:rFonts w:ascii="Helvetica" w:hAnsi="Helvetica" w:cs="Helvetica"/>
          <w:noProof/>
          <w:sz w:val="22"/>
          <w:szCs w:val="22"/>
        </w:rPr>
        <w:t>:e0195904. doi:10.1371/journal.pone.0195904</w:t>
      </w:r>
    </w:p>
    <w:p w14:paraId="30FF84E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111 </w:t>
      </w:r>
      <w:r w:rsidRPr="003D7162">
        <w:rPr>
          <w:rFonts w:ascii="Helvetica" w:hAnsi="Helvetica" w:cs="Helvetica"/>
          <w:noProof/>
          <w:sz w:val="22"/>
          <w:szCs w:val="22"/>
        </w:rPr>
        <w:tab/>
        <w:t xml:space="preserve">PAHO/WHO, Partnership for Maternal Newborn &amp; Child Health, World Bank,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Success Factors for Women’s and Children’s Health: Peru. Geneva: 2015. </w:t>
      </w:r>
    </w:p>
    <w:p w14:paraId="559AA6B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112 </w:t>
      </w:r>
      <w:r w:rsidRPr="003D7162">
        <w:rPr>
          <w:rFonts w:ascii="Helvetica" w:hAnsi="Helvetica" w:cs="Helvetica"/>
          <w:noProof/>
          <w:sz w:val="22"/>
          <w:szCs w:val="22"/>
        </w:rPr>
        <w:tab/>
        <w:t>World Bank. Peru. CDF Profiles. http://siteresources.worldbank.org/CDFINTRANET/Resources/Peru.pdf</w:t>
      </w:r>
    </w:p>
    <w:p w14:paraId="28FAFD5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113 </w:t>
      </w:r>
      <w:r w:rsidRPr="003D7162">
        <w:rPr>
          <w:rFonts w:ascii="Helvetica" w:hAnsi="Helvetica" w:cs="Helvetica"/>
          <w:noProof/>
          <w:sz w:val="22"/>
          <w:szCs w:val="22"/>
        </w:rPr>
        <w:tab/>
        <w:t>Jones N, Vargas R, Villar E. Conditional Cash Transfers In Peru: Tackling The Multi-Dimensionality Of Poverty And Vulnerability. Published Online First: 2006.https://www.unicef.org/files/Conditional_Cash_Transfers_In_Peru_-_Tackling_The_Multi-Dimensionality_Of_Poverty_And_Vulnerability.pdf (accessed 30 May 2018).</w:t>
      </w:r>
    </w:p>
    <w:p w14:paraId="3FD6EA2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114 </w:t>
      </w:r>
      <w:r w:rsidRPr="003D7162">
        <w:rPr>
          <w:rFonts w:ascii="Helvetica" w:hAnsi="Helvetica" w:cs="Helvetica"/>
          <w:noProof/>
          <w:sz w:val="22"/>
          <w:szCs w:val="22"/>
        </w:rPr>
        <w:tab/>
        <w:t>London School of Hygiene &amp; Tropical Medicine. Peru: Countdown to 2015 case study. Futur. Learn. https://www.futurelearn.com/courses/women-children-health/0/steps/8974 (accessed 22 Nov 2017).</w:t>
      </w:r>
    </w:p>
    <w:p w14:paraId="32E175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115 </w:t>
      </w:r>
      <w:r w:rsidRPr="003D7162">
        <w:rPr>
          <w:rFonts w:ascii="Helvetica" w:hAnsi="Helvetica" w:cs="Helvetica"/>
          <w:noProof/>
          <w:sz w:val="22"/>
          <w:szCs w:val="22"/>
        </w:rPr>
        <w:tab/>
        <w:t xml:space="preserve">Cotlear D, Vermeersch C. Peruvian lessons for the transition from MDGs to SDGs. </w:t>
      </w:r>
      <w:r w:rsidRPr="003D7162">
        <w:rPr>
          <w:rFonts w:ascii="Helvetica" w:hAnsi="Helvetica" w:cs="Helvetica"/>
          <w:i/>
          <w:iCs/>
          <w:noProof/>
          <w:sz w:val="22"/>
          <w:szCs w:val="22"/>
        </w:rPr>
        <w:t>Lancet Glob Heal</w:t>
      </w:r>
      <w:r w:rsidRPr="003D7162">
        <w:rPr>
          <w:rFonts w:ascii="Helvetica" w:hAnsi="Helvetica" w:cs="Helvetica"/>
          <w:noProof/>
          <w:sz w:val="22"/>
          <w:szCs w:val="22"/>
        </w:rPr>
        <w:t xml:space="preserve"> 2016;</w:t>
      </w:r>
      <w:r w:rsidRPr="003D7162">
        <w:rPr>
          <w:rFonts w:ascii="Helvetica" w:hAnsi="Helvetica" w:cs="Helvetica"/>
          <w:b/>
          <w:bCs/>
          <w:noProof/>
          <w:sz w:val="22"/>
          <w:szCs w:val="22"/>
        </w:rPr>
        <w:t>4</w:t>
      </w:r>
      <w:r w:rsidRPr="003D7162">
        <w:rPr>
          <w:rFonts w:ascii="Helvetica" w:hAnsi="Helvetica" w:cs="Helvetica"/>
          <w:noProof/>
          <w:sz w:val="22"/>
          <w:szCs w:val="22"/>
        </w:rPr>
        <w:t>:e353–4. doi:10.1016/S2214-109X(16)30069-9</w:t>
      </w:r>
    </w:p>
    <w:p w14:paraId="0E776D7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116 </w:t>
      </w:r>
      <w:r w:rsidRPr="003D7162">
        <w:rPr>
          <w:rFonts w:ascii="Helvetica" w:hAnsi="Helvetica" w:cs="Helvetica"/>
          <w:noProof/>
          <w:sz w:val="22"/>
          <w:szCs w:val="22"/>
        </w:rPr>
        <w:tab/>
        <w:t>Ministerio de Desarrollo e Inclusion Social. ESTRATEGIA NACIONAL DE DESARROLLO E INCLUSIÓN SOCIAL: INCLUIR PARA CRECER. Lima, Peru: www.midis.gob.pe</w:t>
      </w:r>
    </w:p>
    <w:p w14:paraId="16AFDEF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117 </w:t>
      </w:r>
      <w:r w:rsidRPr="003D7162">
        <w:rPr>
          <w:rFonts w:ascii="Helvetica" w:hAnsi="Helvetica" w:cs="Helvetica"/>
          <w:noProof/>
          <w:sz w:val="22"/>
          <w:szCs w:val="22"/>
        </w:rPr>
        <w:tab/>
        <w:t>Vermeersch C, Medici AC, Narvaez R. Sustainable Development Country Summary Report for Peru. 2014.</w:t>
      </w:r>
    </w:p>
    <w:p w14:paraId="7409E7B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118 </w:t>
      </w:r>
      <w:r w:rsidRPr="003D7162">
        <w:rPr>
          <w:rFonts w:ascii="Helvetica" w:hAnsi="Helvetica" w:cs="Helvetica"/>
          <w:noProof/>
          <w:sz w:val="22"/>
          <w:szCs w:val="22"/>
        </w:rPr>
        <w:tab/>
        <w:t xml:space="preserve">Stifel D, Alderman H. The ‘Glass of Milk’ subsidy program and malnutrition in Peru. </w:t>
      </w:r>
      <w:r w:rsidRPr="003D7162">
        <w:rPr>
          <w:rFonts w:ascii="Helvetica" w:hAnsi="Helvetica" w:cs="Helvetica"/>
          <w:i/>
          <w:iCs/>
          <w:noProof/>
          <w:sz w:val="22"/>
          <w:szCs w:val="22"/>
        </w:rPr>
        <w:t>World Bank Econ Rev</w:t>
      </w:r>
      <w:r w:rsidRPr="003D7162">
        <w:rPr>
          <w:rFonts w:ascii="Helvetica" w:hAnsi="Helvetica" w:cs="Helvetica"/>
          <w:noProof/>
          <w:sz w:val="22"/>
          <w:szCs w:val="22"/>
        </w:rPr>
        <w:t xml:space="preserve"> 2006;</w:t>
      </w:r>
      <w:r w:rsidRPr="003D7162">
        <w:rPr>
          <w:rFonts w:ascii="Helvetica" w:hAnsi="Helvetica" w:cs="Helvetica"/>
          <w:b/>
          <w:bCs/>
          <w:noProof/>
          <w:sz w:val="22"/>
          <w:szCs w:val="22"/>
        </w:rPr>
        <w:t>20</w:t>
      </w:r>
      <w:r w:rsidRPr="003D7162">
        <w:rPr>
          <w:rFonts w:ascii="Helvetica" w:hAnsi="Helvetica" w:cs="Helvetica"/>
          <w:noProof/>
          <w:sz w:val="22"/>
          <w:szCs w:val="22"/>
        </w:rPr>
        <w:t>:421–48. doi:10.1093/wber/lhl002</w:t>
      </w:r>
    </w:p>
    <w:p w14:paraId="3B0C7CC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119 </w:t>
      </w:r>
      <w:r w:rsidRPr="003D7162">
        <w:rPr>
          <w:rFonts w:ascii="Helvetica" w:hAnsi="Helvetica" w:cs="Helvetica"/>
          <w:noProof/>
          <w:sz w:val="22"/>
          <w:szCs w:val="22"/>
        </w:rPr>
        <w:tab/>
        <w:t xml:space="preserve">USAID. USAID’S PARTNERSHIP WITH PERU ADVANCES FAMILY PLANNING. 2016. </w:t>
      </w:r>
    </w:p>
    <w:p w14:paraId="691CAC6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120 </w:t>
      </w:r>
      <w:r w:rsidRPr="003D7162">
        <w:rPr>
          <w:rFonts w:ascii="Helvetica" w:hAnsi="Helvetica" w:cs="Helvetica"/>
          <w:noProof/>
          <w:sz w:val="22"/>
          <w:szCs w:val="22"/>
        </w:rPr>
        <w:tab/>
        <w:t xml:space="preserve">Schuler S. Gender and Community Participation in Reproductive Health Projects: Contrasting Models from Peru and Ghana. </w:t>
      </w:r>
      <w:r w:rsidRPr="003D7162">
        <w:rPr>
          <w:rFonts w:ascii="Helvetica" w:hAnsi="Helvetica" w:cs="Helvetica"/>
          <w:i/>
          <w:iCs/>
          <w:noProof/>
          <w:sz w:val="22"/>
          <w:szCs w:val="22"/>
        </w:rPr>
        <w:t>Reprod Health Matters</w:t>
      </w:r>
      <w:r w:rsidRPr="003D7162">
        <w:rPr>
          <w:rFonts w:ascii="Helvetica" w:hAnsi="Helvetica" w:cs="Helvetica"/>
          <w:noProof/>
          <w:sz w:val="22"/>
          <w:szCs w:val="22"/>
        </w:rPr>
        <w:t xml:space="preserve"> 1999;</w:t>
      </w:r>
      <w:r w:rsidRPr="003D7162">
        <w:rPr>
          <w:rFonts w:ascii="Helvetica" w:hAnsi="Helvetica" w:cs="Helvetica"/>
          <w:b/>
          <w:bCs/>
          <w:noProof/>
          <w:sz w:val="22"/>
          <w:szCs w:val="22"/>
        </w:rPr>
        <w:t>7</w:t>
      </w:r>
      <w:r w:rsidRPr="003D7162">
        <w:rPr>
          <w:rFonts w:ascii="Helvetica" w:hAnsi="Helvetica" w:cs="Helvetica"/>
          <w:noProof/>
          <w:sz w:val="22"/>
          <w:szCs w:val="22"/>
        </w:rPr>
        <w:t>:144–57.</w:t>
      </w:r>
    </w:p>
    <w:p w14:paraId="0C0E9C6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121 </w:t>
      </w:r>
      <w:r w:rsidRPr="003D7162">
        <w:rPr>
          <w:rFonts w:ascii="Helvetica" w:hAnsi="Helvetica" w:cs="Helvetica"/>
          <w:noProof/>
          <w:sz w:val="22"/>
          <w:szCs w:val="22"/>
        </w:rPr>
        <w:tab/>
        <w:t xml:space="preserve">London School of Hygiene &amp; Tropical Medicine. Peru: Countdown to 2015 case study. Futur. Learn. </w:t>
      </w:r>
    </w:p>
    <w:p w14:paraId="2793AD2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122 </w:t>
      </w:r>
      <w:r w:rsidRPr="003D7162">
        <w:rPr>
          <w:rFonts w:ascii="Helvetica" w:hAnsi="Helvetica" w:cs="Helvetica"/>
          <w:noProof/>
          <w:sz w:val="22"/>
          <w:szCs w:val="22"/>
        </w:rPr>
        <w:tab/>
        <w:t xml:space="preserve">Lutter C, Chaparro C. </w:t>
      </w:r>
      <w:r w:rsidRPr="003D7162">
        <w:rPr>
          <w:rFonts w:ascii="Helvetica" w:hAnsi="Helvetica" w:cs="Helvetica"/>
          <w:i/>
          <w:iCs/>
          <w:noProof/>
          <w:sz w:val="22"/>
          <w:szCs w:val="22"/>
        </w:rPr>
        <w:t>Malnutrition in infants and young children in Latin America and the Caribbean : Achieving the and Millennium Development Goals</w:t>
      </w:r>
      <w:r w:rsidRPr="003D7162">
        <w:rPr>
          <w:rFonts w:ascii="Helvetica" w:hAnsi="Helvetica" w:cs="Helvetica"/>
          <w:noProof/>
          <w:sz w:val="22"/>
          <w:szCs w:val="22"/>
        </w:rPr>
        <w:t>. 2008. http://www1.paho.org/hq/dmdocuments/2009/MalnutritionEng.pdf</w:t>
      </w:r>
    </w:p>
    <w:p w14:paraId="6765B94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123 </w:t>
      </w:r>
      <w:r w:rsidRPr="003D7162">
        <w:rPr>
          <w:rFonts w:ascii="Helvetica" w:hAnsi="Helvetica" w:cs="Helvetica"/>
          <w:noProof/>
          <w:sz w:val="22"/>
          <w:szCs w:val="22"/>
        </w:rPr>
        <w:tab/>
        <w:t xml:space="preserve">Hamad R, Fernald LCH, Karlan DS. Health education for microcredit clients in Peru: a randomized controlled trial. </w:t>
      </w:r>
      <w:r w:rsidRPr="003D7162">
        <w:rPr>
          <w:rFonts w:ascii="Helvetica" w:hAnsi="Helvetica" w:cs="Helvetica"/>
          <w:i/>
          <w:iCs/>
          <w:noProof/>
          <w:sz w:val="22"/>
          <w:szCs w:val="22"/>
        </w:rPr>
        <w:t>BMC Public Health</w:t>
      </w:r>
      <w:r w:rsidRPr="003D7162">
        <w:rPr>
          <w:rFonts w:ascii="Helvetica" w:hAnsi="Helvetica" w:cs="Helvetica"/>
          <w:noProof/>
          <w:sz w:val="22"/>
          <w:szCs w:val="22"/>
        </w:rPr>
        <w:t xml:space="preserve"> 2011;</w:t>
      </w:r>
      <w:r w:rsidRPr="003D7162">
        <w:rPr>
          <w:rFonts w:ascii="Helvetica" w:hAnsi="Helvetica" w:cs="Helvetica"/>
          <w:b/>
          <w:bCs/>
          <w:noProof/>
          <w:sz w:val="22"/>
          <w:szCs w:val="22"/>
        </w:rPr>
        <w:t>11</w:t>
      </w:r>
      <w:r w:rsidRPr="003D7162">
        <w:rPr>
          <w:rFonts w:ascii="Helvetica" w:hAnsi="Helvetica" w:cs="Helvetica"/>
          <w:noProof/>
          <w:sz w:val="22"/>
          <w:szCs w:val="22"/>
        </w:rPr>
        <w:t>.http://ovidsp.ovid.com/ovidweb.cgi?T=JS&amp;CSC=Y&amp;NEWS=N&amp;PAGE=fulltext&amp;D=caba6&amp;AN=20113048729</w:t>
      </w:r>
    </w:p>
    <w:p w14:paraId="4481E76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124 </w:t>
      </w:r>
      <w:r w:rsidRPr="003D7162">
        <w:rPr>
          <w:rFonts w:ascii="Helvetica" w:hAnsi="Helvetica" w:cs="Helvetica"/>
          <w:noProof/>
          <w:sz w:val="22"/>
          <w:szCs w:val="22"/>
        </w:rPr>
        <w:tab/>
        <w:t xml:space="preserve">McQuestion, M J, Velasquez A. Evaluating program effects on institutional delivery in Peru. </w:t>
      </w:r>
      <w:r w:rsidRPr="003D7162">
        <w:rPr>
          <w:rFonts w:ascii="Helvetica" w:hAnsi="Helvetica" w:cs="Helvetica"/>
          <w:i/>
          <w:iCs/>
          <w:noProof/>
          <w:sz w:val="22"/>
          <w:szCs w:val="22"/>
        </w:rPr>
        <w:t>Health Policy (New York)</w:t>
      </w:r>
      <w:r w:rsidRPr="003D7162">
        <w:rPr>
          <w:rFonts w:ascii="Helvetica" w:hAnsi="Helvetica" w:cs="Helvetica"/>
          <w:noProof/>
          <w:sz w:val="22"/>
          <w:szCs w:val="22"/>
        </w:rPr>
        <w:t xml:space="preserve"> 2006;</w:t>
      </w:r>
      <w:r w:rsidRPr="003D7162">
        <w:rPr>
          <w:rFonts w:ascii="Helvetica" w:hAnsi="Helvetica" w:cs="Helvetica"/>
          <w:b/>
          <w:bCs/>
          <w:noProof/>
          <w:sz w:val="22"/>
          <w:szCs w:val="22"/>
        </w:rPr>
        <w:t>77</w:t>
      </w:r>
      <w:r w:rsidRPr="003D7162">
        <w:rPr>
          <w:rFonts w:ascii="Helvetica" w:hAnsi="Helvetica" w:cs="Helvetica"/>
          <w:noProof/>
          <w:sz w:val="22"/>
          <w:szCs w:val="22"/>
        </w:rPr>
        <w:t>:221–32. doi:doi:10.1016/j.healthpol.2005.07.007</w:t>
      </w:r>
    </w:p>
    <w:p w14:paraId="4696677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125 </w:t>
      </w:r>
      <w:r w:rsidRPr="003D7162">
        <w:rPr>
          <w:rFonts w:ascii="Helvetica" w:hAnsi="Helvetica" w:cs="Helvetica"/>
          <w:noProof/>
          <w:sz w:val="22"/>
          <w:szCs w:val="22"/>
        </w:rPr>
        <w:tab/>
        <w:t xml:space="preserve">Kim SS, Habicht JP, Menon P,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How do programs work to improve child nutrition? Program impact pathways of three nongovernmental organization intervention projects in the Peruvian highlands. IFPRI - Discuss. Pap. 2011. (1105)vii + 44 pp. 39 ref. 2011.http://ovidsp.ovid.com/ovidweb.cgi?T=JS&amp;CSC=Y&amp;NEWS=N&amp;PAGE=fulltext&amp;D=caba6&amp;AN=20123112060</w:t>
      </w:r>
    </w:p>
    <w:p w14:paraId="130C9B1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126 </w:t>
      </w:r>
      <w:r w:rsidRPr="003D7162">
        <w:rPr>
          <w:rFonts w:ascii="Helvetica" w:hAnsi="Helvetica" w:cs="Helvetica"/>
          <w:noProof/>
          <w:sz w:val="22"/>
          <w:szCs w:val="22"/>
        </w:rPr>
        <w:tab/>
        <w:t xml:space="preserve">Francke P. UNICO Studies Series 11: Peru’s Comprehensive Health Insurance and New Challenges for Universal Coverage. Washington, D.C.: 2013. </w:t>
      </w:r>
    </w:p>
    <w:p w14:paraId="65A6D78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127 </w:t>
      </w:r>
      <w:r w:rsidRPr="003D7162">
        <w:rPr>
          <w:rFonts w:ascii="Helvetica" w:hAnsi="Helvetica" w:cs="Helvetica"/>
          <w:noProof/>
          <w:sz w:val="22"/>
          <w:szCs w:val="22"/>
        </w:rPr>
        <w:tab/>
        <w:t>Flores R, Rojas C. Impact of an Intervention on Food Security, REDESA Program Final Evaluation. Lima, Peru: 2007. http://www.globalbioenergy.org/uploads/media/1203_BEFSCI_Impacts_of_bioenergy_on_food_security.pdf</w:t>
      </w:r>
    </w:p>
    <w:p w14:paraId="4CA696B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128 </w:t>
      </w:r>
      <w:r w:rsidRPr="003D7162">
        <w:rPr>
          <w:rFonts w:ascii="Helvetica" w:hAnsi="Helvetica" w:cs="Helvetica"/>
          <w:noProof/>
          <w:sz w:val="22"/>
          <w:szCs w:val="22"/>
        </w:rPr>
        <w:tab/>
        <w:t xml:space="preserve">Flores R, Rojas C. Impact of an Intervention on Food Security, REDESA Program Final Evaluation. Lima, Peru: 2007. </w:t>
      </w:r>
    </w:p>
    <w:p w14:paraId="2DF14B1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129 </w:t>
      </w:r>
      <w:r w:rsidRPr="003D7162">
        <w:rPr>
          <w:rFonts w:ascii="Helvetica" w:hAnsi="Helvetica" w:cs="Helvetica"/>
          <w:noProof/>
          <w:sz w:val="22"/>
          <w:szCs w:val="22"/>
        </w:rPr>
        <w:tab/>
        <w:t xml:space="preserve">General Directorate of People’ Health. Sexual and Reproductive Health. </w:t>
      </w:r>
    </w:p>
    <w:p w14:paraId="1CDB86C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130 </w:t>
      </w:r>
      <w:r w:rsidRPr="003D7162">
        <w:rPr>
          <w:rFonts w:ascii="Helvetica" w:hAnsi="Helvetica" w:cs="Helvetica"/>
          <w:noProof/>
          <w:sz w:val="22"/>
          <w:szCs w:val="22"/>
        </w:rPr>
        <w:tab/>
        <w:t>Global Health Workforce Alliance. Peru. Heal. Work. all all Heal. Work. 2018.http://www.who.int/workforcealliance/countries/per/en/</w:t>
      </w:r>
    </w:p>
    <w:p w14:paraId="2CCF5C9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131 </w:t>
      </w:r>
      <w:r w:rsidRPr="003D7162">
        <w:rPr>
          <w:rFonts w:ascii="Helvetica" w:hAnsi="Helvetica" w:cs="Helvetica"/>
          <w:noProof/>
          <w:sz w:val="22"/>
          <w:szCs w:val="22"/>
        </w:rPr>
        <w:tab/>
        <w:t>Global Work Force Alliance. Mid-level health workers country case studies: Annex 12. Peru. Geneva, Switzerland: 2013. http://www.who.int/workforcealliance/knowledge/resources/MLHWCountryCaseStudies_annex12_Peru.pdf</w:t>
      </w:r>
    </w:p>
    <w:p w14:paraId="2A1EBDF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132 </w:t>
      </w:r>
      <w:r w:rsidRPr="003D7162">
        <w:rPr>
          <w:rFonts w:ascii="Helvetica" w:hAnsi="Helvetica" w:cs="Helvetica"/>
          <w:noProof/>
          <w:sz w:val="22"/>
          <w:szCs w:val="22"/>
        </w:rPr>
        <w:tab/>
        <w:t>Global Health Workforce Alliance. Peru. Heal. Work. all all Heal. Work. 2018.</w:t>
      </w:r>
    </w:p>
    <w:p w14:paraId="786B0C7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133 </w:t>
      </w:r>
      <w:r w:rsidRPr="003D7162">
        <w:rPr>
          <w:rFonts w:ascii="Helvetica" w:hAnsi="Helvetica" w:cs="Helvetica"/>
          <w:noProof/>
          <w:sz w:val="22"/>
          <w:szCs w:val="22"/>
        </w:rPr>
        <w:tab/>
        <w:t xml:space="preserve">Jimenez MM, Bui AL, Mantilla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Human resources for health in Peru: recent trends (2007–2013) in the labour market for physicians, nurses and midwives. </w:t>
      </w:r>
      <w:r w:rsidRPr="003D7162">
        <w:rPr>
          <w:rFonts w:ascii="Helvetica" w:hAnsi="Helvetica" w:cs="Helvetica"/>
          <w:i/>
          <w:iCs/>
          <w:noProof/>
          <w:sz w:val="22"/>
          <w:szCs w:val="22"/>
        </w:rPr>
        <w:t>Hum Resour Health</w:t>
      </w:r>
      <w:r w:rsidRPr="003D7162">
        <w:rPr>
          <w:rFonts w:ascii="Helvetica" w:hAnsi="Helvetica" w:cs="Helvetica"/>
          <w:noProof/>
          <w:sz w:val="22"/>
          <w:szCs w:val="22"/>
        </w:rPr>
        <w:t xml:space="preserve"> 2017;</w:t>
      </w:r>
      <w:r w:rsidRPr="003D7162">
        <w:rPr>
          <w:rFonts w:ascii="Helvetica" w:hAnsi="Helvetica" w:cs="Helvetica"/>
          <w:b/>
          <w:bCs/>
          <w:noProof/>
          <w:sz w:val="22"/>
          <w:szCs w:val="22"/>
        </w:rPr>
        <w:t>15</w:t>
      </w:r>
      <w:r w:rsidRPr="003D7162">
        <w:rPr>
          <w:rFonts w:ascii="Helvetica" w:hAnsi="Helvetica" w:cs="Helvetica"/>
          <w:noProof/>
          <w:sz w:val="22"/>
          <w:szCs w:val="22"/>
        </w:rPr>
        <w:t>. doi:10.1186/s12960-017-0243-y</w:t>
      </w:r>
    </w:p>
    <w:p w14:paraId="3DCA199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134 </w:t>
      </w:r>
      <w:r w:rsidRPr="003D7162">
        <w:rPr>
          <w:rFonts w:ascii="Helvetica" w:hAnsi="Helvetica" w:cs="Helvetica"/>
          <w:noProof/>
          <w:sz w:val="22"/>
          <w:szCs w:val="22"/>
        </w:rPr>
        <w:tab/>
        <w:t xml:space="preserve">Andersen CT, Reynolds SA, Behrman JR,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Participation in the Juntos Conditional Cash Transfer Program in Peru Is Associated with Changes in Child Anthropometric Status but Not Language Development or School Achievement.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2015;</w:t>
      </w:r>
      <w:r w:rsidRPr="003D7162">
        <w:rPr>
          <w:rFonts w:ascii="Helvetica" w:hAnsi="Helvetica" w:cs="Helvetica"/>
          <w:b/>
          <w:bCs/>
          <w:noProof/>
          <w:sz w:val="22"/>
          <w:szCs w:val="22"/>
        </w:rPr>
        <w:t>145</w:t>
      </w:r>
      <w:r w:rsidRPr="003D7162">
        <w:rPr>
          <w:rFonts w:ascii="Helvetica" w:hAnsi="Helvetica" w:cs="Helvetica"/>
          <w:noProof/>
          <w:sz w:val="22"/>
          <w:szCs w:val="22"/>
        </w:rPr>
        <w:t>:2396–405. doi:10.3945/jn.115.213546</w:t>
      </w:r>
    </w:p>
    <w:p w14:paraId="0D452A3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135 </w:t>
      </w:r>
      <w:r w:rsidRPr="003D7162">
        <w:rPr>
          <w:rFonts w:ascii="Helvetica" w:hAnsi="Helvetica" w:cs="Helvetica"/>
          <w:noProof/>
          <w:sz w:val="22"/>
          <w:szCs w:val="22"/>
        </w:rPr>
        <w:tab/>
        <w:t xml:space="preserve">Mayta-Tristán P, Poterico JA, Galán-Rodas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EL REQUISITO OBLIGATORIO DEL SERVICIO SOCIAL EN SALUD DEL PERÚ: DISCRIMINATORIO E INCONSTITUCIONAL. </w:t>
      </w:r>
      <w:r w:rsidRPr="003D7162">
        <w:rPr>
          <w:rFonts w:ascii="Helvetica" w:hAnsi="Helvetica" w:cs="Helvetica"/>
          <w:i/>
          <w:iCs/>
          <w:noProof/>
          <w:sz w:val="22"/>
          <w:szCs w:val="22"/>
        </w:rPr>
        <w:t>Rev Peru Med Exp Salud Publica</w:t>
      </w:r>
      <w:r w:rsidRPr="003D7162">
        <w:rPr>
          <w:rFonts w:ascii="Helvetica" w:hAnsi="Helvetica" w:cs="Helvetica"/>
          <w:noProof/>
          <w:sz w:val="22"/>
          <w:szCs w:val="22"/>
        </w:rPr>
        <w:t xml:space="preserve"> 2014;</w:t>
      </w:r>
      <w:r w:rsidRPr="003D7162">
        <w:rPr>
          <w:rFonts w:ascii="Helvetica" w:hAnsi="Helvetica" w:cs="Helvetica"/>
          <w:b/>
          <w:bCs/>
          <w:noProof/>
          <w:sz w:val="22"/>
          <w:szCs w:val="22"/>
        </w:rPr>
        <w:t>31</w:t>
      </w:r>
      <w:r w:rsidRPr="003D7162">
        <w:rPr>
          <w:rFonts w:ascii="Helvetica" w:hAnsi="Helvetica" w:cs="Helvetica"/>
          <w:noProof/>
          <w:sz w:val="22"/>
          <w:szCs w:val="22"/>
        </w:rPr>
        <w:t>:781–7.http://www.scielo.org.pe/pdf/rins/v31n4/a26v31n4.pdf (accessed 2 Jan 2018).</w:t>
      </w:r>
    </w:p>
    <w:p w14:paraId="3170A6A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136 </w:t>
      </w:r>
      <w:r w:rsidRPr="003D7162">
        <w:rPr>
          <w:rFonts w:ascii="Helvetica" w:hAnsi="Helvetica" w:cs="Helvetica"/>
          <w:noProof/>
          <w:sz w:val="22"/>
          <w:szCs w:val="22"/>
        </w:rPr>
        <w:tab/>
        <w:t xml:space="preserve">Global Work Force Alliance. Mid-level health workers country case studies: Annex 12. Peru. Geneva, Switzerland: 2013. </w:t>
      </w:r>
    </w:p>
    <w:p w14:paraId="49B6B42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137 </w:t>
      </w:r>
      <w:r w:rsidRPr="003D7162">
        <w:rPr>
          <w:rFonts w:ascii="Helvetica" w:hAnsi="Helvetica" w:cs="Helvetica"/>
          <w:noProof/>
          <w:sz w:val="22"/>
          <w:szCs w:val="22"/>
        </w:rPr>
        <w:tab/>
        <w:t>Khwaja Y. Bioenergy and Food Security: The BEFS analysis for Peru. 2010. doi:ISSN 2071-0992</w:t>
      </w:r>
    </w:p>
    <w:p w14:paraId="012B1C2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138 </w:t>
      </w:r>
      <w:r w:rsidRPr="003D7162">
        <w:rPr>
          <w:rFonts w:ascii="Helvetica" w:hAnsi="Helvetica" w:cs="Helvetica"/>
          <w:noProof/>
          <w:sz w:val="22"/>
          <w:szCs w:val="22"/>
        </w:rPr>
        <w:tab/>
        <w:t>Khwaja Y. Bioenergy and Food Security: The BEFS analysis for Peru. 2010. doi:ISSN 2071-0992</w:t>
      </w:r>
    </w:p>
    <w:p w14:paraId="6DE4F7E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139 </w:t>
      </w:r>
      <w:r w:rsidRPr="003D7162">
        <w:rPr>
          <w:rFonts w:ascii="Helvetica" w:hAnsi="Helvetica" w:cs="Helvetica"/>
          <w:noProof/>
          <w:sz w:val="22"/>
          <w:szCs w:val="22"/>
        </w:rPr>
        <w:tab/>
        <w:t xml:space="preserve">Ministerio de Econmia y Finanzas. Programa Estrategico Salud Materno Neonatal. Lima, Peru: </w:t>
      </w:r>
    </w:p>
    <w:p w14:paraId="04069DE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140 </w:t>
      </w:r>
      <w:r w:rsidRPr="003D7162">
        <w:rPr>
          <w:rFonts w:ascii="Helvetica" w:hAnsi="Helvetica" w:cs="Helvetica"/>
          <w:noProof/>
          <w:sz w:val="22"/>
          <w:szCs w:val="22"/>
        </w:rPr>
        <w:tab/>
        <w:t xml:space="preserve">Ministerio de Econmia y Finanzas. Programa articulado de nutrición. Lima, Peru: 2012. </w:t>
      </w:r>
    </w:p>
    <w:p w14:paraId="0CE37AA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141 </w:t>
      </w:r>
      <w:r w:rsidRPr="003D7162">
        <w:rPr>
          <w:rFonts w:ascii="Helvetica" w:hAnsi="Helvetica" w:cs="Helvetica"/>
          <w:noProof/>
          <w:sz w:val="22"/>
          <w:szCs w:val="22"/>
        </w:rPr>
        <w:tab/>
        <w:t xml:space="preserve">PAHO. Peru. </w:t>
      </w:r>
      <w:r w:rsidRPr="003D7162">
        <w:rPr>
          <w:rFonts w:ascii="Helvetica" w:hAnsi="Helvetica" w:cs="Helvetica"/>
          <w:i/>
          <w:iCs/>
          <w:noProof/>
          <w:sz w:val="22"/>
          <w:szCs w:val="22"/>
        </w:rPr>
        <w:t>Heal Am</w:t>
      </w:r>
      <w:r w:rsidRPr="003D7162">
        <w:rPr>
          <w:rFonts w:ascii="Helvetica" w:hAnsi="Helvetica" w:cs="Helvetica"/>
          <w:noProof/>
          <w:sz w:val="22"/>
          <w:szCs w:val="22"/>
        </w:rPr>
        <w:t xml:space="preserve"> Published Online First: 2012.http://www.paho.org/saludenlasamericas/index.php?option=com_docman&amp;task=doc_view&amp;gid=143&amp;Itemid=</w:t>
      </w:r>
    </w:p>
    <w:p w14:paraId="0DE5688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142 </w:t>
      </w:r>
      <w:r w:rsidRPr="003D7162">
        <w:rPr>
          <w:rFonts w:ascii="Helvetica" w:hAnsi="Helvetica" w:cs="Helvetica"/>
          <w:noProof/>
          <w:sz w:val="22"/>
          <w:szCs w:val="22"/>
        </w:rPr>
        <w:tab/>
        <w:t xml:space="preserve">Ministerio de Desarrollo e Inclusion Social. ESTRATEGIA NACIONAL DE DESARROLLO E INCLUSIÓN SOCIAL: INCLUIR PARA CRECER. Lima, Peru: </w:t>
      </w:r>
    </w:p>
    <w:p w14:paraId="34E7F9A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143 </w:t>
      </w:r>
      <w:r w:rsidRPr="003D7162">
        <w:rPr>
          <w:rFonts w:ascii="Helvetica" w:hAnsi="Helvetica" w:cs="Helvetica"/>
          <w:noProof/>
          <w:sz w:val="22"/>
          <w:szCs w:val="22"/>
        </w:rPr>
        <w:tab/>
        <w:t>The World Bank. Mortality rate, under-5 (per 1,000 live births). 2018.</w:t>
      </w:r>
    </w:p>
    <w:p w14:paraId="42616A1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144 </w:t>
      </w:r>
      <w:r w:rsidRPr="003D7162">
        <w:rPr>
          <w:rFonts w:ascii="Helvetica" w:hAnsi="Helvetica" w:cs="Helvetica"/>
          <w:noProof/>
          <w:sz w:val="22"/>
          <w:szCs w:val="22"/>
        </w:rPr>
        <w:tab/>
        <w:t xml:space="preserve">Programma Articulado Nutricional. </w:t>
      </w:r>
    </w:p>
    <w:p w14:paraId="2E30AA5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145 </w:t>
      </w:r>
      <w:r w:rsidRPr="003D7162">
        <w:rPr>
          <w:rFonts w:ascii="Helvetica" w:hAnsi="Helvetica" w:cs="Helvetica"/>
          <w:noProof/>
          <w:sz w:val="22"/>
          <w:szCs w:val="22"/>
        </w:rPr>
        <w:tab/>
        <w:t xml:space="preserve">Cordero L, Salhuana R. Systemisation of the Budget Support Program for the EUROPAN Structured Nutritional Program. Peru: 2015. </w:t>
      </w:r>
    </w:p>
    <w:p w14:paraId="1C0369E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146 </w:t>
      </w:r>
      <w:r w:rsidRPr="003D7162">
        <w:rPr>
          <w:rFonts w:ascii="Helvetica" w:hAnsi="Helvetica" w:cs="Helvetica"/>
          <w:noProof/>
          <w:sz w:val="22"/>
          <w:szCs w:val="22"/>
        </w:rPr>
        <w:tab/>
        <w:t xml:space="preserve">Iniciativa Contra la Desnutrición. Historia de la Iniciativa Contra la Desnutrición. </w:t>
      </w:r>
    </w:p>
    <w:p w14:paraId="4A019EE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147 </w:t>
      </w:r>
      <w:r w:rsidRPr="003D7162">
        <w:rPr>
          <w:rFonts w:ascii="Helvetica" w:hAnsi="Helvetica" w:cs="Helvetica"/>
          <w:noProof/>
          <w:sz w:val="22"/>
          <w:szCs w:val="22"/>
        </w:rPr>
        <w:tab/>
        <w:t xml:space="preserve">Schady NR. The political economy of expenditures by the Peruvian Social Fund (FONCODES), 1991-95. </w:t>
      </w:r>
      <w:r w:rsidRPr="003D7162">
        <w:rPr>
          <w:rFonts w:ascii="Helvetica" w:hAnsi="Helvetica" w:cs="Helvetica"/>
          <w:i/>
          <w:iCs/>
          <w:noProof/>
          <w:sz w:val="22"/>
          <w:szCs w:val="22"/>
        </w:rPr>
        <w:t>Am Polit Sci Rev</w:t>
      </w:r>
      <w:r w:rsidRPr="003D7162">
        <w:rPr>
          <w:rFonts w:ascii="Helvetica" w:hAnsi="Helvetica" w:cs="Helvetica"/>
          <w:noProof/>
          <w:sz w:val="22"/>
          <w:szCs w:val="22"/>
        </w:rPr>
        <w:t xml:space="preserve"> 2000;</w:t>
      </w:r>
      <w:r w:rsidRPr="003D7162">
        <w:rPr>
          <w:rFonts w:ascii="Helvetica" w:hAnsi="Helvetica" w:cs="Helvetica"/>
          <w:b/>
          <w:bCs/>
          <w:noProof/>
          <w:sz w:val="22"/>
          <w:szCs w:val="22"/>
        </w:rPr>
        <w:t>94</w:t>
      </w:r>
      <w:r w:rsidRPr="003D7162">
        <w:rPr>
          <w:rFonts w:ascii="Helvetica" w:hAnsi="Helvetica" w:cs="Helvetica"/>
          <w:noProof/>
          <w:sz w:val="22"/>
          <w:szCs w:val="22"/>
        </w:rPr>
        <w:t>:289–95.</w:t>
      </w:r>
    </w:p>
    <w:p w14:paraId="3B39C64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148 </w:t>
      </w:r>
      <w:r w:rsidRPr="003D7162">
        <w:rPr>
          <w:rFonts w:ascii="Helvetica" w:hAnsi="Helvetica" w:cs="Helvetica"/>
          <w:noProof/>
          <w:sz w:val="22"/>
          <w:szCs w:val="22"/>
        </w:rPr>
        <w:tab/>
        <w:t xml:space="preserve">Ministerio de Salud (MINSA). Primera fase del programa de apoyo a la reforma del sector salud PARSALUD I. Lecciones aprendidas. </w:t>
      </w:r>
    </w:p>
    <w:p w14:paraId="5654BB7D" w14:textId="3F5AE39A" w:rsidR="00D5600B" w:rsidRPr="003D7162" w:rsidRDefault="000C7ADC" w:rsidP="000C7ADC">
      <w:pPr>
        <w:pStyle w:val="p1"/>
        <w:rPr>
          <w:rFonts w:cs="Helvetica"/>
          <w:sz w:val="22"/>
          <w:szCs w:val="22"/>
        </w:rPr>
      </w:pPr>
      <w:r w:rsidRPr="003D7162">
        <w:rPr>
          <w:rFonts w:cs="Helvetica"/>
          <w:b/>
          <w:color w:val="000000" w:themeColor="text1"/>
          <w:sz w:val="22"/>
          <w:szCs w:val="22"/>
        </w:rPr>
        <w:fldChar w:fldCharType="end"/>
      </w:r>
    </w:p>
    <w:p w14:paraId="0BA9890C" w14:textId="77777777" w:rsidR="00A414DF" w:rsidRPr="003D7162" w:rsidRDefault="00A414DF" w:rsidP="000C7ADC">
      <w:pPr>
        <w:rPr>
          <w:rFonts w:ascii="Helvetica" w:hAnsi="Helvetica" w:cs="Helvetica"/>
        </w:rPr>
      </w:pPr>
    </w:p>
    <w:sectPr w:rsidR="00A414DF" w:rsidRPr="003D7162" w:rsidSect="001070CC">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7F359F" w14:textId="77777777" w:rsidR="007E0452" w:rsidRDefault="007E0452" w:rsidP="00AA42ED">
      <w:r>
        <w:separator/>
      </w:r>
    </w:p>
  </w:endnote>
  <w:endnote w:type="continuationSeparator" w:id="0">
    <w:p w14:paraId="25D0CD8A" w14:textId="77777777" w:rsidR="007E0452" w:rsidRDefault="007E0452" w:rsidP="00AA4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MS ??">
    <w:altName w:val="Yu Gothic UI"/>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A774D8" w14:textId="77777777" w:rsidR="007E0452" w:rsidRDefault="007E0452" w:rsidP="00AA42ED">
      <w:r>
        <w:separator/>
      </w:r>
    </w:p>
  </w:footnote>
  <w:footnote w:type="continuationSeparator" w:id="0">
    <w:p w14:paraId="6867A31F" w14:textId="77777777" w:rsidR="007E0452" w:rsidRDefault="007E0452" w:rsidP="00AA4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2D89EE" w14:textId="097C5DE5" w:rsidR="00C139E2" w:rsidRPr="00012391" w:rsidRDefault="00C139E2" w:rsidP="00D91F4C">
    <w:pPr>
      <w:pStyle w:val="Header"/>
      <w:rPr>
        <w:rFonts w:ascii="Helvetica" w:hAnsi="Helvetica" w:cs="Helvetica"/>
      </w:rPr>
    </w:pPr>
    <w:r>
      <w:rPr>
        <w:rFonts w:ascii="Helvetica" w:hAnsi="Helvetica" w:cs="Helvetica"/>
      </w:rPr>
      <w:t xml:space="preserve">Huicho et al. </w:t>
    </w:r>
    <w:r w:rsidRPr="000A248E">
      <w:rPr>
        <w:rFonts w:ascii="Helvetica" w:hAnsi="Helvetica" w:cs="Helvetica"/>
      </w:rPr>
      <w:t xml:space="preserve">Drivers of stunting reduction in </w:t>
    </w:r>
    <w:r>
      <w:rPr>
        <w:rFonts w:ascii="Helvetica" w:hAnsi="Helvetica" w:cs="Helvetica"/>
      </w:rPr>
      <w:t>Peru</w:t>
    </w:r>
    <w:r w:rsidRPr="000A248E">
      <w:rPr>
        <w:rFonts w:ascii="Helvetica" w:hAnsi="Helvetica" w:cs="Helvetica"/>
      </w:rPr>
      <w:t>: a country case study</w:t>
    </w:r>
    <w:r>
      <w:rPr>
        <w:rFonts w:ascii="Helvetica" w:hAnsi="Helvetica" w:cs="Helvetica"/>
      </w:rPr>
      <w:t>. Online Supplementary Material.</w:t>
    </w:r>
  </w:p>
  <w:p w14:paraId="5499D11A" w14:textId="77777777" w:rsidR="00C139E2" w:rsidRDefault="00C139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863E3C"/>
    <w:multiLevelType w:val="hybridMultilevel"/>
    <w:tmpl w:val="B888C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280D01"/>
    <w:multiLevelType w:val="hybridMultilevel"/>
    <w:tmpl w:val="B3F43E56"/>
    <w:lvl w:ilvl="0" w:tplc="DC680B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00B"/>
    <w:rsid w:val="0001011F"/>
    <w:rsid w:val="000C7ADC"/>
    <w:rsid w:val="000F5AE4"/>
    <w:rsid w:val="001070CC"/>
    <w:rsid w:val="00112A90"/>
    <w:rsid w:val="0012320D"/>
    <w:rsid w:val="001378CC"/>
    <w:rsid w:val="00167125"/>
    <w:rsid w:val="00191806"/>
    <w:rsid w:val="001A5775"/>
    <w:rsid w:val="00265001"/>
    <w:rsid w:val="00285CF8"/>
    <w:rsid w:val="002C0CC5"/>
    <w:rsid w:val="002D3E1F"/>
    <w:rsid w:val="002F0450"/>
    <w:rsid w:val="002F2351"/>
    <w:rsid w:val="002F7BC9"/>
    <w:rsid w:val="003A58F6"/>
    <w:rsid w:val="003D7162"/>
    <w:rsid w:val="003E1E6C"/>
    <w:rsid w:val="00422ED5"/>
    <w:rsid w:val="00474F74"/>
    <w:rsid w:val="00487144"/>
    <w:rsid w:val="004950E7"/>
    <w:rsid w:val="004B3DBF"/>
    <w:rsid w:val="004F3CF2"/>
    <w:rsid w:val="005179DF"/>
    <w:rsid w:val="00527349"/>
    <w:rsid w:val="0053162B"/>
    <w:rsid w:val="00542E02"/>
    <w:rsid w:val="00551D3F"/>
    <w:rsid w:val="0058386C"/>
    <w:rsid w:val="005B2678"/>
    <w:rsid w:val="005C453A"/>
    <w:rsid w:val="0063677C"/>
    <w:rsid w:val="006520ED"/>
    <w:rsid w:val="006B6DFA"/>
    <w:rsid w:val="006C1767"/>
    <w:rsid w:val="006F62DD"/>
    <w:rsid w:val="0071487A"/>
    <w:rsid w:val="00771ED2"/>
    <w:rsid w:val="007961F5"/>
    <w:rsid w:val="007E0452"/>
    <w:rsid w:val="008310A0"/>
    <w:rsid w:val="008811DB"/>
    <w:rsid w:val="008E41D1"/>
    <w:rsid w:val="0090198D"/>
    <w:rsid w:val="0094720F"/>
    <w:rsid w:val="009961CE"/>
    <w:rsid w:val="00A414DF"/>
    <w:rsid w:val="00A80FFC"/>
    <w:rsid w:val="00A96369"/>
    <w:rsid w:val="00AA42ED"/>
    <w:rsid w:val="00AB59D9"/>
    <w:rsid w:val="00AF5914"/>
    <w:rsid w:val="00B01B77"/>
    <w:rsid w:val="00B267D8"/>
    <w:rsid w:val="00B31B9A"/>
    <w:rsid w:val="00B421BA"/>
    <w:rsid w:val="00B65323"/>
    <w:rsid w:val="00C139E2"/>
    <w:rsid w:val="00C14D61"/>
    <w:rsid w:val="00D5600B"/>
    <w:rsid w:val="00D91F4C"/>
    <w:rsid w:val="00DC24D4"/>
    <w:rsid w:val="00DF59B6"/>
    <w:rsid w:val="00E42FF2"/>
    <w:rsid w:val="00E61792"/>
    <w:rsid w:val="00E721B6"/>
    <w:rsid w:val="00F22750"/>
    <w:rsid w:val="00F927D8"/>
    <w:rsid w:val="00FA2532"/>
    <w:rsid w:val="00FB073A"/>
    <w:rsid w:val="00FC161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C2EF804"/>
  <w15:docId w15:val="{756FF512-E4B6-4AB9-9046-B54898B6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5600B"/>
    <w:pPr>
      <w:spacing w:after="0" w:line="240" w:lineRule="auto"/>
    </w:pPr>
    <w:rPr>
      <w:rFonts w:eastAsiaTheme="minorEastAsia"/>
      <w:sz w:val="24"/>
      <w:szCs w:val="24"/>
      <w:lang w:val="es-ES_tradnl" w:eastAsia="es-ES"/>
    </w:rPr>
  </w:style>
  <w:style w:type="paragraph" w:styleId="Heading1">
    <w:name w:val="heading 1"/>
    <w:basedOn w:val="Normal"/>
    <w:next w:val="Normal"/>
    <w:link w:val="Heading1Char"/>
    <w:uiPriority w:val="9"/>
    <w:qFormat/>
    <w:rsid w:val="00D5600B"/>
    <w:pPr>
      <w:keepNext/>
      <w:keepLines/>
      <w:spacing w:before="240"/>
      <w:outlineLvl w:val="0"/>
    </w:pPr>
    <w:rPr>
      <w:rFonts w:ascii="Cambria" w:eastAsiaTheme="majorEastAsia" w:hAnsi="Cambria" w:cstheme="majorBidi"/>
      <w:sz w:val="28"/>
      <w:szCs w:val="32"/>
      <w:lang w:val="en-US" w:eastAsia="es-ES_tradnl"/>
    </w:rPr>
  </w:style>
  <w:style w:type="paragraph" w:styleId="Heading2">
    <w:name w:val="heading 2"/>
    <w:basedOn w:val="Normal"/>
    <w:next w:val="Normal"/>
    <w:link w:val="Heading2Char"/>
    <w:uiPriority w:val="9"/>
    <w:unhideWhenUsed/>
    <w:qFormat/>
    <w:rsid w:val="003E1E6C"/>
    <w:pPr>
      <w:keepNext/>
      <w:keepLines/>
      <w:spacing w:before="40"/>
      <w:outlineLvl w:val="1"/>
    </w:pPr>
    <w:rPr>
      <w:rFonts w:ascii="Helvetica" w:eastAsiaTheme="majorEastAsia" w:hAnsi="Helvetica" w:cstheme="majorBidi"/>
      <w:szCs w:val="26"/>
      <w:lang w:val="en-US" w:eastAsia="es-ES_tradnl"/>
    </w:rPr>
  </w:style>
  <w:style w:type="paragraph" w:styleId="Heading3">
    <w:name w:val="heading 3"/>
    <w:basedOn w:val="Normal"/>
    <w:next w:val="Normal"/>
    <w:link w:val="Heading3Char"/>
    <w:uiPriority w:val="9"/>
    <w:unhideWhenUsed/>
    <w:qFormat/>
    <w:rsid w:val="00D5600B"/>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D5600B"/>
    <w:pPr>
      <w:keepNext/>
      <w:keepLines/>
      <w:spacing w:before="40"/>
      <w:outlineLvl w:val="3"/>
    </w:pPr>
    <w:rPr>
      <w:rFonts w:ascii="Cambria" w:eastAsiaTheme="majorEastAsia" w:hAnsi="Cambria" w:cstheme="majorBidi"/>
      <w:iCs/>
      <w:color w:val="000000" w:themeColor="text1"/>
      <w:sz w:val="22"/>
      <w:lang w:val="en-US" w:eastAsia="es-ES_tradnl"/>
    </w:rPr>
  </w:style>
  <w:style w:type="paragraph" w:styleId="Heading5">
    <w:name w:val="heading 5"/>
    <w:basedOn w:val="Normal"/>
    <w:next w:val="Normal"/>
    <w:link w:val="Heading5Char"/>
    <w:uiPriority w:val="9"/>
    <w:unhideWhenUsed/>
    <w:qFormat/>
    <w:rsid w:val="00D5600B"/>
    <w:pPr>
      <w:keepNext/>
      <w:keepLines/>
      <w:spacing w:before="40" w:line="259" w:lineRule="auto"/>
      <w:outlineLvl w:val="4"/>
    </w:pPr>
    <w:rPr>
      <w:rFonts w:asciiTheme="majorHAnsi" w:eastAsiaTheme="majorEastAsia" w:hAnsiTheme="majorHAnsi" w:cstheme="majorBidi"/>
      <w:color w:val="2E74B5" w:themeColor="accent1" w:themeShade="B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00B"/>
    <w:rPr>
      <w:rFonts w:ascii="Cambria" w:eastAsiaTheme="majorEastAsia" w:hAnsi="Cambria" w:cstheme="majorBidi"/>
      <w:sz w:val="28"/>
      <w:szCs w:val="32"/>
      <w:lang w:val="en-US" w:eastAsia="es-ES_tradnl"/>
    </w:rPr>
  </w:style>
  <w:style w:type="character" w:customStyle="1" w:styleId="Heading2Char">
    <w:name w:val="Heading 2 Char"/>
    <w:basedOn w:val="DefaultParagraphFont"/>
    <w:link w:val="Heading2"/>
    <w:uiPriority w:val="9"/>
    <w:rsid w:val="003E1E6C"/>
    <w:rPr>
      <w:rFonts w:ascii="Helvetica" w:eastAsiaTheme="majorEastAsia" w:hAnsi="Helvetica" w:cstheme="majorBidi"/>
      <w:sz w:val="24"/>
      <w:szCs w:val="26"/>
      <w:lang w:val="en-US" w:eastAsia="es-ES_tradnl"/>
    </w:rPr>
  </w:style>
  <w:style w:type="character" w:customStyle="1" w:styleId="Heading3Char">
    <w:name w:val="Heading 3 Char"/>
    <w:basedOn w:val="DefaultParagraphFont"/>
    <w:link w:val="Heading3"/>
    <w:uiPriority w:val="9"/>
    <w:rsid w:val="00D5600B"/>
    <w:rPr>
      <w:rFonts w:asciiTheme="majorHAnsi" w:eastAsiaTheme="majorEastAsia" w:hAnsiTheme="majorHAnsi" w:cstheme="majorBidi"/>
      <w:b/>
      <w:bCs/>
      <w:color w:val="5B9BD5" w:themeColor="accent1"/>
      <w:sz w:val="24"/>
      <w:szCs w:val="24"/>
      <w:lang w:val="es-ES_tradnl" w:eastAsia="es-ES"/>
    </w:rPr>
  </w:style>
  <w:style w:type="character" w:customStyle="1" w:styleId="Heading4Char">
    <w:name w:val="Heading 4 Char"/>
    <w:basedOn w:val="DefaultParagraphFont"/>
    <w:link w:val="Heading4"/>
    <w:uiPriority w:val="9"/>
    <w:rsid w:val="00D5600B"/>
    <w:rPr>
      <w:rFonts w:ascii="Cambria" w:eastAsiaTheme="majorEastAsia" w:hAnsi="Cambria" w:cstheme="majorBidi"/>
      <w:iCs/>
      <w:color w:val="000000" w:themeColor="text1"/>
      <w:szCs w:val="24"/>
      <w:lang w:val="en-US" w:eastAsia="es-ES_tradnl"/>
    </w:rPr>
  </w:style>
  <w:style w:type="character" w:customStyle="1" w:styleId="Heading5Char">
    <w:name w:val="Heading 5 Char"/>
    <w:basedOn w:val="DefaultParagraphFont"/>
    <w:link w:val="Heading5"/>
    <w:uiPriority w:val="9"/>
    <w:rsid w:val="00D5600B"/>
    <w:rPr>
      <w:rFonts w:asciiTheme="majorHAnsi" w:eastAsiaTheme="majorEastAsia" w:hAnsiTheme="majorHAnsi" w:cstheme="majorBidi"/>
      <w:color w:val="2E74B5" w:themeColor="accent1" w:themeShade="BF"/>
      <w:lang w:val="en-US"/>
    </w:rPr>
  </w:style>
  <w:style w:type="paragraph" w:styleId="ListParagraph">
    <w:name w:val="List Paragraph"/>
    <w:basedOn w:val="Normal"/>
    <w:uiPriority w:val="34"/>
    <w:qFormat/>
    <w:rsid w:val="00D5600B"/>
    <w:pPr>
      <w:spacing w:after="160" w:line="259" w:lineRule="auto"/>
      <w:ind w:left="720"/>
      <w:contextualSpacing/>
    </w:pPr>
    <w:rPr>
      <w:rFonts w:eastAsiaTheme="minorHAnsi"/>
      <w:sz w:val="22"/>
      <w:szCs w:val="22"/>
      <w:lang w:val="en-US" w:eastAsia="en-US"/>
    </w:rPr>
  </w:style>
  <w:style w:type="paragraph" w:styleId="Caption">
    <w:name w:val="caption"/>
    <w:basedOn w:val="Normal"/>
    <w:next w:val="Normal"/>
    <w:link w:val="CaptionChar"/>
    <w:uiPriority w:val="35"/>
    <w:unhideWhenUsed/>
    <w:qFormat/>
    <w:rsid w:val="00D5600B"/>
    <w:pPr>
      <w:spacing w:after="200"/>
    </w:pPr>
    <w:rPr>
      <w:rFonts w:ascii="Cambria" w:eastAsiaTheme="minorHAnsi" w:hAnsi="Cambria" w:cs="Times New Roman"/>
      <w:i/>
      <w:iCs/>
      <w:color w:val="44546A" w:themeColor="text2"/>
      <w:sz w:val="18"/>
      <w:szCs w:val="18"/>
      <w:lang w:val="en-US" w:eastAsia="es-ES_tradnl"/>
    </w:rPr>
  </w:style>
  <w:style w:type="character" w:customStyle="1" w:styleId="CaptionChar">
    <w:name w:val="Caption Char"/>
    <w:basedOn w:val="DefaultParagraphFont"/>
    <w:link w:val="Caption"/>
    <w:uiPriority w:val="35"/>
    <w:rsid w:val="00D5600B"/>
    <w:rPr>
      <w:rFonts w:ascii="Cambria" w:hAnsi="Cambria" w:cs="Times New Roman"/>
      <w:i/>
      <w:iCs/>
      <w:color w:val="44546A" w:themeColor="text2"/>
      <w:sz w:val="18"/>
      <w:szCs w:val="18"/>
      <w:lang w:val="en-US" w:eastAsia="es-ES_tradnl"/>
    </w:rPr>
  </w:style>
  <w:style w:type="character" w:styleId="CommentReference">
    <w:name w:val="annotation reference"/>
    <w:basedOn w:val="DefaultParagraphFont"/>
    <w:uiPriority w:val="99"/>
    <w:unhideWhenUsed/>
    <w:rsid w:val="00D5600B"/>
    <w:rPr>
      <w:sz w:val="18"/>
      <w:szCs w:val="18"/>
    </w:rPr>
  </w:style>
  <w:style w:type="paragraph" w:styleId="CommentText">
    <w:name w:val="annotation text"/>
    <w:basedOn w:val="Normal"/>
    <w:link w:val="CommentTextChar"/>
    <w:uiPriority w:val="99"/>
    <w:unhideWhenUsed/>
    <w:rsid w:val="00D5600B"/>
  </w:style>
  <w:style w:type="character" w:customStyle="1" w:styleId="CommentTextChar">
    <w:name w:val="Comment Text Char"/>
    <w:basedOn w:val="DefaultParagraphFont"/>
    <w:link w:val="CommentText"/>
    <w:uiPriority w:val="99"/>
    <w:rsid w:val="00D5600B"/>
    <w:rPr>
      <w:rFonts w:eastAsiaTheme="minorEastAsia"/>
      <w:sz w:val="24"/>
      <w:szCs w:val="24"/>
      <w:lang w:val="es-ES_tradnl" w:eastAsia="es-ES"/>
    </w:rPr>
  </w:style>
  <w:style w:type="paragraph" w:styleId="CommentSubject">
    <w:name w:val="annotation subject"/>
    <w:basedOn w:val="CommentText"/>
    <w:next w:val="CommentText"/>
    <w:link w:val="CommentSubjectChar"/>
    <w:uiPriority w:val="99"/>
    <w:semiHidden/>
    <w:unhideWhenUsed/>
    <w:rsid w:val="00D5600B"/>
    <w:rPr>
      <w:b/>
      <w:bCs/>
      <w:sz w:val="20"/>
      <w:szCs w:val="20"/>
    </w:rPr>
  </w:style>
  <w:style w:type="character" w:customStyle="1" w:styleId="CommentSubjectChar">
    <w:name w:val="Comment Subject Char"/>
    <w:basedOn w:val="CommentTextChar"/>
    <w:link w:val="CommentSubject"/>
    <w:uiPriority w:val="99"/>
    <w:semiHidden/>
    <w:rsid w:val="00D5600B"/>
    <w:rPr>
      <w:rFonts w:eastAsiaTheme="minorEastAsia"/>
      <w:b/>
      <w:bCs/>
      <w:sz w:val="20"/>
      <w:szCs w:val="20"/>
      <w:lang w:val="es-ES_tradnl" w:eastAsia="es-ES"/>
    </w:rPr>
  </w:style>
  <w:style w:type="paragraph" w:styleId="BalloonText">
    <w:name w:val="Balloon Text"/>
    <w:basedOn w:val="Normal"/>
    <w:link w:val="BalloonTextChar"/>
    <w:uiPriority w:val="99"/>
    <w:semiHidden/>
    <w:unhideWhenUsed/>
    <w:rsid w:val="00D5600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5600B"/>
    <w:rPr>
      <w:rFonts w:ascii="Lucida Grande" w:eastAsiaTheme="minorEastAsia" w:hAnsi="Lucida Grande" w:cs="Lucida Grande"/>
      <w:sz w:val="18"/>
      <w:szCs w:val="18"/>
      <w:lang w:val="es-ES_tradnl" w:eastAsia="es-ES"/>
    </w:rPr>
  </w:style>
  <w:style w:type="paragraph" w:customStyle="1" w:styleId="MediumShading1-Accent11">
    <w:name w:val="Medium Shading 1 - Accent 11"/>
    <w:uiPriority w:val="1"/>
    <w:qFormat/>
    <w:rsid w:val="00D5600B"/>
    <w:pPr>
      <w:spacing w:after="0" w:line="240" w:lineRule="auto"/>
    </w:pPr>
    <w:rPr>
      <w:rFonts w:ascii="Cambria" w:eastAsia="MS ??" w:hAnsi="Cambria" w:cs="Times New Roman"/>
      <w:sz w:val="24"/>
      <w:szCs w:val="24"/>
      <w:lang w:val="en-GB"/>
    </w:rPr>
  </w:style>
  <w:style w:type="paragraph" w:customStyle="1" w:styleId="p1">
    <w:name w:val="p1"/>
    <w:basedOn w:val="Normal"/>
    <w:rsid w:val="00D5600B"/>
    <w:rPr>
      <w:rFonts w:ascii="Helvetica" w:eastAsiaTheme="minorHAnsi" w:hAnsi="Helvetica" w:cs="Times New Roman"/>
      <w:color w:val="F4353D"/>
      <w:sz w:val="42"/>
      <w:szCs w:val="42"/>
      <w:lang w:val="en-US" w:eastAsia="es-ES_tradnl"/>
    </w:rPr>
  </w:style>
  <w:style w:type="paragraph" w:customStyle="1" w:styleId="p2">
    <w:name w:val="p2"/>
    <w:basedOn w:val="Normal"/>
    <w:rsid w:val="00D5600B"/>
    <w:rPr>
      <w:rFonts w:ascii="Helvetica" w:eastAsiaTheme="minorHAnsi" w:hAnsi="Helvetica" w:cs="Times New Roman"/>
      <w:sz w:val="42"/>
      <w:szCs w:val="42"/>
      <w:lang w:val="en-US" w:eastAsia="es-ES_tradnl"/>
    </w:rPr>
  </w:style>
  <w:style w:type="paragraph" w:customStyle="1" w:styleId="p3">
    <w:name w:val="p3"/>
    <w:basedOn w:val="Normal"/>
    <w:rsid w:val="00D5600B"/>
    <w:rPr>
      <w:rFonts w:ascii="Helvetica" w:eastAsiaTheme="minorHAnsi" w:hAnsi="Helvetica" w:cs="Times New Roman"/>
      <w:sz w:val="35"/>
      <w:szCs w:val="35"/>
      <w:lang w:val="en-US" w:eastAsia="es-ES_tradnl"/>
    </w:rPr>
  </w:style>
  <w:style w:type="character" w:styleId="Hyperlink">
    <w:name w:val="Hyperlink"/>
    <w:basedOn w:val="DefaultParagraphFont"/>
    <w:uiPriority w:val="99"/>
    <w:unhideWhenUsed/>
    <w:rsid w:val="00D5600B"/>
    <w:rPr>
      <w:color w:val="0563C1" w:themeColor="hyperlink"/>
      <w:u w:val="single"/>
    </w:rPr>
  </w:style>
  <w:style w:type="character" w:customStyle="1" w:styleId="apple-converted-space">
    <w:name w:val="apple-converted-space"/>
    <w:basedOn w:val="DefaultParagraphFont"/>
    <w:rsid w:val="00D5600B"/>
  </w:style>
  <w:style w:type="character" w:styleId="Strong">
    <w:name w:val="Strong"/>
    <w:uiPriority w:val="22"/>
    <w:qFormat/>
    <w:rsid w:val="00D5600B"/>
    <w:rPr>
      <w:b/>
      <w:bCs/>
      <w:color w:val="C45911" w:themeColor="accent2" w:themeShade="BF"/>
      <w:spacing w:val="5"/>
    </w:rPr>
  </w:style>
  <w:style w:type="paragraph" w:styleId="EndnoteText">
    <w:name w:val="endnote text"/>
    <w:basedOn w:val="Normal"/>
    <w:link w:val="EndnoteTextChar"/>
    <w:uiPriority w:val="99"/>
    <w:unhideWhenUsed/>
    <w:rsid w:val="00D5600B"/>
    <w:rPr>
      <w:rFonts w:ascii="Cambria" w:eastAsiaTheme="majorEastAsia" w:hAnsi="Cambria" w:cs="Times New Roman"/>
      <w:sz w:val="22"/>
      <w:lang w:val="en-US" w:eastAsia="en-US"/>
    </w:rPr>
  </w:style>
  <w:style w:type="character" w:customStyle="1" w:styleId="EndnoteTextChar">
    <w:name w:val="Endnote Text Char"/>
    <w:basedOn w:val="DefaultParagraphFont"/>
    <w:link w:val="EndnoteText"/>
    <w:uiPriority w:val="99"/>
    <w:rsid w:val="00D5600B"/>
    <w:rPr>
      <w:rFonts w:ascii="Cambria" w:eastAsiaTheme="majorEastAsia" w:hAnsi="Cambria" w:cs="Times New Roman"/>
      <w:szCs w:val="24"/>
      <w:lang w:val="en-US"/>
    </w:rPr>
  </w:style>
  <w:style w:type="character" w:styleId="EndnoteReference">
    <w:name w:val="endnote reference"/>
    <w:basedOn w:val="DefaultParagraphFont"/>
    <w:uiPriority w:val="99"/>
    <w:unhideWhenUsed/>
    <w:rsid w:val="00D5600B"/>
    <w:rPr>
      <w:vertAlign w:val="superscript"/>
    </w:rPr>
  </w:style>
  <w:style w:type="character" w:customStyle="1" w:styleId="s1">
    <w:name w:val="s1"/>
    <w:basedOn w:val="DefaultParagraphFont"/>
    <w:rsid w:val="00D5600B"/>
    <w:rPr>
      <w:rFonts w:ascii="Helvetica" w:hAnsi="Helvetica" w:hint="default"/>
      <w:sz w:val="15"/>
      <w:szCs w:val="15"/>
    </w:rPr>
  </w:style>
  <w:style w:type="paragraph" w:customStyle="1" w:styleId="Puesto1">
    <w:name w:val="Puesto1"/>
    <w:basedOn w:val="Normal"/>
    <w:rsid w:val="00D5600B"/>
    <w:pPr>
      <w:spacing w:before="100" w:beforeAutospacing="1" w:after="100" w:afterAutospacing="1"/>
    </w:pPr>
    <w:rPr>
      <w:rFonts w:ascii="Cambria" w:eastAsiaTheme="minorHAnsi" w:hAnsi="Cambria" w:cs="Times New Roman"/>
      <w:sz w:val="22"/>
      <w:lang w:val="en-US" w:eastAsia="es-ES_tradnl"/>
    </w:rPr>
  </w:style>
  <w:style w:type="paragraph" w:customStyle="1" w:styleId="desc">
    <w:name w:val="desc"/>
    <w:basedOn w:val="Normal"/>
    <w:rsid w:val="00D5600B"/>
    <w:pPr>
      <w:spacing w:before="100" w:beforeAutospacing="1" w:after="100" w:afterAutospacing="1"/>
    </w:pPr>
    <w:rPr>
      <w:rFonts w:ascii="Cambria" w:eastAsiaTheme="minorHAnsi" w:hAnsi="Cambria" w:cs="Times New Roman"/>
      <w:sz w:val="22"/>
      <w:lang w:val="en-US" w:eastAsia="es-ES_tradnl"/>
    </w:rPr>
  </w:style>
  <w:style w:type="paragraph" w:customStyle="1" w:styleId="details">
    <w:name w:val="details"/>
    <w:basedOn w:val="Normal"/>
    <w:rsid w:val="00D5600B"/>
    <w:pPr>
      <w:spacing w:before="100" w:beforeAutospacing="1" w:after="100" w:afterAutospacing="1"/>
    </w:pPr>
    <w:rPr>
      <w:rFonts w:ascii="Cambria" w:eastAsiaTheme="minorHAnsi" w:hAnsi="Cambria" w:cs="Times New Roman"/>
      <w:sz w:val="22"/>
      <w:lang w:val="en-US" w:eastAsia="es-ES_tradnl"/>
    </w:rPr>
  </w:style>
  <w:style w:type="character" w:customStyle="1" w:styleId="jrnl">
    <w:name w:val="jrnl"/>
    <w:basedOn w:val="DefaultParagraphFont"/>
    <w:rsid w:val="00D5600B"/>
  </w:style>
  <w:style w:type="paragraph" w:customStyle="1" w:styleId="Style1">
    <w:name w:val="Style1"/>
    <w:basedOn w:val="Caption"/>
    <w:link w:val="Style1Char"/>
    <w:qFormat/>
    <w:rsid w:val="00D5600B"/>
    <w:rPr>
      <w:rFonts w:ascii="Calibri" w:hAnsi="Calibri"/>
    </w:rPr>
  </w:style>
  <w:style w:type="character" w:customStyle="1" w:styleId="Style1Char">
    <w:name w:val="Style1 Char"/>
    <w:basedOn w:val="CaptionChar"/>
    <w:link w:val="Style1"/>
    <w:rsid w:val="00D5600B"/>
    <w:rPr>
      <w:rFonts w:ascii="Calibri" w:hAnsi="Calibri" w:cs="Times New Roman"/>
      <w:i/>
      <w:iCs/>
      <w:color w:val="44546A" w:themeColor="text2"/>
      <w:sz w:val="18"/>
      <w:szCs w:val="18"/>
      <w:lang w:val="en-US" w:eastAsia="es-ES_tradnl"/>
    </w:rPr>
  </w:style>
  <w:style w:type="paragraph" w:styleId="NoSpacing">
    <w:name w:val="No Spacing"/>
    <w:link w:val="NoSpacingChar"/>
    <w:uiPriority w:val="1"/>
    <w:qFormat/>
    <w:rsid w:val="00D5600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5600B"/>
    <w:rPr>
      <w:rFonts w:eastAsiaTheme="minorEastAsia"/>
      <w:lang w:val="en-US"/>
    </w:rPr>
  </w:style>
  <w:style w:type="paragraph" w:styleId="TOCHeading">
    <w:name w:val="TOC Heading"/>
    <w:basedOn w:val="Heading1"/>
    <w:next w:val="Normal"/>
    <w:uiPriority w:val="39"/>
    <w:unhideWhenUsed/>
    <w:qFormat/>
    <w:rsid w:val="00D5600B"/>
    <w:pPr>
      <w:spacing w:line="259" w:lineRule="auto"/>
      <w:outlineLvl w:val="9"/>
    </w:pPr>
    <w:rPr>
      <w:lang w:eastAsia="en-US"/>
    </w:rPr>
  </w:style>
  <w:style w:type="paragraph" w:styleId="TOC1">
    <w:name w:val="toc 1"/>
    <w:basedOn w:val="Normal"/>
    <w:next w:val="Normal"/>
    <w:autoRedefine/>
    <w:uiPriority w:val="39"/>
    <w:unhideWhenUsed/>
    <w:rsid w:val="00D5600B"/>
    <w:pPr>
      <w:spacing w:after="100"/>
    </w:pPr>
    <w:rPr>
      <w:rFonts w:ascii="Cambria" w:eastAsiaTheme="minorHAnsi" w:hAnsi="Cambria" w:cs="Times New Roman"/>
      <w:sz w:val="22"/>
      <w:lang w:val="en-US" w:eastAsia="es-ES_tradnl"/>
    </w:rPr>
  </w:style>
  <w:style w:type="paragraph" w:styleId="TOC2">
    <w:name w:val="toc 2"/>
    <w:basedOn w:val="Normal"/>
    <w:next w:val="Normal"/>
    <w:autoRedefine/>
    <w:uiPriority w:val="39"/>
    <w:unhideWhenUsed/>
    <w:rsid w:val="00D5600B"/>
    <w:pPr>
      <w:spacing w:after="100"/>
      <w:ind w:left="240"/>
    </w:pPr>
    <w:rPr>
      <w:rFonts w:ascii="Cambria" w:eastAsiaTheme="minorHAnsi" w:hAnsi="Cambria" w:cs="Times New Roman"/>
      <w:sz w:val="22"/>
      <w:lang w:val="en-US" w:eastAsia="es-ES_tradnl"/>
    </w:rPr>
  </w:style>
  <w:style w:type="paragraph" w:styleId="TOC3">
    <w:name w:val="toc 3"/>
    <w:basedOn w:val="Normal"/>
    <w:next w:val="Normal"/>
    <w:autoRedefine/>
    <w:uiPriority w:val="39"/>
    <w:unhideWhenUsed/>
    <w:rsid w:val="00D5600B"/>
    <w:pPr>
      <w:spacing w:after="100"/>
      <w:ind w:left="480"/>
    </w:pPr>
    <w:rPr>
      <w:rFonts w:ascii="Cambria" w:eastAsiaTheme="minorHAnsi" w:hAnsi="Cambria" w:cs="Times New Roman"/>
      <w:sz w:val="22"/>
      <w:lang w:val="en-US" w:eastAsia="es-ES_tradnl"/>
    </w:rPr>
  </w:style>
  <w:style w:type="paragraph" w:styleId="TableofFigures">
    <w:name w:val="table of figures"/>
    <w:basedOn w:val="Normal"/>
    <w:next w:val="Normal"/>
    <w:uiPriority w:val="99"/>
    <w:unhideWhenUsed/>
    <w:rsid w:val="00D5600B"/>
    <w:rPr>
      <w:rFonts w:ascii="Cambria" w:eastAsiaTheme="minorHAnsi" w:hAnsi="Cambria" w:cs="Times New Roman"/>
      <w:sz w:val="22"/>
      <w:lang w:val="en-US" w:eastAsia="es-ES_tradnl"/>
    </w:rPr>
  </w:style>
  <w:style w:type="table" w:styleId="TableGrid">
    <w:name w:val="Table Grid"/>
    <w:basedOn w:val="TableNormal"/>
    <w:uiPriority w:val="39"/>
    <w:rsid w:val="00D5600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rsid w:val="00D5600B"/>
    <w:rPr>
      <w:rFonts w:ascii="Cambria" w:eastAsiaTheme="minorHAnsi" w:hAnsi="Cambria"/>
      <w:lang w:val="en-US" w:eastAsia="en-US"/>
    </w:rPr>
  </w:style>
  <w:style w:type="character" w:customStyle="1" w:styleId="DocumentMapChar">
    <w:name w:val="Document Map Char"/>
    <w:basedOn w:val="DefaultParagraphFont"/>
    <w:link w:val="DocumentMap"/>
    <w:uiPriority w:val="99"/>
    <w:semiHidden/>
    <w:rsid w:val="00D5600B"/>
    <w:rPr>
      <w:rFonts w:ascii="Cambria" w:hAnsi="Cambria" w:cs="Times New Roman"/>
      <w:lang w:val="en-US" w:eastAsia="ja-JP"/>
    </w:rPr>
  </w:style>
  <w:style w:type="paragraph" w:styleId="DocumentMap">
    <w:name w:val="Document Map"/>
    <w:basedOn w:val="Normal"/>
    <w:link w:val="DocumentMapChar"/>
    <w:uiPriority w:val="99"/>
    <w:semiHidden/>
    <w:unhideWhenUsed/>
    <w:rsid w:val="00D5600B"/>
    <w:rPr>
      <w:rFonts w:ascii="Cambria" w:eastAsiaTheme="minorHAnsi" w:hAnsi="Cambria" w:cs="Times New Roman"/>
      <w:sz w:val="22"/>
      <w:szCs w:val="22"/>
      <w:lang w:val="en-US" w:eastAsia="ja-JP"/>
    </w:rPr>
  </w:style>
  <w:style w:type="character" w:customStyle="1" w:styleId="DocumentMapChar1">
    <w:name w:val="Document Map Char1"/>
    <w:basedOn w:val="DefaultParagraphFont"/>
    <w:uiPriority w:val="99"/>
    <w:semiHidden/>
    <w:rsid w:val="00D5600B"/>
    <w:rPr>
      <w:rFonts w:ascii="Segoe UI" w:eastAsiaTheme="minorEastAsia" w:hAnsi="Segoe UI" w:cs="Segoe UI"/>
      <w:sz w:val="16"/>
      <w:szCs w:val="16"/>
      <w:lang w:val="es-ES_tradnl" w:eastAsia="es-ES"/>
    </w:rPr>
  </w:style>
  <w:style w:type="paragraph" w:styleId="Header">
    <w:name w:val="header"/>
    <w:basedOn w:val="Normal"/>
    <w:link w:val="HeaderChar"/>
    <w:uiPriority w:val="99"/>
    <w:unhideWhenUsed/>
    <w:rsid w:val="00D5600B"/>
    <w:pPr>
      <w:tabs>
        <w:tab w:val="center" w:pos="4680"/>
        <w:tab w:val="right" w:pos="9360"/>
      </w:tabs>
    </w:pPr>
    <w:rPr>
      <w:rFonts w:ascii="Cambria" w:eastAsiaTheme="minorHAnsi" w:hAnsi="Cambria" w:cs="Times New Roman"/>
      <w:sz w:val="22"/>
      <w:lang w:val="en-US" w:eastAsia="es-ES_tradnl"/>
    </w:rPr>
  </w:style>
  <w:style w:type="character" w:customStyle="1" w:styleId="HeaderChar">
    <w:name w:val="Header Char"/>
    <w:basedOn w:val="DefaultParagraphFont"/>
    <w:link w:val="Header"/>
    <w:uiPriority w:val="99"/>
    <w:rsid w:val="00D5600B"/>
    <w:rPr>
      <w:rFonts w:ascii="Cambria" w:hAnsi="Cambria" w:cs="Times New Roman"/>
      <w:szCs w:val="24"/>
      <w:lang w:val="en-US" w:eastAsia="es-ES_tradnl"/>
    </w:rPr>
  </w:style>
  <w:style w:type="paragraph" w:styleId="Footer">
    <w:name w:val="footer"/>
    <w:basedOn w:val="Normal"/>
    <w:link w:val="FooterChar"/>
    <w:uiPriority w:val="99"/>
    <w:unhideWhenUsed/>
    <w:rsid w:val="00D5600B"/>
    <w:pPr>
      <w:tabs>
        <w:tab w:val="center" w:pos="4680"/>
        <w:tab w:val="right" w:pos="9360"/>
      </w:tabs>
    </w:pPr>
    <w:rPr>
      <w:rFonts w:ascii="Cambria" w:eastAsiaTheme="minorHAnsi" w:hAnsi="Cambria" w:cs="Times New Roman"/>
      <w:sz w:val="22"/>
      <w:lang w:val="en-US" w:eastAsia="es-ES_tradnl"/>
    </w:rPr>
  </w:style>
  <w:style w:type="character" w:customStyle="1" w:styleId="FooterChar">
    <w:name w:val="Footer Char"/>
    <w:basedOn w:val="DefaultParagraphFont"/>
    <w:link w:val="Footer"/>
    <w:uiPriority w:val="99"/>
    <w:rsid w:val="00D5600B"/>
    <w:rPr>
      <w:rFonts w:ascii="Cambria" w:hAnsi="Cambria" w:cs="Times New Roman"/>
      <w:szCs w:val="24"/>
      <w:lang w:val="en-US" w:eastAsia="es-ES_tradnl"/>
    </w:rPr>
  </w:style>
  <w:style w:type="paragraph" w:styleId="BodyText">
    <w:name w:val="Body Text"/>
    <w:basedOn w:val="Normal"/>
    <w:link w:val="BodyTextChar"/>
    <w:uiPriority w:val="1"/>
    <w:qFormat/>
    <w:rsid w:val="00D5600B"/>
    <w:pPr>
      <w:autoSpaceDE w:val="0"/>
      <w:autoSpaceDN w:val="0"/>
      <w:adjustRightInd w:val="0"/>
    </w:pPr>
    <w:rPr>
      <w:rFonts w:ascii="Arial" w:eastAsiaTheme="minorHAnsi" w:hAnsi="Arial" w:cs="Arial"/>
      <w:b/>
      <w:bCs/>
      <w:sz w:val="29"/>
      <w:szCs w:val="29"/>
      <w:lang w:val="en-US" w:eastAsia="en-US"/>
    </w:rPr>
  </w:style>
  <w:style w:type="character" w:customStyle="1" w:styleId="BodyTextChar">
    <w:name w:val="Body Text Char"/>
    <w:basedOn w:val="DefaultParagraphFont"/>
    <w:link w:val="BodyText"/>
    <w:uiPriority w:val="1"/>
    <w:rsid w:val="00D5600B"/>
    <w:rPr>
      <w:rFonts w:ascii="Arial" w:hAnsi="Arial" w:cs="Arial"/>
      <w:b/>
      <w:bCs/>
      <w:sz w:val="29"/>
      <w:szCs w:val="29"/>
      <w:lang w:val="en-US"/>
    </w:rPr>
  </w:style>
  <w:style w:type="paragraph" w:styleId="TOC4">
    <w:name w:val="toc 4"/>
    <w:basedOn w:val="Normal"/>
    <w:next w:val="Normal"/>
    <w:autoRedefine/>
    <w:uiPriority w:val="39"/>
    <w:unhideWhenUsed/>
    <w:rsid w:val="00D5600B"/>
    <w:pPr>
      <w:spacing w:after="100" w:line="259" w:lineRule="auto"/>
      <w:ind w:left="660"/>
    </w:pPr>
    <w:rPr>
      <w:sz w:val="22"/>
      <w:szCs w:val="22"/>
      <w:lang w:val="en-US" w:eastAsia="en-US"/>
    </w:rPr>
  </w:style>
  <w:style w:type="paragraph" w:styleId="TOC5">
    <w:name w:val="toc 5"/>
    <w:basedOn w:val="Normal"/>
    <w:next w:val="Normal"/>
    <w:autoRedefine/>
    <w:uiPriority w:val="39"/>
    <w:unhideWhenUsed/>
    <w:rsid w:val="00D5600B"/>
    <w:pPr>
      <w:spacing w:after="100" w:line="259" w:lineRule="auto"/>
      <w:ind w:left="880"/>
    </w:pPr>
    <w:rPr>
      <w:sz w:val="22"/>
      <w:szCs w:val="22"/>
      <w:lang w:val="en-US" w:eastAsia="en-US"/>
    </w:rPr>
  </w:style>
  <w:style w:type="paragraph" w:styleId="TOC6">
    <w:name w:val="toc 6"/>
    <w:basedOn w:val="Normal"/>
    <w:next w:val="Normal"/>
    <w:autoRedefine/>
    <w:uiPriority w:val="39"/>
    <w:unhideWhenUsed/>
    <w:rsid w:val="00D5600B"/>
    <w:pPr>
      <w:spacing w:after="100" w:line="259" w:lineRule="auto"/>
      <w:ind w:left="1100"/>
    </w:pPr>
    <w:rPr>
      <w:sz w:val="22"/>
      <w:szCs w:val="22"/>
      <w:lang w:val="en-US" w:eastAsia="en-US"/>
    </w:rPr>
  </w:style>
  <w:style w:type="paragraph" w:styleId="TOC7">
    <w:name w:val="toc 7"/>
    <w:basedOn w:val="Normal"/>
    <w:next w:val="Normal"/>
    <w:autoRedefine/>
    <w:uiPriority w:val="39"/>
    <w:unhideWhenUsed/>
    <w:rsid w:val="00D5600B"/>
    <w:pPr>
      <w:spacing w:after="100" w:line="259" w:lineRule="auto"/>
      <w:ind w:left="1320"/>
    </w:pPr>
    <w:rPr>
      <w:sz w:val="22"/>
      <w:szCs w:val="22"/>
      <w:lang w:val="en-US" w:eastAsia="en-US"/>
    </w:rPr>
  </w:style>
  <w:style w:type="paragraph" w:styleId="TOC8">
    <w:name w:val="toc 8"/>
    <w:basedOn w:val="Normal"/>
    <w:next w:val="Normal"/>
    <w:autoRedefine/>
    <w:uiPriority w:val="39"/>
    <w:unhideWhenUsed/>
    <w:rsid w:val="00D5600B"/>
    <w:pPr>
      <w:spacing w:after="100" w:line="259" w:lineRule="auto"/>
      <w:ind w:left="1540"/>
    </w:pPr>
    <w:rPr>
      <w:sz w:val="22"/>
      <w:szCs w:val="22"/>
      <w:lang w:val="en-US" w:eastAsia="en-US"/>
    </w:rPr>
  </w:style>
  <w:style w:type="paragraph" w:styleId="TOC9">
    <w:name w:val="toc 9"/>
    <w:basedOn w:val="Normal"/>
    <w:next w:val="Normal"/>
    <w:autoRedefine/>
    <w:uiPriority w:val="39"/>
    <w:unhideWhenUsed/>
    <w:rsid w:val="00D5600B"/>
    <w:pPr>
      <w:spacing w:after="100" w:line="259" w:lineRule="auto"/>
      <w:ind w:left="1760"/>
    </w:pPr>
    <w:rPr>
      <w:sz w:val="22"/>
      <w:szCs w:val="22"/>
      <w:lang w:val="en-US" w:eastAsia="en-US"/>
    </w:rPr>
  </w:style>
  <w:style w:type="paragraph" w:styleId="NormalWeb">
    <w:name w:val="Normal (Web)"/>
    <w:basedOn w:val="Normal"/>
    <w:uiPriority w:val="99"/>
    <w:semiHidden/>
    <w:unhideWhenUsed/>
    <w:rsid w:val="00D5600B"/>
    <w:pPr>
      <w:spacing w:before="100" w:beforeAutospacing="1" w:after="100" w:afterAutospacing="1"/>
    </w:pPr>
    <w:rPr>
      <w:rFonts w:ascii="Times New Roman" w:hAnsi="Times New Roman" w:cs="Times New Roman"/>
      <w:sz w:val="20"/>
      <w:szCs w:val="20"/>
      <w:lang w:val="es-PE"/>
    </w:rPr>
  </w:style>
  <w:style w:type="paragraph" w:styleId="FootnoteText">
    <w:name w:val="footnote text"/>
    <w:basedOn w:val="Normal"/>
    <w:link w:val="FootnoteTextChar"/>
    <w:uiPriority w:val="99"/>
    <w:semiHidden/>
    <w:unhideWhenUsed/>
    <w:rsid w:val="00D5600B"/>
    <w:rPr>
      <w:rFonts w:eastAsiaTheme="minorHAnsi"/>
      <w:sz w:val="20"/>
      <w:szCs w:val="20"/>
      <w:lang w:val="en-US" w:eastAsia="en-US"/>
    </w:rPr>
  </w:style>
  <w:style w:type="character" w:customStyle="1" w:styleId="FootnoteTextChar">
    <w:name w:val="Footnote Text Char"/>
    <w:basedOn w:val="DefaultParagraphFont"/>
    <w:link w:val="FootnoteText"/>
    <w:uiPriority w:val="99"/>
    <w:semiHidden/>
    <w:rsid w:val="00D5600B"/>
    <w:rPr>
      <w:sz w:val="20"/>
      <w:szCs w:val="20"/>
      <w:lang w:val="en-US"/>
    </w:rPr>
  </w:style>
  <w:style w:type="paragraph" w:customStyle="1" w:styleId="msonormal0">
    <w:name w:val="msonormal"/>
    <w:basedOn w:val="Normal"/>
    <w:rsid w:val="00D5600B"/>
    <w:pPr>
      <w:spacing w:before="100" w:beforeAutospacing="1" w:after="100" w:afterAutospacing="1"/>
    </w:pPr>
    <w:rPr>
      <w:rFonts w:ascii="Times New Roman" w:eastAsia="Times New Roman" w:hAnsi="Times New Roman" w:cs="Times New Roman"/>
      <w:lang w:val="en-US" w:eastAsia="en-US"/>
    </w:rPr>
  </w:style>
  <w:style w:type="paragraph" w:customStyle="1" w:styleId="xl66">
    <w:name w:val="xl66"/>
    <w:basedOn w:val="Normal"/>
    <w:rsid w:val="00D5600B"/>
    <w:pPr>
      <w:spacing w:before="100" w:beforeAutospacing="1" w:after="100" w:afterAutospacing="1"/>
      <w:textAlignment w:val="center"/>
    </w:pPr>
    <w:rPr>
      <w:rFonts w:ascii="Arial" w:eastAsia="Times New Roman" w:hAnsi="Arial" w:cs="Arial"/>
      <w:sz w:val="20"/>
      <w:szCs w:val="20"/>
      <w:lang w:val="en-US" w:eastAsia="en-US"/>
    </w:rPr>
  </w:style>
  <w:style w:type="paragraph" w:customStyle="1" w:styleId="xl67">
    <w:name w:val="xl67"/>
    <w:basedOn w:val="Normal"/>
    <w:rsid w:val="00D5600B"/>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68">
    <w:name w:val="xl68"/>
    <w:basedOn w:val="Normal"/>
    <w:rsid w:val="00D5600B"/>
    <w:pPr>
      <w:pBdr>
        <w:left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69">
    <w:name w:val="xl69"/>
    <w:basedOn w:val="Normal"/>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70">
    <w:name w:val="xl70"/>
    <w:basedOn w:val="Normal"/>
    <w:rsid w:val="00D5600B"/>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71">
    <w:name w:val="xl71"/>
    <w:basedOn w:val="Normal"/>
    <w:rsid w:val="00D5600B"/>
    <w:pPr>
      <w:pBdr>
        <w:left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72">
    <w:name w:val="xl72"/>
    <w:basedOn w:val="Normal"/>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73">
    <w:name w:val="xl73"/>
    <w:basedOn w:val="Normal"/>
    <w:rsid w:val="00D5600B"/>
    <w:pPr>
      <w:spacing w:before="100" w:beforeAutospacing="1" w:after="100" w:afterAutospacing="1"/>
      <w:textAlignment w:val="center"/>
    </w:pPr>
    <w:rPr>
      <w:rFonts w:ascii="Arial" w:eastAsia="Times New Roman" w:hAnsi="Arial" w:cs="Arial"/>
      <w:sz w:val="20"/>
      <w:szCs w:val="20"/>
      <w:lang w:val="en-US" w:eastAsia="en-US"/>
    </w:rPr>
  </w:style>
  <w:style w:type="paragraph" w:customStyle="1" w:styleId="xl74">
    <w:name w:val="xl74"/>
    <w:basedOn w:val="Normal"/>
    <w:rsid w:val="00D5600B"/>
    <w:pPr>
      <w:pBdr>
        <w:top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5">
    <w:name w:val="xl75"/>
    <w:basedOn w:val="Normal"/>
    <w:rsid w:val="00D5600B"/>
    <w:pPr>
      <w:pBdr>
        <w:top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6">
    <w:name w:val="xl76"/>
    <w:basedOn w:val="Normal"/>
    <w:rsid w:val="00D5600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7">
    <w:name w:val="xl77"/>
    <w:basedOn w:val="Normal"/>
    <w:rsid w:val="00D5600B"/>
    <w:pPr>
      <w:pBdr>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8">
    <w:name w:val="xl78"/>
    <w:basedOn w:val="Normal"/>
    <w:rsid w:val="00D5600B"/>
    <w:pP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9">
    <w:name w:val="xl79"/>
    <w:basedOn w:val="Normal"/>
    <w:rsid w:val="00D5600B"/>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0">
    <w:name w:val="xl80"/>
    <w:basedOn w:val="Normal"/>
    <w:rsid w:val="00D5600B"/>
    <w:pPr>
      <w:pBdr>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1">
    <w:name w:val="xl81"/>
    <w:basedOn w:val="Normal"/>
    <w:rsid w:val="00D5600B"/>
    <w:pPr>
      <w:pBdr>
        <w:bottom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2">
    <w:name w:val="xl82"/>
    <w:basedOn w:val="Normal"/>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3">
    <w:name w:val="xl83"/>
    <w:basedOn w:val="Normal"/>
    <w:rsid w:val="00D5600B"/>
    <w:pPr>
      <w:pBdr>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i/>
      <w:iCs/>
      <w:color w:val="808080"/>
      <w:sz w:val="20"/>
      <w:szCs w:val="20"/>
      <w:lang w:val="en-US" w:eastAsia="en-US"/>
    </w:rPr>
  </w:style>
  <w:style w:type="paragraph" w:customStyle="1" w:styleId="xl84">
    <w:name w:val="xl84"/>
    <w:basedOn w:val="Normal"/>
    <w:rsid w:val="00D5600B"/>
    <w:pPr>
      <w:pBdr>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5">
    <w:name w:val="xl85"/>
    <w:basedOn w:val="Normal"/>
    <w:rsid w:val="00D5600B"/>
    <w:pPr>
      <w:pBdr>
        <w:bottom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6">
    <w:name w:val="xl86"/>
    <w:basedOn w:val="Normal"/>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7">
    <w:name w:val="xl87"/>
    <w:basedOn w:val="Normal"/>
    <w:rsid w:val="00D5600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8">
    <w:name w:val="xl88"/>
    <w:basedOn w:val="Normal"/>
    <w:rsid w:val="00D5600B"/>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9">
    <w:name w:val="xl89"/>
    <w:basedOn w:val="Normal"/>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90">
    <w:name w:val="xl90"/>
    <w:basedOn w:val="Normal"/>
    <w:rsid w:val="00D5600B"/>
    <w:pPr>
      <w:pBdr>
        <w:top w:val="single" w:sz="4" w:space="0" w:color="auto"/>
        <w:left w:val="single" w:sz="4" w:space="0" w:color="auto"/>
        <w:right w:val="single" w:sz="4" w:space="0" w:color="auto"/>
      </w:pBdr>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91">
    <w:name w:val="xl91"/>
    <w:basedOn w:val="Normal"/>
    <w:rsid w:val="00D5600B"/>
    <w:pPr>
      <w:pBdr>
        <w:left w:val="single" w:sz="4" w:space="0" w:color="auto"/>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2">
    <w:name w:val="xl92"/>
    <w:basedOn w:val="Normal"/>
    <w:rsid w:val="00D5600B"/>
    <w:pPr>
      <w:pBdr>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3">
    <w:name w:val="xl93"/>
    <w:basedOn w:val="Normal"/>
    <w:rsid w:val="00D5600B"/>
    <w:pPr>
      <w:pBdr>
        <w:bottom w:val="single" w:sz="4" w:space="0" w:color="auto"/>
        <w:right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4">
    <w:name w:val="xl94"/>
    <w:basedOn w:val="Normal"/>
    <w:rsid w:val="00D5600B"/>
    <w:pPr>
      <w:pBdr>
        <w:left w:val="single" w:sz="4" w:space="0" w:color="auto"/>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5">
    <w:name w:val="xl95"/>
    <w:basedOn w:val="Normal"/>
    <w:rsid w:val="00D5600B"/>
    <w:pPr>
      <w:pBdr>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6">
    <w:name w:val="xl96"/>
    <w:basedOn w:val="Normal"/>
    <w:rsid w:val="00D5600B"/>
    <w:pPr>
      <w:pBdr>
        <w:top w:val="single" w:sz="4" w:space="0" w:color="auto"/>
        <w:left w:val="single" w:sz="4" w:space="0" w:color="auto"/>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7">
    <w:name w:val="xl97"/>
    <w:basedOn w:val="Normal"/>
    <w:rsid w:val="00D5600B"/>
    <w:pPr>
      <w:pBdr>
        <w:top w:val="single" w:sz="4" w:space="0" w:color="auto"/>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8">
    <w:name w:val="xl98"/>
    <w:basedOn w:val="Normal"/>
    <w:rsid w:val="00D5600B"/>
    <w:pPr>
      <w:pBdr>
        <w:top w:val="single" w:sz="4" w:space="0" w:color="auto"/>
        <w:left w:val="single" w:sz="4" w:space="0" w:color="auto"/>
        <w:bottom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99">
    <w:name w:val="xl99"/>
    <w:basedOn w:val="Normal"/>
    <w:rsid w:val="00D5600B"/>
    <w:pPr>
      <w:pBdr>
        <w:top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0">
    <w:name w:val="xl100"/>
    <w:basedOn w:val="Normal"/>
    <w:rsid w:val="00D5600B"/>
    <w:pPr>
      <w:pBdr>
        <w:top w:val="single" w:sz="4" w:space="0" w:color="auto"/>
        <w:left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1">
    <w:name w:val="xl101"/>
    <w:basedOn w:val="Normal"/>
    <w:rsid w:val="00D5600B"/>
    <w:pPr>
      <w:pBdr>
        <w:top w:val="single" w:sz="4" w:space="0" w:color="auto"/>
        <w:bottom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2">
    <w:name w:val="xl102"/>
    <w:basedOn w:val="Normal"/>
    <w:rsid w:val="00D5600B"/>
    <w:pPr>
      <w:pBdr>
        <w:left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3">
    <w:name w:val="xl103"/>
    <w:basedOn w:val="Normal"/>
    <w:rsid w:val="00D5600B"/>
    <w:pPr>
      <w:pBdr>
        <w:top w:val="single" w:sz="4" w:space="0" w:color="auto"/>
        <w:left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4">
    <w:name w:val="xl104"/>
    <w:basedOn w:val="Normal"/>
    <w:rsid w:val="00D5600B"/>
    <w:pPr>
      <w:pBdr>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5">
    <w:name w:val="xl105"/>
    <w:basedOn w:val="Normal"/>
    <w:rsid w:val="00D5600B"/>
    <w:pPr>
      <w:pBdr>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6">
    <w:name w:val="xl106"/>
    <w:basedOn w:val="Normal"/>
    <w:rsid w:val="00D5600B"/>
    <w:pPr>
      <w:pBdr>
        <w:top w:val="single" w:sz="4" w:space="0" w:color="auto"/>
        <w:left w:val="single" w:sz="4" w:space="0" w:color="auto"/>
        <w:bottom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07">
    <w:name w:val="xl107"/>
    <w:basedOn w:val="Normal"/>
    <w:rsid w:val="00D5600B"/>
    <w:pPr>
      <w:pBdr>
        <w:top w:val="single" w:sz="4" w:space="0" w:color="auto"/>
        <w:bottom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08">
    <w:name w:val="xl108"/>
    <w:basedOn w:val="Normal"/>
    <w:rsid w:val="00D5600B"/>
    <w:pPr>
      <w:pBdr>
        <w:top w:val="single" w:sz="4" w:space="0" w:color="auto"/>
        <w:bottom w:val="single" w:sz="4" w:space="0" w:color="auto"/>
        <w:right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09">
    <w:name w:val="xl109"/>
    <w:basedOn w:val="Normal"/>
    <w:rsid w:val="00D5600B"/>
    <w:pPr>
      <w:pBdr>
        <w:top w:val="single" w:sz="4" w:space="0" w:color="auto"/>
        <w:left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10">
    <w:name w:val="xl110"/>
    <w:basedOn w:val="Normal"/>
    <w:rsid w:val="00D5600B"/>
    <w:pPr>
      <w:pBdr>
        <w:top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11">
    <w:name w:val="xl111"/>
    <w:basedOn w:val="Normal"/>
    <w:rsid w:val="00D5600B"/>
    <w:pPr>
      <w:pBdr>
        <w:top w:val="single" w:sz="4" w:space="0" w:color="auto"/>
        <w:right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12">
    <w:name w:val="xl112"/>
    <w:basedOn w:val="Normal"/>
    <w:rsid w:val="00D5600B"/>
    <w:pPr>
      <w:pBdr>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0"/>
      <w:szCs w:val="20"/>
      <w:lang w:val="en-US" w:eastAsia="en-US"/>
    </w:rPr>
  </w:style>
  <w:style w:type="paragraph" w:customStyle="1" w:styleId="xl113">
    <w:name w:val="xl113"/>
    <w:basedOn w:val="Normal"/>
    <w:rsid w:val="00D5600B"/>
    <w:pPr>
      <w:pBdr>
        <w:top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0"/>
      <w:szCs w:val="20"/>
      <w:lang w:val="en-US" w:eastAsia="en-US"/>
    </w:rPr>
  </w:style>
  <w:style w:type="paragraph" w:customStyle="1" w:styleId="xl114">
    <w:name w:val="xl114"/>
    <w:basedOn w:val="Normal"/>
    <w:rsid w:val="00D5600B"/>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0"/>
      <w:szCs w:val="20"/>
      <w:lang w:val="en-US" w:eastAsia="en-US"/>
    </w:rPr>
  </w:style>
  <w:style w:type="paragraph" w:styleId="Bibliography">
    <w:name w:val="Bibliography"/>
    <w:basedOn w:val="Normal"/>
    <w:next w:val="Normal"/>
    <w:uiPriority w:val="37"/>
    <w:unhideWhenUsed/>
    <w:rsid w:val="00D5600B"/>
    <w:rPr>
      <w:rFonts w:ascii="Cambria" w:eastAsiaTheme="minorHAnsi" w:hAnsi="Cambria" w:cs="Times New Roman"/>
      <w:sz w:val="22"/>
      <w:szCs w:val="22"/>
      <w:lang w:val="en-US" w:eastAsia="es-ES_tradnl"/>
    </w:rPr>
  </w:style>
  <w:style w:type="character" w:styleId="FootnoteReference">
    <w:name w:val="footnote reference"/>
    <w:basedOn w:val="DefaultParagraphFont"/>
    <w:uiPriority w:val="99"/>
    <w:unhideWhenUsed/>
    <w:rsid w:val="00D5600B"/>
    <w:rPr>
      <w:vertAlign w:val="superscript"/>
    </w:rPr>
  </w:style>
  <w:style w:type="table" w:customStyle="1" w:styleId="TableGrid1">
    <w:name w:val="Table Grid1"/>
    <w:basedOn w:val="TableNormal"/>
    <w:next w:val="TableGrid"/>
    <w:uiPriority w:val="39"/>
    <w:rsid w:val="00D5600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5600B"/>
    <w:pPr>
      <w:spacing w:after="0" w:line="240" w:lineRule="auto"/>
    </w:pPr>
    <w:rPr>
      <w:rFonts w:eastAsiaTheme="minorEastAsia"/>
      <w:sz w:val="24"/>
      <w:szCs w:val="24"/>
      <w:lang w:val="es-ES_tradnl" w:eastAsia="es-ES"/>
    </w:rPr>
  </w:style>
  <w:style w:type="paragraph" w:customStyle="1" w:styleId="Title1">
    <w:name w:val="Title1"/>
    <w:basedOn w:val="Normal"/>
    <w:rsid w:val="00D5600B"/>
    <w:pPr>
      <w:spacing w:before="100" w:beforeAutospacing="1" w:after="100" w:afterAutospacing="1"/>
    </w:pPr>
    <w:rPr>
      <w:rFonts w:ascii="Times New Roman" w:hAnsi="Times New Roman" w:cs="Times New Roman"/>
      <w:sz w:val="20"/>
      <w:szCs w:val="20"/>
      <w:lang w:val="es-PE"/>
    </w:rPr>
  </w:style>
  <w:style w:type="character" w:styleId="FollowedHyperlink">
    <w:name w:val="FollowedHyperlink"/>
    <w:basedOn w:val="DefaultParagraphFont"/>
    <w:uiPriority w:val="99"/>
    <w:semiHidden/>
    <w:unhideWhenUsed/>
    <w:rsid w:val="00D5600B"/>
    <w:rPr>
      <w:color w:val="954F72" w:themeColor="followedHyperlink"/>
      <w:u w:val="single"/>
    </w:rPr>
  </w:style>
  <w:style w:type="paragraph" w:customStyle="1" w:styleId="EndNoteBibliographyTitle">
    <w:name w:val="EndNote Bibliography Title"/>
    <w:basedOn w:val="Normal"/>
    <w:link w:val="EndNoteBibliographyTitleChar"/>
    <w:rsid w:val="00D5600B"/>
    <w:pPr>
      <w:jc w:val="center"/>
    </w:pPr>
    <w:rPr>
      <w:rFonts w:ascii="Cambria" w:hAnsi="Cambria"/>
      <w:noProof/>
      <w:lang w:val="es-ES"/>
    </w:rPr>
  </w:style>
  <w:style w:type="character" w:customStyle="1" w:styleId="EndNoteBibliographyTitleChar">
    <w:name w:val="EndNote Bibliography Title Char"/>
    <w:basedOn w:val="DefaultParagraphFont"/>
    <w:link w:val="EndNoteBibliographyTitle"/>
    <w:rsid w:val="00D5600B"/>
    <w:rPr>
      <w:rFonts w:ascii="Cambria" w:eastAsiaTheme="minorEastAsia" w:hAnsi="Cambria"/>
      <w:noProof/>
      <w:sz w:val="24"/>
      <w:szCs w:val="24"/>
      <w:lang w:val="es-ES" w:eastAsia="es-ES"/>
    </w:rPr>
  </w:style>
  <w:style w:type="paragraph" w:customStyle="1" w:styleId="p">
    <w:name w:val="p"/>
    <w:basedOn w:val="Normal"/>
    <w:rsid w:val="00D5600B"/>
    <w:pPr>
      <w:spacing w:before="100" w:beforeAutospacing="1" w:after="100" w:afterAutospacing="1"/>
    </w:pPr>
    <w:rPr>
      <w:rFonts w:ascii="Times New Roman" w:hAnsi="Times New Roman" w:cs="Times New Roman"/>
      <w:sz w:val="20"/>
      <w:szCs w:val="20"/>
      <w:lang w:val="es-PE"/>
    </w:rPr>
  </w:style>
  <w:style w:type="character" w:styleId="Emphasis">
    <w:name w:val="Emphasis"/>
    <w:basedOn w:val="DefaultParagraphFont"/>
    <w:uiPriority w:val="20"/>
    <w:qFormat/>
    <w:rsid w:val="00D5600B"/>
    <w:rPr>
      <w:i/>
      <w:iCs/>
    </w:rPr>
  </w:style>
  <w:style w:type="paragraph" w:customStyle="1" w:styleId="Normal1">
    <w:name w:val="Normal1"/>
    <w:rsid w:val="00D5600B"/>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val="en-US"/>
    </w:rPr>
  </w:style>
  <w:style w:type="table" w:customStyle="1" w:styleId="TableGrid2">
    <w:name w:val="Table Grid2"/>
    <w:basedOn w:val="TableNormal"/>
    <w:next w:val="TableGrid"/>
    <w:uiPriority w:val="39"/>
    <w:rsid w:val="000F5AE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chart" Target="charts/chart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36"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image" Target="media/image20.png"/><Relationship Id="rId35" Type="http://schemas.openxmlformats.org/officeDocument/2006/relationships/chart" Target="charts/chart6.xml"/><Relationship Id="rId8" Type="http://schemas.openxmlformats.org/officeDocument/2006/relationships/chart" Target="charts/chart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saman%20brar\OneDrive%20-%20SickKids\Documents\Manuscripts\Peru\Figures\Figure%201B_Peru%20Manuscrip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SickKids\Stunting%20Project\PERU\Final%20Data%20for%20Peru%20Study\Results\4a-Calculations%20for%20tables2%20-for%20the%20year%202016%20-%202000%20(under%205yrs)%20-%20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SickKids\Stunting%20Project\PERU\Final%20Data%20for%20Peru%20Study\Results\1a-Calculations%20for%20tables2%20-for%20the%20year%202016%20-%202000%20(6-23%20months)%20-%20Cop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SickKids\Stunting%20Project\PERU\Final%20Data%20for%20Peru%20Study\Results\3a-Calculations%20for%20tables2%20-for%20the%20year%202016%20-%202000%20(24%20months%20and%20above)%20-%20Cop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SickKids\Stunting%20Project\PERU\Final%20Data%20for%20Peru%20Study\Results\2a-Calculations%20for%20tables2%20-for%20the%20year%202016%20-%202000%20(under%206%20months)%20-%20Copy.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'Figure 1B'!$B$2</c:f>
              <c:strCache>
                <c:ptCount val="1"/>
                <c:pt idx="0">
                  <c:v>GDP per capita, PPP (constant 2011 international $)</c:v>
                </c:pt>
              </c:strCache>
            </c:strRef>
          </c:tx>
          <c:spPr>
            <a:ln w="28575" cap="rnd">
              <a:solidFill>
                <a:schemeClr val="accent3">
                  <a:shade val="65000"/>
                </a:schemeClr>
              </a:solidFill>
              <a:round/>
            </a:ln>
            <a:effectLst/>
          </c:spPr>
          <c:marker>
            <c:symbol val="none"/>
          </c:marker>
          <c:cat>
            <c:numRef>
              <c:f>'Figure 1B'!$A$3:$A$30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1B'!$B$3:$B$30</c:f>
              <c:numCache>
                <c:formatCode>General</c:formatCode>
                <c:ptCount val="28"/>
                <c:pt idx="0">
                  <c:v>5312.684663806258</c:v>
                </c:pt>
                <c:pt idx="1">
                  <c:v>5319.3412991701271</c:v>
                </c:pt>
                <c:pt idx="2">
                  <c:v>5184.9671800587357</c:v>
                </c:pt>
                <c:pt idx="3">
                  <c:v>5351.5945705783624</c:v>
                </c:pt>
                <c:pt idx="4">
                  <c:v>5899.5637831347894</c:v>
                </c:pt>
                <c:pt idx="5">
                  <c:v>6226.2456107258804</c:v>
                </c:pt>
                <c:pt idx="6">
                  <c:v>6295.1604009912244</c:v>
                </c:pt>
                <c:pt idx="7">
                  <c:v>6598.585225656494</c:v>
                </c:pt>
                <c:pt idx="8">
                  <c:v>6475.6328145932803</c:v>
                </c:pt>
                <c:pt idx="9">
                  <c:v>6479.4740972314166</c:v>
                </c:pt>
                <c:pt idx="10">
                  <c:v>6563.2679349064283</c:v>
                </c:pt>
                <c:pt idx="11">
                  <c:v>6516.6931563140261</c:v>
                </c:pt>
                <c:pt idx="12">
                  <c:v>6784.2222270092198</c:v>
                </c:pt>
                <c:pt idx="13">
                  <c:v>6978.5700614519401</c:v>
                </c:pt>
                <c:pt idx="14">
                  <c:v>7234.4905416208949</c:v>
                </c:pt>
                <c:pt idx="15">
                  <c:v>7595.2718464988566</c:v>
                </c:pt>
                <c:pt idx="16">
                  <c:v>8067.8986779366614</c:v>
                </c:pt>
                <c:pt idx="17">
                  <c:v>8649.0806630263651</c:v>
                </c:pt>
                <c:pt idx="18">
                  <c:v>9323.353938210681</c:v>
                </c:pt>
                <c:pt idx="19">
                  <c:v>9308.6747887500987</c:v>
                </c:pt>
                <c:pt idx="20">
                  <c:v>9956.5566366830008</c:v>
                </c:pt>
                <c:pt idx="21">
                  <c:v>10449.093255203061</c:v>
                </c:pt>
                <c:pt idx="22">
                  <c:v>10943.919269196171</c:v>
                </c:pt>
                <c:pt idx="23">
                  <c:v>11430.255783962741</c:v>
                </c:pt>
                <c:pt idx="24">
                  <c:v>11547.83421627095</c:v>
                </c:pt>
                <c:pt idx="25">
                  <c:v>11770.03444823451</c:v>
                </c:pt>
                <c:pt idx="26">
                  <c:v>12082.168010602411</c:v>
                </c:pt>
                <c:pt idx="27">
                  <c:v>12236.801339807391</c:v>
                </c:pt>
              </c:numCache>
            </c:numRef>
          </c:val>
          <c:smooth val="0"/>
          <c:extLst>
            <c:ext xmlns:c16="http://schemas.microsoft.com/office/drawing/2014/chart" uri="{C3380CC4-5D6E-409C-BE32-E72D297353CC}">
              <c16:uniqueId val="{00000000-2501-4505-ACCD-2508697C3D9B}"/>
            </c:ext>
          </c:extLst>
        </c:ser>
        <c:dLbls>
          <c:showLegendKey val="0"/>
          <c:showVal val="0"/>
          <c:showCatName val="0"/>
          <c:showSerName val="0"/>
          <c:showPercent val="0"/>
          <c:showBubbleSize val="0"/>
        </c:dLbls>
        <c:marker val="1"/>
        <c:smooth val="0"/>
        <c:axId val="2145784072"/>
        <c:axId val="2145789624"/>
      </c:lineChart>
      <c:lineChart>
        <c:grouping val="standard"/>
        <c:varyColors val="0"/>
        <c:ser>
          <c:idx val="1"/>
          <c:order val="1"/>
          <c:tx>
            <c:strRef>
              <c:f>'Figure 1B'!$C$2</c:f>
              <c:strCache>
                <c:ptCount val="1"/>
                <c:pt idx="0">
                  <c:v>Poverty headcount ratio at $1.90 a day (2011 PPP) (% of population)</c:v>
                </c:pt>
              </c:strCache>
            </c:strRef>
          </c:tx>
          <c:spPr>
            <a:ln w="28575" cap="rnd">
              <a:solidFill>
                <a:schemeClr val="accent3"/>
              </a:solidFill>
              <a:round/>
            </a:ln>
            <a:effectLst/>
          </c:spPr>
          <c:marker>
            <c:symbol val="none"/>
          </c:marker>
          <c:cat>
            <c:numRef>
              <c:f>'Figure 1B'!$A$3:$A$30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1B'!$C$3:$C$30</c:f>
              <c:numCache>
                <c:formatCode>General</c:formatCode>
                <c:ptCount val="28"/>
                <c:pt idx="0">
                  <c:v>#N/A</c:v>
                </c:pt>
                <c:pt idx="1">
                  <c:v>#N/A</c:v>
                </c:pt>
                <c:pt idx="2">
                  <c:v>#N/A</c:v>
                </c:pt>
                <c:pt idx="3">
                  <c:v>#N/A</c:v>
                </c:pt>
                <c:pt idx="4">
                  <c:v>#N/A</c:v>
                </c:pt>
                <c:pt idx="5">
                  <c:v>#N/A</c:v>
                </c:pt>
                <c:pt idx="6">
                  <c:v>#N/A</c:v>
                </c:pt>
                <c:pt idx="7">
                  <c:v>17.899999999999999</c:v>
                </c:pt>
                <c:pt idx="8">
                  <c:v>16.7</c:v>
                </c:pt>
                <c:pt idx="9">
                  <c:v>17.600000000000001</c:v>
                </c:pt>
                <c:pt idx="10">
                  <c:v>16.399999999999999</c:v>
                </c:pt>
                <c:pt idx="11">
                  <c:v>17.100000000000001</c:v>
                </c:pt>
                <c:pt idx="12">
                  <c:v>15.1</c:v>
                </c:pt>
                <c:pt idx="13">
                  <c:v>11.9</c:v>
                </c:pt>
                <c:pt idx="14">
                  <c:v>13.6</c:v>
                </c:pt>
                <c:pt idx="15">
                  <c:v>15.5</c:v>
                </c:pt>
                <c:pt idx="16">
                  <c:v>13.5</c:v>
                </c:pt>
                <c:pt idx="17">
                  <c:v>11.1</c:v>
                </c:pt>
                <c:pt idx="18">
                  <c:v>8.9</c:v>
                </c:pt>
                <c:pt idx="19">
                  <c:v>7</c:v>
                </c:pt>
                <c:pt idx="20">
                  <c:v>5.5</c:v>
                </c:pt>
                <c:pt idx="21">
                  <c:v>5.2</c:v>
                </c:pt>
                <c:pt idx="22">
                  <c:v>4.7</c:v>
                </c:pt>
                <c:pt idx="23">
                  <c:v>4.3</c:v>
                </c:pt>
                <c:pt idx="24">
                  <c:v>3.7</c:v>
                </c:pt>
                <c:pt idx="25">
                  <c:v>3.6</c:v>
                </c:pt>
                <c:pt idx="26">
                  <c:v>3.5</c:v>
                </c:pt>
                <c:pt idx="27">
                  <c:v>#N/A</c:v>
                </c:pt>
              </c:numCache>
            </c:numRef>
          </c:val>
          <c:smooth val="0"/>
          <c:extLst>
            <c:ext xmlns:c16="http://schemas.microsoft.com/office/drawing/2014/chart" uri="{C3380CC4-5D6E-409C-BE32-E72D297353CC}">
              <c16:uniqueId val="{00000001-2501-4505-ACCD-2508697C3D9B}"/>
            </c:ext>
          </c:extLst>
        </c:ser>
        <c:ser>
          <c:idx val="2"/>
          <c:order val="2"/>
          <c:tx>
            <c:strRef>
              <c:f>'Figure 1B'!$D$2</c:f>
              <c:strCache>
                <c:ptCount val="1"/>
                <c:pt idx="0">
                  <c:v>Urban population (% of total)</c:v>
                </c:pt>
              </c:strCache>
            </c:strRef>
          </c:tx>
          <c:spPr>
            <a:ln w="28575" cap="rnd">
              <a:solidFill>
                <a:schemeClr val="accent3">
                  <a:tint val="65000"/>
                </a:schemeClr>
              </a:solidFill>
              <a:round/>
            </a:ln>
            <a:effectLst/>
          </c:spPr>
          <c:marker>
            <c:symbol val="none"/>
          </c:marker>
          <c:cat>
            <c:numRef>
              <c:f>'Figure 1B'!$A$3:$A$30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1B'!$D$3:$D$30</c:f>
              <c:numCache>
                <c:formatCode>General</c:formatCode>
                <c:ptCount val="28"/>
                <c:pt idx="0">
                  <c:v>68.900999999999996</c:v>
                </c:pt>
                <c:pt idx="1">
                  <c:v>69.3</c:v>
                </c:pt>
                <c:pt idx="2">
                  <c:v>69.697000000000003</c:v>
                </c:pt>
                <c:pt idx="3">
                  <c:v>70.088999999999999</c:v>
                </c:pt>
                <c:pt idx="4">
                  <c:v>70.521000000000001</c:v>
                </c:pt>
                <c:pt idx="5">
                  <c:v>70.950999999999993</c:v>
                </c:pt>
                <c:pt idx="6">
                  <c:v>71.376999999999981</c:v>
                </c:pt>
                <c:pt idx="7">
                  <c:v>71.798000000000002</c:v>
                </c:pt>
                <c:pt idx="8">
                  <c:v>72.215999999999994</c:v>
                </c:pt>
                <c:pt idx="9">
                  <c:v>72.631</c:v>
                </c:pt>
                <c:pt idx="10">
                  <c:v>73.042000000000002</c:v>
                </c:pt>
                <c:pt idx="11">
                  <c:v>73.447999999999993</c:v>
                </c:pt>
                <c:pt idx="12">
                  <c:v>73.849999999999994</c:v>
                </c:pt>
                <c:pt idx="13">
                  <c:v>74.248999999999995</c:v>
                </c:pt>
                <c:pt idx="14">
                  <c:v>74.644000000000005</c:v>
                </c:pt>
                <c:pt idx="15">
                  <c:v>75.034000000000006</c:v>
                </c:pt>
                <c:pt idx="16">
                  <c:v>75.421000000000006</c:v>
                </c:pt>
                <c:pt idx="17">
                  <c:v>75.802999999999983</c:v>
                </c:pt>
                <c:pt idx="18">
                  <c:v>76.052000000000007</c:v>
                </c:pt>
                <c:pt idx="19">
                  <c:v>76.241</c:v>
                </c:pt>
                <c:pt idx="20">
                  <c:v>76.430000000000007</c:v>
                </c:pt>
                <c:pt idx="21">
                  <c:v>76.617000000000004</c:v>
                </c:pt>
                <c:pt idx="22">
                  <c:v>76.804000000000002</c:v>
                </c:pt>
                <c:pt idx="23">
                  <c:v>76.989000000000004</c:v>
                </c:pt>
                <c:pt idx="24">
                  <c:v>77.172999999999817</c:v>
                </c:pt>
                <c:pt idx="25">
                  <c:v>77.356999999999999</c:v>
                </c:pt>
                <c:pt idx="26">
                  <c:v>77.539000000000001</c:v>
                </c:pt>
                <c:pt idx="27">
                  <c:v>77.72</c:v>
                </c:pt>
              </c:numCache>
            </c:numRef>
          </c:val>
          <c:smooth val="0"/>
          <c:extLst>
            <c:ext xmlns:c16="http://schemas.microsoft.com/office/drawing/2014/chart" uri="{C3380CC4-5D6E-409C-BE32-E72D297353CC}">
              <c16:uniqueId val="{00000002-2501-4505-ACCD-2508697C3D9B}"/>
            </c:ext>
          </c:extLst>
        </c:ser>
        <c:dLbls>
          <c:showLegendKey val="0"/>
          <c:showVal val="0"/>
          <c:showCatName val="0"/>
          <c:showSerName val="0"/>
          <c:showPercent val="0"/>
          <c:showBubbleSize val="0"/>
        </c:dLbls>
        <c:marker val="1"/>
        <c:smooth val="0"/>
        <c:axId val="2145770600"/>
        <c:axId val="2145778728"/>
      </c:lineChart>
      <c:catAx>
        <c:axId val="2145784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89624"/>
        <c:crosses val="autoZero"/>
        <c:auto val="1"/>
        <c:lblAlgn val="ctr"/>
        <c:lblOffset val="100"/>
        <c:tickLblSkip val="5"/>
        <c:noMultiLvlLbl val="0"/>
      </c:catAx>
      <c:valAx>
        <c:axId val="214578962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Constant 2011 International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84072"/>
        <c:crosses val="autoZero"/>
        <c:crossBetween val="between"/>
      </c:valAx>
      <c:valAx>
        <c:axId val="2145778728"/>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Percent of Population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70600"/>
        <c:crosses val="max"/>
        <c:crossBetween val="between"/>
      </c:valAx>
      <c:catAx>
        <c:axId val="2145770600"/>
        <c:scaling>
          <c:orientation val="minMax"/>
        </c:scaling>
        <c:delete val="1"/>
        <c:axPos val="b"/>
        <c:numFmt formatCode="General" sourceLinked="1"/>
        <c:majorTickMark val="out"/>
        <c:minorTickMark val="none"/>
        <c:tickLblPos val="nextTo"/>
        <c:crossAx val="214577872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ambria" panose="020405030504060302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'Figure 1B (2)'!$G$2</c:f>
              <c:strCache>
                <c:ptCount val="1"/>
                <c:pt idx="0">
                  <c:v>Literacy rate, adult total (% of people ages 15 and above)</c:v>
                </c:pt>
              </c:strCache>
            </c:strRef>
          </c:tx>
          <c:spPr>
            <a:ln w="28575" cap="rnd">
              <a:solidFill>
                <a:schemeClr val="accent6"/>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(2)'!$G$3:$G$30</c:f>
              <c:numCache>
                <c:formatCode>General</c:formatCode>
                <c:ptCount val="28"/>
                <c:pt idx="0">
                  <c:v>#N/A</c:v>
                </c:pt>
                <c:pt idx="1">
                  <c:v>#N/A</c:v>
                </c:pt>
                <c:pt idx="2">
                  <c:v>#N/A</c:v>
                </c:pt>
                <c:pt idx="3">
                  <c:v>87.150630000000007</c:v>
                </c:pt>
                <c:pt idx="4">
                  <c:v>#N/A</c:v>
                </c:pt>
                <c:pt idx="5">
                  <c:v>#N/A</c:v>
                </c:pt>
                <c:pt idx="6">
                  <c:v>#N/A</c:v>
                </c:pt>
                <c:pt idx="7">
                  <c:v>#N/A</c:v>
                </c:pt>
                <c:pt idx="8">
                  <c:v>#N/A</c:v>
                </c:pt>
                <c:pt idx="9">
                  <c:v>#N/A</c:v>
                </c:pt>
                <c:pt idx="10">
                  <c:v>#N/A</c:v>
                </c:pt>
                <c:pt idx="11">
                  <c:v>#N/A</c:v>
                </c:pt>
                <c:pt idx="12">
                  <c:v>#N/A</c:v>
                </c:pt>
                <c:pt idx="13">
                  <c:v>#N/A</c:v>
                </c:pt>
                <c:pt idx="14">
                  <c:v>87.669849999999983</c:v>
                </c:pt>
                <c:pt idx="15">
                  <c:v>87.908670000000001</c:v>
                </c:pt>
                <c:pt idx="16">
                  <c:v>88.699339999999978</c:v>
                </c:pt>
                <c:pt idx="17">
                  <c:v>89.590810000000005</c:v>
                </c:pt>
                <c:pt idx="18">
                  <c:v>#N/A</c:v>
                </c:pt>
                <c:pt idx="19">
                  <c:v>#N/A</c:v>
                </c:pt>
                <c:pt idx="20">
                  <c:v>#N/A</c:v>
                </c:pt>
                <c:pt idx="21">
                  <c:v>#N/A</c:v>
                </c:pt>
                <c:pt idx="22">
                  <c:v>93.841730000000013</c:v>
                </c:pt>
                <c:pt idx="23">
                  <c:v>#N/A</c:v>
                </c:pt>
                <c:pt idx="24">
                  <c:v>93.707949999999997</c:v>
                </c:pt>
                <c:pt idx="25">
                  <c:v>94.162339999999972</c:v>
                </c:pt>
                <c:pt idx="26">
                  <c:v>94.173669999999973</c:v>
                </c:pt>
                <c:pt idx="27">
                  <c:v>#N/A</c:v>
                </c:pt>
              </c:numCache>
            </c:numRef>
          </c:val>
          <c:smooth val="0"/>
          <c:extLst>
            <c:ext xmlns:c16="http://schemas.microsoft.com/office/drawing/2014/chart" uri="{C3380CC4-5D6E-409C-BE32-E72D297353CC}">
              <c16:uniqueId val="{00000000-08F8-4A45-90B6-41CE6916B17C}"/>
            </c:ext>
          </c:extLst>
        </c:ser>
        <c:ser>
          <c:idx val="1"/>
          <c:order val="1"/>
          <c:tx>
            <c:strRef>
              <c:f>'Figure 1B (2)'!$H$2</c:f>
              <c:strCache>
                <c:ptCount val="1"/>
                <c:pt idx="0">
                  <c:v>Literacy rate, adult female (% of females ages 15 and above)</c:v>
                </c:pt>
              </c:strCache>
            </c:strRef>
          </c:tx>
          <c:spPr>
            <a:ln w="28575" cap="rnd">
              <a:solidFill>
                <a:schemeClr val="accent5"/>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(2)'!$H$3:$H$30</c:f>
              <c:numCache>
                <c:formatCode>General</c:formatCode>
                <c:ptCount val="28"/>
                <c:pt idx="0">
                  <c:v>#N/A</c:v>
                </c:pt>
                <c:pt idx="1">
                  <c:v>#N/A</c:v>
                </c:pt>
                <c:pt idx="2">
                  <c:v>#N/A</c:v>
                </c:pt>
                <c:pt idx="3">
                  <c:v>81.658749999999969</c:v>
                </c:pt>
                <c:pt idx="4">
                  <c:v>#N/A</c:v>
                </c:pt>
                <c:pt idx="5">
                  <c:v>#N/A</c:v>
                </c:pt>
                <c:pt idx="6">
                  <c:v>#N/A</c:v>
                </c:pt>
                <c:pt idx="7">
                  <c:v>#N/A</c:v>
                </c:pt>
                <c:pt idx="8">
                  <c:v>#N/A</c:v>
                </c:pt>
                <c:pt idx="9">
                  <c:v>#N/A</c:v>
                </c:pt>
                <c:pt idx="10">
                  <c:v>#N/A</c:v>
                </c:pt>
                <c:pt idx="11">
                  <c:v>#N/A</c:v>
                </c:pt>
                <c:pt idx="12">
                  <c:v>#N/A</c:v>
                </c:pt>
                <c:pt idx="13">
                  <c:v>#N/A</c:v>
                </c:pt>
                <c:pt idx="14">
                  <c:v>82.062619999999995</c:v>
                </c:pt>
                <c:pt idx="15">
                  <c:v>82.454369999999997</c:v>
                </c:pt>
                <c:pt idx="16">
                  <c:v>83.45487</c:v>
                </c:pt>
                <c:pt idx="17">
                  <c:v>84.646879999999982</c:v>
                </c:pt>
                <c:pt idx="18">
                  <c:v>#N/A</c:v>
                </c:pt>
                <c:pt idx="19">
                  <c:v>#N/A</c:v>
                </c:pt>
                <c:pt idx="20">
                  <c:v>#N/A</c:v>
                </c:pt>
                <c:pt idx="21">
                  <c:v>#N/A</c:v>
                </c:pt>
                <c:pt idx="22">
                  <c:v>90.668829999999986</c:v>
                </c:pt>
                <c:pt idx="23">
                  <c:v>#N/A</c:v>
                </c:pt>
                <c:pt idx="24">
                  <c:v>90.449179999999998</c:v>
                </c:pt>
                <c:pt idx="25">
                  <c:v>91.246530000000007</c:v>
                </c:pt>
                <c:pt idx="26">
                  <c:v>91.188529999999986</c:v>
                </c:pt>
                <c:pt idx="27">
                  <c:v>#N/A</c:v>
                </c:pt>
              </c:numCache>
            </c:numRef>
          </c:val>
          <c:smooth val="0"/>
          <c:extLst>
            <c:ext xmlns:c16="http://schemas.microsoft.com/office/drawing/2014/chart" uri="{C3380CC4-5D6E-409C-BE32-E72D297353CC}">
              <c16:uniqueId val="{00000001-08F8-4A45-90B6-41CE6916B17C}"/>
            </c:ext>
          </c:extLst>
        </c:ser>
        <c:ser>
          <c:idx val="2"/>
          <c:order val="2"/>
          <c:tx>
            <c:strRef>
              <c:f>'Figure 1B (2)'!$I$2</c:f>
              <c:strCache>
                <c:ptCount val="1"/>
                <c:pt idx="0">
                  <c:v>Gender Development Index (x 100)</c:v>
                </c:pt>
              </c:strCache>
            </c:strRef>
          </c:tx>
          <c:spPr>
            <a:ln w="28575" cap="rnd">
              <a:solidFill>
                <a:schemeClr val="accent2">
                  <a:lumMod val="75000"/>
                </a:schemeClr>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(2)'!$I$3:$I$30</c:f>
              <c:numCache>
                <c:formatCode>General</c:formatCode>
                <c:ptCount val="28"/>
                <c:pt idx="0">
                  <c:v>#N/A</c:v>
                </c:pt>
                <c:pt idx="1">
                  <c:v>#N/A</c:v>
                </c:pt>
                <c:pt idx="2">
                  <c:v>#N/A</c:v>
                </c:pt>
                <c:pt idx="3">
                  <c:v>#N/A</c:v>
                </c:pt>
                <c:pt idx="4">
                  <c:v>#N/A</c:v>
                </c:pt>
                <c:pt idx="5">
                  <c:v>#N/A</c:v>
                </c:pt>
                <c:pt idx="6">
                  <c:v>#N/A</c:v>
                </c:pt>
                <c:pt idx="7">
                  <c:v>#N/A</c:v>
                </c:pt>
                <c:pt idx="8">
                  <c:v>#N/A</c:v>
                </c:pt>
                <c:pt idx="9">
                  <c:v>#N/A</c:v>
                </c:pt>
                <c:pt idx="10">
                  <c:v>92.1</c:v>
                </c:pt>
                <c:pt idx="11">
                  <c:v>#N/A</c:v>
                </c:pt>
                <c:pt idx="12">
                  <c:v>#N/A</c:v>
                </c:pt>
                <c:pt idx="13">
                  <c:v>#N/A</c:v>
                </c:pt>
                <c:pt idx="14">
                  <c:v>#N/A</c:v>
                </c:pt>
                <c:pt idx="15">
                  <c:v>93.5</c:v>
                </c:pt>
                <c:pt idx="16">
                  <c:v>#N/A</c:v>
                </c:pt>
                <c:pt idx="17">
                  <c:v>#N/A</c:v>
                </c:pt>
                <c:pt idx="18">
                  <c:v>#N/A</c:v>
                </c:pt>
                <c:pt idx="19">
                  <c:v>#N/A</c:v>
                </c:pt>
                <c:pt idx="20">
                  <c:v>93.5</c:v>
                </c:pt>
                <c:pt idx="21">
                  <c:v>93.9</c:v>
                </c:pt>
                <c:pt idx="22">
                  <c:v>94.4</c:v>
                </c:pt>
                <c:pt idx="23">
                  <c:v>94.7</c:v>
                </c:pt>
                <c:pt idx="24">
                  <c:v>94.9</c:v>
                </c:pt>
                <c:pt idx="25">
                  <c:v>94.5</c:v>
                </c:pt>
                <c:pt idx="26">
                  <c:v>94.9</c:v>
                </c:pt>
                <c:pt idx="27">
                  <c:v>95</c:v>
                </c:pt>
              </c:numCache>
            </c:numRef>
          </c:val>
          <c:smooth val="0"/>
          <c:extLst>
            <c:ext xmlns:c16="http://schemas.microsoft.com/office/drawing/2014/chart" uri="{C3380CC4-5D6E-409C-BE32-E72D297353CC}">
              <c16:uniqueId val="{00000002-08F8-4A45-90B6-41CE6916B17C}"/>
            </c:ext>
          </c:extLst>
        </c:ser>
        <c:ser>
          <c:idx val="3"/>
          <c:order val="3"/>
          <c:tx>
            <c:strRef>
              <c:f>'Figure 1B (2)'!$J$2</c:f>
              <c:strCache>
                <c:ptCount val="1"/>
                <c:pt idx="0">
                  <c:v>Access to improved water (% population)</c:v>
                </c:pt>
              </c:strCache>
            </c:strRef>
          </c:tx>
          <c:spPr>
            <a:ln w="28575" cap="rnd">
              <a:solidFill>
                <a:schemeClr val="accent6">
                  <a:lumMod val="60000"/>
                </a:schemeClr>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(2)'!$J$3:$J$30</c:f>
              <c:numCache>
                <c:formatCode>General</c:formatCode>
                <c:ptCount val="28"/>
                <c:pt idx="10" formatCode="0.0">
                  <c:v>81.599999999999994</c:v>
                </c:pt>
                <c:pt idx="11" formatCode="0.0">
                  <c:v>82.3</c:v>
                </c:pt>
                <c:pt idx="12" formatCode="0.0">
                  <c:v>83</c:v>
                </c:pt>
                <c:pt idx="13" formatCode="0.0">
                  <c:v>83.7</c:v>
                </c:pt>
                <c:pt idx="14" formatCode="0.0">
                  <c:v>84.4</c:v>
                </c:pt>
                <c:pt idx="15" formatCode="0.0">
                  <c:v>85</c:v>
                </c:pt>
                <c:pt idx="16" formatCode="0.0">
                  <c:v>85.7</c:v>
                </c:pt>
                <c:pt idx="17" formatCode="0.0">
                  <c:v>86.3</c:v>
                </c:pt>
                <c:pt idx="18" formatCode="0.0">
                  <c:v>87</c:v>
                </c:pt>
                <c:pt idx="19" formatCode="0.0">
                  <c:v>87.6</c:v>
                </c:pt>
                <c:pt idx="20" formatCode="0.0">
                  <c:v>88.2</c:v>
                </c:pt>
                <c:pt idx="21" formatCode="0.0">
                  <c:v>88.8</c:v>
                </c:pt>
                <c:pt idx="22" formatCode="0.0">
                  <c:v>89.4</c:v>
                </c:pt>
                <c:pt idx="23" formatCode="0.0">
                  <c:v>89.9</c:v>
                </c:pt>
                <c:pt idx="24" formatCode="0.0">
                  <c:v>90.5</c:v>
                </c:pt>
                <c:pt idx="25" formatCode="0.0">
                  <c:v>91.1</c:v>
                </c:pt>
              </c:numCache>
            </c:numRef>
          </c:val>
          <c:smooth val="0"/>
          <c:extLst>
            <c:ext xmlns:c16="http://schemas.microsoft.com/office/drawing/2014/chart" uri="{C3380CC4-5D6E-409C-BE32-E72D297353CC}">
              <c16:uniqueId val="{00000003-08F8-4A45-90B6-41CE6916B17C}"/>
            </c:ext>
          </c:extLst>
        </c:ser>
        <c:ser>
          <c:idx val="4"/>
          <c:order val="4"/>
          <c:tx>
            <c:strRef>
              <c:f>'Figure 1B (2)'!$K$2</c:f>
              <c:strCache>
                <c:ptCount val="1"/>
                <c:pt idx="0">
                  <c:v>People practicing open defecation (% of population)</c:v>
                </c:pt>
              </c:strCache>
            </c:strRef>
          </c:tx>
          <c:spPr>
            <a:ln w="28575" cap="rnd">
              <a:solidFill>
                <a:schemeClr val="accent5">
                  <a:lumMod val="60000"/>
                </a:schemeClr>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(2)'!$K$3:$K$30</c:f>
              <c:numCache>
                <c:formatCode>General</c:formatCode>
                <c:ptCount val="28"/>
                <c:pt idx="10">
                  <c:v>19.1671456294509</c:v>
                </c:pt>
                <c:pt idx="11">
                  <c:v>18.257906147607699</c:v>
                </c:pt>
                <c:pt idx="12">
                  <c:v>17.366193943037</c:v>
                </c:pt>
                <c:pt idx="13">
                  <c:v>16.4913695175069</c:v>
                </c:pt>
                <c:pt idx="14">
                  <c:v>15.6336435616246</c:v>
                </c:pt>
                <c:pt idx="15">
                  <c:v>14.793148800974301</c:v>
                </c:pt>
                <c:pt idx="16">
                  <c:v>13.9688986079281</c:v>
                </c:pt>
                <c:pt idx="17">
                  <c:v>13.161372837466899</c:v>
                </c:pt>
                <c:pt idx="18">
                  <c:v>12.3696628269852</c:v>
                </c:pt>
                <c:pt idx="19">
                  <c:v>11.5953250889592</c:v>
                </c:pt>
                <c:pt idx="20">
                  <c:v>10.8372950307384</c:v>
                </c:pt>
                <c:pt idx="21">
                  <c:v>10.0956626821905</c:v>
                </c:pt>
                <c:pt idx="22">
                  <c:v>9.3694414156873798</c:v>
                </c:pt>
                <c:pt idx="23">
                  <c:v>8.6586432960743291</c:v>
                </c:pt>
                <c:pt idx="24">
                  <c:v>7.96235966074563</c:v>
                </c:pt>
                <c:pt idx="25">
                  <c:v>7.2801811933326697</c:v>
                </c:pt>
              </c:numCache>
            </c:numRef>
          </c:val>
          <c:smooth val="0"/>
          <c:extLst>
            <c:ext xmlns:c16="http://schemas.microsoft.com/office/drawing/2014/chart" uri="{C3380CC4-5D6E-409C-BE32-E72D297353CC}">
              <c16:uniqueId val="{00000004-08F8-4A45-90B6-41CE6916B17C}"/>
            </c:ext>
          </c:extLst>
        </c:ser>
        <c:dLbls>
          <c:showLegendKey val="0"/>
          <c:showVal val="0"/>
          <c:showCatName val="0"/>
          <c:showSerName val="0"/>
          <c:showPercent val="0"/>
          <c:showBubbleSize val="0"/>
        </c:dLbls>
        <c:smooth val="0"/>
        <c:axId val="2145708808"/>
        <c:axId val="2145703048"/>
      </c:lineChart>
      <c:catAx>
        <c:axId val="2145708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03048"/>
        <c:crosses val="autoZero"/>
        <c:auto val="1"/>
        <c:lblAlgn val="ctr"/>
        <c:lblOffset val="100"/>
        <c:tickLblSkip val="5"/>
        <c:noMultiLvlLbl val="0"/>
      </c:catAx>
      <c:valAx>
        <c:axId val="214570304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Percent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08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ambria" panose="020405030504060302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8203794345527"/>
          <c:y val="2.4848108225175299E-2"/>
          <c:w val="0.89179620565447404"/>
          <c:h val="0.95197557510728303"/>
        </c:manualLayout>
      </c:layout>
      <c:barChart>
        <c:barDir val="col"/>
        <c:grouping val="clustered"/>
        <c:varyColors val="0"/>
        <c:ser>
          <c:idx val="1"/>
          <c:order val="1"/>
          <c:tx>
            <c:strRef>
              <c:f>'Table2-mul(under 5y)Dept'!$G$242</c:f>
              <c:strCache>
                <c:ptCount val="1"/>
                <c:pt idx="0">
                  <c:v>Maternal and newborn healthcare</c:v>
                </c:pt>
              </c:strCache>
            </c:strRef>
          </c:tx>
          <c:spPr>
            <a:solidFill>
              <a:srgbClr val="A5A5A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5y)Dept'!$H$242</c:f>
              <c:numCache>
                <c:formatCode>0.00</c:formatCode>
                <c:ptCount val="1"/>
                <c:pt idx="0">
                  <c:v>0.12278945982</c:v>
                </c:pt>
              </c:numCache>
            </c:numRef>
          </c:val>
          <c:extLst>
            <c:ext xmlns:c16="http://schemas.microsoft.com/office/drawing/2014/chart" uri="{C3380CC4-5D6E-409C-BE32-E72D297353CC}">
              <c16:uniqueId val="{00000000-03ED-4E57-941E-984A7EEAA52C}"/>
            </c:ext>
          </c:extLst>
        </c:ser>
        <c:ser>
          <c:idx val="2"/>
          <c:order val="2"/>
          <c:tx>
            <c:strRef>
              <c:f>'Table2-mul(under 5y)Dept'!$G$243</c:f>
              <c:strCache>
                <c:ptCount val="1"/>
                <c:pt idx="0">
                  <c:v>Maternal nutrition</c:v>
                </c:pt>
              </c:strCache>
            </c:strRef>
          </c:tx>
          <c:spPr>
            <a:solidFill>
              <a:srgbClr val="ED7D3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5y)Dept'!$H$243</c:f>
              <c:numCache>
                <c:formatCode>0.00</c:formatCode>
                <c:ptCount val="1"/>
                <c:pt idx="0">
                  <c:v>0.115124508</c:v>
                </c:pt>
              </c:numCache>
            </c:numRef>
          </c:val>
          <c:extLst>
            <c:ext xmlns:c16="http://schemas.microsoft.com/office/drawing/2014/chart" uri="{C3380CC4-5D6E-409C-BE32-E72D297353CC}">
              <c16:uniqueId val="{00000001-03ED-4E57-941E-984A7EEAA52C}"/>
            </c:ext>
          </c:extLst>
        </c:ser>
        <c:ser>
          <c:idx val="3"/>
          <c:order val="3"/>
          <c:tx>
            <c:strRef>
              <c:f>'Table2-mul(under 5y)Dept'!$G$244</c:f>
              <c:strCache>
                <c:ptCount val="1"/>
                <c:pt idx="0">
                  <c:v>Mother education</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5y)Dept'!$H$244</c:f>
              <c:numCache>
                <c:formatCode>0.00</c:formatCode>
                <c:ptCount val="1"/>
                <c:pt idx="0">
                  <c:v>7.7458799999999994E-2</c:v>
                </c:pt>
              </c:numCache>
            </c:numRef>
          </c:val>
          <c:extLst>
            <c:ext xmlns:c16="http://schemas.microsoft.com/office/drawing/2014/chart" uri="{C3380CC4-5D6E-409C-BE32-E72D297353CC}">
              <c16:uniqueId val="{00000002-03ED-4E57-941E-984A7EEAA52C}"/>
            </c:ext>
          </c:extLst>
        </c:ser>
        <c:ser>
          <c:idx val="4"/>
          <c:order val="4"/>
          <c:tx>
            <c:strRef>
              <c:f>'Table2-mul(under 5y)Dept'!$G$246</c:f>
              <c:strCache>
                <c:ptCount val="1"/>
                <c:pt idx="0">
                  <c:v>Fertility</c:v>
                </c:pt>
              </c:strCache>
            </c:strRef>
          </c:tx>
          <c:spPr>
            <a:solidFill>
              <a:srgbClr val="70AD4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5y)Dept'!$H$246</c:f>
              <c:numCache>
                <c:formatCode>0.00</c:formatCode>
                <c:ptCount val="1"/>
                <c:pt idx="0">
                  <c:v>6.5621521099999996E-2</c:v>
                </c:pt>
              </c:numCache>
            </c:numRef>
          </c:val>
          <c:extLst>
            <c:ext xmlns:c16="http://schemas.microsoft.com/office/drawing/2014/chart" uri="{C3380CC4-5D6E-409C-BE32-E72D297353CC}">
              <c16:uniqueId val="{00000003-03ED-4E57-941E-984A7EEAA52C}"/>
            </c:ext>
          </c:extLst>
        </c:ser>
        <c:ser>
          <c:idx val="5"/>
          <c:order val="5"/>
          <c:tx>
            <c:strRef>
              <c:f>'Table2-mul(under 5y)Dept'!$G$247</c:f>
              <c:strCache>
                <c:ptCount val="1"/>
                <c:pt idx="0">
                  <c:v>Mountainous population migration</c:v>
                </c:pt>
              </c:strCache>
            </c:strRef>
          </c:tx>
          <c:spPr>
            <a:solidFill>
              <a:srgbClr val="25619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5y)Dept'!$H$247</c:f>
              <c:numCache>
                <c:formatCode>0.00</c:formatCode>
                <c:ptCount val="1"/>
                <c:pt idx="0">
                  <c:v>4.6920004500000001E-2</c:v>
                </c:pt>
              </c:numCache>
            </c:numRef>
          </c:val>
          <c:extLst>
            <c:ext xmlns:c16="http://schemas.microsoft.com/office/drawing/2014/chart" uri="{C3380CC4-5D6E-409C-BE32-E72D297353CC}">
              <c16:uniqueId val="{00000004-03ED-4E57-941E-984A7EEAA52C}"/>
            </c:ext>
          </c:extLst>
        </c:ser>
        <c:ser>
          <c:idx val="6"/>
          <c:order val="6"/>
          <c:tx>
            <c:strRef>
              <c:f>'Table2-mul(under 5y)Dept'!$G$248</c:f>
              <c:strCache>
                <c:ptCount val="1"/>
                <c:pt idx="0">
                  <c:v>Reduction in household crowding</c:v>
                </c:pt>
              </c:strCache>
            </c:strRef>
          </c:tx>
          <c:spPr>
            <a:solidFill>
              <a:srgbClr val="9E48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5y)Dept'!$H$248</c:f>
              <c:numCache>
                <c:formatCode>0.00</c:formatCode>
                <c:ptCount val="1"/>
                <c:pt idx="0">
                  <c:v>1.8470077599999999E-2</c:v>
                </c:pt>
              </c:numCache>
            </c:numRef>
          </c:val>
          <c:extLst>
            <c:ext xmlns:c16="http://schemas.microsoft.com/office/drawing/2014/chart" uri="{C3380CC4-5D6E-409C-BE32-E72D297353CC}">
              <c16:uniqueId val="{00000005-03ED-4E57-941E-984A7EEAA52C}"/>
            </c:ext>
          </c:extLst>
        </c:ser>
        <c:ser>
          <c:idx val="14"/>
          <c:order val="7"/>
          <c:tx>
            <c:strRef>
              <c:f>'Table2-mul(under 5y)Dept'!$G$245</c:f>
              <c:strCache>
                <c:ptCount val="1"/>
                <c:pt idx="0">
                  <c:v>Father education</c:v>
                </c:pt>
              </c:strCache>
            </c:strRef>
          </c:tx>
          <c:spPr>
            <a:solidFill>
              <a:srgbClr val="32A0E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'Table2-mul(under 5y)Dept'!$H$245</c:f>
              <c:numCache>
                <c:formatCode>0.000</c:formatCode>
                <c:ptCount val="1"/>
                <c:pt idx="0">
                  <c:v>1.1549881200000001E-2</c:v>
                </c:pt>
              </c:numCache>
            </c:numRef>
          </c:val>
          <c:extLst>
            <c:ext xmlns:c16="http://schemas.microsoft.com/office/drawing/2014/chart" uri="{C3380CC4-5D6E-409C-BE32-E72D297353CC}">
              <c16:uniqueId val="{00000006-03ED-4E57-941E-984A7EEAA52C}"/>
            </c:ext>
          </c:extLst>
        </c:ser>
        <c:ser>
          <c:idx val="7"/>
          <c:order val="8"/>
          <c:tx>
            <c:strRef>
              <c:f>'Table2-mul(under 5y)Dept'!$G$249</c:f>
              <c:strCache>
                <c:ptCount val="1"/>
                <c:pt idx="0">
                  <c:v>Intrauterine growth</c:v>
                </c:pt>
              </c:strCache>
            </c:strRef>
          </c:tx>
          <c:spPr>
            <a:solidFill>
              <a:srgbClr val="9973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5y)Dept'!$H$249</c:f>
              <c:numCache>
                <c:formatCode>0.00</c:formatCode>
                <c:ptCount val="1"/>
                <c:pt idx="0">
                  <c:v>8.0279465000000008E-3</c:v>
                </c:pt>
              </c:numCache>
            </c:numRef>
          </c:val>
          <c:extLst>
            <c:ext xmlns:c16="http://schemas.microsoft.com/office/drawing/2014/chart" uri="{C3380CC4-5D6E-409C-BE32-E72D297353CC}">
              <c16:uniqueId val="{00000007-03ED-4E57-941E-984A7EEAA52C}"/>
            </c:ext>
          </c:extLst>
        </c:ser>
        <c:ser>
          <c:idx val="8"/>
          <c:order val="9"/>
          <c:tx>
            <c:strRef>
              <c:f>'Table2-mul(under 5y)Dept'!$G$250</c:f>
              <c:strCache>
                <c:ptCount val="1"/>
                <c:pt idx="0">
                  <c:v>Disease (diarrhea)</c:v>
                </c:pt>
              </c:strCache>
            </c:strRef>
          </c:tx>
          <c:spPr>
            <a:solidFill>
              <a:srgbClr val="8C0216"/>
            </a:solidFill>
            <a:ln>
              <a:noFill/>
            </a:ln>
            <a:effectLst/>
          </c:spPr>
          <c:invertIfNegative val="0"/>
          <c:dPt>
            <c:idx val="0"/>
            <c:invertIfNegative val="0"/>
            <c:bubble3D val="0"/>
            <c:spPr>
              <a:solidFill>
                <a:srgbClr val="F61E1E"/>
              </a:solidFill>
              <a:ln>
                <a:noFill/>
              </a:ln>
              <a:effectLst/>
            </c:spPr>
            <c:extLst>
              <c:ext xmlns:c16="http://schemas.microsoft.com/office/drawing/2014/chart" uri="{C3380CC4-5D6E-409C-BE32-E72D297353CC}">
                <c16:uniqueId val="{00000009-03ED-4E57-941E-984A7EEAA52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5y)Dept'!$H$250</c:f>
              <c:numCache>
                <c:formatCode>0.00</c:formatCode>
                <c:ptCount val="1"/>
                <c:pt idx="0">
                  <c:v>2.70916725E-3</c:v>
                </c:pt>
              </c:numCache>
            </c:numRef>
          </c:val>
          <c:extLst>
            <c:ext xmlns:c16="http://schemas.microsoft.com/office/drawing/2014/chart" uri="{C3380CC4-5D6E-409C-BE32-E72D297353CC}">
              <c16:uniqueId val="{0000000A-03ED-4E57-941E-984A7EEAA52C}"/>
            </c:ext>
          </c:extLst>
        </c:ser>
        <c:ser>
          <c:idx val="9"/>
          <c:order val="10"/>
          <c:tx>
            <c:strRef>
              <c:f>'Table2-mul(under 5y)Dept'!$G$251</c:f>
              <c:strCache>
                <c:ptCount val="1"/>
                <c:pt idx="0">
                  <c:v>Older age pregnancy</c:v>
                </c:pt>
              </c:strCache>
            </c:strRef>
          </c:tx>
          <c:spPr>
            <a:solidFill>
              <a:srgbClr val="B8388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5y)Dept'!$H$251</c:f>
              <c:numCache>
                <c:formatCode>0.00</c:formatCode>
                <c:ptCount val="1"/>
                <c:pt idx="0">
                  <c:v>2.2077761039999999E-3</c:v>
                </c:pt>
              </c:numCache>
            </c:numRef>
          </c:val>
          <c:extLst>
            <c:ext xmlns:c16="http://schemas.microsoft.com/office/drawing/2014/chart" uri="{C3380CC4-5D6E-409C-BE32-E72D297353CC}">
              <c16:uniqueId val="{0000000B-03ED-4E57-941E-984A7EEAA52C}"/>
            </c:ext>
          </c:extLst>
        </c:ser>
        <c:ser>
          <c:idx val="10"/>
          <c:order val="11"/>
          <c:tx>
            <c:strRef>
              <c:f>'Table2-mul(under 5y)Dept'!$G$252</c:f>
              <c:strCache>
                <c:ptCount val="1"/>
                <c:pt idx="0">
                  <c:v>Others</c:v>
                </c:pt>
              </c:strCache>
            </c:strRef>
          </c:tx>
          <c:spPr>
            <a:solidFill>
              <a:srgbClr val="6363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5y)Dept'!$H$252</c:f>
              <c:numCache>
                <c:formatCode>0.00</c:formatCode>
                <c:ptCount val="1"/>
                <c:pt idx="0">
                  <c:v>-5.0218454338499998E-3</c:v>
                </c:pt>
              </c:numCache>
            </c:numRef>
          </c:val>
          <c:extLst>
            <c:ext xmlns:c16="http://schemas.microsoft.com/office/drawing/2014/chart" uri="{C3380CC4-5D6E-409C-BE32-E72D297353CC}">
              <c16:uniqueId val="{0000000C-03ED-4E57-941E-984A7EEAA52C}"/>
            </c:ext>
          </c:extLst>
        </c:ser>
        <c:ser>
          <c:idx val="11"/>
          <c:order val="12"/>
          <c:tx>
            <c:strRef>
              <c:f>'Table2-mul(under 5y)Dept'!$G$253</c:f>
              <c:strCache>
                <c:ptCount val="1"/>
                <c:pt idx="0">
                  <c:v>Childhood vaccines</c:v>
                </c:pt>
              </c:strCache>
            </c:strRef>
          </c:tx>
          <c:spPr>
            <a:solidFill>
              <a:srgbClr val="D2DC1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5y)Dept'!$H$253</c:f>
              <c:numCache>
                <c:formatCode>0.00</c:formatCode>
                <c:ptCount val="1"/>
                <c:pt idx="0">
                  <c:v>-4.829041872E-3</c:v>
                </c:pt>
              </c:numCache>
            </c:numRef>
          </c:val>
          <c:extLst>
            <c:ext xmlns:c16="http://schemas.microsoft.com/office/drawing/2014/chart" uri="{C3380CC4-5D6E-409C-BE32-E72D297353CC}">
              <c16:uniqueId val="{0000000D-03ED-4E57-941E-984A7EEAA52C}"/>
            </c:ext>
          </c:extLst>
        </c:ser>
        <c:ser>
          <c:idx val="12"/>
          <c:order val="13"/>
          <c:tx>
            <c:strRef>
              <c:f>'Table2-mul(under 5y)Dept'!$G$254</c:f>
              <c:strCache>
                <c:ptCount val="1"/>
                <c:pt idx="0">
                  <c:v>Breastfeeding practices</c:v>
                </c:pt>
              </c:strCache>
            </c:strRef>
          </c:tx>
          <c:spPr>
            <a:solidFill>
              <a:srgbClr val="8E9F8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5y)Dept'!$H$254</c:f>
              <c:numCache>
                <c:formatCode>0.00</c:formatCode>
                <c:ptCount val="1"/>
                <c:pt idx="0">
                  <c:v>-7.0527992000000003E-3</c:v>
                </c:pt>
              </c:numCache>
            </c:numRef>
          </c:val>
          <c:extLst>
            <c:ext xmlns:c16="http://schemas.microsoft.com/office/drawing/2014/chart" uri="{C3380CC4-5D6E-409C-BE32-E72D297353CC}">
              <c16:uniqueId val="{0000000E-03ED-4E57-941E-984A7EEAA52C}"/>
            </c:ext>
          </c:extLst>
        </c:ser>
        <c:ser>
          <c:idx val="13"/>
          <c:order val="14"/>
          <c:tx>
            <c:strRef>
              <c:f>'Table2-mul(under 5y)Dept'!$G$255</c:f>
              <c:strCache>
                <c:ptCount val="1"/>
                <c:pt idx="0">
                  <c:v>Wealth accumulation</c:v>
                </c:pt>
              </c:strCache>
            </c:strRef>
          </c:tx>
          <c:spPr>
            <a:solidFill>
              <a:srgbClr val="F1975A"/>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5y)Dept'!$H$255</c:f>
              <c:numCache>
                <c:formatCode>0.00</c:formatCode>
                <c:ptCount val="1"/>
                <c:pt idx="0">
                  <c:v>-1.8834861000000001E-2</c:v>
                </c:pt>
              </c:numCache>
            </c:numRef>
          </c:val>
          <c:extLst>
            <c:ext xmlns:c16="http://schemas.microsoft.com/office/drawing/2014/chart" uri="{C3380CC4-5D6E-409C-BE32-E72D297353CC}">
              <c16:uniqueId val="{0000000F-03ED-4E57-941E-984A7EEAA52C}"/>
            </c:ext>
          </c:extLst>
        </c:ser>
        <c:dLbls>
          <c:showLegendKey val="0"/>
          <c:showVal val="0"/>
          <c:showCatName val="0"/>
          <c:showSerName val="0"/>
          <c:showPercent val="0"/>
          <c:showBubbleSize val="0"/>
        </c:dLbls>
        <c:gapWidth val="219"/>
        <c:overlap val="-27"/>
        <c:axId val="2145433000"/>
        <c:axId val="2145435976"/>
        <c:extLst>
          <c:ext xmlns:c15="http://schemas.microsoft.com/office/drawing/2012/chart" uri="{02D57815-91ED-43cb-92C2-25804820EDAC}">
            <c15:filteredBarSeries>
              <c15:ser>
                <c:idx val="0"/>
                <c:order val="0"/>
                <c:tx>
                  <c:strRef>
                    <c:extLst>
                      <c:ext uri="{02D57815-91ED-43cb-92C2-25804820EDAC}">
                        <c15:formulaRef>
                          <c15:sqref>'Table2-mul(under 5y)Dept'!$G$241</c15:sqref>
                        </c15:formulaRef>
                      </c:ext>
                    </c:extLst>
                    <c:strCache>
                      <c:ptCount val="1"/>
                    </c:strCache>
                  </c:strRef>
                </c:tx>
                <c:spPr>
                  <a:solidFill>
                    <a:schemeClr val="accent1"/>
                  </a:solidFill>
                  <a:ln>
                    <a:noFill/>
                  </a:ln>
                  <a:effectLst/>
                </c:spPr>
                <c:invertIfNegative val="0"/>
                <c:cat>
                  <c:strRef>
                    <c:extLst>
                      <c:ext uri="{02D57815-91ED-43cb-92C2-25804820EDAC}">
                        <c15:formulaRef>
                          <c15:sqref>'Table2-mul(under 5y)Dept'!$H$240</c15:sqref>
                        </c15:formulaRef>
                      </c:ext>
                    </c:extLst>
                    <c:strCache>
                      <c:ptCount val="1"/>
                      <c:pt idx="0">
                        <c:v>Predicted Change in HAZ</c:v>
                      </c:pt>
                    </c:strCache>
                  </c:strRef>
                </c:cat>
                <c:val>
                  <c:numRef>
                    <c:extLst>
                      <c:ext uri="{02D57815-91ED-43cb-92C2-25804820EDAC}">
                        <c15:formulaRef>
                          <c15:sqref>'Table2-mul(under 5y)Dept'!$H$241</c15:sqref>
                        </c15:formulaRef>
                      </c:ext>
                    </c:extLst>
                    <c:numCache>
                      <c:formatCode>General</c:formatCode>
                      <c:ptCount val="1"/>
                    </c:numCache>
                  </c:numRef>
                </c:val>
                <c:extLst>
                  <c:ext xmlns:c16="http://schemas.microsoft.com/office/drawing/2014/chart" uri="{C3380CC4-5D6E-409C-BE32-E72D297353CC}">
                    <c16:uniqueId val="{00000010-03ED-4E57-941E-984A7EEAA52C}"/>
                  </c:ext>
                </c:extLst>
              </c15:ser>
            </c15:filteredBarSeries>
          </c:ext>
        </c:extLst>
      </c:barChart>
      <c:catAx>
        <c:axId val="2145433000"/>
        <c:scaling>
          <c:orientation val="minMax"/>
        </c:scaling>
        <c:delete val="1"/>
        <c:axPos val="b"/>
        <c:numFmt formatCode="General" sourceLinked="1"/>
        <c:majorTickMark val="none"/>
        <c:minorTickMark val="none"/>
        <c:tickLblPos val="nextTo"/>
        <c:crossAx val="2145435976"/>
        <c:crosses val="autoZero"/>
        <c:auto val="1"/>
        <c:lblAlgn val="ctr"/>
        <c:lblOffset val="100"/>
        <c:noMultiLvlLbl val="0"/>
      </c:catAx>
      <c:valAx>
        <c:axId val="2145435976"/>
        <c:scaling>
          <c:orientation val="minMax"/>
          <c:max val="0.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Predicted change in HAZ</a:t>
                </a:r>
              </a:p>
            </c:rich>
          </c:tx>
          <c:layout>
            <c:manualLayout>
              <c:xMode val="edge"/>
              <c:yMode val="edge"/>
              <c:x val="7.1353243006786297E-3"/>
              <c:y val="0.3068691631569310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5433000"/>
        <c:crosses val="autoZero"/>
        <c:crossBetween val="between"/>
      </c:valAx>
      <c:spPr>
        <a:noFill/>
        <a:ln>
          <a:noFill/>
        </a:ln>
        <a:effectLst/>
      </c:spPr>
    </c:plotArea>
    <c:legend>
      <c:legendPos val="b"/>
      <c:layout>
        <c:manualLayout>
          <c:xMode val="edge"/>
          <c:yMode val="edge"/>
          <c:x val="0.113992604186088"/>
          <c:y val="5.9355071941368701E-2"/>
          <c:w val="0.85270835845126403"/>
          <c:h val="0.178460904596227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778203400250606E-2"/>
          <c:y val="6.1858823211146399E-2"/>
          <c:w val="0.88707321494723101"/>
          <c:h val="0.91124725813799401"/>
        </c:manualLayout>
      </c:layout>
      <c:barChart>
        <c:barDir val="col"/>
        <c:grouping val="clustered"/>
        <c:varyColors val="0"/>
        <c:ser>
          <c:idx val="0"/>
          <c:order val="0"/>
          <c:tx>
            <c:strRef>
              <c:f>'Table2-mul(6-23m)Dept'!$G$242</c:f>
              <c:strCache>
                <c:ptCount val="1"/>
                <c:pt idx="0">
                  <c:v>Maternal nutrition</c:v>
                </c:pt>
              </c:strCache>
            </c:strRef>
          </c:tx>
          <c:spPr>
            <a:solidFill>
              <a:srgbClr val="ED7D3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'Table2-mul(6-23m)Dept'!$H$242</c:f>
              <c:numCache>
                <c:formatCode>0.00</c:formatCode>
                <c:ptCount val="1"/>
                <c:pt idx="0">
                  <c:v>0.1221883544</c:v>
                </c:pt>
              </c:numCache>
            </c:numRef>
          </c:val>
          <c:extLst>
            <c:ext xmlns:c16="http://schemas.microsoft.com/office/drawing/2014/chart" uri="{C3380CC4-5D6E-409C-BE32-E72D297353CC}">
              <c16:uniqueId val="{00000000-AF1E-471E-A5AE-32713848E7F1}"/>
            </c:ext>
          </c:extLst>
        </c:ser>
        <c:ser>
          <c:idx val="1"/>
          <c:order val="1"/>
          <c:tx>
            <c:strRef>
              <c:f>'Table2-mul(6-23m)Dept'!$G$243</c:f>
              <c:strCache>
                <c:ptCount val="1"/>
                <c:pt idx="0">
                  <c:v>Maternal and newborn healthcare</c:v>
                </c:pt>
              </c:strCache>
            </c:strRef>
          </c:tx>
          <c:spPr>
            <a:solidFill>
              <a:srgbClr val="A5A5A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'Table2-mul(6-23m)Dept'!$H$243</c:f>
              <c:numCache>
                <c:formatCode>0.00</c:formatCode>
                <c:ptCount val="1"/>
                <c:pt idx="0">
                  <c:v>0.118572300366</c:v>
                </c:pt>
              </c:numCache>
            </c:numRef>
          </c:val>
          <c:extLst>
            <c:ext xmlns:c16="http://schemas.microsoft.com/office/drawing/2014/chart" uri="{C3380CC4-5D6E-409C-BE32-E72D297353CC}">
              <c16:uniqueId val="{00000001-AF1E-471E-A5AE-32713848E7F1}"/>
            </c:ext>
          </c:extLst>
        </c:ser>
        <c:ser>
          <c:idx val="2"/>
          <c:order val="2"/>
          <c:tx>
            <c:strRef>
              <c:f>'Table2-mul(6-23m)Dept'!$G$244</c:f>
              <c:strCache>
                <c:ptCount val="1"/>
                <c:pt idx="0">
                  <c:v>Mother education</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'Table2-mul(6-23m)Dept'!$H$244</c:f>
              <c:numCache>
                <c:formatCode>0.00</c:formatCode>
                <c:ptCount val="1"/>
                <c:pt idx="0">
                  <c:v>8.7493937999999993E-2</c:v>
                </c:pt>
              </c:numCache>
            </c:numRef>
          </c:val>
          <c:extLst>
            <c:ext xmlns:c16="http://schemas.microsoft.com/office/drawing/2014/chart" uri="{C3380CC4-5D6E-409C-BE32-E72D297353CC}">
              <c16:uniqueId val="{00000002-AF1E-471E-A5AE-32713848E7F1}"/>
            </c:ext>
          </c:extLst>
        </c:ser>
        <c:ser>
          <c:idx val="3"/>
          <c:order val="3"/>
          <c:tx>
            <c:strRef>
              <c:f>'Table2-mul(6-23m)Dept'!$G$246</c:f>
              <c:strCache>
                <c:ptCount val="1"/>
                <c:pt idx="0">
                  <c:v>Mountainous population migration</c:v>
                </c:pt>
              </c:strCache>
            </c:strRef>
          </c:tx>
          <c:spPr>
            <a:solidFill>
              <a:srgbClr val="25619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'Table2-mul(6-23m)Dept'!$H$246</c:f>
              <c:numCache>
                <c:formatCode>0.00</c:formatCode>
                <c:ptCount val="1"/>
                <c:pt idx="0">
                  <c:v>6.1537476000000001E-2</c:v>
                </c:pt>
              </c:numCache>
            </c:numRef>
          </c:val>
          <c:extLst>
            <c:ext xmlns:c16="http://schemas.microsoft.com/office/drawing/2014/chart" uri="{C3380CC4-5D6E-409C-BE32-E72D297353CC}">
              <c16:uniqueId val="{00000003-AF1E-471E-A5AE-32713848E7F1}"/>
            </c:ext>
          </c:extLst>
        </c:ser>
        <c:ser>
          <c:idx val="4"/>
          <c:order val="4"/>
          <c:tx>
            <c:strRef>
              <c:f>'Table2-mul(6-23m)Dept'!$G$247</c:f>
              <c:strCache>
                <c:ptCount val="1"/>
                <c:pt idx="0">
                  <c:v>Fertility</c:v>
                </c:pt>
              </c:strCache>
            </c:strRef>
          </c:tx>
          <c:spPr>
            <a:solidFill>
              <a:srgbClr val="70AD4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'Table2-mul(6-23m)Dept'!$H$247</c:f>
              <c:numCache>
                <c:formatCode>0.00</c:formatCode>
                <c:ptCount val="1"/>
                <c:pt idx="0">
                  <c:v>5.4993974399999999E-2</c:v>
                </c:pt>
              </c:numCache>
            </c:numRef>
          </c:val>
          <c:extLst>
            <c:ext xmlns:c16="http://schemas.microsoft.com/office/drawing/2014/chart" uri="{C3380CC4-5D6E-409C-BE32-E72D297353CC}">
              <c16:uniqueId val="{00000004-AF1E-471E-A5AE-32713848E7F1}"/>
            </c:ext>
          </c:extLst>
        </c:ser>
        <c:ser>
          <c:idx val="5"/>
          <c:order val="5"/>
          <c:tx>
            <c:strRef>
              <c:f>'Table2-mul(6-23m)Dept'!$G$248</c:f>
              <c:strCache>
                <c:ptCount val="1"/>
                <c:pt idx="0">
                  <c:v>Reduction in household crowding</c:v>
                </c:pt>
              </c:strCache>
            </c:strRef>
          </c:tx>
          <c:spPr>
            <a:solidFill>
              <a:srgbClr val="9E48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'Table2-mul(6-23m)Dept'!$H$248</c:f>
              <c:numCache>
                <c:formatCode>0.00</c:formatCode>
                <c:ptCount val="1"/>
                <c:pt idx="0">
                  <c:v>2.09229706E-2</c:v>
                </c:pt>
              </c:numCache>
            </c:numRef>
          </c:val>
          <c:extLst>
            <c:ext xmlns:c16="http://schemas.microsoft.com/office/drawing/2014/chart" uri="{C3380CC4-5D6E-409C-BE32-E72D297353CC}">
              <c16:uniqueId val="{00000005-AF1E-471E-A5AE-32713848E7F1}"/>
            </c:ext>
          </c:extLst>
        </c:ser>
        <c:ser>
          <c:idx val="12"/>
          <c:order val="6"/>
          <c:tx>
            <c:strRef>
              <c:f>'Table2-mul(6-23m)Dept'!$G$245</c:f>
              <c:strCache>
                <c:ptCount val="1"/>
                <c:pt idx="0">
                  <c:v>Father education</c:v>
                </c:pt>
              </c:strCache>
            </c:strRef>
          </c:tx>
          <c:spPr>
            <a:solidFill>
              <a:schemeClr val="accent1">
                <a:lumMod val="80000"/>
                <a:lumOff val="20000"/>
              </a:schemeClr>
            </a:solidFill>
            <a:ln>
              <a:noFill/>
            </a:ln>
            <a:effectLst/>
          </c:spPr>
          <c:invertIfNegative val="0"/>
          <c:dPt>
            <c:idx val="0"/>
            <c:invertIfNegative val="0"/>
            <c:bubble3D val="0"/>
            <c:spPr>
              <a:solidFill>
                <a:srgbClr val="32A0E6"/>
              </a:solidFill>
              <a:ln>
                <a:noFill/>
              </a:ln>
              <a:effectLst/>
            </c:spPr>
            <c:extLst>
              <c:ext xmlns:c16="http://schemas.microsoft.com/office/drawing/2014/chart" uri="{C3380CC4-5D6E-409C-BE32-E72D297353CC}">
                <c16:uniqueId val="{00000007-AF1E-471E-A5AE-32713848E7F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'Table2-mul(6-23m)Dept'!$H$245</c:f>
              <c:numCache>
                <c:formatCode>0.00</c:formatCode>
                <c:ptCount val="1"/>
                <c:pt idx="0">
                  <c:v>1.1165693000000001E-2</c:v>
                </c:pt>
              </c:numCache>
            </c:numRef>
          </c:val>
          <c:extLst>
            <c:ext xmlns:c16="http://schemas.microsoft.com/office/drawing/2014/chart" uri="{C3380CC4-5D6E-409C-BE32-E72D297353CC}">
              <c16:uniqueId val="{00000008-AF1E-471E-A5AE-32713848E7F1}"/>
            </c:ext>
          </c:extLst>
        </c:ser>
        <c:ser>
          <c:idx val="6"/>
          <c:order val="7"/>
          <c:tx>
            <c:strRef>
              <c:f>'Table2-mul(6-23m)Dept'!$G$249</c:f>
              <c:strCache>
                <c:ptCount val="1"/>
                <c:pt idx="0">
                  <c:v>Others</c:v>
                </c:pt>
              </c:strCache>
            </c:strRef>
          </c:tx>
          <c:spPr>
            <a:solidFill>
              <a:srgbClr val="6363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'Table2-mul(6-23m)Dept'!$H$249</c:f>
              <c:numCache>
                <c:formatCode>0.00</c:formatCode>
                <c:ptCount val="1"/>
                <c:pt idx="0">
                  <c:v>1.0792003217860001E-2</c:v>
                </c:pt>
              </c:numCache>
            </c:numRef>
          </c:val>
          <c:extLst>
            <c:ext xmlns:c16="http://schemas.microsoft.com/office/drawing/2014/chart" uri="{C3380CC4-5D6E-409C-BE32-E72D297353CC}">
              <c16:uniqueId val="{00000009-AF1E-471E-A5AE-32713848E7F1}"/>
            </c:ext>
          </c:extLst>
        </c:ser>
        <c:ser>
          <c:idx val="7"/>
          <c:order val="8"/>
          <c:tx>
            <c:strRef>
              <c:f>'Table2-mul(6-23m)Dept'!$G$250</c:f>
              <c:strCache>
                <c:ptCount val="1"/>
                <c:pt idx="0">
                  <c:v>Intrauterine growth</c:v>
                </c:pt>
              </c:strCache>
            </c:strRef>
          </c:tx>
          <c:spPr>
            <a:solidFill>
              <a:srgbClr val="9973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'Table2-mul(6-23m)Dept'!$H$250</c:f>
              <c:numCache>
                <c:formatCode>0.00</c:formatCode>
                <c:ptCount val="1"/>
                <c:pt idx="0">
                  <c:v>8.8021371760000008E-3</c:v>
                </c:pt>
              </c:numCache>
            </c:numRef>
          </c:val>
          <c:extLst>
            <c:ext xmlns:c16="http://schemas.microsoft.com/office/drawing/2014/chart" uri="{C3380CC4-5D6E-409C-BE32-E72D297353CC}">
              <c16:uniqueId val="{0000000A-AF1E-471E-A5AE-32713848E7F1}"/>
            </c:ext>
          </c:extLst>
        </c:ser>
        <c:ser>
          <c:idx val="8"/>
          <c:order val="9"/>
          <c:tx>
            <c:strRef>
              <c:f>'Table2-mul(6-23m)Dept'!$G$251</c:f>
              <c:strCache>
                <c:ptCount val="1"/>
                <c:pt idx="0">
                  <c:v>Wealth accumulation</c:v>
                </c:pt>
              </c:strCache>
            </c:strRef>
          </c:tx>
          <c:spPr>
            <a:solidFill>
              <a:srgbClr val="F1975A"/>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'Table2-mul(6-23m)Dept'!$H$251</c:f>
              <c:numCache>
                <c:formatCode>0.00</c:formatCode>
                <c:ptCount val="1"/>
                <c:pt idx="0">
                  <c:v>1.5539238000000001E-3</c:v>
                </c:pt>
              </c:numCache>
            </c:numRef>
          </c:val>
          <c:extLst>
            <c:ext xmlns:c16="http://schemas.microsoft.com/office/drawing/2014/chart" uri="{C3380CC4-5D6E-409C-BE32-E72D297353CC}">
              <c16:uniqueId val="{0000000B-AF1E-471E-A5AE-32713848E7F1}"/>
            </c:ext>
          </c:extLst>
        </c:ser>
        <c:ser>
          <c:idx val="9"/>
          <c:order val="10"/>
          <c:tx>
            <c:strRef>
              <c:f>'Table2-mul(6-23m)Dept'!$G$252</c:f>
              <c:strCache>
                <c:ptCount val="1"/>
                <c:pt idx="0">
                  <c:v>Childhood vaccines</c:v>
                </c:pt>
              </c:strCache>
            </c:strRef>
          </c:tx>
          <c:spPr>
            <a:solidFill>
              <a:srgbClr val="D2DC1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'Table2-mul(6-23m)Dept'!$H$252</c:f>
              <c:numCache>
                <c:formatCode>0.00</c:formatCode>
                <c:ptCount val="1"/>
                <c:pt idx="0">
                  <c:v>2.2415967900000001E-3</c:v>
                </c:pt>
              </c:numCache>
            </c:numRef>
          </c:val>
          <c:extLst>
            <c:ext xmlns:c16="http://schemas.microsoft.com/office/drawing/2014/chart" uri="{C3380CC4-5D6E-409C-BE32-E72D297353CC}">
              <c16:uniqueId val="{0000000C-AF1E-471E-A5AE-32713848E7F1}"/>
            </c:ext>
          </c:extLst>
        </c:ser>
        <c:ser>
          <c:idx val="10"/>
          <c:order val="11"/>
          <c:tx>
            <c:strRef>
              <c:f>'Table2-mul(6-23m)Dept'!$G$253</c:f>
              <c:strCache>
                <c:ptCount val="1"/>
                <c:pt idx="0">
                  <c:v>Complementary feeding</c:v>
                </c:pt>
              </c:strCache>
            </c:strRef>
          </c:tx>
          <c:spPr>
            <a:solidFill>
              <a:srgbClr val="64DC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'Table2-mul(6-23m)Dept'!$H$253</c:f>
              <c:numCache>
                <c:formatCode>0.00</c:formatCode>
                <c:ptCount val="1"/>
                <c:pt idx="0">
                  <c:v>1.50902058E-4</c:v>
                </c:pt>
              </c:numCache>
            </c:numRef>
          </c:val>
          <c:extLst>
            <c:ext xmlns:c16="http://schemas.microsoft.com/office/drawing/2014/chart" uri="{C3380CC4-5D6E-409C-BE32-E72D297353CC}">
              <c16:uniqueId val="{0000000D-AF1E-471E-A5AE-32713848E7F1}"/>
            </c:ext>
          </c:extLst>
        </c:ser>
        <c:ser>
          <c:idx val="11"/>
          <c:order val="12"/>
          <c:tx>
            <c:strRef>
              <c:f>'Table2-mul(6-23m)Dept'!$G$254</c:f>
              <c:strCache>
                <c:ptCount val="1"/>
                <c:pt idx="0">
                  <c:v>Care seeking interventions for childhood illness</c:v>
                </c:pt>
              </c:strCache>
            </c:strRef>
          </c:tx>
          <c:spPr>
            <a:solidFill>
              <a:srgbClr val="43682B"/>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'Table2-mul(6-23m)Dept'!$H$254</c:f>
              <c:numCache>
                <c:formatCode>0.00</c:formatCode>
                <c:ptCount val="1"/>
                <c:pt idx="0">
                  <c:v>-4.2562779999999998E-4</c:v>
                </c:pt>
              </c:numCache>
            </c:numRef>
          </c:val>
          <c:extLst>
            <c:ext xmlns:c16="http://schemas.microsoft.com/office/drawing/2014/chart" uri="{C3380CC4-5D6E-409C-BE32-E72D297353CC}">
              <c16:uniqueId val="{0000000E-AF1E-471E-A5AE-32713848E7F1}"/>
            </c:ext>
          </c:extLst>
        </c:ser>
        <c:dLbls>
          <c:showLegendKey val="0"/>
          <c:showVal val="0"/>
          <c:showCatName val="0"/>
          <c:showSerName val="0"/>
          <c:showPercent val="0"/>
          <c:showBubbleSize val="0"/>
        </c:dLbls>
        <c:gapWidth val="219"/>
        <c:overlap val="-27"/>
        <c:axId val="-2122160168"/>
        <c:axId val="-2122157256"/>
      </c:barChart>
      <c:catAx>
        <c:axId val="-2122160168"/>
        <c:scaling>
          <c:orientation val="minMax"/>
        </c:scaling>
        <c:delete val="1"/>
        <c:axPos val="b"/>
        <c:numFmt formatCode="General" sourceLinked="1"/>
        <c:majorTickMark val="none"/>
        <c:minorTickMark val="none"/>
        <c:tickLblPos val="nextTo"/>
        <c:crossAx val="-2122157256"/>
        <c:crosses val="autoZero"/>
        <c:auto val="1"/>
        <c:lblAlgn val="ctr"/>
        <c:lblOffset val="100"/>
        <c:noMultiLvlLbl val="0"/>
      </c:catAx>
      <c:valAx>
        <c:axId val="-2122157256"/>
        <c:scaling>
          <c:orientation val="minMax"/>
          <c:max val="0.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b="0" i="0" baseline="0">
                    <a:effectLst/>
                  </a:rPr>
                  <a:t>Predicted Change in HAZ</a:t>
                </a:r>
                <a:endParaRPr lang="en-US" sz="1100">
                  <a:effectLst/>
                </a:endParaRPr>
              </a:p>
            </c:rich>
          </c:tx>
          <c:layout>
            <c:manualLayout>
              <c:xMode val="edge"/>
              <c:yMode val="edge"/>
              <c:x val="1.94320304556525E-3"/>
              <c:y val="0.296440399803298"/>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2160168"/>
        <c:crosses val="autoZero"/>
        <c:crossBetween val="between"/>
      </c:valAx>
      <c:spPr>
        <a:noFill/>
        <a:ln>
          <a:noFill/>
        </a:ln>
        <a:effectLst/>
      </c:spPr>
    </c:plotArea>
    <c:legend>
      <c:legendPos val="b"/>
      <c:layout>
        <c:manualLayout>
          <c:xMode val="edge"/>
          <c:yMode val="edge"/>
          <c:x val="0.15958099832115599"/>
          <c:y val="2.0209085038185099E-2"/>
          <c:w val="0.83286309931979197"/>
          <c:h val="0.287425273872368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080622275157"/>
          <c:y val="2.20646163157492E-2"/>
          <c:w val="0.88367998117882296"/>
          <c:h val="0.961726656520418"/>
        </c:manualLayout>
      </c:layout>
      <c:barChart>
        <c:barDir val="col"/>
        <c:grouping val="clustered"/>
        <c:varyColors val="0"/>
        <c:ser>
          <c:idx val="1"/>
          <c:order val="1"/>
          <c:tx>
            <c:strRef>
              <c:f>'Table2-mul(24+ m)Dept.'!$G$248</c:f>
              <c:strCache>
                <c:ptCount val="1"/>
                <c:pt idx="0">
                  <c:v>Maternal nutrition</c:v>
                </c:pt>
              </c:strCache>
            </c:strRef>
          </c:tx>
          <c:spPr>
            <a:solidFill>
              <a:srgbClr val="ED7D3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m)Dept.'!$H$248</c:f>
              <c:numCache>
                <c:formatCode>0.00</c:formatCode>
                <c:ptCount val="1"/>
                <c:pt idx="0">
                  <c:v>0.1143443488</c:v>
                </c:pt>
              </c:numCache>
            </c:numRef>
          </c:val>
          <c:extLst>
            <c:ext xmlns:c16="http://schemas.microsoft.com/office/drawing/2014/chart" uri="{C3380CC4-5D6E-409C-BE32-E72D297353CC}">
              <c16:uniqueId val="{00000000-75FB-4782-A56F-D84CC60A614C}"/>
            </c:ext>
          </c:extLst>
        </c:ser>
        <c:ser>
          <c:idx val="2"/>
          <c:order val="2"/>
          <c:tx>
            <c:strRef>
              <c:f>'Table2-mul(24+ m)Dept.'!$G$249</c:f>
              <c:strCache>
                <c:ptCount val="1"/>
                <c:pt idx="0">
                  <c:v>Maternal and newborn healthcare</c:v>
                </c:pt>
              </c:strCache>
            </c:strRef>
          </c:tx>
          <c:spPr>
            <a:solidFill>
              <a:srgbClr val="A5A5A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m)Dept.'!$H$249</c:f>
              <c:numCache>
                <c:formatCode>0.00</c:formatCode>
                <c:ptCount val="1"/>
                <c:pt idx="0">
                  <c:v>0.109283635684</c:v>
                </c:pt>
              </c:numCache>
            </c:numRef>
          </c:val>
          <c:extLst>
            <c:ext xmlns:c16="http://schemas.microsoft.com/office/drawing/2014/chart" uri="{C3380CC4-5D6E-409C-BE32-E72D297353CC}">
              <c16:uniqueId val="{00000001-75FB-4782-A56F-D84CC60A614C}"/>
            </c:ext>
          </c:extLst>
        </c:ser>
        <c:ser>
          <c:idx val="3"/>
          <c:order val="3"/>
          <c:tx>
            <c:strRef>
              <c:f>'Table2-mul(24+ m)Dept.'!$G$250</c:f>
              <c:strCache>
                <c:ptCount val="1"/>
                <c:pt idx="0">
                  <c:v>Mother education</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m)Dept.'!$H$250</c:f>
              <c:numCache>
                <c:formatCode>0.00</c:formatCode>
                <c:ptCount val="1"/>
                <c:pt idx="0">
                  <c:v>7.9034918400000001E-2</c:v>
                </c:pt>
              </c:numCache>
            </c:numRef>
          </c:val>
          <c:extLst>
            <c:ext xmlns:c16="http://schemas.microsoft.com/office/drawing/2014/chart" uri="{C3380CC4-5D6E-409C-BE32-E72D297353CC}">
              <c16:uniqueId val="{00000002-75FB-4782-A56F-D84CC60A614C}"/>
            </c:ext>
          </c:extLst>
        </c:ser>
        <c:ser>
          <c:idx val="4"/>
          <c:order val="4"/>
          <c:tx>
            <c:strRef>
              <c:f>'Table2-mul(24+ m)Dept.'!$G$253</c:f>
              <c:strCache>
                <c:ptCount val="1"/>
                <c:pt idx="0">
                  <c:v>Conditional Cash Transfer Program</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m)Dept.'!$H$253</c:f>
              <c:numCache>
                <c:formatCode>0.00</c:formatCode>
                <c:ptCount val="1"/>
                <c:pt idx="0">
                  <c:v>7.4139298399999998E-2</c:v>
                </c:pt>
              </c:numCache>
            </c:numRef>
          </c:val>
          <c:extLst>
            <c:ext xmlns:c16="http://schemas.microsoft.com/office/drawing/2014/chart" uri="{C3380CC4-5D6E-409C-BE32-E72D297353CC}">
              <c16:uniqueId val="{00000003-75FB-4782-A56F-D84CC60A614C}"/>
            </c:ext>
          </c:extLst>
        </c:ser>
        <c:ser>
          <c:idx val="5"/>
          <c:order val="5"/>
          <c:tx>
            <c:strRef>
              <c:f>'Table2-mul(24+ m)Dept.'!$G$252</c:f>
              <c:strCache>
                <c:ptCount val="1"/>
                <c:pt idx="0">
                  <c:v>Fertility</c:v>
                </c:pt>
              </c:strCache>
            </c:strRef>
          </c:tx>
          <c:spPr>
            <a:solidFill>
              <a:srgbClr val="70AD4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m)Dept.'!$H$252</c:f>
              <c:numCache>
                <c:formatCode>0.00</c:formatCode>
                <c:ptCount val="1"/>
                <c:pt idx="0">
                  <c:v>7.08630814E-2</c:v>
                </c:pt>
              </c:numCache>
            </c:numRef>
          </c:val>
          <c:extLst>
            <c:ext xmlns:c16="http://schemas.microsoft.com/office/drawing/2014/chart" uri="{C3380CC4-5D6E-409C-BE32-E72D297353CC}">
              <c16:uniqueId val="{00000004-75FB-4782-A56F-D84CC60A614C}"/>
            </c:ext>
          </c:extLst>
        </c:ser>
        <c:ser>
          <c:idx val="6"/>
          <c:order val="6"/>
          <c:tx>
            <c:strRef>
              <c:f>'Table2-mul(24+ m)Dept.'!$G$254</c:f>
              <c:strCache>
                <c:ptCount val="1"/>
                <c:pt idx="0">
                  <c:v>Mountainous population migration</c:v>
                </c:pt>
              </c:strCache>
            </c:strRef>
          </c:tx>
          <c:spPr>
            <a:solidFill>
              <a:srgbClr val="25619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m)Dept.'!$H$254</c:f>
              <c:numCache>
                <c:formatCode>0.00</c:formatCode>
                <c:ptCount val="1"/>
                <c:pt idx="0">
                  <c:v>3.3147978000000002E-2</c:v>
                </c:pt>
              </c:numCache>
            </c:numRef>
          </c:val>
          <c:extLst>
            <c:ext xmlns:c16="http://schemas.microsoft.com/office/drawing/2014/chart" uri="{C3380CC4-5D6E-409C-BE32-E72D297353CC}">
              <c16:uniqueId val="{00000005-75FB-4782-A56F-D84CC60A614C}"/>
            </c:ext>
          </c:extLst>
        </c:ser>
        <c:ser>
          <c:idx val="7"/>
          <c:order val="7"/>
          <c:tx>
            <c:strRef>
              <c:f>'Table2-mul(24+ m)Dept.'!$G$255</c:f>
              <c:strCache>
                <c:ptCount val="1"/>
                <c:pt idx="0">
                  <c:v>Reduction in household crowding</c:v>
                </c:pt>
              </c:strCache>
            </c:strRef>
          </c:tx>
          <c:spPr>
            <a:solidFill>
              <a:srgbClr val="9E48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m)Dept.'!$H$255</c:f>
              <c:numCache>
                <c:formatCode>0.00</c:formatCode>
                <c:ptCount val="1"/>
                <c:pt idx="0">
                  <c:v>2.2837179199999998E-2</c:v>
                </c:pt>
              </c:numCache>
            </c:numRef>
          </c:val>
          <c:extLst>
            <c:ext xmlns:c16="http://schemas.microsoft.com/office/drawing/2014/chart" uri="{C3380CC4-5D6E-409C-BE32-E72D297353CC}">
              <c16:uniqueId val="{00000006-75FB-4782-A56F-D84CC60A614C}"/>
            </c:ext>
          </c:extLst>
        </c:ser>
        <c:ser>
          <c:idx val="14"/>
          <c:order val="8"/>
          <c:tx>
            <c:strRef>
              <c:f>'Table2-mul(24+ m)Dept.'!$G$251</c:f>
              <c:strCache>
                <c:ptCount val="1"/>
                <c:pt idx="0">
                  <c:v>Father education</c:v>
                </c:pt>
              </c:strCache>
            </c:strRef>
          </c:tx>
          <c:spPr>
            <a:solidFill>
              <a:srgbClr val="32A0E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'Table2-mul(24+ m)Dept.'!$H$251</c:f>
              <c:numCache>
                <c:formatCode>0.00</c:formatCode>
                <c:ptCount val="1"/>
                <c:pt idx="0">
                  <c:v>1.1620973E-2</c:v>
                </c:pt>
              </c:numCache>
            </c:numRef>
          </c:val>
          <c:extLst>
            <c:ext xmlns:c16="http://schemas.microsoft.com/office/drawing/2014/chart" uri="{C3380CC4-5D6E-409C-BE32-E72D297353CC}">
              <c16:uniqueId val="{00000007-75FB-4782-A56F-D84CC60A614C}"/>
            </c:ext>
          </c:extLst>
        </c:ser>
        <c:ser>
          <c:idx val="8"/>
          <c:order val="9"/>
          <c:tx>
            <c:strRef>
              <c:f>'Table2-mul(24+ m)Dept.'!$G$257</c:f>
              <c:strCache>
                <c:ptCount val="1"/>
                <c:pt idx="0">
                  <c:v>Others</c:v>
                </c:pt>
              </c:strCache>
            </c:strRef>
          </c:tx>
          <c:spPr>
            <a:solidFill>
              <a:srgbClr val="6363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m)Dept.'!$H$257</c:f>
              <c:numCache>
                <c:formatCode>0.00</c:formatCode>
                <c:ptCount val="1"/>
                <c:pt idx="0">
                  <c:v>7.4118831543999999E-3</c:v>
                </c:pt>
              </c:numCache>
            </c:numRef>
          </c:val>
          <c:extLst>
            <c:ext xmlns:c16="http://schemas.microsoft.com/office/drawing/2014/chart" uri="{C3380CC4-5D6E-409C-BE32-E72D297353CC}">
              <c16:uniqueId val="{00000008-75FB-4782-A56F-D84CC60A614C}"/>
            </c:ext>
          </c:extLst>
        </c:ser>
        <c:ser>
          <c:idx val="9"/>
          <c:order val="10"/>
          <c:tx>
            <c:strRef>
              <c:f>'Table2-mul(24+ m)Dept.'!$G$256</c:f>
              <c:strCache>
                <c:ptCount val="1"/>
                <c:pt idx="0">
                  <c:v>Intrauterine growth</c:v>
                </c:pt>
              </c:strCache>
            </c:strRef>
          </c:tx>
          <c:spPr>
            <a:solidFill>
              <a:srgbClr val="9973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m)Dept.'!$H$256</c:f>
              <c:numCache>
                <c:formatCode>0.00</c:formatCode>
                <c:ptCount val="1"/>
                <c:pt idx="0">
                  <c:v>5.3286103030000002E-3</c:v>
                </c:pt>
              </c:numCache>
            </c:numRef>
          </c:val>
          <c:extLst>
            <c:ext xmlns:c16="http://schemas.microsoft.com/office/drawing/2014/chart" uri="{C3380CC4-5D6E-409C-BE32-E72D297353CC}">
              <c16:uniqueId val="{00000009-75FB-4782-A56F-D84CC60A614C}"/>
            </c:ext>
          </c:extLst>
        </c:ser>
        <c:ser>
          <c:idx val="10"/>
          <c:order val="11"/>
          <c:tx>
            <c:strRef>
              <c:f>'Table2-mul(24+ m)Dept.'!$G$258</c:f>
              <c:strCache>
                <c:ptCount val="1"/>
                <c:pt idx="0">
                  <c:v>Early pregnancy</c:v>
                </c:pt>
              </c:strCache>
            </c:strRef>
          </c:tx>
          <c:spPr>
            <a:solidFill>
              <a:srgbClr val="264478"/>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m)Dept.'!$H$258</c:f>
              <c:numCache>
                <c:formatCode>0.00</c:formatCode>
                <c:ptCount val="1"/>
                <c:pt idx="0">
                  <c:v>-5.5279891799999998E-4</c:v>
                </c:pt>
              </c:numCache>
            </c:numRef>
          </c:val>
          <c:extLst>
            <c:ext xmlns:c16="http://schemas.microsoft.com/office/drawing/2014/chart" uri="{C3380CC4-5D6E-409C-BE32-E72D297353CC}">
              <c16:uniqueId val="{0000000A-75FB-4782-A56F-D84CC60A614C}"/>
            </c:ext>
          </c:extLst>
        </c:ser>
        <c:ser>
          <c:idx val="11"/>
          <c:order val="12"/>
          <c:tx>
            <c:strRef>
              <c:f>'Table2-mul(24+ m)Dept.'!$G$259</c:f>
              <c:strCache>
                <c:ptCount val="1"/>
                <c:pt idx="0">
                  <c:v>Care seeking interventions for childhood illness</c:v>
                </c:pt>
              </c:strCache>
            </c:strRef>
          </c:tx>
          <c:spPr>
            <a:solidFill>
              <a:srgbClr val="43682B"/>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m)Dept.'!$H$259</c:f>
              <c:numCache>
                <c:formatCode>0.00</c:formatCode>
                <c:ptCount val="1"/>
                <c:pt idx="0">
                  <c:v>-4.5898793000000003E-4</c:v>
                </c:pt>
              </c:numCache>
            </c:numRef>
          </c:val>
          <c:extLst>
            <c:ext xmlns:c16="http://schemas.microsoft.com/office/drawing/2014/chart" uri="{C3380CC4-5D6E-409C-BE32-E72D297353CC}">
              <c16:uniqueId val="{0000000B-75FB-4782-A56F-D84CC60A614C}"/>
            </c:ext>
          </c:extLst>
        </c:ser>
        <c:ser>
          <c:idx val="12"/>
          <c:order val="13"/>
          <c:tx>
            <c:strRef>
              <c:f>'Table2-mul(24+ m)Dept.'!$G$260</c:f>
              <c:strCache>
                <c:ptCount val="1"/>
                <c:pt idx="0">
                  <c:v>Geographic accessibility</c:v>
                </c:pt>
              </c:strCache>
            </c:strRef>
          </c:tx>
          <c:spPr>
            <a:solidFill>
              <a:srgbClr val="7CAFDD"/>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m)Dept.'!$H$260</c:f>
              <c:numCache>
                <c:formatCode>0.00</c:formatCode>
                <c:ptCount val="1"/>
                <c:pt idx="0">
                  <c:v>-7.9839803120000004E-3</c:v>
                </c:pt>
              </c:numCache>
            </c:numRef>
          </c:val>
          <c:extLst>
            <c:ext xmlns:c16="http://schemas.microsoft.com/office/drawing/2014/chart" uri="{C3380CC4-5D6E-409C-BE32-E72D297353CC}">
              <c16:uniqueId val="{0000000C-75FB-4782-A56F-D84CC60A614C}"/>
            </c:ext>
          </c:extLst>
        </c:ser>
        <c:ser>
          <c:idx val="13"/>
          <c:order val="14"/>
          <c:tx>
            <c:strRef>
              <c:f>'Table2-mul(24+ m)Dept.'!$G$261</c:f>
              <c:strCache>
                <c:ptCount val="1"/>
                <c:pt idx="0">
                  <c:v>Wealth accumulation</c:v>
                </c:pt>
              </c:strCache>
            </c:strRef>
          </c:tx>
          <c:spPr>
            <a:solidFill>
              <a:srgbClr val="F1975A"/>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m)Dept.'!$H$261</c:f>
              <c:numCache>
                <c:formatCode>0.00</c:formatCode>
                <c:ptCount val="1"/>
                <c:pt idx="0">
                  <c:v>-3.8934469999999999E-2</c:v>
                </c:pt>
              </c:numCache>
            </c:numRef>
          </c:val>
          <c:extLst>
            <c:ext xmlns:c16="http://schemas.microsoft.com/office/drawing/2014/chart" uri="{C3380CC4-5D6E-409C-BE32-E72D297353CC}">
              <c16:uniqueId val="{0000000D-75FB-4782-A56F-D84CC60A614C}"/>
            </c:ext>
          </c:extLst>
        </c:ser>
        <c:dLbls>
          <c:showLegendKey val="0"/>
          <c:showVal val="0"/>
          <c:showCatName val="0"/>
          <c:showSerName val="0"/>
          <c:showPercent val="0"/>
          <c:showBubbleSize val="0"/>
        </c:dLbls>
        <c:gapWidth val="219"/>
        <c:overlap val="-27"/>
        <c:axId val="-2121983112"/>
        <c:axId val="-2121980200"/>
        <c:extLst>
          <c:ext xmlns:c15="http://schemas.microsoft.com/office/drawing/2012/chart" uri="{02D57815-91ED-43cb-92C2-25804820EDAC}">
            <c15:filteredBarSeries>
              <c15:ser>
                <c:idx val="0"/>
                <c:order val="0"/>
                <c:tx>
                  <c:strRef>
                    <c:extLst>
                      <c:ext uri="{02D57815-91ED-43cb-92C2-25804820EDAC}">
                        <c15:formulaRef>
                          <c15:sqref>'Table2-mul(24+ m)Dept.'!$G$247</c15:sqref>
                        </c15:formulaRef>
                      </c:ext>
                    </c:extLst>
                    <c:strCache>
                      <c:ptCount val="1"/>
                    </c:strCache>
                  </c:strRef>
                </c:tx>
                <c:spPr>
                  <a:solidFill>
                    <a:schemeClr val="accent1"/>
                  </a:solidFill>
                  <a:ln>
                    <a:noFill/>
                  </a:ln>
                  <a:effectLst/>
                </c:spPr>
                <c:invertIfNegative val="0"/>
                <c:cat>
                  <c:strRef>
                    <c:extLst>
                      <c:ext uri="{02D57815-91ED-43cb-92C2-25804820EDAC}">
                        <c15:formulaRef>
                          <c15:sqref>'Table2-mul(24+ m)Dept.'!$H$246</c15:sqref>
                        </c15:formulaRef>
                      </c:ext>
                    </c:extLst>
                    <c:strCache>
                      <c:ptCount val="1"/>
                      <c:pt idx="0">
                        <c:v>Predicted Change in HAZ</c:v>
                      </c:pt>
                    </c:strCache>
                  </c:strRef>
                </c:cat>
                <c:val>
                  <c:numRef>
                    <c:extLst>
                      <c:ext uri="{02D57815-91ED-43cb-92C2-25804820EDAC}">
                        <c15:formulaRef>
                          <c15:sqref>'Table2-mul(24+ m)Dept.'!$H$247</c15:sqref>
                        </c15:formulaRef>
                      </c:ext>
                    </c:extLst>
                    <c:numCache>
                      <c:formatCode>General</c:formatCode>
                      <c:ptCount val="1"/>
                    </c:numCache>
                  </c:numRef>
                </c:val>
                <c:extLst>
                  <c:ext xmlns:c16="http://schemas.microsoft.com/office/drawing/2014/chart" uri="{C3380CC4-5D6E-409C-BE32-E72D297353CC}">
                    <c16:uniqueId val="{0000000E-75FB-4782-A56F-D84CC60A614C}"/>
                  </c:ext>
                </c:extLst>
              </c15:ser>
            </c15:filteredBarSeries>
          </c:ext>
        </c:extLst>
      </c:barChart>
      <c:catAx>
        <c:axId val="-2121983112"/>
        <c:scaling>
          <c:orientation val="minMax"/>
        </c:scaling>
        <c:delete val="1"/>
        <c:axPos val="b"/>
        <c:numFmt formatCode="General" sourceLinked="1"/>
        <c:majorTickMark val="none"/>
        <c:minorTickMark val="none"/>
        <c:tickLblPos val="nextTo"/>
        <c:crossAx val="-2121980200"/>
        <c:crosses val="autoZero"/>
        <c:auto val="1"/>
        <c:lblAlgn val="ctr"/>
        <c:lblOffset val="100"/>
        <c:noMultiLvlLbl val="0"/>
      </c:catAx>
      <c:valAx>
        <c:axId val="-2121980200"/>
        <c:scaling>
          <c:orientation val="minMax"/>
          <c:max val="0.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a:t>Predicted change in HAZ</a:t>
                </a:r>
              </a:p>
            </c:rich>
          </c:tx>
          <c:layout>
            <c:manualLayout>
              <c:xMode val="edge"/>
              <c:yMode val="edge"/>
              <c:x val="5.6240028819926902E-3"/>
              <c:y val="0.29409129348091601"/>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1983112"/>
        <c:crosses val="autoZero"/>
        <c:crossBetween val="between"/>
      </c:valAx>
      <c:spPr>
        <a:noFill/>
        <a:ln>
          <a:noFill/>
        </a:ln>
        <a:effectLst/>
      </c:spPr>
    </c:plotArea>
    <c:legend>
      <c:legendPos val="b"/>
      <c:layout>
        <c:manualLayout>
          <c:xMode val="edge"/>
          <c:yMode val="edge"/>
          <c:x val="0.15062956450831999"/>
          <c:y val="6.3506293390849802E-2"/>
          <c:w val="0.78777004816145602"/>
          <c:h val="0.194212269195405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51496823766601"/>
          <c:y val="1.86564871958004E-2"/>
          <c:w val="0.87147856517935196"/>
          <c:h val="0.89810139193153005"/>
        </c:manualLayout>
      </c:layout>
      <c:barChart>
        <c:barDir val="col"/>
        <c:grouping val="clustered"/>
        <c:varyColors val="0"/>
        <c:ser>
          <c:idx val="1"/>
          <c:order val="1"/>
          <c:tx>
            <c:strRef>
              <c:f>'Table2-mul(&lt;6 m) (2)'!$G$220</c:f>
              <c:strCache>
                <c:ptCount val="1"/>
                <c:pt idx="0">
                  <c:v>Maternal nutrition</c:v>
                </c:pt>
              </c:strCache>
            </c:strRef>
          </c:tx>
          <c:spPr>
            <a:solidFill>
              <a:srgbClr val="ED7D3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(2)'!$H$220</c:f>
              <c:numCache>
                <c:formatCode>0.00</c:formatCode>
                <c:ptCount val="1"/>
                <c:pt idx="0">
                  <c:v>6.5622104000000001E-2</c:v>
                </c:pt>
              </c:numCache>
            </c:numRef>
          </c:val>
          <c:extLst>
            <c:ext xmlns:c16="http://schemas.microsoft.com/office/drawing/2014/chart" uri="{C3380CC4-5D6E-409C-BE32-E72D297353CC}">
              <c16:uniqueId val="{00000000-2D59-434F-94FB-ECEB1A7708AE}"/>
            </c:ext>
          </c:extLst>
        </c:ser>
        <c:ser>
          <c:idx val="2"/>
          <c:order val="2"/>
          <c:tx>
            <c:strRef>
              <c:f>'Table2-mul(&lt;6 m) (2)'!$G$221</c:f>
              <c:strCache>
                <c:ptCount val="1"/>
                <c:pt idx="0">
                  <c:v>Mother education</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(2)'!$H$221</c:f>
              <c:numCache>
                <c:formatCode>0.00</c:formatCode>
                <c:ptCount val="1"/>
                <c:pt idx="0">
                  <c:v>4.8133087099999999E-2</c:v>
                </c:pt>
              </c:numCache>
            </c:numRef>
          </c:val>
          <c:extLst>
            <c:ext xmlns:c16="http://schemas.microsoft.com/office/drawing/2014/chart" uri="{C3380CC4-5D6E-409C-BE32-E72D297353CC}">
              <c16:uniqueId val="{00000001-2D59-434F-94FB-ECEB1A7708AE}"/>
            </c:ext>
          </c:extLst>
        </c:ser>
        <c:ser>
          <c:idx val="3"/>
          <c:order val="3"/>
          <c:tx>
            <c:strRef>
              <c:f>'Table2-mul(&lt;6 m) (2)'!$G$222</c:f>
              <c:strCache>
                <c:ptCount val="1"/>
                <c:pt idx="0">
                  <c:v>Intrauterine growth</c:v>
                </c:pt>
              </c:strCache>
            </c:strRef>
          </c:tx>
          <c:spPr>
            <a:solidFill>
              <a:srgbClr val="9973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(2)'!$H$222</c:f>
              <c:numCache>
                <c:formatCode>0.00</c:formatCode>
                <c:ptCount val="1"/>
                <c:pt idx="0">
                  <c:v>2.435957402E-2</c:v>
                </c:pt>
              </c:numCache>
            </c:numRef>
          </c:val>
          <c:extLst>
            <c:ext xmlns:c16="http://schemas.microsoft.com/office/drawing/2014/chart" uri="{C3380CC4-5D6E-409C-BE32-E72D297353CC}">
              <c16:uniqueId val="{00000002-2D59-434F-94FB-ECEB1A7708AE}"/>
            </c:ext>
          </c:extLst>
        </c:ser>
        <c:ser>
          <c:idx val="4"/>
          <c:order val="4"/>
          <c:tx>
            <c:strRef>
              <c:f>'Table2-mul(&lt;6 m) (2)'!$G$223</c:f>
              <c:strCache>
                <c:ptCount val="1"/>
                <c:pt idx="0">
                  <c:v>Reduction in household crowding</c:v>
                </c:pt>
              </c:strCache>
            </c:strRef>
          </c:tx>
          <c:spPr>
            <a:solidFill>
              <a:srgbClr val="9E48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(2)'!$H$223</c:f>
              <c:numCache>
                <c:formatCode>0.00</c:formatCode>
                <c:ptCount val="1"/>
                <c:pt idx="0">
                  <c:v>2.3162397000000001E-2</c:v>
                </c:pt>
              </c:numCache>
            </c:numRef>
          </c:val>
          <c:extLst>
            <c:ext xmlns:c16="http://schemas.microsoft.com/office/drawing/2014/chart" uri="{C3380CC4-5D6E-409C-BE32-E72D297353CC}">
              <c16:uniqueId val="{00000003-2D59-434F-94FB-ECEB1A7708AE}"/>
            </c:ext>
          </c:extLst>
        </c:ser>
        <c:ser>
          <c:idx val="5"/>
          <c:order val="5"/>
          <c:tx>
            <c:strRef>
              <c:f>'Table2-mul(&lt;6 m) (2)'!$G$224</c:f>
              <c:strCache>
                <c:ptCount val="1"/>
                <c:pt idx="0">
                  <c:v>Mountainous population migration</c:v>
                </c:pt>
              </c:strCache>
            </c:strRef>
          </c:tx>
          <c:spPr>
            <a:solidFill>
              <a:srgbClr val="25619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(2)'!$H$224</c:f>
              <c:numCache>
                <c:formatCode>0.00</c:formatCode>
                <c:ptCount val="1"/>
                <c:pt idx="0">
                  <c:v>-4.9891984000000004E-3</c:v>
                </c:pt>
              </c:numCache>
            </c:numRef>
          </c:val>
          <c:extLst>
            <c:ext xmlns:c16="http://schemas.microsoft.com/office/drawing/2014/chart" uri="{C3380CC4-5D6E-409C-BE32-E72D297353CC}">
              <c16:uniqueId val="{00000004-2D59-434F-94FB-ECEB1A7708AE}"/>
            </c:ext>
          </c:extLst>
        </c:ser>
        <c:ser>
          <c:idx val="6"/>
          <c:order val="6"/>
          <c:tx>
            <c:strRef>
              <c:f>'Table2-mul(&lt;6 m) (2)'!$G$225</c:f>
              <c:strCache>
                <c:ptCount val="1"/>
                <c:pt idx="0">
                  <c:v>Wealth accumulation</c:v>
                </c:pt>
              </c:strCache>
            </c:strRef>
          </c:tx>
          <c:spPr>
            <a:solidFill>
              <a:srgbClr val="F1975A"/>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(2)'!$H$225</c:f>
              <c:numCache>
                <c:formatCode>0.00</c:formatCode>
                <c:ptCount val="1"/>
                <c:pt idx="0">
                  <c:v>-1.9081586800000001E-2</c:v>
                </c:pt>
              </c:numCache>
            </c:numRef>
          </c:val>
          <c:extLst>
            <c:ext xmlns:c16="http://schemas.microsoft.com/office/drawing/2014/chart" uri="{C3380CC4-5D6E-409C-BE32-E72D297353CC}">
              <c16:uniqueId val="{00000005-2D59-434F-94FB-ECEB1A7708AE}"/>
            </c:ext>
          </c:extLst>
        </c:ser>
        <c:ser>
          <c:idx val="7"/>
          <c:order val="7"/>
          <c:tx>
            <c:strRef>
              <c:f>'Table2-mul(&lt;6 m) (2)'!$G$226</c:f>
              <c:strCache>
                <c:ptCount val="1"/>
                <c:pt idx="0">
                  <c:v>Others</c:v>
                </c:pt>
              </c:strCache>
            </c:strRef>
          </c:tx>
          <c:spPr>
            <a:solidFill>
              <a:srgbClr val="6363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(2)'!$H$226</c:f>
              <c:numCache>
                <c:formatCode>0.00</c:formatCode>
                <c:ptCount val="1"/>
                <c:pt idx="0">
                  <c:v>-4.7177084293679998E-2</c:v>
                </c:pt>
              </c:numCache>
            </c:numRef>
          </c:val>
          <c:extLst>
            <c:ext xmlns:c16="http://schemas.microsoft.com/office/drawing/2014/chart" uri="{C3380CC4-5D6E-409C-BE32-E72D297353CC}">
              <c16:uniqueId val="{00000006-2D59-434F-94FB-ECEB1A7708AE}"/>
            </c:ext>
          </c:extLst>
        </c:ser>
        <c:dLbls>
          <c:showLegendKey val="0"/>
          <c:showVal val="0"/>
          <c:showCatName val="0"/>
          <c:showSerName val="0"/>
          <c:showPercent val="0"/>
          <c:showBubbleSize val="0"/>
        </c:dLbls>
        <c:gapWidth val="219"/>
        <c:overlap val="-27"/>
        <c:axId val="2144053736"/>
        <c:axId val="2144056712"/>
        <c:extLst>
          <c:ext xmlns:c15="http://schemas.microsoft.com/office/drawing/2012/chart" uri="{02D57815-91ED-43cb-92C2-25804820EDAC}">
            <c15:filteredBarSeries>
              <c15:ser>
                <c:idx val="0"/>
                <c:order val="0"/>
                <c:tx>
                  <c:strRef>
                    <c:extLst>
                      <c:ext uri="{02D57815-91ED-43cb-92C2-25804820EDAC}">
                        <c15:formulaRef>
                          <c15:sqref>'Table2-mul(&lt;6 m) (2)'!$G$219</c15:sqref>
                        </c15:formulaRef>
                      </c:ext>
                    </c:extLst>
                    <c:strCache>
                      <c:ptCount val="1"/>
                    </c:strCache>
                  </c:strRef>
                </c:tx>
                <c:spPr>
                  <a:solidFill>
                    <a:schemeClr val="accent1"/>
                  </a:solidFill>
                  <a:ln>
                    <a:noFill/>
                  </a:ln>
                  <a:effectLst/>
                </c:spPr>
                <c:invertIfNegative val="0"/>
                <c:cat>
                  <c:strRef>
                    <c:extLst>
                      <c:ext uri="{02D57815-91ED-43cb-92C2-25804820EDAC}">
                        <c15:formulaRef>
                          <c15:sqref>'Table2-mul(&lt;6 m) (2)'!$H$218</c15:sqref>
                        </c15:formulaRef>
                      </c:ext>
                    </c:extLst>
                    <c:strCache>
                      <c:ptCount val="1"/>
                      <c:pt idx="0">
                        <c:v>Predicted Change in HAZ</c:v>
                      </c:pt>
                    </c:strCache>
                  </c:strRef>
                </c:cat>
                <c:val>
                  <c:numRef>
                    <c:extLst>
                      <c:ext uri="{02D57815-91ED-43cb-92C2-25804820EDAC}">
                        <c15:formulaRef>
                          <c15:sqref>'Table2-mul(&lt;6 m) (2)'!$H$219</c15:sqref>
                        </c15:formulaRef>
                      </c:ext>
                    </c:extLst>
                    <c:numCache>
                      <c:formatCode>General</c:formatCode>
                      <c:ptCount val="1"/>
                    </c:numCache>
                  </c:numRef>
                </c:val>
                <c:extLst>
                  <c:ext xmlns:c16="http://schemas.microsoft.com/office/drawing/2014/chart" uri="{C3380CC4-5D6E-409C-BE32-E72D297353CC}">
                    <c16:uniqueId val="{00000007-2D59-434F-94FB-ECEB1A7708AE}"/>
                  </c:ext>
                </c:extLst>
              </c15:ser>
            </c15:filteredBarSeries>
          </c:ext>
        </c:extLst>
      </c:barChart>
      <c:catAx>
        <c:axId val="2144053736"/>
        <c:scaling>
          <c:orientation val="minMax"/>
        </c:scaling>
        <c:delete val="1"/>
        <c:axPos val="b"/>
        <c:numFmt formatCode="General" sourceLinked="1"/>
        <c:majorTickMark val="none"/>
        <c:minorTickMark val="none"/>
        <c:tickLblPos val="nextTo"/>
        <c:crossAx val="2144056712"/>
        <c:crosses val="autoZero"/>
        <c:auto val="1"/>
        <c:lblAlgn val="ctr"/>
        <c:lblOffset val="100"/>
        <c:noMultiLvlLbl val="0"/>
      </c:catAx>
      <c:valAx>
        <c:axId val="2144056712"/>
        <c:scaling>
          <c:orientation val="minMax"/>
          <c:max val="0.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a:t>Predicted change in HAZ</a:t>
                </a:r>
              </a:p>
            </c:rich>
          </c:tx>
          <c:layout>
            <c:manualLayout>
              <c:xMode val="edge"/>
              <c:yMode val="edge"/>
              <c:x val="1.8530183727034098E-2"/>
              <c:y val="0.29951269659813601"/>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4053736"/>
        <c:crosses val="autoZero"/>
        <c:crossBetween val="between"/>
      </c:valAx>
      <c:spPr>
        <a:noFill/>
        <a:ln>
          <a:noFill/>
        </a:ln>
        <a:effectLst/>
      </c:spPr>
    </c:plotArea>
    <c:legend>
      <c:legendPos val="b"/>
      <c:layout>
        <c:manualLayout>
          <c:xMode val="edge"/>
          <c:yMode val="edge"/>
          <c:x val="0.17888607402335599"/>
          <c:y val="4.2700598653119502E-2"/>
          <c:w val="0.80792618032721897"/>
          <c:h val="0.105121730882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7EDB4-1E88-407B-A44E-EF355D7BB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124680</Words>
  <Characters>710680</Characters>
  <Application>Microsoft Office Word</Application>
  <DocSecurity>0</DocSecurity>
  <Lines>5922</Lines>
  <Paragraphs>1667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Brar</dc:creator>
  <cp:keywords/>
  <dc:description/>
  <cp:lastModifiedBy>Nadia A</cp:lastModifiedBy>
  <cp:revision>2</cp:revision>
  <dcterms:created xsi:type="dcterms:W3CDTF">2020-05-26T19:28:00Z</dcterms:created>
  <dcterms:modified xsi:type="dcterms:W3CDTF">2020-05-26T19:28:00Z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http://www.zotero.org/styles/bmj</vt:lpwstr>
  </property>
  <property fmtid="{D5CDD505-2E9C-101B-9397-08002B2CF9AE}" pid="7" name="Mendeley Recent Style Name 2_1">
    <vt:lpwstr>BMJ</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http://www.zotero.org/styles/journal-of-nutrition</vt:lpwstr>
  </property>
  <property fmtid="{D5CDD505-2E9C-101B-9397-08002B2CF9AE}" pid="15" name="Mendeley Recent Style Name 6_1">
    <vt:lpwstr>Journal of Nutrition</vt:lpwstr>
  </property>
  <property fmtid="{D5CDD505-2E9C-101B-9397-08002B2CF9AE}" pid="16" name="Mendeley Recent Style Id 7_1">
    <vt:lpwstr>http://csl.mendeley.com/styles/132711841/journal-of-nutrition-LIF4</vt:lpwstr>
  </property>
  <property fmtid="{D5CDD505-2E9C-101B-9397-08002B2CF9AE}" pid="17" name="Mendeley Recent Style Name 7_1">
    <vt:lpwstr>Journal of Nutrition - Aviva Rappaport</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612afcd9-0b7e-34d2-a9a2-a085bd7d3e7c</vt:lpwstr>
  </property>
  <property fmtid="{D5CDD505-2E9C-101B-9397-08002B2CF9AE}" pid="24" name="Mendeley Citation Style_1">
    <vt:lpwstr>http://www.zotero.org/styles/bmj</vt:lpwstr>
  </property>
</Properties>
</file>