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90A39" w14:textId="6C785542" w:rsidR="0020395D" w:rsidRPr="00FD6EED" w:rsidRDefault="0020395D" w:rsidP="0020395D">
      <w:pPr>
        <w:spacing w:line="480" w:lineRule="auto"/>
        <w:jc w:val="center"/>
        <w:rPr>
          <w:rFonts w:ascii="Times New Roman" w:hAnsi="Times New Roman" w:cs="Times New Roman"/>
          <w:b/>
          <w:sz w:val="28"/>
        </w:rPr>
      </w:pPr>
      <w:r w:rsidRPr="00FD6EED">
        <w:rPr>
          <w:rFonts w:ascii="Times New Roman" w:hAnsi="Times New Roman" w:cs="Times New Roman"/>
          <w:b/>
          <w:sz w:val="28"/>
        </w:rPr>
        <w:t>ABS</w:t>
      </w:r>
      <w:r w:rsidR="00922FB3">
        <w:rPr>
          <w:rFonts w:ascii="Times New Roman" w:hAnsi="Times New Roman" w:cs="Times New Roman"/>
          <w:b/>
          <w:sz w:val="28"/>
        </w:rPr>
        <w:t>TRACT</w:t>
      </w:r>
    </w:p>
    <w:p w14:paraId="0853B978" w14:textId="699811C6" w:rsidR="00907573" w:rsidRDefault="00907573" w:rsidP="00FD5D9D">
      <w:pPr>
        <w:spacing w:line="240" w:lineRule="auto"/>
        <w:jc w:val="both"/>
        <w:rPr>
          <w:rFonts w:ascii="Times New Roman" w:hAnsi="Times New Roman" w:cs="Times New Roman"/>
          <w:sz w:val="24"/>
          <w:szCs w:val="24"/>
        </w:rPr>
      </w:pPr>
      <w:r w:rsidRPr="00907573">
        <w:rPr>
          <w:rFonts w:ascii="Times New Roman" w:hAnsi="Times New Roman" w:cs="Times New Roman"/>
          <w:sz w:val="24"/>
          <w:szCs w:val="24"/>
        </w:rPr>
        <w:t>The progress of an academic depends on the performance and loyalty of Lecturers and Education Personnel (Tendik). The higher the employee's performance and loyalty, the more profitable and academic improvement. The leadership of the Faculty of Engineering, University of Muhammadiyah Jakarta requires a recommendation on the selection of the best lecturers and educators The selection must be objective and measurable based on established criteria. This is done so that lecturers and students are motivated to continue to provide the best for the campus. Therefore, a decision support system was designed with the Simple Additive Weighting (SAW) method and the Weighted Product method. Both of these methods aim to choose the best lecturer and tendency alternative based on predetermined criteria. The calculation process by finding the weight value of each alternative on each criterion (match rating). After getting a match rating value will be processed using both methods. The results will show the ranking order of lecturers and best students. The final results of the calculation of these two methods will be analyzed by comparing the time and the results of system decisions. In the assessment of lecturers, the WP</w:t>
      </w:r>
      <w:r>
        <w:rPr>
          <w:rFonts w:ascii="Times New Roman" w:hAnsi="Times New Roman" w:cs="Times New Roman"/>
          <w:sz w:val="24"/>
          <w:szCs w:val="24"/>
        </w:rPr>
        <w:t>’s</w:t>
      </w:r>
      <w:r w:rsidRPr="00907573">
        <w:rPr>
          <w:rFonts w:ascii="Times New Roman" w:hAnsi="Times New Roman" w:cs="Times New Roman"/>
          <w:sz w:val="24"/>
          <w:szCs w:val="24"/>
        </w:rPr>
        <w:t xml:space="preserve"> method is 0.00267 seconds faster than the SAW</w:t>
      </w:r>
      <w:r>
        <w:rPr>
          <w:rFonts w:ascii="Times New Roman" w:hAnsi="Times New Roman" w:cs="Times New Roman"/>
          <w:sz w:val="24"/>
          <w:szCs w:val="24"/>
        </w:rPr>
        <w:t>’s</w:t>
      </w:r>
      <w:r w:rsidRPr="00907573">
        <w:rPr>
          <w:rFonts w:ascii="Times New Roman" w:hAnsi="Times New Roman" w:cs="Times New Roman"/>
          <w:sz w:val="24"/>
          <w:szCs w:val="24"/>
        </w:rPr>
        <w:t xml:space="preserve"> method, the result of the decision obtained is the same 80% of the 5 alternatives. In the tendency assessment, the WP</w:t>
      </w:r>
      <w:r>
        <w:rPr>
          <w:rFonts w:ascii="Times New Roman" w:hAnsi="Times New Roman" w:cs="Times New Roman"/>
          <w:sz w:val="24"/>
          <w:szCs w:val="24"/>
        </w:rPr>
        <w:t>’s</w:t>
      </w:r>
      <w:r w:rsidRPr="00907573">
        <w:rPr>
          <w:rFonts w:ascii="Times New Roman" w:hAnsi="Times New Roman" w:cs="Times New Roman"/>
          <w:sz w:val="24"/>
          <w:szCs w:val="24"/>
        </w:rPr>
        <w:t xml:space="preserve"> method is also 0.00172 seconds faster than the SAW</w:t>
      </w:r>
      <w:r>
        <w:rPr>
          <w:rFonts w:ascii="Times New Roman" w:hAnsi="Times New Roman" w:cs="Times New Roman"/>
          <w:sz w:val="24"/>
          <w:szCs w:val="24"/>
        </w:rPr>
        <w:t>’s</w:t>
      </w:r>
      <w:r w:rsidRPr="00907573">
        <w:rPr>
          <w:rFonts w:ascii="Times New Roman" w:hAnsi="Times New Roman" w:cs="Times New Roman"/>
          <w:sz w:val="24"/>
          <w:szCs w:val="24"/>
        </w:rPr>
        <w:t xml:space="preserve"> method, the decision result is 100% the same as the 3 alternatives. Based on the results of the WP</w:t>
      </w:r>
      <w:r>
        <w:rPr>
          <w:rFonts w:ascii="Times New Roman" w:hAnsi="Times New Roman" w:cs="Times New Roman"/>
          <w:sz w:val="24"/>
          <w:szCs w:val="24"/>
        </w:rPr>
        <w:t>’s</w:t>
      </w:r>
      <w:r w:rsidRPr="00907573">
        <w:rPr>
          <w:rFonts w:ascii="Times New Roman" w:hAnsi="Times New Roman" w:cs="Times New Roman"/>
          <w:sz w:val="24"/>
          <w:szCs w:val="24"/>
        </w:rPr>
        <w:t xml:space="preserve"> method analysis is faster than the SAW</w:t>
      </w:r>
      <w:r>
        <w:rPr>
          <w:rFonts w:ascii="Times New Roman" w:hAnsi="Times New Roman" w:cs="Times New Roman"/>
          <w:sz w:val="24"/>
          <w:szCs w:val="24"/>
        </w:rPr>
        <w:t>’s</w:t>
      </w:r>
      <w:r w:rsidRPr="00907573">
        <w:rPr>
          <w:rFonts w:ascii="Times New Roman" w:hAnsi="Times New Roman" w:cs="Times New Roman"/>
          <w:sz w:val="24"/>
          <w:szCs w:val="24"/>
        </w:rPr>
        <w:t xml:space="preserve"> method, but the decision results are not 100% the same between the SAW</w:t>
      </w:r>
      <w:r>
        <w:rPr>
          <w:rFonts w:ascii="Times New Roman" w:hAnsi="Times New Roman" w:cs="Times New Roman"/>
          <w:sz w:val="24"/>
          <w:szCs w:val="24"/>
        </w:rPr>
        <w:t>’s</w:t>
      </w:r>
      <w:r w:rsidRPr="00907573">
        <w:rPr>
          <w:rFonts w:ascii="Times New Roman" w:hAnsi="Times New Roman" w:cs="Times New Roman"/>
          <w:sz w:val="24"/>
          <w:szCs w:val="24"/>
        </w:rPr>
        <w:t xml:space="preserve"> and WP</w:t>
      </w:r>
      <w:r>
        <w:rPr>
          <w:rFonts w:ascii="Times New Roman" w:hAnsi="Times New Roman" w:cs="Times New Roman"/>
          <w:sz w:val="24"/>
          <w:szCs w:val="24"/>
        </w:rPr>
        <w:t>’s</w:t>
      </w:r>
      <w:r w:rsidRPr="00907573">
        <w:rPr>
          <w:rFonts w:ascii="Times New Roman" w:hAnsi="Times New Roman" w:cs="Times New Roman"/>
          <w:sz w:val="24"/>
          <w:szCs w:val="24"/>
        </w:rPr>
        <w:t xml:space="preserve"> methods.</w:t>
      </w:r>
    </w:p>
    <w:p w14:paraId="468DA553" w14:textId="00E1E4B7" w:rsidR="0020395D" w:rsidRPr="00FD5D9D" w:rsidRDefault="00907573" w:rsidP="00FD5D9D">
      <w:pPr>
        <w:spacing w:line="240" w:lineRule="auto"/>
        <w:jc w:val="both"/>
        <w:rPr>
          <w:rFonts w:ascii="Times New Roman" w:eastAsia="Times New Roman" w:hAnsi="Times New Roman" w:cs="Times New Roman"/>
          <w:color w:val="212121"/>
          <w:sz w:val="24"/>
          <w:szCs w:val="20"/>
        </w:rPr>
      </w:pPr>
      <w:r>
        <w:rPr>
          <w:rFonts w:ascii="Times New Roman" w:eastAsia="Times New Roman" w:hAnsi="Times New Roman" w:cs="Times New Roman"/>
          <w:i/>
          <w:iCs/>
          <w:color w:val="212121"/>
          <w:sz w:val="24"/>
          <w:szCs w:val="20"/>
        </w:rPr>
        <w:t>Keywords</w:t>
      </w:r>
      <w:r w:rsidR="0020395D">
        <w:rPr>
          <w:rFonts w:ascii="Times New Roman" w:eastAsia="Times New Roman" w:hAnsi="Times New Roman" w:cs="Times New Roman"/>
          <w:color w:val="212121"/>
          <w:sz w:val="24"/>
          <w:szCs w:val="20"/>
          <w:lang w:val="id-ID"/>
        </w:rPr>
        <w:t>:</w:t>
      </w:r>
      <w:r w:rsidR="00FD5D9D">
        <w:rPr>
          <w:rFonts w:ascii="Times New Roman" w:eastAsia="Times New Roman" w:hAnsi="Times New Roman" w:cs="Times New Roman"/>
          <w:color w:val="212121"/>
          <w:sz w:val="24"/>
          <w:szCs w:val="20"/>
        </w:rPr>
        <w:t xml:space="preserve"> </w:t>
      </w:r>
      <w:r>
        <w:rPr>
          <w:rFonts w:ascii="Times New Roman" w:eastAsia="Times New Roman" w:hAnsi="Times New Roman" w:cs="Times New Roman"/>
          <w:i/>
          <w:iCs/>
          <w:color w:val="212121"/>
          <w:sz w:val="24"/>
          <w:szCs w:val="20"/>
        </w:rPr>
        <w:t>Education Personnel</w:t>
      </w:r>
      <w:r>
        <w:rPr>
          <w:rFonts w:ascii="Times New Roman" w:eastAsia="Times New Roman" w:hAnsi="Times New Roman" w:cs="Times New Roman"/>
          <w:color w:val="212121"/>
          <w:sz w:val="24"/>
          <w:szCs w:val="20"/>
        </w:rPr>
        <w:t xml:space="preserve"> (Tendik)</w:t>
      </w:r>
      <w:r>
        <w:rPr>
          <w:rFonts w:ascii="Times New Roman" w:eastAsia="Times New Roman" w:hAnsi="Times New Roman" w:cs="Times New Roman"/>
          <w:color w:val="212121"/>
          <w:sz w:val="24"/>
          <w:szCs w:val="20"/>
        </w:rPr>
        <w:t xml:space="preserve">, </w:t>
      </w:r>
      <w:r w:rsidRPr="00907573">
        <w:rPr>
          <w:rFonts w:ascii="Times New Roman" w:eastAsia="Times New Roman" w:hAnsi="Times New Roman" w:cs="Times New Roman"/>
          <w:i/>
          <w:iCs/>
          <w:color w:val="212121"/>
          <w:sz w:val="24"/>
          <w:szCs w:val="20"/>
        </w:rPr>
        <w:t>Lecture</w:t>
      </w:r>
      <w:r w:rsidR="00A0644F">
        <w:rPr>
          <w:rFonts w:ascii="Times New Roman" w:eastAsia="Times New Roman" w:hAnsi="Times New Roman" w:cs="Times New Roman"/>
          <w:color w:val="212121"/>
          <w:sz w:val="24"/>
          <w:szCs w:val="20"/>
        </w:rPr>
        <w:t xml:space="preserve">, </w:t>
      </w:r>
      <w:r w:rsidR="00FD5D9D">
        <w:rPr>
          <w:rFonts w:ascii="Times New Roman" w:eastAsia="Times New Roman" w:hAnsi="Times New Roman" w:cs="Times New Roman"/>
          <w:i/>
          <w:iCs/>
          <w:color w:val="212121"/>
          <w:sz w:val="24"/>
          <w:szCs w:val="20"/>
        </w:rPr>
        <w:t>Simple Additve Weighting</w:t>
      </w:r>
      <w:r w:rsidR="0020395D">
        <w:rPr>
          <w:rFonts w:ascii="Times New Roman" w:eastAsia="Times New Roman" w:hAnsi="Times New Roman" w:cs="Times New Roman"/>
          <w:color w:val="212121"/>
          <w:sz w:val="24"/>
          <w:szCs w:val="20"/>
        </w:rPr>
        <w:t xml:space="preserve">, </w:t>
      </w:r>
      <w:r w:rsidR="00FD5D9D">
        <w:rPr>
          <w:rFonts w:ascii="Times New Roman" w:eastAsia="Times New Roman" w:hAnsi="Times New Roman" w:cs="Times New Roman"/>
          <w:i/>
          <w:iCs/>
          <w:color w:val="212121"/>
          <w:sz w:val="24"/>
          <w:szCs w:val="20"/>
        </w:rPr>
        <w:t>Weighted Product</w:t>
      </w:r>
      <w:r w:rsidR="00FD5D9D">
        <w:rPr>
          <w:rFonts w:ascii="Times New Roman" w:eastAsia="Times New Roman" w:hAnsi="Times New Roman" w:cs="Times New Roman"/>
          <w:color w:val="212121"/>
          <w:sz w:val="24"/>
          <w:szCs w:val="20"/>
        </w:rPr>
        <w:t>.</w:t>
      </w:r>
    </w:p>
    <w:p w14:paraId="430C434F" w14:textId="77777777" w:rsidR="0020395D" w:rsidRDefault="0020395D"/>
    <w:sectPr w:rsidR="0020395D" w:rsidSect="00827C96">
      <w:footerReference w:type="default" r:id="rId6"/>
      <w:footerReference w:type="first" r:id="rId7"/>
      <w:pgSz w:w="11907" w:h="16839" w:code="9"/>
      <w:pgMar w:top="1701" w:right="1701" w:bottom="1701" w:left="2268" w:header="720" w:footer="720" w:gutter="0"/>
      <w:pgNumType w:fmt="lowerRoman" w:start="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FB0A3" w14:textId="77777777" w:rsidR="0071760B" w:rsidRDefault="0071760B">
      <w:pPr>
        <w:spacing w:after="0" w:line="240" w:lineRule="auto"/>
      </w:pPr>
      <w:r>
        <w:separator/>
      </w:r>
    </w:p>
  </w:endnote>
  <w:endnote w:type="continuationSeparator" w:id="0">
    <w:p w14:paraId="7D830AF2" w14:textId="77777777" w:rsidR="0071760B" w:rsidRDefault="00717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0444433"/>
      <w:docPartObj>
        <w:docPartGallery w:val="Page Numbers (Bottom of Page)"/>
        <w:docPartUnique/>
      </w:docPartObj>
    </w:sdtPr>
    <w:sdtEndPr>
      <w:rPr>
        <w:noProof/>
      </w:rPr>
    </w:sdtEndPr>
    <w:sdtContent>
      <w:p w14:paraId="159A958D" w14:textId="77777777" w:rsidR="00020AF9" w:rsidRDefault="0020395D">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6667F7DF" w14:textId="77777777" w:rsidR="00020AF9" w:rsidRDefault="007176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1450879"/>
      <w:docPartObj>
        <w:docPartGallery w:val="Page Numbers (Bottom of Page)"/>
        <w:docPartUnique/>
      </w:docPartObj>
    </w:sdtPr>
    <w:sdtEndPr>
      <w:rPr>
        <w:noProof/>
      </w:rPr>
    </w:sdtEndPr>
    <w:sdtContent>
      <w:p w14:paraId="2EE57849" w14:textId="3F448C2C" w:rsidR="0020429F" w:rsidRDefault="002042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65C906" w14:textId="77777777" w:rsidR="0020429F" w:rsidRDefault="002042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B498D" w14:textId="77777777" w:rsidR="0071760B" w:rsidRDefault="0071760B">
      <w:pPr>
        <w:spacing w:after="0" w:line="240" w:lineRule="auto"/>
      </w:pPr>
      <w:r>
        <w:separator/>
      </w:r>
    </w:p>
  </w:footnote>
  <w:footnote w:type="continuationSeparator" w:id="0">
    <w:p w14:paraId="72E9BEB9" w14:textId="77777777" w:rsidR="0071760B" w:rsidRDefault="00717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95D"/>
    <w:rsid w:val="00007458"/>
    <w:rsid w:val="00072782"/>
    <w:rsid w:val="00122EBC"/>
    <w:rsid w:val="0020395D"/>
    <w:rsid w:val="0020429F"/>
    <w:rsid w:val="002B10EF"/>
    <w:rsid w:val="002F28C7"/>
    <w:rsid w:val="004C1715"/>
    <w:rsid w:val="00552912"/>
    <w:rsid w:val="006943FF"/>
    <w:rsid w:val="0071760B"/>
    <w:rsid w:val="00827C96"/>
    <w:rsid w:val="008C51AA"/>
    <w:rsid w:val="00907573"/>
    <w:rsid w:val="00922FB3"/>
    <w:rsid w:val="00A0644F"/>
    <w:rsid w:val="00AF4D1B"/>
    <w:rsid w:val="00B0720B"/>
    <w:rsid w:val="00DA20BE"/>
    <w:rsid w:val="00EA70B5"/>
    <w:rsid w:val="00F40B8B"/>
    <w:rsid w:val="00FD5D9D"/>
    <w:rsid w:val="00FF40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508A"/>
  <w15:chartTrackingRefBased/>
  <w15:docId w15:val="{7C3B7502-EB71-41F3-92D3-4D8F837F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5D"/>
    <w:pPr>
      <w:spacing w:line="256" w:lineRule="auto"/>
    </w:pPr>
    <w:rPr>
      <w:rFonts w:eastAsia="Batang"/>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03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95D"/>
    <w:rPr>
      <w:rFonts w:eastAsia="Batang"/>
      <w:lang w:val="en-US"/>
    </w:rPr>
  </w:style>
  <w:style w:type="paragraph" w:styleId="Header">
    <w:name w:val="header"/>
    <w:basedOn w:val="Normal"/>
    <w:link w:val="HeaderChar"/>
    <w:uiPriority w:val="99"/>
    <w:unhideWhenUsed/>
    <w:rsid w:val="002042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29F"/>
    <w:rPr>
      <w:rFonts w:eastAsia="Batang"/>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5</cp:revision>
  <dcterms:created xsi:type="dcterms:W3CDTF">2020-07-18T08:40:00Z</dcterms:created>
  <dcterms:modified xsi:type="dcterms:W3CDTF">2020-07-18T10:28:00Z</dcterms:modified>
</cp:coreProperties>
</file>