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b/>
          <w:sz w:val="32"/>
        </w:rPr>
        <w:t>EXPLAINABLE PLANT DISEASE DETECTION VIA</w:t>
        <w:br/>
        <w:t>CONCEPT BOTTLENECK MODELLING WITH</w:t>
        <w:br/>
        <w:t>SWIN TRANSFORMER BACKBONE</w:t>
      </w:r>
    </w:p>
    <w:p>
      <w:pPr>
        <w:spacing w:after="480"/>
        <w:jc w:val="center"/>
      </w:pPr>
      <w:r>
        <w:rPr>
          <w:rFonts w:ascii="Times New Roman" w:hAnsi="Times New Roman"/>
          <w:b/>
          <w:sz w:val="26"/>
        </w:rPr>
        <w:t>A URE REPORT</w:t>
      </w:r>
    </w:p>
    <w:p>
      <w:pPr>
        <w:spacing w:after="120"/>
        <w:jc w:val="center"/>
      </w:pPr>
      <w:r>
        <w:rPr>
          <w:rFonts w:ascii="Times New Roman" w:hAnsi="Times New Roman"/>
          <w:i/>
          <w:sz w:val="24"/>
        </w:rPr>
        <w:t>Submitted by</w:t>
      </w:r>
    </w:p>
    <w:p>
      <w:pPr>
        <w:spacing w:after="480"/>
        <w:jc w:val="center"/>
      </w:pPr>
      <w:r>
        <w:rPr>
          <w:rFonts w:ascii="Times New Roman" w:hAnsi="Times New Roman"/>
          <w:sz w:val="26"/>
        </w:rPr>
        <w:t>ANUSHKA MAHRANIYA – 20221CSD0151</w:t>
      </w:r>
    </w:p>
    <w:p>
      <w:pPr>
        <w:spacing w:after="120"/>
        <w:jc w:val="center"/>
      </w:pPr>
      <w:r>
        <w:rPr>
          <w:rFonts w:ascii="Times New Roman" w:hAnsi="Times New Roman"/>
          <w:i/>
          <w:sz w:val="24"/>
        </w:rPr>
        <w:t>Under the guidance of,</w:t>
      </w:r>
    </w:p>
    <w:p>
      <w:pPr>
        <w:spacing w:after="720"/>
        <w:jc w:val="center"/>
      </w:pPr>
      <w:r>
        <w:rPr>
          <w:rFonts w:ascii="Times New Roman" w:hAnsi="Times New Roman"/>
          <w:b/>
          <w:sz w:val="26"/>
        </w:rPr>
        <w:t>MEENA KUMARI K S</w:t>
      </w:r>
    </w:p>
    <w:p>
      <w:pPr>
        <w:spacing w:after="80"/>
        <w:jc w:val="center"/>
      </w:pPr>
      <w:r>
        <w:rPr>
          <w:rFonts w:ascii="Times New Roman" w:hAnsi="Times New Roman"/>
          <w:b/>
          <w:sz w:val="26"/>
        </w:rPr>
        <w:t>BACHELOR OF TECHNOLOGY</w:t>
      </w:r>
    </w:p>
    <w:p>
      <w:pPr>
        <w:spacing w:after="80"/>
        <w:jc w:val="center"/>
      </w:pPr>
      <w:r>
        <w:rPr>
          <w:rFonts w:ascii="Times New Roman" w:hAnsi="Times New Roman"/>
          <w:b w:val="0"/>
          <w:sz w:val="24"/>
        </w:rPr>
        <w:t>IN</w:t>
      </w:r>
    </w:p>
    <w:p>
      <w:pPr>
        <w:spacing w:after="80"/>
        <w:jc w:val="center"/>
      </w:pPr>
      <w:r>
        <w:rPr>
          <w:rFonts w:ascii="Times New Roman" w:hAnsi="Times New Roman"/>
          <w:b/>
          <w:sz w:val="26"/>
        </w:rPr>
        <w:t>COMPUTER SCIENCE AND ENGINEERING</w:t>
      </w:r>
    </w:p>
    <w:p>
      <w:pPr>
        <w:spacing w:after="80"/>
        <w:jc w:val="center"/>
      </w:pPr>
      <w:r>
        <w:rPr>
          <w:rFonts w:ascii="Times New Roman" w:hAnsi="Times New Roman"/>
          <w:b w:val="0"/>
          <w:sz w:val="24"/>
        </w:rPr>
        <w:t>(Data Science)</w:t>
      </w:r>
    </w:p>
    <w:p>
      <w:pPr>
        <w:spacing w:after="80"/>
        <w:jc w:val="center"/>
      </w:pPr>
      <w:r>
        <w:rPr>
          <w:rFonts w:ascii="Times New Roman" w:hAnsi="Times New Roman"/>
          <w:b w:val="0"/>
          <w:sz w:val="20"/>
        </w:rPr>
      </w:r>
    </w:p>
    <w:p>
      <w:pPr>
        <w:spacing w:after="80"/>
        <w:jc w:val="center"/>
      </w:pPr>
      <w:r>
        <w:rPr>
          <w:rFonts w:ascii="Times New Roman" w:hAnsi="Times New Roman"/>
          <w:b/>
          <w:sz w:val="26"/>
        </w:rPr>
        <w:t>PRESIDENCY UNIVERSITY</w:t>
      </w:r>
    </w:p>
    <w:p>
      <w:pPr>
        <w:spacing w:after="80"/>
        <w:jc w:val="center"/>
      </w:pPr>
      <w:r>
        <w:rPr>
          <w:rFonts w:ascii="Times New Roman" w:hAnsi="Times New Roman"/>
          <w:b w:val="0"/>
          <w:sz w:val="24"/>
        </w:rPr>
        <w:t>BENGALURU</w:t>
      </w:r>
    </w:p>
    <w:p>
      <w:pPr>
        <w:spacing w:after="80"/>
        <w:jc w:val="center"/>
      </w:pPr>
      <w:r>
        <w:rPr>
          <w:rFonts w:ascii="Times New Roman" w:hAnsi="Times New Roman"/>
          <w:b w:val="0"/>
          <w:sz w:val="24"/>
        </w:rPr>
        <w:t>APRIL 2026</w:t>
      </w:r>
    </w:p>
    <w:p>
      <w:r>
        <w:br w:type="page"/>
      </w:r>
    </w:p>
    <w:p>
      <w:pPr>
        <w:spacing w:before="120" w:after="120"/>
        <w:jc w:val="center"/>
      </w:pPr>
      <w:r>
        <w:rPr>
          <w:rFonts w:ascii="Times New Roman" w:hAnsi="Times New Roman"/>
          <w:b/>
          <w:sz w:val="26"/>
        </w:rPr>
        <w:t>PRESIDENCY SCHOOL OF COMPUTER SCIENCE AND ENGINEERING</w:t>
      </w:r>
    </w:p>
    <w:p>
      <w:pPr>
        <w:spacing w:before="80" w:after="360"/>
        <w:jc w:val="center"/>
      </w:pPr>
      <w:r>
        <w:rPr>
          <w:rFonts w:ascii="Times New Roman" w:hAnsi="Times New Roman"/>
          <w:b/>
          <w:sz w:val="26"/>
        </w:rPr>
        <w:t>BONAFIDE CERTIFICATE</w:t>
      </w:r>
    </w:p>
    <w:p>
      <w:pPr>
        <w:spacing w:after="120" w:before="0"/>
        <w:spacing w:line="276" w:lineRule="auto"/>
        <w:jc w:val="both"/>
      </w:pPr>
      <w:r>
        <w:rPr>
          <w:rFonts w:ascii="Times New Roman" w:hAnsi="Times New Roman"/>
          <w:sz w:val="24"/>
        </w:rPr>
        <w:t>Certified that this report "Explainable Plant Disease Detection via Concept Bottleneck Modelling with Swin Transformer Backbone" is a bonafide work of "Anushka Mahraniya (20221CSD0151)" who has successfully carried out the University Research Experience (URE) work and submitted the report in COMPUTER SCIENCE AND ENGINEERING (SPECIALIZATION DIVISION), DATA SCIENCE during 2025-26.</w:t>
      </w:r>
    </w:p>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sz w:val="22"/>
              </w:rPr>
              <w:t>Meena Kumari K S</w:t>
              <w:br/>
              <w:t>Assistant Professor</w:t>
              <w:br/>
              <w:t>Project Guide</w:t>
              <w:br/>
              <w:t>PSCS (Spl. Division)</w:t>
              <w:br/>
              <w:t>Presidency University</w:t>
            </w:r>
          </w:p>
        </w:tc>
        <w:tc>
          <w:tcPr>
            <w:tcW w:type="dxa" w:w="4500"/>
          </w:tcPr>
          <w:p>
            <w:r>
              <w:rPr>
                <w:rFonts w:ascii="Times New Roman" w:hAnsi="Times New Roman"/>
                <w:sz w:val="22"/>
              </w:rPr>
              <w:t>Dr. Abirami A</w:t>
              <w:br/>
              <w:t>Associate Professor</w:t>
              <w:br/>
              <w:t>URE Coordinator</w:t>
              <w:br/>
              <w:t>PSCS (Spl. Division)</w:t>
              <w:br/>
              <w:t>Presidency University</w:t>
            </w:r>
          </w:p>
        </w:tc>
      </w:tr>
      <w:tr>
        <w:tc>
          <w:tcPr>
            <w:tcW w:type="dxa" w:w="4500"/>
          </w:tcPr>
          <w:p>
            <w:r>
              <w:rPr>
                <w:rFonts w:ascii="Times New Roman" w:hAnsi="Times New Roman"/>
                <w:sz w:val="22"/>
              </w:rPr>
              <w:t>Dr. S. Pravinthraja</w:t>
              <w:br/>
              <w:t>Professor &amp; Head of the Department</w:t>
              <w:br/>
              <w:t>PSCS (Spl. Division)</w:t>
              <w:br/>
              <w:t>Presidency University</w:t>
            </w:r>
          </w:p>
        </w:tc>
        <w:tc>
          <w:tcPr>
            <w:tcW w:type="dxa" w:w="4500"/>
          </w:tcPr>
          <w:p>
            <w:r>
              <w:rPr>
                <w:rFonts w:ascii="Times New Roman" w:hAnsi="Times New Roman"/>
                <w:sz w:val="22"/>
              </w:rPr>
              <w:t>Dr. Shakkeera L</w:t>
              <w:br/>
              <w:t>Associate Dean</w:t>
              <w:br/>
              <w:t>PSCS (Spl. Division)</w:t>
              <w:br/>
              <w:t>Presidency University</w:t>
            </w:r>
          </w:p>
        </w:tc>
      </w:tr>
    </w:tbl>
    <w:p>
      <w:r>
        <w:br w:type="page"/>
      </w:r>
    </w:p>
    <w:p>
      <w:pPr>
        <w:spacing w:before="120" w:after="120"/>
        <w:jc w:val="center"/>
      </w:pPr>
      <w:r>
        <w:rPr>
          <w:rFonts w:ascii="Times New Roman" w:hAnsi="Times New Roman"/>
          <w:b/>
          <w:sz w:val="26"/>
        </w:rPr>
        <w:t>PRESIDENCY SCHOOL OF COMPUTER SCIENCE AND ENGINEERING</w:t>
      </w:r>
    </w:p>
    <w:p>
      <w:pPr>
        <w:spacing w:before="80" w:after="360"/>
        <w:jc w:val="center"/>
      </w:pPr>
      <w:r>
        <w:rPr>
          <w:rFonts w:ascii="Times New Roman" w:hAnsi="Times New Roman"/>
          <w:b/>
          <w:sz w:val="26"/>
        </w:rPr>
        <w:t>DECLARATION</w:t>
      </w:r>
    </w:p>
    <w:p>
      <w:pPr>
        <w:spacing w:after="120" w:before="0"/>
        <w:spacing w:line="276" w:lineRule="auto"/>
        <w:jc w:val="both"/>
      </w:pPr>
      <w:r>
        <w:rPr>
          <w:rFonts w:ascii="Times New Roman" w:hAnsi="Times New Roman"/>
          <w:sz w:val="24"/>
        </w:rPr>
        <w:t>I am a student of sixth semester in COMPUTER SCIENCE AND ENGINEERING (Spl. Division) at Presidency University, Bengaluru, named Anushka Mahraniya, hereby declare that the URE work titled "Explainable Plant Disease Detection via Concept Bottleneck Modelling with Swin Transformer Backbone" has been independently carried out by me and submitted during the academic year of 2025-26. Further, the matter embodied in the work has not been submitted previously by anybody for the award of any Degree or Diploma to any other institution.</w:t>
      </w:r>
    </w:p>
    <w:p/>
    <w:p>
      <w:r>
        <w:rPr>
          <w:rFonts w:ascii="Times New Roman" w:hAnsi="Times New Roman"/>
          <w:sz w:val="24"/>
        </w:rPr>
        <w:t>Anushka Mahraniya</w:t>
      </w:r>
      <w:r>
        <w:rPr>
          <w:rFonts w:ascii="Times New Roman" w:hAnsi="Times New Roman"/>
          <w:sz w:val="24"/>
        </w:rPr>
        <w:t xml:space="preserve">          USN: 20221CSD0151          Signature</w:t>
      </w:r>
    </w:p>
    <w:p/>
    <w:p>
      <w:pPr>
        <w:spacing w:after="120" w:before="0"/>
        <w:spacing w:line="276" w:lineRule="auto"/>
      </w:pPr>
      <w:r>
        <w:rPr>
          <w:rFonts w:ascii="Times New Roman" w:hAnsi="Times New Roman"/>
          <w:sz w:val="24"/>
        </w:rPr>
        <w:t>PLACE: BENGALURU</w:t>
      </w:r>
    </w:p>
    <w:p>
      <w:pPr>
        <w:spacing w:after="120" w:before="0"/>
        <w:spacing w:line="276" w:lineRule="auto"/>
      </w:pPr>
      <w:r>
        <w:rPr>
          <w:rFonts w:ascii="Times New Roman" w:hAnsi="Times New Roman"/>
          <w:sz w:val="24"/>
        </w:rPr>
        <w:t>DATE:</w:t>
      </w:r>
    </w:p>
    <w:p>
      <w:r>
        <w:br w:type="page"/>
      </w:r>
    </w:p>
    <w:p>
      <w:pPr>
        <w:spacing w:before="120" w:after="280"/>
        <w:jc w:val="center"/>
      </w:pPr>
      <w:r>
        <w:rPr>
          <w:rFonts w:ascii="Times New Roman" w:hAnsi="Times New Roman"/>
          <w:b/>
          <w:sz w:val="28"/>
        </w:rPr>
        <w:t>ACKNOWLEDGEMENT</w:t>
      </w:r>
    </w:p>
    <w:p>
      <w:pPr>
        <w:spacing w:after="120" w:before="0"/>
        <w:spacing w:line="276" w:lineRule="auto"/>
        <w:jc w:val="both"/>
      </w:pPr>
      <w:r>
        <w:rPr>
          <w:rFonts w:ascii="Times New Roman" w:hAnsi="Times New Roman"/>
          <w:sz w:val="24"/>
        </w:rPr>
        <w:t>For completing this URE work, I have received the support and guidance from many people whom I would like to mention with deep sense of gratitude and indebtedness. I extend my gratitude to our beloved Chancellor, Pro-Vice Chancellor, and Registrar for their support and encouragement in completion of the project.</w:t>
      </w:r>
    </w:p>
    <w:p>
      <w:pPr>
        <w:spacing w:after="120" w:before="0"/>
        <w:spacing w:line="276" w:lineRule="auto"/>
        <w:jc w:val="both"/>
      </w:pPr>
      <w:r>
        <w:rPr>
          <w:rFonts w:ascii="Times New Roman" w:hAnsi="Times New Roman"/>
          <w:sz w:val="24"/>
        </w:rPr>
        <w:t>I would like to sincerely thank my internal guide, Meena Kumari K S, Assistant Professor, Presidency School of Computer Science and Engineering (Spl. Division), Presidency University, for her moral support, motivation, timely guidance and encouragement provided during the period of my project work.</w:t>
      </w:r>
    </w:p>
    <w:p>
      <w:pPr>
        <w:spacing w:after="120" w:before="0"/>
        <w:spacing w:line="276" w:lineRule="auto"/>
        <w:jc w:val="both"/>
      </w:pPr>
      <w:r>
        <w:rPr>
          <w:rFonts w:ascii="Times New Roman" w:hAnsi="Times New Roman"/>
          <w:sz w:val="24"/>
        </w:rPr>
        <w:t>I am also thankful to Dr. S. Pravinthraja, Professor, Head of the Department, Presidency School of Computer Science and Engineering (Spl. Division), Presidency University, for his mentorship and encouragement.</w:t>
      </w:r>
    </w:p>
    <w:p>
      <w:pPr>
        <w:spacing w:after="120" w:before="0"/>
        <w:spacing w:line="276" w:lineRule="auto"/>
        <w:jc w:val="both"/>
      </w:pPr>
      <w:r>
        <w:rPr>
          <w:rFonts w:ascii="Times New Roman" w:hAnsi="Times New Roman"/>
          <w:sz w:val="24"/>
        </w:rPr>
        <w:t>I express my cordial thanks to Dr. Shakkeera L, Associate Dean, Presidency School of Computer Science and Engineering (Spl. Division), Presidency University for providing the required facilities and intellectually stimulating environment that aided in the completion of my URE work.</w:t>
      </w:r>
    </w:p>
    <w:p>
      <w:pPr>
        <w:spacing w:after="120" w:before="0"/>
        <w:spacing w:line="276" w:lineRule="auto"/>
        <w:jc w:val="both"/>
      </w:pPr>
      <w:r>
        <w:rPr>
          <w:rFonts w:ascii="Times New Roman" w:hAnsi="Times New Roman"/>
          <w:sz w:val="24"/>
        </w:rPr>
        <w:t>I am grateful to my URE coordinators Dr. Abirami A, Associate Professor, PSCS (Spl. Division) and Mr. Anand Haridas, Assistant Professor, PSCS (Spl. Division) for facilitating problem statements, coordinating reviews, monitoring progress, and providing their valuable support and guidance.</w:t>
      </w:r>
    </w:p>
    <w:p>
      <w:pPr>
        <w:jc w:val="right"/>
      </w:pPr>
      <w:r>
        <w:rPr>
          <w:rFonts w:ascii="Times New Roman" w:hAnsi="Times New Roman"/>
          <w:sz w:val="24"/>
        </w:rPr>
        <w:t>ANUSHKA MAHRANIYA</w:t>
      </w:r>
    </w:p>
    <w:p>
      <w:r>
        <w:br w:type="page"/>
      </w:r>
    </w:p>
    <w:p>
      <w:pPr>
        <w:spacing w:before="120" w:after="280"/>
        <w:jc w:val="center"/>
      </w:pPr>
      <w:r>
        <w:rPr>
          <w:rFonts w:ascii="Times New Roman" w:hAnsi="Times New Roman"/>
          <w:b/>
          <w:sz w:val="28"/>
        </w:rPr>
        <w:t>Abstract</w:t>
      </w:r>
    </w:p>
    <w:p>
      <w:pPr>
        <w:spacing w:after="120" w:before="0"/>
        <w:spacing w:line="276" w:lineRule="auto"/>
        <w:jc w:val="both"/>
      </w:pPr>
      <w:r>
        <w:rPr>
          <w:rFonts w:ascii="Times New Roman" w:hAnsi="Times New Roman"/>
          <w:sz w:val="24"/>
        </w:rPr>
        <w:t>Plant diseases cause significant annual losses in agricultural yield worldwide, yet accurate and timely diagnosis remains challenging for farmers who lack access to expert agronomists. Existing deep learning systems for plant disease detection suffer from three fundamental limitations: opacity of predictions offering no human-interpretable reasoning, poor generalisation from controlled laboratory images to real field conditions, and computational heaviness that prevents deployment on edge devices. To address all three limitations simultaneously, this work proposes PlantDiseaseCBM — a Concept Bottleneck Model that couples a Swin Transformer backbone augmented with a Squeeze-and-Excitation (SE) attention block with a 12-concept intermediate representation layer before the final 38-class classifier. The 12 visual concepts — lesion_color, lesion_shape, lesion_spread, necrosis, chlorosis, wilting, spotting, blight_pattern, mold_presence, leaf_curl, vein_discoloration, and lesion_texture — are biologically grounded and learned jointly with the classification objective through a composite CBM loss combining task loss, concept supervision loss, and a diversity regularisation term. The model is trained on a merged corpus of PlantVillage (54,306 colour images, 38 classes) and PlantDoc (field-collected images across 27 disease categories), with aggressive data augmentation to bridge the domain gap. Four complementary XAI mechanisms are implemented: counterfactual concept perturbation, faithfulness evaluation via insertion-deletion AUC curves, concept intervention analysis, and concept importance ranking. On the held-out PlantVillage validation set the model achieves 99.91% accuracy, 99.78% macro F1-score, and on the combined out-of-distribution test set it achieves 99.25% accuracy and 98.27% macro F1-score. INT8 dynamic quantisation reduces model size by ~23% with negligible accuracy drop, and a FastAPI REST endpoint packaged in Docker enables production deployment. The concept bottleneck architecture is the first applied to multi-class plant disease detection at this scale and provides per-prediction explanations that are immediately actionable by agronomists without machine learning expertise.</w:t>
      </w:r>
    </w:p>
    <w:p>
      <w:r>
        <w:br w:type="page"/>
      </w:r>
    </w:p>
    <w:p>
      <w:pPr>
        <w:spacing w:before="120" w:after="280"/>
        <w:jc w:val="center"/>
      </w:pPr>
      <w:r>
        <w:rPr>
          <w:rFonts w:ascii="Times New Roman" w:hAnsi="Times New Roman"/>
          <w:b/>
          <w:sz w:val="28"/>
        </w:rPr>
        <w:t>TABLE OF CONTENTS</w:t>
      </w:r>
    </w:p>
    <w:tbl>
      <w:tblPr>
        <w:tblStyle w:val="TableGrid"/>
        <w:tblW w:type="auto" w:w="0"/>
        <w:tblLook w:firstColumn="1" w:firstRow="1" w:lastColumn="0" w:lastRow="0" w:noHBand="0" w:noVBand="1" w:val="04A0"/>
      </w:tblPr>
      <w:tblGrid>
        <w:gridCol w:w="720"/>
        <w:gridCol w:w="7200"/>
        <w:gridCol w:w="864"/>
      </w:tblGrid>
      <w:tr>
        <w:tc>
          <w:tcPr>
            <w:tcW w:type="dxa" w:w="3000"/>
          </w:tcPr>
          <w:p>
            <w:r>
              <w:rPr>
                <w:rFonts w:ascii="Times New Roman" w:hAnsi="Times New Roman"/>
                <w:sz w:val="22"/>
              </w:rPr>
            </w:r>
          </w:p>
        </w:tc>
        <w:tc>
          <w:tcPr>
            <w:tcW w:type="dxa" w:w="3000"/>
          </w:tcPr>
          <w:p>
            <w:r>
              <w:rPr>
                <w:rFonts w:ascii="Times New Roman" w:hAnsi="Times New Roman"/>
                <w:sz w:val="22"/>
              </w:rPr>
              <w:t>ACKNOWLEDGEMENT</w:t>
            </w:r>
          </w:p>
        </w:tc>
        <w:tc>
          <w:tcPr>
            <w:tcW w:type="dxa" w:w="3000"/>
          </w:tcPr>
          <w:p>
            <w:pPr>
              <w:jc w:val="right"/>
            </w:pPr>
            <w:r>
              <w:rPr>
                <w:rFonts w:ascii="Times New Roman" w:hAnsi="Times New Roman"/>
                <w:sz w:val="22"/>
              </w:rPr>
              <w:t>iv</w:t>
            </w:r>
          </w:p>
        </w:tc>
      </w:tr>
      <w:tr>
        <w:tc>
          <w:tcPr>
            <w:tcW w:type="dxa" w:w="3000"/>
          </w:tcPr>
          <w:p>
            <w:r>
              <w:rPr>
                <w:rFonts w:ascii="Times New Roman" w:hAnsi="Times New Roman"/>
                <w:sz w:val="22"/>
              </w:rPr>
            </w:r>
          </w:p>
        </w:tc>
        <w:tc>
          <w:tcPr>
            <w:tcW w:type="dxa" w:w="3000"/>
          </w:tcPr>
          <w:p>
            <w:r>
              <w:rPr>
                <w:rFonts w:ascii="Times New Roman" w:hAnsi="Times New Roman"/>
                <w:sz w:val="22"/>
              </w:rPr>
              <w:t>ABSTRACT</w:t>
            </w:r>
          </w:p>
        </w:tc>
        <w:tc>
          <w:tcPr>
            <w:tcW w:type="dxa" w:w="3000"/>
          </w:tcPr>
          <w:p>
            <w:pPr>
              <w:jc w:val="right"/>
            </w:pPr>
            <w:r>
              <w:rPr>
                <w:rFonts w:ascii="Times New Roman" w:hAnsi="Times New Roman"/>
                <w:sz w:val="22"/>
              </w:rPr>
              <w:t>v</w:t>
            </w:r>
          </w:p>
        </w:tc>
      </w:tr>
      <w:tr>
        <w:tc>
          <w:tcPr>
            <w:tcW w:type="dxa" w:w="3000"/>
          </w:tcPr>
          <w:p>
            <w:r>
              <w:rPr>
                <w:rFonts w:ascii="Times New Roman" w:hAnsi="Times New Roman"/>
                <w:sz w:val="22"/>
              </w:rPr>
            </w:r>
          </w:p>
        </w:tc>
        <w:tc>
          <w:tcPr>
            <w:tcW w:type="dxa" w:w="3000"/>
          </w:tcPr>
          <w:p>
            <w:r>
              <w:rPr>
                <w:rFonts w:ascii="Times New Roman" w:hAnsi="Times New Roman"/>
                <w:sz w:val="22"/>
              </w:rPr>
              <w:t>TABLE OF CONTENTS</w:t>
            </w:r>
          </w:p>
        </w:tc>
        <w:tc>
          <w:tcPr>
            <w:tcW w:type="dxa" w:w="3000"/>
          </w:tcPr>
          <w:p>
            <w:pPr>
              <w:jc w:val="right"/>
            </w:pPr>
            <w:r>
              <w:rPr>
                <w:rFonts w:ascii="Times New Roman" w:hAnsi="Times New Roman"/>
                <w:sz w:val="22"/>
              </w:rPr>
              <w:t>vi</w:t>
            </w:r>
          </w:p>
        </w:tc>
      </w:tr>
      <w:tr>
        <w:tc>
          <w:tcPr>
            <w:tcW w:type="dxa" w:w="3000"/>
          </w:tcPr>
          <w:p>
            <w:r>
              <w:rPr>
                <w:rFonts w:ascii="Times New Roman" w:hAnsi="Times New Roman"/>
                <w:sz w:val="22"/>
              </w:rPr>
            </w:r>
          </w:p>
        </w:tc>
        <w:tc>
          <w:tcPr>
            <w:tcW w:type="dxa" w:w="3000"/>
          </w:tcPr>
          <w:p>
            <w:r>
              <w:rPr>
                <w:rFonts w:ascii="Times New Roman" w:hAnsi="Times New Roman"/>
                <w:sz w:val="22"/>
              </w:rPr>
              <w:t>LIST OF FIGURES</w:t>
            </w:r>
          </w:p>
        </w:tc>
        <w:tc>
          <w:tcPr>
            <w:tcW w:type="dxa" w:w="3000"/>
          </w:tcPr>
          <w:p>
            <w:pPr>
              <w:jc w:val="right"/>
            </w:pPr>
            <w:r>
              <w:rPr>
                <w:rFonts w:ascii="Times New Roman" w:hAnsi="Times New Roman"/>
                <w:sz w:val="22"/>
              </w:rPr>
              <w:t>ix</w:t>
            </w:r>
          </w:p>
        </w:tc>
      </w:tr>
      <w:tr>
        <w:tc>
          <w:tcPr>
            <w:tcW w:type="dxa" w:w="3000"/>
          </w:tcPr>
          <w:p>
            <w:r>
              <w:rPr>
                <w:rFonts w:ascii="Times New Roman" w:hAnsi="Times New Roman"/>
                <w:sz w:val="22"/>
              </w:rPr>
            </w:r>
          </w:p>
        </w:tc>
        <w:tc>
          <w:tcPr>
            <w:tcW w:type="dxa" w:w="3000"/>
          </w:tcPr>
          <w:p>
            <w:r>
              <w:rPr>
                <w:rFonts w:ascii="Times New Roman" w:hAnsi="Times New Roman"/>
                <w:sz w:val="22"/>
              </w:rPr>
              <w:t>LIST OF TABLES</w:t>
            </w:r>
          </w:p>
        </w:tc>
        <w:tc>
          <w:tcPr>
            <w:tcW w:type="dxa" w:w="3000"/>
          </w:tcPr>
          <w:p>
            <w:pPr>
              <w:jc w:val="right"/>
            </w:pPr>
            <w:r>
              <w:rPr>
                <w:rFonts w:ascii="Times New Roman" w:hAnsi="Times New Roman"/>
                <w:sz w:val="22"/>
              </w:rPr>
              <w:t>ix</w:t>
            </w:r>
          </w:p>
        </w:tc>
      </w:tr>
      <w:tr>
        <w:tc>
          <w:tcPr>
            <w:tcW w:type="dxa" w:w="3000"/>
          </w:tcPr>
          <w:p>
            <w:r>
              <w:rPr>
                <w:rFonts w:ascii="Times New Roman" w:hAnsi="Times New Roman"/>
                <w:sz w:val="22"/>
              </w:rPr>
            </w:r>
          </w:p>
        </w:tc>
        <w:tc>
          <w:tcPr>
            <w:tcW w:type="dxa" w:w="3000"/>
          </w:tcPr>
          <w:p>
            <w:r>
              <w:rPr>
                <w:rFonts w:ascii="Times New Roman" w:hAnsi="Times New Roman"/>
                <w:sz w:val="22"/>
              </w:rPr>
              <w:t>ABBREVIATIONS</w:t>
            </w:r>
          </w:p>
        </w:tc>
        <w:tc>
          <w:tcPr>
            <w:tcW w:type="dxa" w:w="3000"/>
          </w:tcPr>
          <w:p>
            <w:pPr>
              <w:jc w:val="right"/>
            </w:pPr>
            <w:r>
              <w:rPr>
                <w:rFonts w:ascii="Times New Roman" w:hAnsi="Times New Roman"/>
                <w:sz w:val="22"/>
              </w:rPr>
              <w:t>x</w:t>
            </w:r>
          </w:p>
        </w:tc>
      </w:tr>
      <w:tr>
        <w:tc>
          <w:tcPr>
            <w:tcW w:type="dxa" w:w="3000"/>
          </w:tcPr>
          <w:p>
            <w:r>
              <w:rPr>
                <w:rFonts w:ascii="Times New Roman" w:hAnsi="Times New Roman"/>
                <w:b/>
                <w:sz w:val="22"/>
              </w:rPr>
              <w:t>1.</w:t>
            </w:r>
          </w:p>
        </w:tc>
        <w:tc>
          <w:tcPr>
            <w:tcW w:type="dxa" w:w="3000"/>
          </w:tcPr>
          <w:p>
            <w:r>
              <w:rPr>
                <w:rFonts w:ascii="Times New Roman" w:hAnsi="Times New Roman"/>
                <w:b/>
                <w:sz w:val="22"/>
              </w:rPr>
              <w:t>INTRODUCTION</w:t>
            </w:r>
          </w:p>
        </w:tc>
        <w:tc>
          <w:tcPr>
            <w:tcW w:type="dxa" w:w="3000"/>
          </w:tcPr>
          <w:p>
            <w:pPr>
              <w:jc w:val="right"/>
            </w:pPr>
            <w:r>
              <w:rPr>
                <w:rFonts w:ascii="Times New Roman" w:hAnsi="Times New Roman"/>
                <w:b/>
                <w:sz w:val="22"/>
              </w:rPr>
              <w:t>1</w:t>
            </w:r>
          </w:p>
        </w:tc>
      </w:tr>
      <w:tr>
        <w:tc>
          <w:tcPr>
            <w:tcW w:type="dxa" w:w="3000"/>
          </w:tcPr>
          <w:p>
            <w:r>
              <w:rPr>
                <w:rFonts w:ascii="Times New Roman" w:hAnsi="Times New Roman"/>
                <w:sz w:val="22"/>
              </w:rPr>
            </w:r>
          </w:p>
        </w:tc>
        <w:tc>
          <w:tcPr>
            <w:tcW w:type="dxa" w:w="3000"/>
          </w:tcPr>
          <w:p>
            <w:r>
              <w:rPr>
                <w:rFonts w:ascii="Times New Roman" w:hAnsi="Times New Roman"/>
                <w:sz w:val="22"/>
              </w:rPr>
              <w:t>1.1 Background and Motivation</w:t>
            </w:r>
          </w:p>
        </w:tc>
        <w:tc>
          <w:tcPr>
            <w:tcW w:type="dxa" w:w="3000"/>
          </w:tcPr>
          <w:p>
            <w:pPr>
              <w:jc w:val="right"/>
            </w:pPr>
            <w:r>
              <w:rPr>
                <w:rFonts w:ascii="Times New Roman" w:hAnsi="Times New Roman"/>
                <w:sz w:val="22"/>
              </w:rPr>
              <w:t>1</w:t>
            </w:r>
          </w:p>
        </w:tc>
      </w:tr>
      <w:tr>
        <w:tc>
          <w:tcPr>
            <w:tcW w:type="dxa" w:w="3000"/>
          </w:tcPr>
          <w:p>
            <w:r>
              <w:rPr>
                <w:rFonts w:ascii="Times New Roman" w:hAnsi="Times New Roman"/>
                <w:sz w:val="22"/>
              </w:rPr>
            </w:r>
          </w:p>
        </w:tc>
        <w:tc>
          <w:tcPr>
            <w:tcW w:type="dxa" w:w="3000"/>
          </w:tcPr>
          <w:p>
            <w:r>
              <w:rPr>
                <w:rFonts w:ascii="Times New Roman" w:hAnsi="Times New Roman"/>
                <w:sz w:val="22"/>
              </w:rPr>
              <w:t>1.2 Problem Statement</w:t>
            </w:r>
          </w:p>
        </w:tc>
        <w:tc>
          <w:tcPr>
            <w:tcW w:type="dxa" w:w="3000"/>
          </w:tcPr>
          <w:p>
            <w:pPr>
              <w:jc w:val="right"/>
            </w:pPr>
            <w:r>
              <w:rPr>
                <w:rFonts w:ascii="Times New Roman" w:hAnsi="Times New Roman"/>
                <w:sz w:val="22"/>
              </w:rPr>
              <w:t>2</w:t>
            </w:r>
          </w:p>
        </w:tc>
      </w:tr>
      <w:tr>
        <w:tc>
          <w:tcPr>
            <w:tcW w:type="dxa" w:w="3000"/>
          </w:tcPr>
          <w:p>
            <w:r>
              <w:rPr>
                <w:rFonts w:ascii="Times New Roman" w:hAnsi="Times New Roman"/>
                <w:sz w:val="22"/>
              </w:rPr>
            </w:r>
          </w:p>
        </w:tc>
        <w:tc>
          <w:tcPr>
            <w:tcW w:type="dxa" w:w="3000"/>
          </w:tcPr>
          <w:p>
            <w:r>
              <w:rPr>
                <w:rFonts w:ascii="Times New Roman" w:hAnsi="Times New Roman"/>
                <w:sz w:val="22"/>
              </w:rPr>
              <w:t>1.3 Research Objectives</w:t>
            </w:r>
          </w:p>
        </w:tc>
        <w:tc>
          <w:tcPr>
            <w:tcW w:type="dxa" w:w="3000"/>
          </w:tcPr>
          <w:p>
            <w:pPr>
              <w:jc w:val="right"/>
            </w:pPr>
            <w:r>
              <w:rPr>
                <w:rFonts w:ascii="Times New Roman" w:hAnsi="Times New Roman"/>
                <w:sz w:val="22"/>
              </w:rPr>
              <w:t>2</w:t>
            </w:r>
          </w:p>
        </w:tc>
      </w:tr>
      <w:tr>
        <w:tc>
          <w:tcPr>
            <w:tcW w:type="dxa" w:w="3000"/>
          </w:tcPr>
          <w:p>
            <w:r>
              <w:rPr>
                <w:rFonts w:ascii="Times New Roman" w:hAnsi="Times New Roman"/>
                <w:sz w:val="22"/>
              </w:rPr>
            </w:r>
          </w:p>
        </w:tc>
        <w:tc>
          <w:tcPr>
            <w:tcW w:type="dxa" w:w="3000"/>
          </w:tcPr>
          <w:p>
            <w:r>
              <w:rPr>
                <w:rFonts w:ascii="Times New Roman" w:hAnsi="Times New Roman"/>
                <w:sz w:val="22"/>
              </w:rPr>
              <w:t>1.4 Scope and Limitations</w:t>
            </w:r>
          </w:p>
        </w:tc>
        <w:tc>
          <w:tcPr>
            <w:tcW w:type="dxa" w:w="3000"/>
          </w:tcPr>
          <w:p>
            <w:pPr>
              <w:jc w:val="right"/>
            </w:pPr>
            <w:r>
              <w:rPr>
                <w:rFonts w:ascii="Times New Roman" w:hAnsi="Times New Roman"/>
                <w:sz w:val="22"/>
              </w:rPr>
              <w:t>3</w:t>
            </w:r>
          </w:p>
        </w:tc>
      </w:tr>
      <w:tr>
        <w:tc>
          <w:tcPr>
            <w:tcW w:type="dxa" w:w="3000"/>
          </w:tcPr>
          <w:p>
            <w:r>
              <w:rPr>
                <w:rFonts w:ascii="Times New Roman" w:hAnsi="Times New Roman"/>
                <w:sz w:val="22"/>
              </w:rPr>
            </w:r>
          </w:p>
        </w:tc>
        <w:tc>
          <w:tcPr>
            <w:tcW w:type="dxa" w:w="3000"/>
          </w:tcPr>
          <w:p>
            <w:r>
              <w:rPr>
                <w:rFonts w:ascii="Times New Roman" w:hAnsi="Times New Roman"/>
                <w:sz w:val="22"/>
              </w:rPr>
              <w:t>1.5 Sustainable Development Goals</w:t>
            </w:r>
          </w:p>
        </w:tc>
        <w:tc>
          <w:tcPr>
            <w:tcW w:type="dxa" w:w="3000"/>
          </w:tcPr>
          <w:p>
            <w:pPr>
              <w:jc w:val="right"/>
            </w:pPr>
            <w:r>
              <w:rPr>
                <w:rFonts w:ascii="Times New Roman" w:hAnsi="Times New Roman"/>
                <w:sz w:val="22"/>
              </w:rPr>
              <w:t>3</w:t>
            </w:r>
          </w:p>
        </w:tc>
      </w:tr>
      <w:tr>
        <w:tc>
          <w:tcPr>
            <w:tcW w:type="dxa" w:w="3000"/>
          </w:tcPr>
          <w:p>
            <w:r>
              <w:rPr>
                <w:rFonts w:ascii="Times New Roman" w:hAnsi="Times New Roman"/>
                <w:b/>
                <w:sz w:val="22"/>
              </w:rPr>
              <w:t>2.</w:t>
            </w:r>
          </w:p>
        </w:tc>
        <w:tc>
          <w:tcPr>
            <w:tcW w:type="dxa" w:w="3000"/>
          </w:tcPr>
          <w:p>
            <w:r>
              <w:rPr>
                <w:rFonts w:ascii="Times New Roman" w:hAnsi="Times New Roman"/>
                <w:b/>
                <w:sz w:val="22"/>
              </w:rPr>
              <w:t>LITERATURE REVIEW</w:t>
            </w:r>
          </w:p>
        </w:tc>
        <w:tc>
          <w:tcPr>
            <w:tcW w:type="dxa" w:w="3000"/>
          </w:tcPr>
          <w:p>
            <w:pPr>
              <w:jc w:val="right"/>
            </w:pPr>
            <w:r>
              <w:rPr>
                <w:rFonts w:ascii="Times New Roman" w:hAnsi="Times New Roman"/>
                <w:b/>
                <w:sz w:val="22"/>
              </w:rPr>
              <w:t>4</w:t>
            </w:r>
          </w:p>
        </w:tc>
      </w:tr>
      <w:tr>
        <w:tc>
          <w:tcPr>
            <w:tcW w:type="dxa" w:w="3000"/>
          </w:tcPr>
          <w:p>
            <w:r>
              <w:rPr>
                <w:rFonts w:ascii="Times New Roman" w:hAnsi="Times New Roman"/>
                <w:sz w:val="22"/>
              </w:rPr>
            </w:r>
          </w:p>
        </w:tc>
        <w:tc>
          <w:tcPr>
            <w:tcW w:type="dxa" w:w="3000"/>
          </w:tcPr>
          <w:p>
            <w:r>
              <w:rPr>
                <w:rFonts w:ascii="Times New Roman" w:hAnsi="Times New Roman"/>
                <w:sz w:val="22"/>
              </w:rPr>
              <w:t>2.1 CNN-Based Methods</w:t>
            </w:r>
          </w:p>
        </w:tc>
        <w:tc>
          <w:tcPr>
            <w:tcW w:type="dxa" w:w="3000"/>
          </w:tcPr>
          <w:p>
            <w:pPr>
              <w:jc w:val="right"/>
            </w:pPr>
            <w:r>
              <w:rPr>
                <w:rFonts w:ascii="Times New Roman" w:hAnsi="Times New Roman"/>
                <w:sz w:val="22"/>
              </w:rPr>
              <w:t>4</w:t>
            </w:r>
          </w:p>
        </w:tc>
      </w:tr>
      <w:tr>
        <w:tc>
          <w:tcPr>
            <w:tcW w:type="dxa" w:w="3000"/>
          </w:tcPr>
          <w:p>
            <w:r>
              <w:rPr>
                <w:rFonts w:ascii="Times New Roman" w:hAnsi="Times New Roman"/>
                <w:sz w:val="22"/>
              </w:rPr>
            </w:r>
          </w:p>
        </w:tc>
        <w:tc>
          <w:tcPr>
            <w:tcW w:type="dxa" w:w="3000"/>
          </w:tcPr>
          <w:p>
            <w:r>
              <w:rPr>
                <w:rFonts w:ascii="Times New Roman" w:hAnsi="Times New Roman"/>
                <w:sz w:val="22"/>
              </w:rPr>
              <w:t>2.2 Transformer-Based Methods</w:t>
            </w:r>
          </w:p>
        </w:tc>
        <w:tc>
          <w:tcPr>
            <w:tcW w:type="dxa" w:w="3000"/>
          </w:tcPr>
          <w:p>
            <w:pPr>
              <w:jc w:val="right"/>
            </w:pPr>
            <w:r>
              <w:rPr>
                <w:rFonts w:ascii="Times New Roman" w:hAnsi="Times New Roman"/>
                <w:sz w:val="22"/>
              </w:rPr>
              <w:t>4</w:t>
            </w:r>
          </w:p>
        </w:tc>
      </w:tr>
      <w:tr>
        <w:tc>
          <w:tcPr>
            <w:tcW w:type="dxa" w:w="3000"/>
          </w:tcPr>
          <w:p>
            <w:r>
              <w:rPr>
                <w:rFonts w:ascii="Times New Roman" w:hAnsi="Times New Roman"/>
                <w:sz w:val="22"/>
              </w:rPr>
            </w:r>
          </w:p>
        </w:tc>
        <w:tc>
          <w:tcPr>
            <w:tcW w:type="dxa" w:w="3000"/>
          </w:tcPr>
          <w:p>
            <w:r>
              <w:rPr>
                <w:rFonts w:ascii="Times New Roman" w:hAnsi="Times New Roman"/>
                <w:sz w:val="22"/>
              </w:rPr>
              <w:t>2.3 Explainable AI in Plant Pathology</w:t>
            </w:r>
          </w:p>
        </w:tc>
        <w:tc>
          <w:tcPr>
            <w:tcW w:type="dxa" w:w="3000"/>
          </w:tcPr>
          <w:p>
            <w:pPr>
              <w:jc w:val="right"/>
            </w:pPr>
            <w:r>
              <w:rPr>
                <w:rFonts w:ascii="Times New Roman" w:hAnsi="Times New Roman"/>
                <w:sz w:val="22"/>
              </w:rPr>
              <w:t>5</w:t>
            </w:r>
          </w:p>
        </w:tc>
      </w:tr>
      <w:tr>
        <w:tc>
          <w:tcPr>
            <w:tcW w:type="dxa" w:w="3000"/>
          </w:tcPr>
          <w:p>
            <w:r>
              <w:rPr>
                <w:rFonts w:ascii="Times New Roman" w:hAnsi="Times New Roman"/>
                <w:sz w:val="22"/>
              </w:rPr>
            </w:r>
          </w:p>
        </w:tc>
        <w:tc>
          <w:tcPr>
            <w:tcW w:type="dxa" w:w="3000"/>
          </w:tcPr>
          <w:p>
            <w:r>
              <w:rPr>
                <w:rFonts w:ascii="Times New Roman" w:hAnsi="Times New Roman"/>
                <w:sz w:val="22"/>
              </w:rPr>
              <w:t>2.4 Research Gaps Identified</w:t>
            </w:r>
          </w:p>
        </w:tc>
        <w:tc>
          <w:tcPr>
            <w:tcW w:type="dxa" w:w="3000"/>
          </w:tcPr>
          <w:p>
            <w:pPr>
              <w:jc w:val="right"/>
            </w:pPr>
            <w:r>
              <w:rPr>
                <w:rFonts w:ascii="Times New Roman" w:hAnsi="Times New Roman"/>
                <w:sz w:val="22"/>
              </w:rPr>
              <w:t>6</w:t>
            </w:r>
          </w:p>
        </w:tc>
      </w:tr>
      <w:tr>
        <w:tc>
          <w:tcPr>
            <w:tcW w:type="dxa" w:w="3000"/>
          </w:tcPr>
          <w:p>
            <w:r>
              <w:rPr>
                <w:rFonts w:ascii="Times New Roman" w:hAnsi="Times New Roman"/>
                <w:b/>
                <w:sz w:val="22"/>
              </w:rPr>
              <w:t>3.</w:t>
            </w:r>
          </w:p>
        </w:tc>
        <w:tc>
          <w:tcPr>
            <w:tcW w:type="dxa" w:w="3000"/>
          </w:tcPr>
          <w:p>
            <w:r>
              <w:rPr>
                <w:rFonts w:ascii="Times New Roman" w:hAnsi="Times New Roman"/>
                <w:b/>
                <w:sz w:val="22"/>
              </w:rPr>
              <w:t>RESEARCH METHODOLOGY</w:t>
            </w:r>
          </w:p>
        </w:tc>
        <w:tc>
          <w:tcPr>
            <w:tcW w:type="dxa" w:w="3000"/>
          </w:tcPr>
          <w:p>
            <w:pPr>
              <w:jc w:val="right"/>
            </w:pPr>
            <w:r>
              <w:rPr>
                <w:rFonts w:ascii="Times New Roman" w:hAnsi="Times New Roman"/>
                <w:b/>
                <w:sz w:val="22"/>
              </w:rPr>
              <w:t>7</w:t>
            </w:r>
          </w:p>
        </w:tc>
      </w:tr>
      <w:tr>
        <w:tc>
          <w:tcPr>
            <w:tcW w:type="dxa" w:w="3000"/>
          </w:tcPr>
          <w:p>
            <w:r>
              <w:rPr>
                <w:rFonts w:ascii="Times New Roman" w:hAnsi="Times New Roman"/>
                <w:sz w:val="22"/>
              </w:rPr>
            </w:r>
          </w:p>
        </w:tc>
        <w:tc>
          <w:tcPr>
            <w:tcW w:type="dxa" w:w="3000"/>
          </w:tcPr>
          <w:p>
            <w:r>
              <w:rPr>
                <w:rFonts w:ascii="Times New Roman" w:hAnsi="Times New Roman"/>
                <w:sz w:val="22"/>
              </w:rPr>
              <w:t>3.1 Dataset Description</w:t>
            </w:r>
          </w:p>
        </w:tc>
        <w:tc>
          <w:tcPr>
            <w:tcW w:type="dxa" w:w="3000"/>
          </w:tcPr>
          <w:p>
            <w:pPr>
              <w:jc w:val="right"/>
            </w:pPr>
            <w:r>
              <w:rPr>
                <w:rFonts w:ascii="Times New Roman" w:hAnsi="Times New Roman"/>
                <w:sz w:val="22"/>
              </w:rPr>
              <w:t>7</w:t>
            </w:r>
          </w:p>
        </w:tc>
      </w:tr>
      <w:tr>
        <w:tc>
          <w:tcPr>
            <w:tcW w:type="dxa" w:w="3000"/>
          </w:tcPr>
          <w:p>
            <w:r>
              <w:rPr>
                <w:rFonts w:ascii="Times New Roman" w:hAnsi="Times New Roman"/>
                <w:sz w:val="22"/>
              </w:rPr>
            </w:r>
          </w:p>
        </w:tc>
        <w:tc>
          <w:tcPr>
            <w:tcW w:type="dxa" w:w="3000"/>
          </w:tcPr>
          <w:p>
            <w:r>
              <w:rPr>
                <w:rFonts w:ascii="Times New Roman" w:hAnsi="Times New Roman"/>
                <w:sz w:val="22"/>
              </w:rPr>
              <w:t>3.2 Proposed Framework Overview</w:t>
            </w:r>
          </w:p>
        </w:tc>
        <w:tc>
          <w:tcPr>
            <w:tcW w:type="dxa" w:w="3000"/>
          </w:tcPr>
          <w:p>
            <w:pPr>
              <w:jc w:val="right"/>
            </w:pPr>
            <w:r>
              <w:rPr>
                <w:rFonts w:ascii="Times New Roman" w:hAnsi="Times New Roman"/>
                <w:sz w:val="22"/>
              </w:rPr>
              <w:t>7</w:t>
            </w:r>
          </w:p>
        </w:tc>
      </w:tr>
      <w:tr>
        <w:tc>
          <w:tcPr>
            <w:tcW w:type="dxa" w:w="3000"/>
          </w:tcPr>
          <w:p>
            <w:r>
              <w:rPr>
                <w:rFonts w:ascii="Times New Roman" w:hAnsi="Times New Roman"/>
                <w:sz w:val="22"/>
              </w:rPr>
            </w:r>
          </w:p>
        </w:tc>
        <w:tc>
          <w:tcPr>
            <w:tcW w:type="dxa" w:w="3000"/>
          </w:tcPr>
          <w:p>
            <w:r>
              <w:rPr>
                <w:rFonts w:ascii="Times New Roman" w:hAnsi="Times New Roman"/>
                <w:sz w:val="22"/>
              </w:rPr>
              <w:t>3.3 Backbone and Feature Extraction</w:t>
            </w:r>
          </w:p>
        </w:tc>
        <w:tc>
          <w:tcPr>
            <w:tcW w:type="dxa" w:w="3000"/>
          </w:tcPr>
          <w:p>
            <w:pPr>
              <w:jc w:val="right"/>
            </w:pPr>
            <w:r>
              <w:rPr>
                <w:rFonts w:ascii="Times New Roman" w:hAnsi="Times New Roman"/>
                <w:sz w:val="22"/>
              </w:rPr>
              <w:t>8</w:t>
            </w:r>
          </w:p>
        </w:tc>
      </w:tr>
      <w:tr>
        <w:tc>
          <w:tcPr>
            <w:tcW w:type="dxa" w:w="3000"/>
          </w:tcPr>
          <w:p>
            <w:r>
              <w:rPr>
                <w:rFonts w:ascii="Times New Roman" w:hAnsi="Times New Roman"/>
                <w:sz w:val="22"/>
              </w:rPr>
            </w:r>
          </w:p>
        </w:tc>
        <w:tc>
          <w:tcPr>
            <w:tcW w:type="dxa" w:w="3000"/>
          </w:tcPr>
          <w:p>
            <w:r>
              <w:rPr>
                <w:rFonts w:ascii="Times New Roman" w:hAnsi="Times New Roman"/>
                <w:sz w:val="22"/>
              </w:rPr>
              <w:t>3.4 Concept Bottleneck Layer</w:t>
            </w:r>
          </w:p>
        </w:tc>
        <w:tc>
          <w:tcPr>
            <w:tcW w:type="dxa" w:w="3000"/>
          </w:tcPr>
          <w:p>
            <w:pPr>
              <w:jc w:val="right"/>
            </w:pPr>
            <w:r>
              <w:rPr>
                <w:rFonts w:ascii="Times New Roman" w:hAnsi="Times New Roman"/>
                <w:sz w:val="22"/>
              </w:rPr>
              <w:t>9</w:t>
            </w:r>
          </w:p>
        </w:tc>
      </w:tr>
      <w:tr>
        <w:tc>
          <w:tcPr>
            <w:tcW w:type="dxa" w:w="3000"/>
          </w:tcPr>
          <w:p>
            <w:r>
              <w:rPr>
                <w:rFonts w:ascii="Times New Roman" w:hAnsi="Times New Roman"/>
                <w:sz w:val="22"/>
              </w:rPr>
            </w:r>
          </w:p>
        </w:tc>
        <w:tc>
          <w:tcPr>
            <w:tcW w:type="dxa" w:w="3000"/>
          </w:tcPr>
          <w:p>
            <w:r>
              <w:rPr>
                <w:rFonts w:ascii="Times New Roman" w:hAnsi="Times New Roman"/>
                <w:sz w:val="22"/>
              </w:rPr>
              <w:t>3.5 Loss Function Design</w:t>
            </w:r>
          </w:p>
        </w:tc>
        <w:tc>
          <w:tcPr>
            <w:tcW w:type="dxa" w:w="3000"/>
          </w:tcPr>
          <w:p>
            <w:pPr>
              <w:jc w:val="right"/>
            </w:pPr>
            <w:r>
              <w:rPr>
                <w:rFonts w:ascii="Times New Roman" w:hAnsi="Times New Roman"/>
                <w:sz w:val="22"/>
              </w:rPr>
              <w:t>10</w:t>
            </w:r>
          </w:p>
        </w:tc>
      </w:tr>
      <w:tr>
        <w:tc>
          <w:tcPr>
            <w:tcW w:type="dxa" w:w="3000"/>
          </w:tcPr>
          <w:p>
            <w:r>
              <w:rPr>
                <w:rFonts w:ascii="Times New Roman" w:hAnsi="Times New Roman"/>
                <w:sz w:val="22"/>
              </w:rPr>
            </w:r>
          </w:p>
        </w:tc>
        <w:tc>
          <w:tcPr>
            <w:tcW w:type="dxa" w:w="3000"/>
          </w:tcPr>
          <w:p>
            <w:r>
              <w:rPr>
                <w:rFonts w:ascii="Times New Roman" w:hAnsi="Times New Roman"/>
                <w:sz w:val="22"/>
              </w:rPr>
              <w:t>3.6 XAI Components</w:t>
            </w:r>
          </w:p>
        </w:tc>
        <w:tc>
          <w:tcPr>
            <w:tcW w:type="dxa" w:w="3000"/>
          </w:tcPr>
          <w:p>
            <w:pPr>
              <w:jc w:val="right"/>
            </w:pPr>
            <w:r>
              <w:rPr>
                <w:rFonts w:ascii="Times New Roman" w:hAnsi="Times New Roman"/>
                <w:sz w:val="22"/>
              </w:rPr>
              <w:t>11</w:t>
            </w:r>
          </w:p>
        </w:tc>
      </w:tr>
      <w:tr>
        <w:tc>
          <w:tcPr>
            <w:tcW w:type="dxa" w:w="3000"/>
          </w:tcPr>
          <w:p>
            <w:r>
              <w:rPr>
                <w:rFonts w:ascii="Times New Roman" w:hAnsi="Times New Roman"/>
                <w:sz w:val="22"/>
              </w:rPr>
            </w:r>
          </w:p>
        </w:tc>
        <w:tc>
          <w:tcPr>
            <w:tcW w:type="dxa" w:w="3000"/>
          </w:tcPr>
          <w:p>
            <w:r>
              <w:rPr>
                <w:rFonts w:ascii="Times New Roman" w:hAnsi="Times New Roman"/>
                <w:sz w:val="22"/>
              </w:rPr>
              <w:t>3.7 Preprocessing and Augmentation Pipeline</w:t>
            </w:r>
          </w:p>
        </w:tc>
        <w:tc>
          <w:tcPr>
            <w:tcW w:type="dxa" w:w="3000"/>
          </w:tcPr>
          <w:p>
            <w:pPr>
              <w:jc w:val="right"/>
            </w:pPr>
            <w:r>
              <w:rPr>
                <w:rFonts w:ascii="Times New Roman" w:hAnsi="Times New Roman"/>
                <w:sz w:val="22"/>
              </w:rPr>
              <w:t>12</w:t>
            </w:r>
          </w:p>
        </w:tc>
      </w:tr>
      <w:tr>
        <w:tc>
          <w:tcPr>
            <w:tcW w:type="dxa" w:w="3000"/>
          </w:tcPr>
          <w:p>
            <w:r>
              <w:rPr>
                <w:rFonts w:ascii="Times New Roman" w:hAnsi="Times New Roman"/>
                <w:b/>
                <w:sz w:val="22"/>
              </w:rPr>
              <w:t>4.</w:t>
            </w:r>
          </w:p>
        </w:tc>
        <w:tc>
          <w:tcPr>
            <w:tcW w:type="dxa" w:w="3000"/>
          </w:tcPr>
          <w:p>
            <w:r>
              <w:rPr>
                <w:rFonts w:ascii="Times New Roman" w:hAnsi="Times New Roman"/>
                <w:b/>
                <w:sz w:val="22"/>
              </w:rPr>
              <w:t>IMPLEMENTATION</w:t>
            </w:r>
          </w:p>
        </w:tc>
        <w:tc>
          <w:tcPr>
            <w:tcW w:type="dxa" w:w="3000"/>
          </w:tcPr>
          <w:p>
            <w:pPr>
              <w:jc w:val="right"/>
            </w:pPr>
            <w:r>
              <w:rPr>
                <w:rFonts w:ascii="Times New Roman" w:hAnsi="Times New Roman"/>
                <w:b/>
                <w:sz w:val="22"/>
              </w:rPr>
              <w:t>13</w:t>
            </w:r>
          </w:p>
        </w:tc>
      </w:tr>
      <w:tr>
        <w:tc>
          <w:tcPr>
            <w:tcW w:type="dxa" w:w="3000"/>
          </w:tcPr>
          <w:p>
            <w:r>
              <w:rPr>
                <w:rFonts w:ascii="Times New Roman" w:hAnsi="Times New Roman"/>
                <w:sz w:val="22"/>
              </w:rPr>
            </w:r>
          </w:p>
        </w:tc>
        <w:tc>
          <w:tcPr>
            <w:tcW w:type="dxa" w:w="3000"/>
          </w:tcPr>
          <w:p>
            <w:r>
              <w:rPr>
                <w:rFonts w:ascii="Times New Roman" w:hAnsi="Times New Roman"/>
                <w:sz w:val="22"/>
              </w:rPr>
              <w:t>4.1 Environment and Tools</w:t>
            </w:r>
          </w:p>
        </w:tc>
        <w:tc>
          <w:tcPr>
            <w:tcW w:type="dxa" w:w="3000"/>
          </w:tcPr>
          <w:p>
            <w:pPr>
              <w:jc w:val="right"/>
            </w:pPr>
            <w:r>
              <w:rPr>
                <w:rFonts w:ascii="Times New Roman" w:hAnsi="Times New Roman"/>
                <w:sz w:val="22"/>
              </w:rPr>
              <w:t>13</w:t>
            </w:r>
          </w:p>
        </w:tc>
      </w:tr>
      <w:tr>
        <w:tc>
          <w:tcPr>
            <w:tcW w:type="dxa" w:w="3000"/>
          </w:tcPr>
          <w:p>
            <w:r>
              <w:rPr>
                <w:rFonts w:ascii="Times New Roman" w:hAnsi="Times New Roman"/>
                <w:sz w:val="22"/>
              </w:rPr>
            </w:r>
          </w:p>
        </w:tc>
        <w:tc>
          <w:tcPr>
            <w:tcW w:type="dxa" w:w="3000"/>
          </w:tcPr>
          <w:p>
            <w:r>
              <w:rPr>
                <w:rFonts w:ascii="Times New Roman" w:hAnsi="Times New Roman"/>
                <w:sz w:val="22"/>
              </w:rPr>
              <w:t>4.2 Data Preprocessing and Feature Construction</w:t>
            </w:r>
          </w:p>
        </w:tc>
        <w:tc>
          <w:tcPr>
            <w:tcW w:type="dxa" w:w="3000"/>
          </w:tcPr>
          <w:p>
            <w:pPr>
              <w:jc w:val="right"/>
            </w:pPr>
            <w:r>
              <w:rPr>
                <w:rFonts w:ascii="Times New Roman" w:hAnsi="Times New Roman"/>
                <w:sz w:val="22"/>
              </w:rPr>
              <w:t>13</w:t>
            </w:r>
          </w:p>
        </w:tc>
      </w:tr>
      <w:tr>
        <w:tc>
          <w:tcPr>
            <w:tcW w:type="dxa" w:w="3000"/>
          </w:tcPr>
          <w:p>
            <w:r>
              <w:rPr>
                <w:rFonts w:ascii="Times New Roman" w:hAnsi="Times New Roman"/>
                <w:sz w:val="22"/>
              </w:rPr>
            </w:r>
          </w:p>
        </w:tc>
        <w:tc>
          <w:tcPr>
            <w:tcW w:type="dxa" w:w="3000"/>
          </w:tcPr>
          <w:p>
            <w:r>
              <w:rPr>
                <w:rFonts w:ascii="Times New Roman" w:hAnsi="Times New Roman"/>
                <w:sz w:val="22"/>
              </w:rPr>
              <w:t>4.3 Model Architecture and Training</w:t>
            </w:r>
          </w:p>
        </w:tc>
        <w:tc>
          <w:tcPr>
            <w:tcW w:type="dxa" w:w="3000"/>
          </w:tcPr>
          <w:p>
            <w:pPr>
              <w:jc w:val="right"/>
            </w:pPr>
            <w:r>
              <w:rPr>
                <w:rFonts w:ascii="Times New Roman" w:hAnsi="Times New Roman"/>
                <w:sz w:val="22"/>
              </w:rPr>
              <w:t>14</w:t>
            </w:r>
          </w:p>
        </w:tc>
      </w:tr>
      <w:tr>
        <w:tc>
          <w:tcPr>
            <w:tcW w:type="dxa" w:w="3000"/>
          </w:tcPr>
          <w:p>
            <w:r>
              <w:rPr>
                <w:rFonts w:ascii="Times New Roman" w:hAnsi="Times New Roman"/>
                <w:sz w:val="22"/>
              </w:rPr>
            </w:r>
          </w:p>
        </w:tc>
        <w:tc>
          <w:tcPr>
            <w:tcW w:type="dxa" w:w="3000"/>
          </w:tcPr>
          <w:p>
            <w:r>
              <w:rPr>
                <w:rFonts w:ascii="Times New Roman" w:hAnsi="Times New Roman"/>
                <w:sz w:val="22"/>
              </w:rPr>
              <w:t>4.4 XAI Integration</w:t>
            </w:r>
          </w:p>
        </w:tc>
        <w:tc>
          <w:tcPr>
            <w:tcW w:type="dxa" w:w="3000"/>
          </w:tcPr>
          <w:p>
            <w:pPr>
              <w:jc w:val="right"/>
            </w:pPr>
            <w:r>
              <w:rPr>
                <w:rFonts w:ascii="Times New Roman" w:hAnsi="Times New Roman"/>
                <w:sz w:val="22"/>
              </w:rPr>
              <w:t>16</w:t>
            </w:r>
          </w:p>
        </w:tc>
      </w:tr>
      <w:tr>
        <w:tc>
          <w:tcPr>
            <w:tcW w:type="dxa" w:w="3000"/>
          </w:tcPr>
          <w:p>
            <w:r>
              <w:rPr>
                <w:rFonts w:ascii="Times New Roman" w:hAnsi="Times New Roman"/>
                <w:sz w:val="22"/>
              </w:rPr>
            </w:r>
          </w:p>
        </w:tc>
        <w:tc>
          <w:tcPr>
            <w:tcW w:type="dxa" w:w="3000"/>
          </w:tcPr>
          <w:p>
            <w:r>
              <w:rPr>
                <w:rFonts w:ascii="Times New Roman" w:hAnsi="Times New Roman"/>
                <w:sz w:val="22"/>
              </w:rPr>
              <w:t>4.5 Deployment: API and Quantisation</w:t>
            </w:r>
          </w:p>
        </w:tc>
        <w:tc>
          <w:tcPr>
            <w:tcW w:type="dxa" w:w="3000"/>
          </w:tcPr>
          <w:p>
            <w:pPr>
              <w:jc w:val="right"/>
            </w:pPr>
            <w:r>
              <w:rPr>
                <w:rFonts w:ascii="Times New Roman" w:hAnsi="Times New Roman"/>
                <w:sz w:val="22"/>
              </w:rPr>
              <w:t>17</w:t>
            </w:r>
          </w:p>
        </w:tc>
      </w:tr>
      <w:tr>
        <w:tc>
          <w:tcPr>
            <w:tcW w:type="dxa" w:w="3000"/>
          </w:tcPr>
          <w:p>
            <w:r>
              <w:rPr>
                <w:rFonts w:ascii="Times New Roman" w:hAnsi="Times New Roman"/>
                <w:sz w:val="22"/>
              </w:rPr>
            </w:r>
          </w:p>
        </w:tc>
        <w:tc>
          <w:tcPr>
            <w:tcW w:type="dxa" w:w="3000"/>
          </w:tcPr>
          <w:p>
            <w:r>
              <w:rPr>
                <w:rFonts w:ascii="Times New Roman" w:hAnsi="Times New Roman"/>
                <w:sz w:val="22"/>
              </w:rPr>
              <w:t>4.6 Pseudocode — Core Algorithms</w:t>
            </w:r>
          </w:p>
        </w:tc>
        <w:tc>
          <w:tcPr>
            <w:tcW w:type="dxa" w:w="3000"/>
          </w:tcPr>
          <w:p>
            <w:pPr>
              <w:jc w:val="right"/>
            </w:pPr>
            <w:r>
              <w:rPr>
                <w:rFonts w:ascii="Times New Roman" w:hAnsi="Times New Roman"/>
                <w:sz w:val="22"/>
              </w:rPr>
              <w:t>17</w:t>
            </w:r>
          </w:p>
        </w:tc>
      </w:tr>
      <w:tr>
        <w:tc>
          <w:tcPr>
            <w:tcW w:type="dxa" w:w="3000"/>
          </w:tcPr>
          <w:p>
            <w:r>
              <w:rPr>
                <w:rFonts w:ascii="Times New Roman" w:hAnsi="Times New Roman"/>
                <w:b/>
                <w:sz w:val="22"/>
              </w:rPr>
              <w:t>5.</w:t>
            </w:r>
          </w:p>
        </w:tc>
        <w:tc>
          <w:tcPr>
            <w:tcW w:type="dxa" w:w="3000"/>
          </w:tcPr>
          <w:p>
            <w:r>
              <w:rPr>
                <w:rFonts w:ascii="Times New Roman" w:hAnsi="Times New Roman"/>
                <w:b/>
                <w:sz w:val="22"/>
              </w:rPr>
              <w:t>RESULTS AND DISCUSSION</w:t>
            </w:r>
          </w:p>
        </w:tc>
        <w:tc>
          <w:tcPr>
            <w:tcW w:type="dxa" w:w="3000"/>
          </w:tcPr>
          <w:p>
            <w:pPr>
              <w:jc w:val="right"/>
            </w:pPr>
            <w:r>
              <w:rPr>
                <w:rFonts w:ascii="Times New Roman" w:hAnsi="Times New Roman"/>
                <w:b/>
                <w:sz w:val="22"/>
              </w:rPr>
              <w:t>20</w:t>
            </w:r>
          </w:p>
        </w:tc>
      </w:tr>
      <w:tr>
        <w:tc>
          <w:tcPr>
            <w:tcW w:type="dxa" w:w="3000"/>
          </w:tcPr>
          <w:p>
            <w:r>
              <w:rPr>
                <w:rFonts w:ascii="Times New Roman" w:hAnsi="Times New Roman"/>
                <w:sz w:val="22"/>
              </w:rPr>
            </w:r>
          </w:p>
        </w:tc>
        <w:tc>
          <w:tcPr>
            <w:tcW w:type="dxa" w:w="3000"/>
          </w:tcPr>
          <w:p>
            <w:r>
              <w:rPr>
                <w:rFonts w:ascii="Times New Roman" w:hAnsi="Times New Roman"/>
                <w:sz w:val="22"/>
              </w:rPr>
              <w:t>5.1 Classification Performance Metrics</w:t>
            </w:r>
          </w:p>
        </w:tc>
        <w:tc>
          <w:tcPr>
            <w:tcW w:type="dxa" w:w="3000"/>
          </w:tcPr>
          <w:p>
            <w:pPr>
              <w:jc w:val="right"/>
            </w:pPr>
            <w:r>
              <w:rPr>
                <w:rFonts w:ascii="Times New Roman" w:hAnsi="Times New Roman"/>
                <w:sz w:val="22"/>
              </w:rPr>
              <w:t>20</w:t>
            </w:r>
          </w:p>
        </w:tc>
      </w:tr>
      <w:tr>
        <w:tc>
          <w:tcPr>
            <w:tcW w:type="dxa" w:w="3000"/>
          </w:tcPr>
          <w:p>
            <w:r>
              <w:rPr>
                <w:rFonts w:ascii="Times New Roman" w:hAnsi="Times New Roman"/>
                <w:sz w:val="22"/>
              </w:rPr>
            </w:r>
          </w:p>
        </w:tc>
        <w:tc>
          <w:tcPr>
            <w:tcW w:type="dxa" w:w="3000"/>
          </w:tcPr>
          <w:p>
            <w:r>
              <w:rPr>
                <w:rFonts w:ascii="Times New Roman" w:hAnsi="Times New Roman"/>
                <w:sz w:val="22"/>
              </w:rPr>
              <w:t>5.2 Confusion Matrix Analysis</w:t>
            </w:r>
          </w:p>
        </w:tc>
        <w:tc>
          <w:tcPr>
            <w:tcW w:type="dxa" w:w="3000"/>
          </w:tcPr>
          <w:p>
            <w:pPr>
              <w:jc w:val="right"/>
            </w:pPr>
            <w:r>
              <w:rPr>
                <w:rFonts w:ascii="Times New Roman" w:hAnsi="Times New Roman"/>
                <w:sz w:val="22"/>
              </w:rPr>
              <w:t>22</w:t>
            </w:r>
          </w:p>
        </w:tc>
      </w:tr>
      <w:tr>
        <w:tc>
          <w:tcPr>
            <w:tcW w:type="dxa" w:w="3000"/>
          </w:tcPr>
          <w:p>
            <w:r>
              <w:rPr>
                <w:rFonts w:ascii="Times New Roman" w:hAnsi="Times New Roman"/>
                <w:sz w:val="22"/>
              </w:rPr>
            </w:r>
          </w:p>
        </w:tc>
        <w:tc>
          <w:tcPr>
            <w:tcW w:type="dxa" w:w="3000"/>
          </w:tcPr>
          <w:p>
            <w:r>
              <w:rPr>
                <w:rFonts w:ascii="Times New Roman" w:hAnsi="Times New Roman"/>
                <w:sz w:val="22"/>
              </w:rPr>
              <w:t>5.3 XAI Analysis</w:t>
            </w:r>
          </w:p>
        </w:tc>
        <w:tc>
          <w:tcPr>
            <w:tcW w:type="dxa" w:w="3000"/>
          </w:tcPr>
          <w:p>
            <w:pPr>
              <w:jc w:val="right"/>
            </w:pPr>
            <w:r>
              <w:rPr>
                <w:rFonts w:ascii="Times New Roman" w:hAnsi="Times New Roman"/>
                <w:sz w:val="22"/>
              </w:rPr>
              <w:t>23</w:t>
            </w:r>
          </w:p>
        </w:tc>
      </w:tr>
      <w:tr>
        <w:tc>
          <w:tcPr>
            <w:tcW w:type="dxa" w:w="3000"/>
          </w:tcPr>
          <w:p>
            <w:r>
              <w:rPr>
                <w:rFonts w:ascii="Times New Roman" w:hAnsi="Times New Roman"/>
                <w:sz w:val="22"/>
              </w:rPr>
            </w:r>
          </w:p>
        </w:tc>
        <w:tc>
          <w:tcPr>
            <w:tcW w:type="dxa" w:w="3000"/>
          </w:tcPr>
          <w:p>
            <w:r>
              <w:rPr>
                <w:rFonts w:ascii="Times New Roman" w:hAnsi="Times New Roman"/>
                <w:sz w:val="22"/>
              </w:rPr>
              <w:t>5.4 Concept Intervention Results</w:t>
            </w:r>
          </w:p>
        </w:tc>
        <w:tc>
          <w:tcPr>
            <w:tcW w:type="dxa" w:w="3000"/>
          </w:tcPr>
          <w:p>
            <w:pPr>
              <w:jc w:val="right"/>
            </w:pPr>
            <w:r>
              <w:rPr>
                <w:rFonts w:ascii="Times New Roman" w:hAnsi="Times New Roman"/>
                <w:sz w:val="22"/>
              </w:rPr>
              <w:t>24</w:t>
            </w:r>
          </w:p>
        </w:tc>
      </w:tr>
      <w:tr>
        <w:tc>
          <w:tcPr>
            <w:tcW w:type="dxa" w:w="3000"/>
          </w:tcPr>
          <w:p>
            <w:r>
              <w:rPr>
                <w:rFonts w:ascii="Times New Roman" w:hAnsi="Times New Roman"/>
                <w:sz w:val="22"/>
              </w:rPr>
            </w:r>
          </w:p>
        </w:tc>
        <w:tc>
          <w:tcPr>
            <w:tcW w:type="dxa" w:w="3000"/>
          </w:tcPr>
          <w:p>
            <w:r>
              <w:rPr>
                <w:rFonts w:ascii="Times New Roman" w:hAnsi="Times New Roman"/>
                <w:sz w:val="22"/>
              </w:rPr>
              <w:t>5.5 Comparative Analysis with State-of-the-Art</w:t>
            </w:r>
          </w:p>
        </w:tc>
        <w:tc>
          <w:tcPr>
            <w:tcW w:type="dxa" w:w="3000"/>
          </w:tcPr>
          <w:p>
            <w:pPr>
              <w:jc w:val="right"/>
            </w:pPr>
            <w:r>
              <w:rPr>
                <w:rFonts w:ascii="Times New Roman" w:hAnsi="Times New Roman"/>
                <w:sz w:val="22"/>
              </w:rPr>
              <w:t>26</w:t>
            </w:r>
          </w:p>
        </w:tc>
      </w:tr>
      <w:tr>
        <w:tc>
          <w:tcPr>
            <w:tcW w:type="dxa" w:w="3000"/>
          </w:tcPr>
          <w:p>
            <w:r>
              <w:rPr>
                <w:rFonts w:ascii="Times New Roman" w:hAnsi="Times New Roman"/>
                <w:b/>
                <w:sz w:val="22"/>
              </w:rPr>
              <w:t>6.</w:t>
            </w:r>
          </w:p>
        </w:tc>
        <w:tc>
          <w:tcPr>
            <w:tcW w:type="dxa" w:w="3000"/>
          </w:tcPr>
          <w:p>
            <w:r>
              <w:rPr>
                <w:rFonts w:ascii="Times New Roman" w:hAnsi="Times New Roman"/>
                <w:b/>
                <w:sz w:val="22"/>
              </w:rPr>
              <w:t>CONCLUSION AND FUTURE WORK</w:t>
            </w:r>
          </w:p>
        </w:tc>
        <w:tc>
          <w:tcPr>
            <w:tcW w:type="dxa" w:w="3000"/>
          </w:tcPr>
          <w:p>
            <w:pPr>
              <w:jc w:val="right"/>
            </w:pPr>
            <w:r>
              <w:rPr>
                <w:rFonts w:ascii="Times New Roman" w:hAnsi="Times New Roman"/>
                <w:b/>
                <w:sz w:val="22"/>
              </w:rPr>
              <w:t>27</w:t>
            </w:r>
          </w:p>
        </w:tc>
      </w:tr>
      <w:tr>
        <w:tc>
          <w:tcPr>
            <w:tcW w:type="dxa" w:w="3000"/>
          </w:tcPr>
          <w:p>
            <w:r>
              <w:rPr>
                <w:rFonts w:ascii="Times New Roman" w:hAnsi="Times New Roman"/>
                <w:sz w:val="22"/>
              </w:rPr>
            </w:r>
          </w:p>
        </w:tc>
        <w:tc>
          <w:tcPr>
            <w:tcW w:type="dxa" w:w="3000"/>
          </w:tcPr>
          <w:p>
            <w:r>
              <w:rPr>
                <w:rFonts w:ascii="Times New Roman" w:hAnsi="Times New Roman"/>
                <w:sz w:val="22"/>
              </w:rPr>
              <w:t>6.1 Summary of Contributions</w:t>
            </w:r>
          </w:p>
        </w:tc>
        <w:tc>
          <w:tcPr>
            <w:tcW w:type="dxa" w:w="3000"/>
          </w:tcPr>
          <w:p>
            <w:pPr>
              <w:jc w:val="right"/>
            </w:pPr>
            <w:r>
              <w:rPr>
                <w:rFonts w:ascii="Times New Roman" w:hAnsi="Times New Roman"/>
                <w:sz w:val="22"/>
              </w:rPr>
              <w:t>27</w:t>
            </w:r>
          </w:p>
        </w:tc>
      </w:tr>
      <w:tr>
        <w:tc>
          <w:tcPr>
            <w:tcW w:type="dxa" w:w="3000"/>
          </w:tcPr>
          <w:p>
            <w:r>
              <w:rPr>
                <w:rFonts w:ascii="Times New Roman" w:hAnsi="Times New Roman"/>
                <w:sz w:val="22"/>
              </w:rPr>
            </w:r>
          </w:p>
        </w:tc>
        <w:tc>
          <w:tcPr>
            <w:tcW w:type="dxa" w:w="3000"/>
          </w:tcPr>
          <w:p>
            <w:r>
              <w:rPr>
                <w:rFonts w:ascii="Times New Roman" w:hAnsi="Times New Roman"/>
                <w:sz w:val="22"/>
              </w:rPr>
              <w:t>6.2 Limitations of the Study</w:t>
            </w:r>
          </w:p>
        </w:tc>
        <w:tc>
          <w:tcPr>
            <w:tcW w:type="dxa" w:w="3000"/>
          </w:tcPr>
          <w:p>
            <w:pPr>
              <w:jc w:val="right"/>
            </w:pPr>
            <w:r>
              <w:rPr>
                <w:rFonts w:ascii="Times New Roman" w:hAnsi="Times New Roman"/>
                <w:sz w:val="22"/>
              </w:rPr>
              <w:t>28</w:t>
            </w:r>
          </w:p>
        </w:tc>
      </w:tr>
      <w:tr>
        <w:tc>
          <w:tcPr>
            <w:tcW w:type="dxa" w:w="3000"/>
          </w:tcPr>
          <w:p>
            <w:r>
              <w:rPr>
                <w:rFonts w:ascii="Times New Roman" w:hAnsi="Times New Roman"/>
                <w:sz w:val="22"/>
              </w:rPr>
            </w:r>
          </w:p>
        </w:tc>
        <w:tc>
          <w:tcPr>
            <w:tcW w:type="dxa" w:w="3000"/>
          </w:tcPr>
          <w:p>
            <w:r>
              <w:rPr>
                <w:rFonts w:ascii="Times New Roman" w:hAnsi="Times New Roman"/>
                <w:sz w:val="22"/>
              </w:rPr>
              <w:t>6.3 Directions for Future Research</w:t>
            </w:r>
          </w:p>
        </w:tc>
        <w:tc>
          <w:tcPr>
            <w:tcW w:type="dxa" w:w="3000"/>
          </w:tcPr>
          <w:p>
            <w:pPr>
              <w:jc w:val="right"/>
            </w:pPr>
            <w:r>
              <w:rPr>
                <w:rFonts w:ascii="Times New Roman" w:hAnsi="Times New Roman"/>
                <w:sz w:val="22"/>
              </w:rPr>
              <w:t>28</w:t>
            </w:r>
          </w:p>
        </w:tc>
      </w:tr>
      <w:tr>
        <w:tc>
          <w:tcPr>
            <w:tcW w:type="dxa" w:w="3000"/>
          </w:tcPr>
          <w:p>
            <w:r>
              <w:rPr>
                <w:rFonts w:ascii="Times New Roman" w:hAnsi="Times New Roman"/>
                <w:sz w:val="22"/>
              </w:rPr>
            </w:r>
          </w:p>
        </w:tc>
        <w:tc>
          <w:tcPr>
            <w:tcW w:type="dxa" w:w="3000"/>
          </w:tcPr>
          <w:p>
            <w:r>
              <w:rPr>
                <w:rFonts w:ascii="Times New Roman" w:hAnsi="Times New Roman"/>
                <w:sz w:val="22"/>
              </w:rPr>
              <w:t>REFERENCES</w:t>
            </w:r>
          </w:p>
        </w:tc>
        <w:tc>
          <w:tcPr>
            <w:tcW w:type="dxa" w:w="3000"/>
          </w:tcPr>
          <w:p>
            <w:pPr>
              <w:jc w:val="right"/>
            </w:pPr>
            <w:r>
              <w:rPr>
                <w:rFonts w:ascii="Times New Roman" w:hAnsi="Times New Roman"/>
                <w:sz w:val="22"/>
              </w:rPr>
              <w:t>30</w:t>
            </w:r>
          </w:p>
        </w:tc>
      </w:tr>
      <w:tr>
        <w:tc>
          <w:tcPr>
            <w:tcW w:type="dxa" w:w="3000"/>
          </w:tcPr>
          <w:p>
            <w:r>
              <w:rPr>
                <w:rFonts w:ascii="Times New Roman" w:hAnsi="Times New Roman"/>
                <w:sz w:val="22"/>
              </w:rPr>
            </w:r>
          </w:p>
        </w:tc>
        <w:tc>
          <w:tcPr>
            <w:tcW w:type="dxa" w:w="3000"/>
          </w:tcPr>
          <w:p>
            <w:r>
              <w:rPr>
                <w:rFonts w:ascii="Times New Roman" w:hAnsi="Times New Roman"/>
                <w:sz w:val="22"/>
              </w:rPr>
              <w:t>APPENDIX-A (Turnitin Similarity Report)</w:t>
            </w:r>
          </w:p>
        </w:tc>
        <w:tc>
          <w:tcPr>
            <w:tcW w:type="dxa" w:w="3000"/>
          </w:tcPr>
          <w:p>
            <w:pPr>
              <w:jc w:val="right"/>
            </w:pPr>
            <w:r>
              <w:rPr>
                <w:rFonts w:ascii="Times New Roman" w:hAnsi="Times New Roman"/>
                <w:sz w:val="22"/>
              </w:rPr>
              <w:t>31</w:t>
            </w:r>
          </w:p>
        </w:tc>
      </w:tr>
      <w:tr>
        <w:tc>
          <w:tcPr>
            <w:tcW w:type="dxa" w:w="3000"/>
          </w:tcPr>
          <w:p>
            <w:r>
              <w:rPr>
                <w:rFonts w:ascii="Times New Roman" w:hAnsi="Times New Roman"/>
                <w:sz w:val="22"/>
              </w:rPr>
            </w:r>
          </w:p>
        </w:tc>
        <w:tc>
          <w:tcPr>
            <w:tcW w:type="dxa" w:w="3000"/>
          </w:tcPr>
          <w:p>
            <w:r>
              <w:rPr>
                <w:rFonts w:ascii="Times New Roman" w:hAnsi="Times New Roman"/>
                <w:sz w:val="22"/>
              </w:rPr>
              <w:t>APPENDIX-B (Turnitin AI Writing Detection Report)</w:t>
            </w:r>
          </w:p>
        </w:tc>
        <w:tc>
          <w:tcPr>
            <w:tcW w:type="dxa" w:w="3000"/>
          </w:tcPr>
          <w:p>
            <w:pPr>
              <w:jc w:val="right"/>
            </w:pPr>
            <w:r>
              <w:rPr>
                <w:rFonts w:ascii="Times New Roman" w:hAnsi="Times New Roman"/>
                <w:sz w:val="22"/>
              </w:rPr>
              <w:t>32</w:t>
            </w:r>
          </w:p>
        </w:tc>
      </w:tr>
      <w:tr>
        <w:tc>
          <w:tcPr>
            <w:tcW w:type="dxa" w:w="3000"/>
          </w:tcPr>
          <w:p>
            <w:r>
              <w:rPr>
                <w:rFonts w:ascii="Times New Roman" w:hAnsi="Times New Roman"/>
                <w:sz w:val="22"/>
              </w:rPr>
            </w:r>
          </w:p>
        </w:tc>
        <w:tc>
          <w:tcPr>
            <w:tcW w:type="dxa" w:w="3000"/>
          </w:tcPr>
          <w:p>
            <w:r>
              <w:rPr>
                <w:rFonts w:ascii="Times New Roman" w:hAnsi="Times New Roman"/>
                <w:sz w:val="22"/>
              </w:rPr>
              <w:t>APPENDIX-C (Publication)</w:t>
            </w:r>
          </w:p>
        </w:tc>
        <w:tc>
          <w:tcPr>
            <w:tcW w:type="dxa" w:w="3000"/>
          </w:tcPr>
          <w:p>
            <w:pPr>
              <w:jc w:val="right"/>
            </w:pPr>
            <w:r>
              <w:rPr>
                <w:rFonts w:ascii="Times New Roman" w:hAnsi="Times New Roman"/>
                <w:sz w:val="22"/>
              </w:rPr>
              <w:t>33</w:t>
            </w:r>
          </w:p>
        </w:tc>
      </w:tr>
    </w:tbl>
    <w:p>
      <w:r>
        <w:br w:type="page"/>
      </w:r>
    </w:p>
    <w:p>
      <w:pPr>
        <w:spacing w:before="120" w:after="240"/>
        <w:jc w:val="center"/>
      </w:pPr>
      <w:r>
        <w:rPr>
          <w:rFonts w:ascii="Times New Roman" w:hAnsi="Times New Roman"/>
          <w:b/>
          <w:sz w:val="28"/>
        </w:rPr>
        <w:t>LIST OF FIGURES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Sl. No.</w:t>
            </w:r>
          </w:p>
        </w:tc>
        <w:tc>
          <w:tcPr>
            <w:tcW w:type="dxa" w:w="3000"/>
          </w:tcPr>
          <w:p>
            <w:r>
              <w:rPr>
                <w:rFonts w:ascii="Times New Roman" w:hAnsi="Times New Roman"/>
                <w:b/>
                <w:sz w:val="22"/>
              </w:rPr>
              <w:t>Figure Name</w:t>
            </w:r>
          </w:p>
        </w:tc>
        <w:tc>
          <w:tcPr>
            <w:tcW w:type="dxa" w:w="3000"/>
          </w:tcPr>
          <w:p>
            <w:r>
              <w:rPr>
                <w:rFonts w:ascii="Times New Roman" w:hAnsi="Times New Roman"/>
                <w:b/>
                <w:sz w:val="22"/>
              </w:rPr>
              <w:t>Caption</w:t>
            </w:r>
          </w:p>
        </w:tc>
      </w:tr>
      <w:tr>
        <w:tc>
          <w:tcPr>
            <w:tcW w:type="dxa" w:w="3000"/>
          </w:tcPr>
          <w:p>
            <w:r>
              <w:rPr>
                <w:rFonts w:ascii="Times New Roman" w:hAnsi="Times New Roman"/>
                <w:sz w:val="20"/>
              </w:rPr>
              <w:t>1</w:t>
            </w:r>
          </w:p>
        </w:tc>
        <w:tc>
          <w:tcPr>
            <w:tcW w:type="dxa" w:w="3000"/>
          </w:tcPr>
          <w:p>
            <w:r>
              <w:rPr>
                <w:rFonts w:ascii="Times New Roman" w:hAnsi="Times New Roman"/>
                <w:sz w:val="20"/>
              </w:rPr>
              <w:t>Figure 3.1</w:t>
            </w:r>
          </w:p>
        </w:tc>
        <w:tc>
          <w:tcPr>
            <w:tcW w:type="dxa" w:w="3000"/>
          </w:tcPr>
          <w:p>
            <w:r>
              <w:rPr>
                <w:rFonts w:ascii="Times New Roman" w:hAnsi="Times New Roman"/>
                <w:sz w:val="20"/>
              </w:rPr>
              <w:t>PlantDiseaseCBM Architecture: Swin Transformer + SE Block + Concept Bottleneck pipeline</w:t>
            </w:r>
          </w:p>
        </w:tc>
      </w:tr>
      <w:tr>
        <w:tc>
          <w:tcPr>
            <w:tcW w:type="dxa" w:w="3000"/>
          </w:tcPr>
          <w:p>
            <w:r>
              <w:rPr>
                <w:rFonts w:ascii="Times New Roman" w:hAnsi="Times New Roman"/>
                <w:sz w:val="20"/>
              </w:rPr>
              <w:t>2</w:t>
            </w:r>
          </w:p>
        </w:tc>
        <w:tc>
          <w:tcPr>
            <w:tcW w:type="dxa" w:w="3000"/>
          </w:tcPr>
          <w:p>
            <w:r>
              <w:rPr>
                <w:rFonts w:ascii="Times New Roman" w:hAnsi="Times New Roman"/>
                <w:sz w:val="20"/>
              </w:rPr>
              <w:t>Figure 5.1</w:t>
            </w:r>
          </w:p>
        </w:tc>
        <w:tc>
          <w:tcPr>
            <w:tcW w:type="dxa" w:w="3000"/>
          </w:tcPr>
          <w:p>
            <w:r>
              <w:rPr>
                <w:rFonts w:ascii="Times New Roman" w:hAnsi="Times New Roman"/>
                <w:sz w:val="20"/>
              </w:rPr>
              <w:t>Confusion matrix on PlantVillage validation set (38 classes, 8,145 images)</w:t>
            </w:r>
          </w:p>
        </w:tc>
      </w:tr>
      <w:tr>
        <w:tc>
          <w:tcPr>
            <w:tcW w:type="dxa" w:w="3000"/>
          </w:tcPr>
          <w:p>
            <w:r>
              <w:rPr>
                <w:rFonts w:ascii="Times New Roman" w:hAnsi="Times New Roman"/>
                <w:sz w:val="20"/>
              </w:rPr>
              <w:t>3</w:t>
            </w:r>
          </w:p>
        </w:tc>
        <w:tc>
          <w:tcPr>
            <w:tcW w:type="dxa" w:w="3000"/>
          </w:tcPr>
          <w:p>
            <w:r>
              <w:rPr>
                <w:rFonts w:ascii="Times New Roman" w:hAnsi="Times New Roman"/>
                <w:sz w:val="20"/>
              </w:rPr>
              <w:t>Figure 5.2</w:t>
            </w:r>
          </w:p>
        </w:tc>
        <w:tc>
          <w:tcPr>
            <w:tcW w:type="dxa" w:w="3000"/>
          </w:tcPr>
          <w:p>
            <w:r>
              <w:rPr>
                <w:rFonts w:ascii="Times New Roman" w:hAnsi="Times New Roman"/>
                <w:sz w:val="20"/>
              </w:rPr>
              <w:t>Per-class precision, recall, and F1-score bar chart across all 38 disease categories</w:t>
            </w:r>
          </w:p>
        </w:tc>
      </w:tr>
      <w:tr>
        <w:tc>
          <w:tcPr>
            <w:tcW w:type="dxa" w:w="3000"/>
          </w:tcPr>
          <w:p>
            <w:r>
              <w:rPr>
                <w:rFonts w:ascii="Times New Roman" w:hAnsi="Times New Roman"/>
                <w:sz w:val="20"/>
              </w:rPr>
              <w:t>4</w:t>
            </w:r>
          </w:p>
        </w:tc>
        <w:tc>
          <w:tcPr>
            <w:tcW w:type="dxa" w:w="3000"/>
          </w:tcPr>
          <w:p>
            <w:r>
              <w:rPr>
                <w:rFonts w:ascii="Times New Roman" w:hAnsi="Times New Roman"/>
                <w:sz w:val="20"/>
              </w:rPr>
              <w:t>Figure 5.3</w:t>
            </w:r>
          </w:p>
        </w:tc>
        <w:tc>
          <w:tcPr>
            <w:tcW w:type="dxa" w:w="3000"/>
          </w:tcPr>
          <w:p>
            <w:r>
              <w:rPr>
                <w:rFonts w:ascii="Times New Roman" w:hAnsi="Times New Roman"/>
                <w:sz w:val="20"/>
              </w:rPr>
              <w:t>Training and validation accuracy/loss curves over 100 epochs</w:t>
            </w:r>
          </w:p>
        </w:tc>
      </w:tr>
      <w:tr>
        <w:tc>
          <w:tcPr>
            <w:tcW w:type="dxa" w:w="3000"/>
          </w:tcPr>
          <w:p>
            <w:r>
              <w:rPr>
                <w:rFonts w:ascii="Times New Roman" w:hAnsi="Times New Roman"/>
                <w:sz w:val="20"/>
              </w:rPr>
              <w:t>5</w:t>
            </w:r>
          </w:p>
        </w:tc>
        <w:tc>
          <w:tcPr>
            <w:tcW w:type="dxa" w:w="3000"/>
          </w:tcPr>
          <w:p>
            <w:r>
              <w:rPr>
                <w:rFonts w:ascii="Times New Roman" w:hAnsi="Times New Roman"/>
                <w:sz w:val="20"/>
              </w:rPr>
              <w:t>Figure 5.4</w:t>
            </w:r>
          </w:p>
        </w:tc>
        <w:tc>
          <w:tcPr>
            <w:tcW w:type="dxa" w:w="3000"/>
          </w:tcPr>
          <w:p>
            <w:r>
              <w:rPr>
                <w:rFonts w:ascii="Times New Roman" w:hAnsi="Times New Roman"/>
                <w:sz w:val="20"/>
              </w:rPr>
              <w:t>XAI counterfactual explanations: diseased concept profiles vs. healthy counterfactuals</w:t>
            </w:r>
          </w:p>
        </w:tc>
      </w:tr>
      <w:tr>
        <w:tc>
          <w:tcPr>
            <w:tcW w:type="dxa" w:w="3000"/>
          </w:tcPr>
          <w:p>
            <w:r>
              <w:rPr>
                <w:rFonts w:ascii="Times New Roman" w:hAnsi="Times New Roman"/>
                <w:sz w:val="20"/>
              </w:rPr>
              <w:t>6</w:t>
            </w:r>
          </w:p>
        </w:tc>
        <w:tc>
          <w:tcPr>
            <w:tcW w:type="dxa" w:w="3000"/>
          </w:tcPr>
          <w:p>
            <w:r>
              <w:rPr>
                <w:rFonts w:ascii="Times New Roman" w:hAnsi="Times New Roman"/>
                <w:sz w:val="20"/>
              </w:rPr>
              <w:t>Figure 5.5</w:t>
            </w:r>
          </w:p>
        </w:tc>
        <w:tc>
          <w:tcPr>
            <w:tcW w:type="dxa" w:w="3000"/>
          </w:tcPr>
          <w:p>
            <w:r>
              <w:rPr>
                <w:rFonts w:ascii="Times New Roman" w:hAnsi="Times New Roman"/>
                <w:sz w:val="20"/>
              </w:rPr>
              <w:t>Faithfulness evaluation — insertion and deletion AUC curves for the CBM</w:t>
            </w:r>
          </w:p>
        </w:tc>
      </w:tr>
      <w:tr>
        <w:tc>
          <w:tcPr>
            <w:tcW w:type="dxa" w:w="3000"/>
          </w:tcPr>
          <w:p>
            <w:r>
              <w:rPr>
                <w:rFonts w:ascii="Times New Roman" w:hAnsi="Times New Roman"/>
                <w:sz w:val="20"/>
              </w:rPr>
              <w:t>7</w:t>
            </w:r>
          </w:p>
        </w:tc>
        <w:tc>
          <w:tcPr>
            <w:tcW w:type="dxa" w:w="3000"/>
          </w:tcPr>
          <w:p>
            <w:r>
              <w:rPr>
                <w:rFonts w:ascii="Times New Roman" w:hAnsi="Times New Roman"/>
                <w:sz w:val="20"/>
              </w:rPr>
              <w:t>Figure 5.6</w:t>
            </w:r>
          </w:p>
        </w:tc>
        <w:tc>
          <w:tcPr>
            <w:tcW w:type="dxa" w:w="3000"/>
          </w:tcPr>
          <w:p>
            <w:r>
              <w:rPr>
                <w:rFonts w:ascii="Times New Roman" w:hAnsi="Times New Roman"/>
                <w:sz w:val="20"/>
              </w:rPr>
              <w:t>Concept intervention analysis: per-concept accuracy delta when set to 0 or 1</w:t>
            </w:r>
          </w:p>
        </w:tc>
      </w:tr>
      <w:tr>
        <w:tc>
          <w:tcPr>
            <w:tcW w:type="dxa" w:w="3000"/>
          </w:tcPr>
          <w:p>
            <w:r>
              <w:rPr>
                <w:rFonts w:ascii="Times New Roman" w:hAnsi="Times New Roman"/>
                <w:sz w:val="20"/>
              </w:rPr>
              <w:t>8</w:t>
            </w:r>
          </w:p>
        </w:tc>
        <w:tc>
          <w:tcPr>
            <w:tcW w:type="dxa" w:w="3000"/>
          </w:tcPr>
          <w:p>
            <w:r>
              <w:rPr>
                <w:rFonts w:ascii="Times New Roman" w:hAnsi="Times New Roman"/>
                <w:sz w:val="20"/>
              </w:rPr>
              <w:t>Figure 5.7</w:t>
            </w:r>
          </w:p>
        </w:tc>
        <w:tc>
          <w:tcPr>
            <w:tcW w:type="dxa" w:w="3000"/>
          </w:tcPr>
          <w:p>
            <w:r>
              <w:rPr>
                <w:rFonts w:ascii="Times New Roman" w:hAnsi="Times New Roman"/>
                <w:sz w:val="20"/>
              </w:rPr>
              <w:t>Concept importance ranking by mean activation across validation set</w:t>
            </w:r>
          </w:p>
        </w:tc>
      </w:tr>
    </w:tbl>
    <w:p/>
    <w:p>
      <w:pPr>
        <w:spacing w:before="120" w:after="240"/>
        <w:jc w:val="center"/>
      </w:pPr>
      <w:r>
        <w:rPr>
          <w:rFonts w:ascii="Times New Roman" w:hAnsi="Times New Roman"/>
          <w:b/>
          <w:sz w:val="28"/>
        </w:rPr>
        <w:t>LIST OF TABLES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Sl. No.</w:t>
            </w:r>
          </w:p>
        </w:tc>
        <w:tc>
          <w:tcPr>
            <w:tcW w:type="dxa" w:w="3000"/>
          </w:tcPr>
          <w:p>
            <w:r>
              <w:rPr>
                <w:rFonts w:ascii="Times New Roman" w:hAnsi="Times New Roman"/>
                <w:b/>
                <w:sz w:val="22"/>
              </w:rPr>
              <w:t>Table Name</w:t>
            </w:r>
          </w:p>
        </w:tc>
        <w:tc>
          <w:tcPr>
            <w:tcW w:type="dxa" w:w="3000"/>
          </w:tcPr>
          <w:p>
            <w:r>
              <w:rPr>
                <w:rFonts w:ascii="Times New Roman" w:hAnsi="Times New Roman"/>
                <w:b/>
                <w:sz w:val="22"/>
              </w:rPr>
              <w:t>Caption</w:t>
            </w:r>
          </w:p>
        </w:tc>
      </w:tr>
      <w:tr>
        <w:tc>
          <w:tcPr>
            <w:tcW w:type="dxa" w:w="3000"/>
          </w:tcPr>
          <w:p>
            <w:r>
              <w:rPr>
                <w:rFonts w:ascii="Times New Roman" w:hAnsi="Times New Roman"/>
                <w:sz w:val="20"/>
              </w:rPr>
              <w:t>1</w:t>
            </w:r>
          </w:p>
        </w:tc>
        <w:tc>
          <w:tcPr>
            <w:tcW w:type="dxa" w:w="3000"/>
          </w:tcPr>
          <w:p>
            <w:r>
              <w:rPr>
                <w:rFonts w:ascii="Times New Roman" w:hAnsi="Times New Roman"/>
                <w:sz w:val="20"/>
              </w:rPr>
              <w:t>Table 5.1</w:t>
            </w:r>
          </w:p>
        </w:tc>
        <w:tc>
          <w:tcPr>
            <w:tcW w:type="dxa" w:w="3000"/>
          </w:tcPr>
          <w:p>
            <w:r>
              <w:rPr>
                <w:rFonts w:ascii="Times New Roman" w:hAnsi="Times New Roman"/>
                <w:sz w:val="20"/>
              </w:rPr>
              <w:t>Classification performance metrics — PlantDiseaseCBM vs. state-of-the-art methods</w:t>
            </w:r>
          </w:p>
        </w:tc>
      </w:tr>
      <w:tr>
        <w:tc>
          <w:tcPr>
            <w:tcW w:type="dxa" w:w="3000"/>
          </w:tcPr>
          <w:p>
            <w:r>
              <w:rPr>
                <w:rFonts w:ascii="Times New Roman" w:hAnsi="Times New Roman"/>
                <w:sz w:val="20"/>
              </w:rPr>
              <w:t>2</w:t>
            </w:r>
          </w:p>
        </w:tc>
        <w:tc>
          <w:tcPr>
            <w:tcW w:type="dxa" w:w="3000"/>
          </w:tcPr>
          <w:p>
            <w:r>
              <w:rPr>
                <w:rFonts w:ascii="Times New Roman" w:hAnsi="Times New Roman"/>
                <w:sz w:val="20"/>
              </w:rPr>
              <w:t>Table 5.2</w:t>
            </w:r>
          </w:p>
        </w:tc>
        <w:tc>
          <w:tcPr>
            <w:tcW w:type="dxa" w:w="3000"/>
          </w:tcPr>
          <w:p>
            <w:r>
              <w:rPr>
                <w:rFonts w:ascii="Times New Roman" w:hAnsi="Times New Roman"/>
                <w:sz w:val="20"/>
              </w:rPr>
              <w:t>Quantisation results: original vs. INT8 model size, speed, and accuracy</w:t>
            </w:r>
          </w:p>
        </w:tc>
      </w:tr>
    </w:tbl>
    <w:p>
      <w:r>
        <w:br w:type="page"/>
      </w:r>
    </w:p>
    <w:p>
      <w:pPr>
        <w:spacing w:before="120" w:after="240"/>
        <w:jc w:val="center"/>
      </w:pPr>
      <w:r>
        <w:rPr>
          <w:rFonts w:ascii="Times New Roman" w:hAnsi="Times New Roman"/>
          <w:b/>
          <w:sz w:val="28"/>
        </w:rPr>
        <w:t>Abbreviations</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sz w:val="22"/>
              </w:rPr>
              <w:t>Abbreviation</w:t>
            </w:r>
          </w:p>
        </w:tc>
        <w:tc>
          <w:tcPr>
            <w:tcW w:type="dxa" w:w="4500"/>
          </w:tcPr>
          <w:p>
            <w:r>
              <w:rPr>
                <w:rFonts w:ascii="Times New Roman" w:hAnsi="Times New Roman"/>
                <w:b/>
                <w:sz w:val="22"/>
              </w:rPr>
              <w:t>Full Form</w:t>
            </w:r>
          </w:p>
        </w:tc>
      </w:tr>
      <w:tr>
        <w:tc>
          <w:tcPr>
            <w:tcW w:type="dxa" w:w="4500"/>
          </w:tcPr>
          <w:p>
            <w:r>
              <w:rPr>
                <w:rFonts w:ascii="Times New Roman" w:hAnsi="Times New Roman"/>
                <w:sz w:val="22"/>
              </w:rPr>
              <w:t>AUC</w:t>
            </w:r>
          </w:p>
        </w:tc>
        <w:tc>
          <w:tcPr>
            <w:tcW w:type="dxa" w:w="4500"/>
          </w:tcPr>
          <w:p>
            <w:r>
              <w:rPr>
                <w:rFonts w:ascii="Times New Roman" w:hAnsi="Times New Roman"/>
                <w:sz w:val="22"/>
              </w:rPr>
              <w:t>Area Under the ROC Curve</w:t>
            </w:r>
          </w:p>
        </w:tc>
      </w:tr>
      <w:tr>
        <w:tc>
          <w:tcPr>
            <w:tcW w:type="dxa" w:w="4500"/>
          </w:tcPr>
          <w:p>
            <w:r>
              <w:rPr>
                <w:rFonts w:ascii="Times New Roman" w:hAnsi="Times New Roman"/>
                <w:sz w:val="22"/>
              </w:rPr>
              <w:t>CBM</w:t>
            </w:r>
          </w:p>
        </w:tc>
        <w:tc>
          <w:tcPr>
            <w:tcW w:type="dxa" w:w="4500"/>
          </w:tcPr>
          <w:p>
            <w:r>
              <w:rPr>
                <w:rFonts w:ascii="Times New Roman" w:hAnsi="Times New Roman"/>
                <w:sz w:val="22"/>
              </w:rPr>
              <w:t>Concept Bottleneck Model</w:t>
            </w:r>
          </w:p>
        </w:tc>
      </w:tr>
      <w:tr>
        <w:tc>
          <w:tcPr>
            <w:tcW w:type="dxa" w:w="4500"/>
          </w:tcPr>
          <w:p>
            <w:r>
              <w:rPr>
                <w:rFonts w:ascii="Times New Roman" w:hAnsi="Times New Roman"/>
                <w:sz w:val="22"/>
              </w:rPr>
              <w:t>CNN</w:t>
            </w:r>
          </w:p>
        </w:tc>
        <w:tc>
          <w:tcPr>
            <w:tcW w:type="dxa" w:w="4500"/>
          </w:tcPr>
          <w:p>
            <w:r>
              <w:rPr>
                <w:rFonts w:ascii="Times New Roman" w:hAnsi="Times New Roman"/>
                <w:sz w:val="22"/>
              </w:rPr>
              <w:t>Convolutional Neural Network</w:t>
            </w:r>
          </w:p>
        </w:tc>
      </w:tr>
      <w:tr>
        <w:tc>
          <w:tcPr>
            <w:tcW w:type="dxa" w:w="4500"/>
          </w:tcPr>
          <w:p>
            <w:r>
              <w:rPr>
                <w:rFonts w:ascii="Times New Roman" w:hAnsi="Times New Roman"/>
                <w:sz w:val="22"/>
              </w:rPr>
              <w:t>GELU</w:t>
            </w:r>
          </w:p>
        </w:tc>
        <w:tc>
          <w:tcPr>
            <w:tcW w:type="dxa" w:w="4500"/>
          </w:tcPr>
          <w:p>
            <w:r>
              <w:rPr>
                <w:rFonts w:ascii="Times New Roman" w:hAnsi="Times New Roman"/>
                <w:sz w:val="22"/>
              </w:rPr>
              <w:t>Gaussian Error Linear Unit</w:t>
            </w:r>
          </w:p>
        </w:tc>
      </w:tr>
      <w:tr>
        <w:tc>
          <w:tcPr>
            <w:tcW w:type="dxa" w:w="4500"/>
          </w:tcPr>
          <w:p>
            <w:r>
              <w:rPr>
                <w:rFonts w:ascii="Times New Roman" w:hAnsi="Times New Roman"/>
                <w:sz w:val="22"/>
              </w:rPr>
              <w:t>INT8</w:t>
            </w:r>
          </w:p>
        </w:tc>
        <w:tc>
          <w:tcPr>
            <w:tcW w:type="dxa" w:w="4500"/>
          </w:tcPr>
          <w:p>
            <w:r>
              <w:rPr>
                <w:rFonts w:ascii="Times New Roman" w:hAnsi="Times New Roman"/>
                <w:sz w:val="22"/>
              </w:rPr>
              <w:t>8-bit Integer Quantisation</w:t>
            </w:r>
          </w:p>
        </w:tc>
      </w:tr>
      <w:tr>
        <w:tc>
          <w:tcPr>
            <w:tcW w:type="dxa" w:w="4500"/>
          </w:tcPr>
          <w:p>
            <w:r>
              <w:rPr>
                <w:rFonts w:ascii="Times New Roman" w:hAnsi="Times New Roman"/>
                <w:sz w:val="22"/>
              </w:rPr>
              <w:t>IoU</w:t>
            </w:r>
          </w:p>
        </w:tc>
        <w:tc>
          <w:tcPr>
            <w:tcW w:type="dxa" w:w="4500"/>
          </w:tcPr>
          <w:p>
            <w:r>
              <w:rPr>
                <w:rFonts w:ascii="Times New Roman" w:hAnsi="Times New Roman"/>
                <w:sz w:val="22"/>
              </w:rPr>
              <w:t>Intersection over Union</w:t>
            </w:r>
          </w:p>
        </w:tc>
      </w:tr>
      <w:tr>
        <w:tc>
          <w:tcPr>
            <w:tcW w:type="dxa" w:w="4500"/>
          </w:tcPr>
          <w:p>
            <w:r>
              <w:rPr>
                <w:rFonts w:ascii="Times New Roman" w:hAnsi="Times New Roman"/>
                <w:sz w:val="22"/>
              </w:rPr>
              <w:t>ML</w:t>
            </w:r>
          </w:p>
        </w:tc>
        <w:tc>
          <w:tcPr>
            <w:tcW w:type="dxa" w:w="4500"/>
          </w:tcPr>
          <w:p>
            <w:r>
              <w:rPr>
                <w:rFonts w:ascii="Times New Roman" w:hAnsi="Times New Roman"/>
                <w:sz w:val="22"/>
              </w:rPr>
              <w:t>Machine Learning</w:t>
            </w:r>
          </w:p>
        </w:tc>
      </w:tr>
      <w:tr>
        <w:tc>
          <w:tcPr>
            <w:tcW w:type="dxa" w:w="4500"/>
          </w:tcPr>
          <w:p>
            <w:r>
              <w:rPr>
                <w:rFonts w:ascii="Times New Roman" w:hAnsi="Times New Roman"/>
                <w:sz w:val="22"/>
              </w:rPr>
              <w:t>REST</w:t>
            </w:r>
          </w:p>
        </w:tc>
        <w:tc>
          <w:tcPr>
            <w:tcW w:type="dxa" w:w="4500"/>
          </w:tcPr>
          <w:p>
            <w:r>
              <w:rPr>
                <w:rFonts w:ascii="Times New Roman" w:hAnsi="Times New Roman"/>
                <w:sz w:val="22"/>
              </w:rPr>
              <w:t>Representational State Transfer</w:t>
            </w:r>
          </w:p>
        </w:tc>
      </w:tr>
      <w:tr>
        <w:tc>
          <w:tcPr>
            <w:tcW w:type="dxa" w:w="4500"/>
          </w:tcPr>
          <w:p>
            <w:r>
              <w:rPr>
                <w:rFonts w:ascii="Times New Roman" w:hAnsi="Times New Roman"/>
                <w:sz w:val="22"/>
              </w:rPr>
              <w:t>SE</w:t>
            </w:r>
          </w:p>
        </w:tc>
        <w:tc>
          <w:tcPr>
            <w:tcW w:type="dxa" w:w="4500"/>
          </w:tcPr>
          <w:p>
            <w:r>
              <w:rPr>
                <w:rFonts w:ascii="Times New Roman" w:hAnsi="Times New Roman"/>
                <w:sz w:val="22"/>
              </w:rPr>
              <w:t>Squeeze-and-Excitation</w:t>
            </w:r>
          </w:p>
        </w:tc>
      </w:tr>
      <w:tr>
        <w:tc>
          <w:tcPr>
            <w:tcW w:type="dxa" w:w="4500"/>
          </w:tcPr>
          <w:p>
            <w:r>
              <w:rPr>
                <w:rFonts w:ascii="Times New Roman" w:hAnsi="Times New Roman"/>
                <w:sz w:val="22"/>
              </w:rPr>
              <w:t>SHAP</w:t>
            </w:r>
          </w:p>
        </w:tc>
        <w:tc>
          <w:tcPr>
            <w:tcW w:type="dxa" w:w="4500"/>
          </w:tcPr>
          <w:p>
            <w:r>
              <w:rPr>
                <w:rFonts w:ascii="Times New Roman" w:hAnsi="Times New Roman"/>
                <w:sz w:val="22"/>
              </w:rPr>
              <w:t>SHapley Additive exPlanations</w:t>
            </w:r>
          </w:p>
        </w:tc>
      </w:tr>
      <w:tr>
        <w:tc>
          <w:tcPr>
            <w:tcW w:type="dxa" w:w="4500"/>
          </w:tcPr>
          <w:p>
            <w:r>
              <w:rPr>
                <w:rFonts w:ascii="Times New Roman" w:hAnsi="Times New Roman"/>
                <w:sz w:val="22"/>
              </w:rPr>
              <w:t>Swin</w:t>
            </w:r>
          </w:p>
        </w:tc>
        <w:tc>
          <w:tcPr>
            <w:tcW w:type="dxa" w:w="4500"/>
          </w:tcPr>
          <w:p>
            <w:r>
              <w:rPr>
                <w:rFonts w:ascii="Times New Roman" w:hAnsi="Times New Roman"/>
                <w:sz w:val="22"/>
              </w:rPr>
              <w:t>Shifted Window Transformer</w:t>
            </w:r>
          </w:p>
        </w:tc>
      </w:tr>
      <w:tr>
        <w:tc>
          <w:tcPr>
            <w:tcW w:type="dxa" w:w="4500"/>
          </w:tcPr>
          <w:p>
            <w:r>
              <w:rPr>
                <w:rFonts w:ascii="Times New Roman" w:hAnsi="Times New Roman"/>
                <w:sz w:val="22"/>
              </w:rPr>
              <w:t>URE</w:t>
            </w:r>
          </w:p>
        </w:tc>
        <w:tc>
          <w:tcPr>
            <w:tcW w:type="dxa" w:w="4500"/>
          </w:tcPr>
          <w:p>
            <w:r>
              <w:rPr>
                <w:rFonts w:ascii="Times New Roman" w:hAnsi="Times New Roman"/>
                <w:sz w:val="22"/>
              </w:rPr>
              <w:t>University Research Experience</w:t>
            </w:r>
          </w:p>
        </w:tc>
      </w:tr>
      <w:tr>
        <w:tc>
          <w:tcPr>
            <w:tcW w:type="dxa" w:w="4500"/>
          </w:tcPr>
          <w:p>
            <w:r>
              <w:rPr>
                <w:rFonts w:ascii="Times New Roman" w:hAnsi="Times New Roman"/>
                <w:sz w:val="22"/>
              </w:rPr>
              <w:t>VGG</w:t>
            </w:r>
          </w:p>
        </w:tc>
        <w:tc>
          <w:tcPr>
            <w:tcW w:type="dxa" w:w="4500"/>
          </w:tcPr>
          <w:p>
            <w:r>
              <w:rPr>
                <w:rFonts w:ascii="Times New Roman" w:hAnsi="Times New Roman"/>
                <w:sz w:val="22"/>
              </w:rPr>
              <w:t>Visual Geometry Group</w:t>
            </w:r>
          </w:p>
        </w:tc>
      </w:tr>
      <w:tr>
        <w:tc>
          <w:tcPr>
            <w:tcW w:type="dxa" w:w="4500"/>
          </w:tcPr>
          <w:p>
            <w:r>
              <w:rPr>
                <w:rFonts w:ascii="Times New Roman" w:hAnsi="Times New Roman"/>
                <w:sz w:val="22"/>
              </w:rPr>
              <w:t>ViT</w:t>
            </w:r>
          </w:p>
        </w:tc>
        <w:tc>
          <w:tcPr>
            <w:tcW w:type="dxa" w:w="4500"/>
          </w:tcPr>
          <w:p>
            <w:r>
              <w:rPr>
                <w:rFonts w:ascii="Times New Roman" w:hAnsi="Times New Roman"/>
                <w:sz w:val="22"/>
              </w:rPr>
              <w:t>Vision Transformer</w:t>
            </w:r>
          </w:p>
        </w:tc>
      </w:tr>
      <w:tr>
        <w:tc>
          <w:tcPr>
            <w:tcW w:type="dxa" w:w="4500"/>
          </w:tcPr>
          <w:p>
            <w:r>
              <w:rPr>
                <w:rFonts w:ascii="Times New Roman" w:hAnsi="Times New Roman"/>
                <w:sz w:val="22"/>
              </w:rPr>
              <w:t>XAI</w:t>
            </w:r>
          </w:p>
        </w:tc>
        <w:tc>
          <w:tcPr>
            <w:tcW w:type="dxa" w:w="4500"/>
          </w:tcPr>
          <w:p>
            <w:r>
              <w:rPr>
                <w:rFonts w:ascii="Times New Roman" w:hAnsi="Times New Roman"/>
                <w:sz w:val="22"/>
              </w:rPr>
              <w:t>Explainable Artificial Intelligence</w:t>
            </w:r>
          </w:p>
        </w:tc>
      </w:tr>
    </w:tbl>
    <w:p>
      <w:r>
        <w:br w:type="page"/>
      </w:r>
    </w:p>
    <w:p>
      <w:pPr>
        <w:spacing w:before="360" w:after="120"/>
        <w:jc w:val="center"/>
      </w:pPr>
      <w:r>
        <w:rPr>
          <w:rFonts w:ascii="Times New Roman" w:hAnsi="Times New Roman"/>
          <w:b/>
          <w:sz w:val="28"/>
        </w:rPr>
        <w:t>CHAPTER 1</w:t>
      </w:r>
    </w:p>
    <w:p>
      <w:pPr>
        <w:spacing w:after="240"/>
        <w:jc w:val="center"/>
      </w:pPr>
      <w:r>
        <w:rPr>
          <w:rFonts w:ascii="Times New Roman" w:hAnsi="Times New Roman"/>
          <w:b/>
          <w:sz w:val="28"/>
        </w:rPr>
        <w:t>INTRODUCTION</w:t>
      </w:r>
    </w:p>
    <w:p>
      <w:pPr>
        <w:spacing w:before="200" w:after="80"/>
      </w:pPr>
      <w:r>
        <w:rPr>
          <w:rFonts w:ascii="Times New Roman" w:hAnsi="Times New Roman"/>
          <w:b/>
          <w:sz w:val="24"/>
        </w:rPr>
        <w:t>1.1 Background and Motivation</w:t>
      </w:r>
    </w:p>
    <w:p>
      <w:pPr>
        <w:spacing w:after="120" w:before="0"/>
        <w:spacing w:line="276" w:lineRule="auto"/>
        <w:jc w:val="both"/>
      </w:pPr>
      <w:r>
        <w:rPr>
          <w:rFonts w:ascii="Times New Roman" w:hAnsi="Times New Roman"/>
          <w:sz w:val="24"/>
        </w:rPr>
        <w:t>Agriculture accounts for approximately 25% of the global GDP and feeds more than eight billion people worldwide. Plant diseases — caused by fungi, bacteria, viruses, and parasites — are responsible for losses of up to 40% of annual crop yield, with the economic impact estimated in excess of $220 billion per year globally. Early and accurate identification of plant diseases is therefore a critical requirement for food security, and yet it remains largely inaccessible to smallholder farmers who cannot afford regular expert agronomist consultations.</w:t>
      </w:r>
    </w:p>
    <w:p>
      <w:pPr>
        <w:spacing w:after="120" w:before="0"/>
        <w:spacing w:line="276" w:lineRule="auto"/>
        <w:jc w:val="both"/>
      </w:pPr>
      <w:r>
        <w:rPr>
          <w:rFonts w:ascii="Times New Roman" w:hAnsi="Times New Roman"/>
          <w:sz w:val="24"/>
        </w:rPr>
        <w:t>The emergence of large-scale annotated datasets such as PlantVillage, which contains over 54,000 colour images across 38 disease categories spanning 14 crop species, has created a fertile ground for deep learning-based diagnosis systems. Convolutional neural networks (CNNs) trained on PlantVillage have achieved remarkable in-distribution accuracy figures exceeding 98%, yet they consistently fail to generalise to real-world field conditions captured in datasets such as PlantDoc, where background clutter, variable illumination, and partial occlusion dramatically degrade performance. Moreover, all high-performing architectures generate a single probability vector without any explanation of the visual features that drove the decision — a fundamental barrier to adoption by agricultural advisors who must justify recommendations to farmers.</w:t>
      </w:r>
    </w:p>
    <w:p>
      <w:pPr>
        <w:spacing w:after="120" w:before="0"/>
        <w:spacing w:line="276" w:lineRule="auto"/>
        <w:jc w:val="both"/>
      </w:pPr>
      <w:r>
        <w:rPr>
          <w:rFonts w:ascii="Times New Roman" w:hAnsi="Times New Roman"/>
          <w:sz w:val="24"/>
        </w:rPr>
        <w:t>The Concept Bottleneck Model (CBM) paradigm, introduced by Koh et al. (2020), offers a principled solution: instead of mapping raw image features directly to class probabilities, the model is constrained to first predict a set of human-defined concepts and then classify solely from those concept scores. This intermediate representation is both human-interpretable and intervene-able, allowing an expert to correct an erroneous concept prediction and observe the downstream effect on the disease label. This work applies CBM to plant disease detection for the first time at the scale of 38 classes and 54,000+ images.</w:t>
      </w:r>
    </w:p>
    <w:p>
      <w:pPr>
        <w:spacing w:before="200" w:after="80"/>
      </w:pPr>
      <w:r>
        <w:rPr>
          <w:rFonts w:ascii="Times New Roman" w:hAnsi="Times New Roman"/>
          <w:b/>
          <w:sz w:val="24"/>
        </w:rPr>
        <w:t>1.2 Problem Statement</w:t>
      </w:r>
    </w:p>
    <w:p>
      <w:pPr>
        <w:spacing w:after="120" w:before="0"/>
        <w:spacing w:line="276" w:lineRule="auto"/>
        <w:jc w:val="both"/>
      </w:pPr>
      <w:r>
        <w:rPr>
          <w:rFonts w:ascii="Times New Roman" w:hAnsi="Times New Roman"/>
          <w:sz w:val="24"/>
        </w:rPr>
        <w:t>Three structural limitations collectively limit the practical utility of existing plant disease detection systems. First, opacity: transformer and CNN architectures produce scalar probability vectors with no explanation of which visual features drove the prediction, making it impossible for a farmer or agronomist to verify the diagnosis or understand what treatment is warranted. Second, domain gap: models trained on clean PlantVillage images frequently degrade on field photographs from PlantDoc by 15–25 percentage points, indicating that models learn dataset artefacts rather than genuine disease morphology. Third, deployment constraints: most published models contain hundreds of millions of parameters, making inference latency and memory requirements prohibitive on mobile or edge hardware used in rural farming contexts.</w:t>
      </w:r>
    </w:p>
    <w:p>
      <w:pPr>
        <w:spacing w:after="120" w:before="0"/>
        <w:spacing w:line="276" w:lineRule="auto"/>
        <w:jc w:val="both"/>
      </w:pPr>
      <w:r>
        <w:rPr>
          <w:rFonts w:ascii="Times New Roman" w:hAnsi="Times New Roman"/>
          <w:sz w:val="24"/>
        </w:rPr>
        <w:t>This research addresses the following problem: can a single unified framework simultaneously achieve near state-of-the-art classification accuracy on both in-distribution and out-of-distribution plant disease images, provide per-prediction explanations grounded in biologically meaningful visual concepts, and be deployable as a lightweight REST API service without prohibitive accuracy trade-offs from model compression?</w:t>
      </w:r>
    </w:p>
    <w:p>
      <w:pPr>
        <w:spacing w:before="200" w:after="80"/>
      </w:pPr>
      <w:r>
        <w:rPr>
          <w:rFonts w:ascii="Times New Roman" w:hAnsi="Times New Roman"/>
          <w:b/>
          <w:sz w:val="24"/>
        </w:rPr>
        <w:t>1.3 Research Objectives</w:t>
      </w:r>
    </w:p>
    <w:p>
      <w:pPr>
        <w:spacing w:after="120" w:before="0"/>
        <w:spacing w:line="276" w:lineRule="auto"/>
        <w:jc w:val="both"/>
      </w:pPr>
      <w:r>
        <w:rPr>
          <w:rFonts w:ascii="Times New Roman" w:hAnsi="Times New Roman"/>
          <w:sz w:val="24"/>
        </w:rPr>
        <w:t>The study aims to achieve five main objectives. Objective O1 is the design and training of a Concept Bottleneck Model with a Swin Transformer backbone augmented by a Squeeze-and-Excitation block, defining 12 biologically grounded visual concepts as the intermediate representation. Objective O2 is the formulation of a composite CBM loss combining task cross-entropy, concept binary cross-entropy supervision, and a diversity regularisation term to prevent concept collapse. Objective O3 is the development of four complementary XAI evaluation mechanisms — counterfactual explanations, faithfulness curves, concept intervention, and concept importance ranking — to validate that concept scores faithfully represent the model's decision process. Objective O4 is the benchmarking of the model on both PlantVillage and PlantDoc splits to quantify domain generalisation capability. Objective O5 is the application of INT8 dynamic quantisation and packaging of the system as a FastAPI Docker service for practical deployment.</w:t>
      </w:r>
    </w:p>
    <w:p>
      <w:pPr>
        <w:spacing w:before="200" w:after="80"/>
      </w:pPr>
      <w:r>
        <w:rPr>
          <w:rFonts w:ascii="Times New Roman" w:hAnsi="Times New Roman"/>
          <w:b/>
          <w:sz w:val="24"/>
        </w:rPr>
        <w:t>1.4 Scope and Limitations</w:t>
      </w:r>
    </w:p>
    <w:p>
      <w:pPr>
        <w:spacing w:after="120" w:before="0"/>
        <w:spacing w:line="276" w:lineRule="auto"/>
        <w:jc w:val="both"/>
      </w:pPr>
      <w:r>
        <w:rPr>
          <w:rFonts w:ascii="Times New Roman" w:hAnsi="Times New Roman"/>
          <w:sz w:val="24"/>
        </w:rPr>
        <w:t>This work is restricted to the 38-class PlantVillage taxonomy and the PlantDoc cross-domain benchmark. Concept labels are derived programmatically from class name strings using a rule-based mapping rather than annotations by human pathologists, which introduces noise in concept supervision. The federated or privacy-preserving training is not addressed; all data is processed centrally. The XAI evaluation measures faithfulness of the concept bottleneck layer but does not include user studies with actual farmers or agronomists to assess the actionability of explanations in practice. Concept intervention experiments are conducted in-silico on validation embeddings and do not account for the cost of correcting concept predictions at inference time in real deployments.</w:t>
      </w:r>
    </w:p>
    <w:p>
      <w:pPr>
        <w:spacing w:before="200" w:after="80"/>
      </w:pPr>
      <w:r>
        <w:rPr>
          <w:rFonts w:ascii="Times New Roman" w:hAnsi="Times New Roman"/>
          <w:b/>
          <w:sz w:val="24"/>
        </w:rPr>
        <w:t>1.5 Sustainable Development Goals</w:t>
      </w:r>
    </w:p>
    <w:p>
      <w:pPr>
        <w:spacing w:after="120" w:before="0"/>
        <w:spacing w:line="276" w:lineRule="auto"/>
        <w:jc w:val="both"/>
      </w:pPr>
      <w:r>
        <w:rPr>
          <w:rFonts w:ascii="Times New Roman" w:hAnsi="Times New Roman"/>
          <w:sz w:val="24"/>
        </w:rPr>
        <w:t>This research directly contributes to SDG 2 – Zero Hunger by providing an accessible, explainable tool for early plant disease diagnosis that can materially reduce crop losses when deployed via mobile APIs in agricultural regions. The CBM architecture aligns with SDG 9 – Industry, Innovation and Infrastructure through the novel application of concept bottleneck learning to large-scale multi-class plant pathology. Finally, SDG 15 – Life on Land is supported because timely disease detection and targeted treatment reduce unnecessary fungicide and pesticide application, lowering soil and ecosystem contamination.</w:t>
      </w:r>
    </w:p>
    <w:p>
      <w:r>
        <w:br w:type="page"/>
      </w:r>
    </w:p>
    <w:p>
      <w:pPr>
        <w:spacing w:before="360" w:after="120"/>
        <w:jc w:val="center"/>
      </w:pPr>
      <w:r>
        <w:rPr>
          <w:rFonts w:ascii="Times New Roman" w:hAnsi="Times New Roman"/>
          <w:b/>
          <w:sz w:val="28"/>
        </w:rPr>
        <w:t>CHAPTER 2</w:t>
      </w:r>
    </w:p>
    <w:p>
      <w:pPr>
        <w:spacing w:after="240"/>
        <w:jc w:val="center"/>
      </w:pPr>
      <w:r>
        <w:rPr>
          <w:rFonts w:ascii="Times New Roman" w:hAnsi="Times New Roman"/>
          <w:b/>
          <w:sz w:val="28"/>
        </w:rPr>
        <w:t>LITERATURE REVIEW</w:t>
      </w:r>
    </w:p>
    <w:p>
      <w:pPr>
        <w:spacing w:after="120" w:before="0"/>
        <w:spacing w:line="276" w:lineRule="auto"/>
        <w:jc w:val="both"/>
      </w:pPr>
      <w:r>
        <w:rPr>
          <w:rFonts w:ascii="Times New Roman" w:hAnsi="Times New Roman"/>
          <w:sz w:val="24"/>
        </w:rPr>
        <w:t>This chapter reviews nineteen studies grouped into three categories: CNN-based approaches, transformer-based architectures, and explainable AI methods applied to plant pathology. Synthesis of these works reveals three orthogonal gaps that motivate PlantDiseaseCBM.</w:t>
      </w:r>
    </w:p>
    <w:p>
      <w:pPr>
        <w:spacing w:before="200" w:after="80"/>
      </w:pPr>
      <w:r>
        <w:rPr>
          <w:rFonts w:ascii="Times New Roman" w:hAnsi="Times New Roman"/>
          <w:b/>
          <w:sz w:val="24"/>
        </w:rPr>
        <w:t>2.1 CNN-Based Plant Disease Detection Methods</w:t>
      </w:r>
    </w:p>
    <w:p>
      <w:pPr>
        <w:spacing w:after="120" w:before="0"/>
        <w:spacing w:line="276" w:lineRule="auto"/>
        <w:jc w:val="both"/>
      </w:pPr>
      <w:r>
        <w:rPr>
          <w:rFonts w:ascii="Times New Roman" w:hAnsi="Times New Roman"/>
          <w:sz w:val="24"/>
        </w:rPr>
        <w:t>The foundational benchmark in deep learning for plant disease detection was set by Mohanty et al. [1], who applied AlexNet and GoogLeNet to the PlantVillage dataset and achieved 99.35% accuracy under single-leaf, controlled-environment conditions. This work established PlantVillage as the standard benchmark but also highlighted the acute domain gap: the same models dropped to 31.4% accuracy on field images. Subsequent CNN architectures pursued incremental accuracy gains on in-distribution data: VGG-16 and ResNet-50 achieved 97.8% and 98.2% respectively on PlantVillage [2, 3]. Ferentinos [4] applied deep neural networks across 25 disease categories and achieved 99.53%, while Ramcharan et al. [5] deployed MobileNet on cassava disease images with 93% accuracy, demonstrating the viability of lightweight architectures for resource-constrained environments.</w:t>
      </w:r>
    </w:p>
    <w:p>
      <w:pPr>
        <w:spacing w:after="120" w:before="0"/>
        <w:spacing w:line="276" w:lineRule="auto"/>
        <w:jc w:val="both"/>
      </w:pPr>
      <w:r>
        <w:rPr>
          <w:rFonts w:ascii="Times New Roman" w:hAnsi="Times New Roman"/>
          <w:sz w:val="24"/>
        </w:rPr>
        <w:t>The domain generalisation problem was directly targeted by Thapa et al. [6], who released the PlantDoc dataset and showed that all leading CNN models trained on PlantVillage suffered between 15 and 25 percentage point accuracy drops on PlantDoc images. Singh et al. [7] applied mixup augmentation and label smoothing to partially recover domain performance, achieving 76% on PlantDoc. Chen et al. [8] used multi-scale feature fusion to capture both fine-grained lesion texture and coarse disease patterns, reporting 98.4% on PlantVillage. All CNN-based approaches reviewed herein share the common limitation of producing opaque predictions with no human-interpretable concept attribution.</w:t>
      </w:r>
    </w:p>
    <w:p>
      <w:pPr>
        <w:spacing w:before="200" w:after="80"/>
      </w:pPr>
      <w:r>
        <w:rPr>
          <w:rFonts w:ascii="Times New Roman" w:hAnsi="Times New Roman"/>
          <w:b/>
          <w:sz w:val="24"/>
        </w:rPr>
        <w:t>2.2 Transformer-Based Architectures for Plant Disease</w:t>
      </w:r>
    </w:p>
    <w:p>
      <w:pPr>
        <w:spacing w:after="120" w:before="0"/>
        <w:spacing w:line="276" w:lineRule="auto"/>
        <w:jc w:val="both"/>
      </w:pPr>
      <w:r>
        <w:rPr>
          <w:rFonts w:ascii="Times New Roman" w:hAnsi="Times New Roman"/>
          <w:sz w:val="24"/>
        </w:rPr>
        <w:t>Attention-based vision transformers emerged as a powerful alternative to convolutional models for image classification. Dosovitskiy et al. [9] introduced the Vision Transformer (ViT), which achieved state-of-the-art performance on ImageNet when pre-trained at scale. Liu et al. [10] proposed the Swin Transformer, introducing shifted window self-attention that provides both local and global receptive fields with linear computational complexity, achieving 87.3% top-1 accuracy on ImageNet-1K. Applications of these architectures to plant disease were rapid: Saleem et al. [11] applied ViT to PlantVillage and reported 97.8% accuracy, while Pal and Bhatt [12] demonstrated that Swin-Small outperformed ResNet-50 by 1.9 percentage points on a combined PlantVillage + field dataset. Hu et al. [13] incorporated Squeeze-and-Excitation blocks into a ResNet backbone for plant disease and showed 1.2 percentage point improvement over the vanilla architecture through channel-wise feature recalibration — motivating our SE block integration into the Swin backbone.</w:t>
      </w:r>
    </w:p>
    <w:p>
      <w:pPr>
        <w:spacing w:after="120" w:before="0"/>
        <w:spacing w:line="276" w:lineRule="auto"/>
        <w:jc w:val="both"/>
      </w:pPr>
      <w:r>
        <w:rPr>
          <w:rFonts w:ascii="Times New Roman" w:hAnsi="Times New Roman"/>
          <w:sz w:val="24"/>
        </w:rPr>
        <w:t>Despite superior accuracy, all transformer-based methods reviewed produce probability outputs without structured feature attribution. Attention maps provide rough spatial localisation but do not correspond to semantically named disease indicators that pathologists can reason about — a critical gap identified in this literature survey.</w:t>
      </w:r>
    </w:p>
    <w:p>
      <w:pPr>
        <w:spacing w:before="200" w:after="80"/>
      </w:pPr>
      <w:r>
        <w:rPr>
          <w:rFonts w:ascii="Times New Roman" w:hAnsi="Times New Roman"/>
          <w:b/>
          <w:sz w:val="24"/>
        </w:rPr>
        <w:t>2.3 Explainable AI in Plant Pathology</w:t>
      </w:r>
    </w:p>
    <w:p>
      <w:pPr>
        <w:spacing w:after="120" w:before="0"/>
        <w:spacing w:line="276" w:lineRule="auto"/>
        <w:jc w:val="both"/>
      </w:pPr>
      <w:r>
        <w:rPr>
          <w:rFonts w:ascii="Times New Roman" w:hAnsi="Times New Roman"/>
          <w:sz w:val="24"/>
        </w:rPr>
        <w:t>Post-hoc XAI methods have been applied to plant disease models primarily through class activation mapping techniques. Selvaraju et al. [14] introduced GradCAM, which produces spatial saliency maps highlighting discriminative image regions, and several works have applied GradCAM to plant disease models to visualise lesion localisation [15]. LIME explanations were applied by Bedi and Gole [16] to superpixel-level attribution in tomato disease images. SHAP values computed via the DeepExplainer backend were used by Agarwal et al. [17] to rank feature channel importance in a CNN. However, all post-hoc methods are applied after the fact to black-box models, producing explanations that may not faithfully reflect the model's actual computation pathway.</w:t>
      </w:r>
    </w:p>
    <w:p>
      <w:pPr>
        <w:spacing w:after="120" w:before="0"/>
        <w:spacing w:line="276" w:lineRule="auto"/>
        <w:jc w:val="both"/>
      </w:pPr>
      <w:r>
        <w:rPr>
          <w:rFonts w:ascii="Times New Roman" w:hAnsi="Times New Roman"/>
          <w:sz w:val="24"/>
        </w:rPr>
        <w:t>The Concept Bottleneck Model paradigm was introduced by Koh et al. [18], who demonstrated that jointly training a concept predictor and a concept-to-label classifier provides inherently interpretable predictions with comparable accuracy to black-box baselines on medical imaging tasks. Chen et al. [19] extended CBMs with concept completeness metrics and iterative concept refinement. Losch et al. [20] applied a variant of CBM to crop type classification from satellite imagery. To the best of our knowledge, no prior work has applied CBMs to multi-class, multi-species plant disease detection at the scale of PlantVillage.</w:t>
      </w:r>
    </w:p>
    <w:p>
      <w:pPr>
        <w:spacing w:before="200" w:after="80"/>
      </w:pPr>
      <w:r>
        <w:rPr>
          <w:rFonts w:ascii="Times New Roman" w:hAnsi="Times New Roman"/>
          <w:b/>
          <w:sz w:val="24"/>
        </w:rPr>
        <w:t>2.4 Research Gaps Identified</w:t>
      </w:r>
    </w:p>
    <w:p>
      <w:pPr>
        <w:spacing w:after="120" w:before="0"/>
        <w:spacing w:line="276" w:lineRule="auto"/>
        <w:jc w:val="both"/>
      </w:pPr>
      <w:r>
        <w:rPr>
          <w:rFonts w:ascii="Times New Roman" w:hAnsi="Times New Roman"/>
          <w:sz w:val="24"/>
        </w:rPr>
        <w:t>Three orthogonal gaps emerge from the systematic review. First, opacity: all existing high-accuracy plant disease detectors produce black-box predictions; post-hoc XAI methods applied to these models cannot guarantee faithfulness to the true decision pathway. Second, domain gap: no published CBM-based approach has been applied to plant disease across both controlled laboratory images and real field photographs simultaneously, leaving the generalisation capability of concept-based models untested in this domain. Third, deployment: no prior work simultaneously addresses model compression and REST API packaging within a concept-interpretable plant disease framework, preventing real-world agricultural deployment. PlantDiseaseCBM addresses all three gaps within a single unified framework.</w:t>
      </w:r>
    </w:p>
    <w:p>
      <w:r>
        <w:br w:type="page"/>
      </w:r>
    </w:p>
    <w:p>
      <w:pPr>
        <w:spacing w:before="360" w:after="120"/>
        <w:jc w:val="center"/>
      </w:pPr>
      <w:r>
        <w:rPr>
          <w:rFonts w:ascii="Times New Roman" w:hAnsi="Times New Roman"/>
          <w:b/>
          <w:sz w:val="28"/>
        </w:rPr>
        <w:t>CHAPTER 3</w:t>
      </w:r>
    </w:p>
    <w:p>
      <w:pPr>
        <w:spacing w:after="240"/>
        <w:jc w:val="center"/>
      </w:pPr>
      <w:r>
        <w:rPr>
          <w:rFonts w:ascii="Times New Roman" w:hAnsi="Times New Roman"/>
          <w:b/>
          <w:sz w:val="28"/>
        </w:rPr>
        <w:t>RESEARCH METHODOLOGY</w:t>
      </w:r>
    </w:p>
    <w:p>
      <w:pPr>
        <w:spacing w:after="120" w:before="0"/>
        <w:spacing w:line="276" w:lineRule="auto"/>
        <w:jc w:val="both"/>
      </w:pPr>
      <w:r>
        <w:rPr>
          <w:rFonts w:ascii="Times New Roman" w:hAnsi="Times New Roman"/>
          <w:sz w:val="24"/>
        </w:rPr>
        <w:t>This chapter presents the full methodological design of PlantDiseaseCBM. Section 3.1 describes the datasets. Section 3.2 provides the architectural overview. Sections 3.3 to 3.6 detail each architectural component. Section 3.7 describes the preprocessing pipeline.</w:t>
      </w:r>
    </w:p>
    <w:p>
      <w:pPr>
        <w:spacing w:before="200" w:after="80"/>
      </w:pPr>
      <w:r>
        <w:rPr>
          <w:rFonts w:ascii="Times New Roman" w:hAnsi="Times New Roman"/>
          <w:b/>
          <w:sz w:val="24"/>
        </w:rPr>
        <w:t>3.1 Dataset Description</w:t>
      </w:r>
    </w:p>
    <w:p>
      <w:pPr>
        <w:spacing w:after="120" w:before="0"/>
        <w:spacing w:line="276" w:lineRule="auto"/>
        <w:jc w:val="both"/>
      </w:pPr>
      <w:r>
        <w:rPr>
          <w:rFonts w:ascii="Times New Roman" w:hAnsi="Times New Roman"/>
          <w:sz w:val="24"/>
        </w:rPr>
        <w:t>Two datasets are used in all experiments. The PlantVillage dataset [1] contains 54,306 colour RGB images distributed across 38 disease-species combinations covering 14 crop species (Apple, Blueberry, Cherry, Corn, Grape, Orange, Peach, Bell Pepper, Potato, Raspberry, Soybean, Squash, Strawberry, Tomato). Each class folder contains images of isolated leaves photographed against a uniform grey background under controlled lighting. Class sizes range from 152 images (Potato Healthy) to 5,507 images (Tomato Yellow Leaf Curl Virus), creating a moderately imbalanced distribution. The dataset is partitioned using a fixed random seed of 42 into 70% train, 15% validation, and 15% test splits via stratified random permutation.</w:t>
      </w:r>
    </w:p>
    <w:p>
      <w:pPr>
        <w:spacing w:after="120" w:before="0"/>
        <w:spacing w:line="276" w:lineRule="auto"/>
        <w:jc w:val="both"/>
      </w:pPr>
      <w:r>
        <w:rPr>
          <w:rFonts w:ascii="Times New Roman" w:hAnsi="Times New Roman"/>
          <w:sz w:val="24"/>
        </w:rPr>
        <w:t>The PlantDoc dataset [6] provides 2,598 images spanning 27 disease classes collected from real field photographs with natural backgrounds, variable illumination, and multiple leaves per frame. PlantDoc serves as the out-of-distribution generalisation benchmark in this work, with training images incorporated into the combined training set and test images evaluated separately as the field test split. The union of PlantVillage and PlantDoc classes is mapped to a shared 38-class taxonomy using class name string matching.</w:t>
      </w:r>
    </w:p>
    <w:p>
      <w:pPr>
        <w:spacing w:before="200" w:after="80"/>
      </w:pPr>
      <w:r>
        <w:rPr>
          <w:rFonts w:ascii="Times New Roman" w:hAnsi="Times New Roman"/>
          <w:b/>
          <w:sz w:val="24"/>
        </w:rPr>
        <w:t>3.2 Proposed Framework Overview</w:t>
      </w:r>
    </w:p>
    <w:p>
      <w:pPr>
        <w:spacing w:after="120" w:before="0"/>
        <w:spacing w:line="276" w:lineRule="auto"/>
        <w:jc w:val="both"/>
      </w:pPr>
      <w:r>
        <w:rPr>
          <w:rFonts w:ascii="Times New Roman" w:hAnsi="Times New Roman"/>
          <w:sz w:val="24"/>
        </w:rPr>
        <w:t>PlantDiseaseCBM is a four-component sequential pipeline. Component 1 is the Swin Transformer Backbone augmented with an SE Block, which extracts a 768-dimensional spatial feature map from a 224×224 input image. Component 2 is Global Average Pooling that collapses the spatial dimensions to a 768-dimensional feature vector. Component 3 is the Concept Bottleneck Head, which projects the 768-dimensional features to 12 concept scores through 12 independent two-layer MLPs each outputting a value in [0, 1] via sigmoid activation. Component 4 is the Concept Classifier, which maps the 12 concept scores to 38 class logits through a two-layer MLP. This architecture enforces that all classification decisions pass exclusively through the 12-dimensional concept bottleneck, making the concept scores a complete intermediate representation.</w:t>
      </w:r>
    </w:p>
    <w:p>
      <w:pPr>
        <w:jc w:val="center"/>
      </w:pPr>
      <w:r>
        <w:drawing>
          <wp:inline xmlns:a="http://schemas.openxmlformats.org/drawingml/2006/main" xmlns:pic="http://schemas.openxmlformats.org/drawingml/2006/picture">
            <wp:extent cx="5486400" cy="279383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2793830"/>
                    </a:xfrm>
                    <a:prstGeom prst="rect"/>
                  </pic:spPr>
                </pic:pic>
              </a:graphicData>
            </a:graphic>
          </wp:inline>
        </w:drawing>
      </w:r>
    </w:p>
    <w:p>
      <w:pPr>
        <w:spacing w:after="200"/>
        <w:jc w:val="center"/>
      </w:pPr>
      <w:r>
        <w:rPr>
          <w:rFonts w:ascii="Times New Roman" w:hAnsi="Times New Roman"/>
          <w:i/>
          <w:sz w:val="20"/>
        </w:rPr>
        <w:t>Figure 3.1: PlantDiseaseCBM Architecture — Swin Transformer Backbone with SE Block, Concept Bottleneck, and XAI/Deployment pipeline</w:t>
      </w:r>
    </w:p>
    <w:p>
      <w:pPr>
        <w:spacing w:before="200" w:after="80"/>
      </w:pPr>
      <w:r>
        <w:rPr>
          <w:rFonts w:ascii="Times New Roman" w:hAnsi="Times New Roman"/>
          <w:b/>
          <w:sz w:val="24"/>
        </w:rPr>
        <w:t>3.3 Backbone and Feature Extraction</w:t>
      </w:r>
    </w:p>
    <w:p>
      <w:pPr>
        <w:spacing w:after="120" w:before="0"/>
        <w:spacing w:line="276" w:lineRule="auto"/>
        <w:jc w:val="both"/>
      </w:pPr>
      <w:r>
        <w:rPr>
          <w:rFonts w:ascii="Times New Roman" w:hAnsi="Times New Roman"/>
          <w:sz w:val="24"/>
        </w:rPr>
        <w:t>The primary feature extractor is the Swin-Small Transformer [10] pre-trained on ImageNet-1K. Swin-Small uses a hierarchical shifted-window self-attention mechanism that partitions the input into non-overlapping windows and computes self-attention locally within each window, shifting the window partition between consecutive Transformer layers to enable cross-window interaction. This design provides a 7×7 local receptive field in each window while achieving global coverage through the hierarchy — a critical property for capturing both fine-grained lesion texture and coarse disease spread patterns simultaneously. The backbone outputs a feature map of shape (B, 7, 7, 768) for 224×224 inputs with global_pool disabled.</w:t>
      </w:r>
    </w:p>
    <w:p>
      <w:pPr>
        <w:spacing w:after="120" w:before="0"/>
        <w:spacing w:line="276" w:lineRule="auto"/>
        <w:jc w:val="both"/>
      </w:pPr>
      <w:r>
        <w:rPr>
          <w:rFonts w:ascii="Times New Roman" w:hAnsi="Times New Roman"/>
          <w:sz w:val="24"/>
        </w:rPr>
        <w:t>A Squeeze-and-Excitation (SE) Block [13] is inserted between the backbone output and the global average pooling layer. The SE block applies channel-wise feature recalibration through a two-step excitation:</w:t>
      </w:r>
    </w:p>
    <w:p>
      <w:pPr>
        <w:spacing w:after="120" w:before="0"/>
        <w:spacing w:line="276" w:lineRule="auto"/>
        <w:jc w:val="both"/>
      </w:pPr>
      <w:r>
        <w:rPr>
          <w:rFonts w:ascii="Times New Roman" w:hAnsi="Times New Roman"/>
          <w:sz w:val="24"/>
        </w:rPr>
        <w:t xml:space="preserve">    s = GlobalAvgPool(x)                              (Eq. 1)</w:t>
      </w:r>
    </w:p>
    <w:p>
      <w:pPr>
        <w:spacing w:after="120" w:before="0"/>
        <w:spacing w:line="276" w:lineRule="auto"/>
        <w:jc w:val="both"/>
      </w:pPr>
      <w:r>
        <w:rPr>
          <w:rFonts w:ascii="Times New Roman" w:hAnsi="Times New Roman"/>
          <w:sz w:val="24"/>
        </w:rPr>
        <w:t xml:space="preserve">    scale = σ(W₂ · ReLU(W₁ · s))                    (Eq. 2)</w:t>
      </w:r>
    </w:p>
    <w:p>
      <w:pPr>
        <w:spacing w:after="120" w:before="0"/>
        <w:spacing w:line="276" w:lineRule="auto"/>
        <w:jc w:val="both"/>
      </w:pPr>
      <w:r>
        <w:rPr>
          <w:rFonts w:ascii="Times New Roman" w:hAnsi="Times New Roman"/>
          <w:sz w:val="24"/>
        </w:rPr>
        <w:t>where s ∈ ℝᶜ is the channel descriptor, W₁ ∈ ℝᶜ/ʳ×ᶜ and W₂ ∈ ℝᶜ×ᶜ/ʳ are the two excitation weight matrices, r=16 is the reduction ratio, and σ is sigmoid. The scale vector is broadcast-multiplied back to the spatial feature map, suppressing uninformative channels and amplifying disease-discriminative ones.</w:t>
      </w:r>
    </w:p>
    <w:p>
      <w:pPr>
        <w:spacing w:before="200" w:after="80"/>
      </w:pPr>
      <w:r>
        <w:rPr>
          <w:rFonts w:ascii="Times New Roman" w:hAnsi="Times New Roman"/>
          <w:b/>
          <w:sz w:val="24"/>
        </w:rPr>
        <w:t>3.4 Concept Bottleneck Layer</w:t>
      </w:r>
    </w:p>
    <w:p>
      <w:pPr>
        <w:spacing w:after="120" w:before="0"/>
        <w:spacing w:line="276" w:lineRule="auto"/>
        <w:jc w:val="both"/>
      </w:pPr>
      <w:r>
        <w:rPr>
          <w:rFonts w:ascii="Times New Roman" w:hAnsi="Times New Roman"/>
          <w:sz w:val="24"/>
        </w:rPr>
        <w:t>The concept bottleneck maps the 768-dimensional backbone features to 12 biologically meaningful binary concept scores. Each concept has its own independent two-layer MLP: Linear(768→256) → BatchNorm → ReLU → Dropout(0.3) → Linear(256→1) → Sigmoid. The 12 concepts and their agronomic definitions are:</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sz w:val="20"/>
              </w:rPr>
              <w:t>Concept</w:t>
            </w:r>
          </w:p>
        </w:tc>
        <w:tc>
          <w:tcPr>
            <w:tcW w:type="dxa" w:w="4500"/>
          </w:tcPr>
          <w:p>
            <w:r>
              <w:rPr>
                <w:rFonts w:ascii="Times New Roman" w:hAnsi="Times New Roman"/>
                <w:b/>
                <w:sz w:val="20"/>
              </w:rPr>
              <w:t>Agronomic Definition</w:t>
            </w:r>
          </w:p>
        </w:tc>
      </w:tr>
      <w:tr>
        <w:tc>
          <w:tcPr>
            <w:tcW w:type="dxa" w:w="4500"/>
          </w:tcPr>
          <w:p>
            <w:r>
              <w:rPr>
                <w:rFonts w:ascii="Times New Roman" w:hAnsi="Times New Roman"/>
                <w:sz w:val="20"/>
              </w:rPr>
              <w:t>lesion_color</w:t>
            </w:r>
          </w:p>
        </w:tc>
        <w:tc>
          <w:tcPr>
            <w:tcW w:type="dxa" w:w="4500"/>
          </w:tcPr>
          <w:p>
            <w:r>
              <w:rPr>
                <w:rFonts w:ascii="Times New Roman" w:hAnsi="Times New Roman"/>
                <w:sz w:val="20"/>
              </w:rPr>
              <w:t>Presence of discoloured lesion patches (brown, black, yellow)</w:t>
            </w:r>
          </w:p>
        </w:tc>
      </w:tr>
      <w:tr>
        <w:tc>
          <w:tcPr>
            <w:tcW w:type="dxa" w:w="4500"/>
          </w:tcPr>
          <w:p>
            <w:r>
              <w:rPr>
                <w:rFonts w:ascii="Times New Roman" w:hAnsi="Times New Roman"/>
                <w:sz w:val="20"/>
              </w:rPr>
              <w:t>lesion_shape</w:t>
            </w:r>
          </w:p>
        </w:tc>
        <w:tc>
          <w:tcPr>
            <w:tcW w:type="dxa" w:w="4500"/>
          </w:tcPr>
          <w:p>
            <w:r>
              <w:rPr>
                <w:rFonts w:ascii="Times New Roman" w:hAnsi="Times New Roman"/>
                <w:sz w:val="20"/>
              </w:rPr>
              <w:t>Circular, angular, or irregular lesion geometry</w:t>
            </w:r>
          </w:p>
        </w:tc>
      </w:tr>
      <w:tr>
        <w:tc>
          <w:tcPr>
            <w:tcW w:type="dxa" w:w="4500"/>
          </w:tcPr>
          <w:p>
            <w:r>
              <w:rPr>
                <w:rFonts w:ascii="Times New Roman" w:hAnsi="Times New Roman"/>
                <w:sz w:val="20"/>
              </w:rPr>
              <w:t>lesion_spread</w:t>
            </w:r>
          </w:p>
        </w:tc>
        <w:tc>
          <w:tcPr>
            <w:tcW w:type="dxa" w:w="4500"/>
          </w:tcPr>
          <w:p>
            <w:r>
              <w:rPr>
                <w:rFonts w:ascii="Times New Roman" w:hAnsi="Times New Roman"/>
                <w:sz w:val="20"/>
              </w:rPr>
              <w:t>Progressive areal expansion of lesion across the leaf surface</w:t>
            </w:r>
          </w:p>
        </w:tc>
      </w:tr>
      <w:tr>
        <w:tc>
          <w:tcPr>
            <w:tcW w:type="dxa" w:w="4500"/>
          </w:tcPr>
          <w:p>
            <w:r>
              <w:rPr>
                <w:rFonts w:ascii="Times New Roman" w:hAnsi="Times New Roman"/>
                <w:sz w:val="20"/>
              </w:rPr>
              <w:t>necrosis</w:t>
            </w:r>
          </w:p>
        </w:tc>
        <w:tc>
          <w:tcPr>
            <w:tcW w:type="dxa" w:w="4500"/>
          </w:tcPr>
          <w:p>
            <w:r>
              <w:rPr>
                <w:rFonts w:ascii="Times New Roman" w:hAnsi="Times New Roman"/>
                <w:sz w:val="20"/>
              </w:rPr>
              <w:t>Dead tissue manifesting as dark or crispy regions</w:t>
            </w:r>
          </w:p>
        </w:tc>
      </w:tr>
      <w:tr>
        <w:tc>
          <w:tcPr>
            <w:tcW w:type="dxa" w:w="4500"/>
          </w:tcPr>
          <w:p>
            <w:r>
              <w:rPr>
                <w:rFonts w:ascii="Times New Roman" w:hAnsi="Times New Roman"/>
                <w:sz w:val="20"/>
              </w:rPr>
              <w:t>chlorosis</w:t>
            </w:r>
          </w:p>
        </w:tc>
        <w:tc>
          <w:tcPr>
            <w:tcW w:type="dxa" w:w="4500"/>
          </w:tcPr>
          <w:p>
            <w:r>
              <w:rPr>
                <w:rFonts w:ascii="Times New Roman" w:hAnsi="Times New Roman"/>
                <w:sz w:val="20"/>
              </w:rPr>
              <w:t>Loss of green pigmentation causing yellow discolouration</w:t>
            </w:r>
          </w:p>
        </w:tc>
      </w:tr>
      <w:tr>
        <w:tc>
          <w:tcPr>
            <w:tcW w:type="dxa" w:w="4500"/>
          </w:tcPr>
          <w:p>
            <w:r>
              <w:rPr>
                <w:rFonts w:ascii="Times New Roman" w:hAnsi="Times New Roman"/>
                <w:sz w:val="20"/>
              </w:rPr>
              <w:t>wilting</w:t>
            </w:r>
          </w:p>
        </w:tc>
        <w:tc>
          <w:tcPr>
            <w:tcW w:type="dxa" w:w="4500"/>
          </w:tcPr>
          <w:p>
            <w:r>
              <w:rPr>
                <w:rFonts w:ascii="Times New Roman" w:hAnsi="Times New Roman"/>
                <w:sz w:val="20"/>
              </w:rPr>
              <w:t>Drooping or loss of leaf turgidity indicating vascular infection</w:t>
            </w:r>
          </w:p>
        </w:tc>
      </w:tr>
      <w:tr>
        <w:tc>
          <w:tcPr>
            <w:tcW w:type="dxa" w:w="4500"/>
          </w:tcPr>
          <w:p>
            <w:r>
              <w:rPr>
                <w:rFonts w:ascii="Times New Roman" w:hAnsi="Times New Roman"/>
                <w:sz w:val="20"/>
              </w:rPr>
              <w:t>spotting</w:t>
            </w:r>
          </w:p>
        </w:tc>
        <w:tc>
          <w:tcPr>
            <w:tcW w:type="dxa" w:w="4500"/>
          </w:tcPr>
          <w:p>
            <w:r>
              <w:rPr>
                <w:rFonts w:ascii="Times New Roman" w:hAnsi="Times New Roman"/>
                <w:sz w:val="20"/>
              </w:rPr>
              <w:t>Discrete small circular or elliptical spots</w:t>
            </w:r>
          </w:p>
        </w:tc>
      </w:tr>
      <w:tr>
        <w:tc>
          <w:tcPr>
            <w:tcW w:type="dxa" w:w="4500"/>
          </w:tcPr>
          <w:p>
            <w:r>
              <w:rPr>
                <w:rFonts w:ascii="Times New Roman" w:hAnsi="Times New Roman"/>
                <w:sz w:val="20"/>
              </w:rPr>
              <w:t>blight_pattern</w:t>
            </w:r>
          </w:p>
        </w:tc>
        <w:tc>
          <w:tcPr>
            <w:tcW w:type="dxa" w:w="4500"/>
          </w:tcPr>
          <w:p>
            <w:r>
              <w:rPr>
                <w:rFonts w:ascii="Times New Roman" w:hAnsi="Times New Roman"/>
                <w:sz w:val="20"/>
              </w:rPr>
              <w:t>Rapid large-area necrotic collapse characteristic of blight diseases</w:t>
            </w:r>
          </w:p>
        </w:tc>
      </w:tr>
      <w:tr>
        <w:tc>
          <w:tcPr>
            <w:tcW w:type="dxa" w:w="4500"/>
          </w:tcPr>
          <w:p>
            <w:r>
              <w:rPr>
                <w:rFonts w:ascii="Times New Roman" w:hAnsi="Times New Roman"/>
                <w:sz w:val="20"/>
              </w:rPr>
              <w:t>mold_presence</w:t>
            </w:r>
          </w:p>
        </w:tc>
        <w:tc>
          <w:tcPr>
            <w:tcW w:type="dxa" w:w="4500"/>
          </w:tcPr>
          <w:p>
            <w:r>
              <w:rPr>
                <w:rFonts w:ascii="Times New Roman" w:hAnsi="Times New Roman"/>
                <w:sz w:val="20"/>
              </w:rPr>
              <w:t>Visible fungal mycelium or spore masses on the leaf surface</w:t>
            </w:r>
          </w:p>
        </w:tc>
      </w:tr>
      <w:tr>
        <w:tc>
          <w:tcPr>
            <w:tcW w:type="dxa" w:w="4500"/>
          </w:tcPr>
          <w:p>
            <w:r>
              <w:rPr>
                <w:rFonts w:ascii="Times New Roman" w:hAnsi="Times New Roman"/>
                <w:sz w:val="20"/>
              </w:rPr>
              <w:t>leaf_curl</w:t>
            </w:r>
          </w:p>
        </w:tc>
        <w:tc>
          <w:tcPr>
            <w:tcW w:type="dxa" w:w="4500"/>
          </w:tcPr>
          <w:p>
            <w:r>
              <w:rPr>
                <w:rFonts w:ascii="Times New Roman" w:hAnsi="Times New Roman"/>
                <w:sz w:val="20"/>
              </w:rPr>
              <w:t>Inward or outward curling of leaf margins due to viral infection</w:t>
            </w:r>
          </w:p>
        </w:tc>
      </w:tr>
      <w:tr>
        <w:tc>
          <w:tcPr>
            <w:tcW w:type="dxa" w:w="4500"/>
          </w:tcPr>
          <w:p>
            <w:r>
              <w:rPr>
                <w:rFonts w:ascii="Times New Roman" w:hAnsi="Times New Roman"/>
                <w:sz w:val="20"/>
              </w:rPr>
              <w:t>vein_discoloration</w:t>
            </w:r>
          </w:p>
        </w:tc>
        <w:tc>
          <w:tcPr>
            <w:tcW w:type="dxa" w:w="4500"/>
          </w:tcPr>
          <w:p>
            <w:r>
              <w:rPr>
                <w:rFonts w:ascii="Times New Roman" w:hAnsi="Times New Roman"/>
                <w:sz w:val="20"/>
              </w:rPr>
              <w:t>Yellowing or browning along vascular veins</w:t>
            </w:r>
          </w:p>
        </w:tc>
      </w:tr>
      <w:tr>
        <w:tc>
          <w:tcPr>
            <w:tcW w:type="dxa" w:w="4500"/>
          </w:tcPr>
          <w:p>
            <w:r>
              <w:rPr>
                <w:rFonts w:ascii="Times New Roman" w:hAnsi="Times New Roman"/>
                <w:sz w:val="20"/>
              </w:rPr>
              <w:t>lesion_texture</w:t>
            </w:r>
          </w:p>
        </w:tc>
        <w:tc>
          <w:tcPr>
            <w:tcW w:type="dxa" w:w="4500"/>
          </w:tcPr>
          <w:p>
            <w:r>
              <w:rPr>
                <w:rFonts w:ascii="Times New Roman" w:hAnsi="Times New Roman"/>
                <w:sz w:val="20"/>
              </w:rPr>
              <w:t>Surface roughness, concentric rings, or target-spot patterns within lesions</w:t>
            </w:r>
          </w:p>
        </w:tc>
      </w:tr>
    </w:tbl>
    <w:p/>
    <w:p>
      <w:pPr>
        <w:spacing w:after="120" w:before="0"/>
        <w:spacing w:line="276" w:lineRule="auto"/>
        <w:jc w:val="both"/>
      </w:pPr>
      <w:r>
        <w:rPr>
          <w:rFonts w:ascii="Times New Roman" w:hAnsi="Times New Roman"/>
          <w:sz w:val="24"/>
        </w:rPr>
        <w:t>Ground-truth concept labels are derived programmatically by applying a keyword matching rule set to each class folder name string. Concepts are activated for a given class if the class name contains disease-specific keywords (e.g., 'blight' activates necrosis, lesion_spread, and blight_pattern; 'mosaic' activates chlorosis, leaf_curl, and vein_discoloration). Healthy classes receive all-zero concept vectors.</w:t>
      </w:r>
    </w:p>
    <w:p>
      <w:pPr>
        <w:spacing w:before="200" w:after="80"/>
      </w:pPr>
      <w:r>
        <w:rPr>
          <w:rFonts w:ascii="Times New Roman" w:hAnsi="Times New Roman"/>
          <w:b/>
          <w:sz w:val="24"/>
        </w:rPr>
        <w:t>3.5 Loss Function Design</w:t>
      </w:r>
    </w:p>
    <w:p>
      <w:pPr>
        <w:spacing w:after="120" w:before="0"/>
        <w:spacing w:line="276" w:lineRule="auto"/>
        <w:jc w:val="both"/>
      </w:pPr>
      <w:r>
        <w:rPr>
          <w:rFonts w:ascii="Times New Roman" w:hAnsi="Times New Roman"/>
          <w:sz w:val="24"/>
        </w:rPr>
        <w:t>Training employs the CBMLoss, a composite objective combining three terms:</w:t>
      </w:r>
    </w:p>
    <w:p>
      <w:pPr>
        <w:spacing w:after="120" w:before="0"/>
        <w:spacing w:line="276" w:lineRule="auto"/>
        <w:jc w:val="both"/>
      </w:pPr>
      <w:r>
        <w:rPr>
          <w:rFonts w:ascii="Times New Roman" w:hAnsi="Times New Roman"/>
          <w:sz w:val="24"/>
        </w:rPr>
        <w:t xml:space="preserve">    L = λ_task · L_task + λ_concept · L_concept + λ_div · L_diversity    (Eq. 3)</w:t>
      </w:r>
    </w:p>
    <w:p>
      <w:pPr>
        <w:spacing w:after="120" w:before="0"/>
        <w:spacing w:line="276" w:lineRule="auto"/>
        <w:jc w:val="both"/>
      </w:pPr>
      <w:r>
        <w:rPr>
          <w:rFonts w:ascii="Times New Roman" w:hAnsi="Times New Roman"/>
          <w:sz w:val="24"/>
        </w:rPr>
        <w:t>where λ_task=1.0, λ_concept=0.5, λ_div=0.1. The task loss L_task is categorical cross-entropy between predicted class logits and ground-truth labels. The concept loss L_concept is binary cross-entropy between predicted concept sigmoid outputs and programmatically derived binary concept labels — applied only when concept labels are available. The diversity loss L_diversity penalises inter-concept correlation:</w:t>
      </w:r>
    </w:p>
    <w:p>
      <w:pPr>
        <w:spacing w:after="120" w:before="0"/>
        <w:spacing w:line="276" w:lineRule="auto"/>
        <w:jc w:val="both"/>
      </w:pPr>
      <w:r>
        <w:rPr>
          <w:rFonts w:ascii="Times New Roman" w:hAnsi="Times New Roman"/>
          <w:sz w:val="24"/>
        </w:rPr>
        <w:t xml:space="preserve">    L_diversity = mean(|corr(C)| · (1 − I))                              (Eq. 4)</w:t>
      </w:r>
    </w:p>
    <w:p>
      <w:pPr>
        <w:spacing w:after="120" w:before="0"/>
        <w:spacing w:line="276" w:lineRule="auto"/>
        <w:jc w:val="both"/>
      </w:pPr>
      <w:r>
        <w:rPr>
          <w:rFonts w:ascii="Times New Roman" w:hAnsi="Times New Roman"/>
          <w:sz w:val="24"/>
        </w:rPr>
        <w:t>where C ∈ ℝᴮˣᴷ is the batch concept matrix, corr(C) is the K×K Pearson correlation matrix, and I is the identity matrix. This term penalises redundant concepts and encourages each concept to capture an independent axis of disease variation.</w:t>
      </w:r>
    </w:p>
    <w:p>
      <w:pPr>
        <w:spacing w:before="200" w:after="80"/>
      </w:pPr>
      <w:r>
        <w:rPr>
          <w:rFonts w:ascii="Times New Roman" w:hAnsi="Times New Roman"/>
          <w:b/>
          <w:sz w:val="24"/>
        </w:rPr>
        <w:t>3.6 XAI Components</w:t>
      </w:r>
    </w:p>
    <w:p>
      <w:pPr>
        <w:spacing w:after="120" w:before="0"/>
        <w:spacing w:line="276" w:lineRule="auto"/>
        <w:jc w:val="both"/>
      </w:pPr>
      <w:r>
        <w:rPr>
          <w:rFonts w:ascii="Times New Roman" w:hAnsi="Times New Roman"/>
          <w:sz w:val="24"/>
        </w:rPr>
        <w:t>Four complementary XAI evaluation mechanisms are implemented. First, Counterfactual Concept Perturbation generates the minimum concept-space perturbation Δ such that the model reclassifies a diseased sample as the target healthy class:</w:t>
      </w:r>
    </w:p>
    <w:p>
      <w:pPr>
        <w:spacing w:after="120" w:before="0"/>
        <w:spacing w:line="276" w:lineRule="auto"/>
        <w:jc w:val="both"/>
      </w:pPr>
      <w:r>
        <w:rPr>
          <w:rFonts w:ascii="Times New Roman" w:hAnsi="Times New Roman"/>
          <w:sz w:val="24"/>
        </w:rPr>
        <w:t xml:space="preserve">    min_Δ  L_task(predict(c + Δ), y_healthy) + λ_s·‖Δ‖₁ + λ_c·‖Δ‖₂    (Eq. 5)</w:t>
      </w:r>
    </w:p>
    <w:p>
      <w:pPr>
        <w:spacing w:after="120" w:before="0"/>
        <w:spacing w:line="276" w:lineRule="auto"/>
        <w:jc w:val="both"/>
      </w:pPr>
      <w:r>
        <w:rPr>
          <w:rFonts w:ascii="Times New Roman" w:hAnsi="Times New Roman"/>
          <w:sz w:val="24"/>
        </w:rPr>
        <w:t>Optimised with Adam over 300 iterations, the resulting delta vector shows which concepts must change — and by how much — to remove the disease prediction.</w:t>
      </w:r>
    </w:p>
    <w:p>
      <w:pPr>
        <w:spacing w:after="120" w:before="0"/>
        <w:spacing w:line="276" w:lineRule="auto"/>
        <w:jc w:val="both"/>
      </w:pPr>
      <w:r>
        <w:rPr>
          <w:rFonts w:ascii="Times New Roman" w:hAnsi="Times New Roman"/>
          <w:sz w:val="24"/>
        </w:rPr>
        <w:t>Second, Faithfulness Evaluation measures whether the concept scores genuinely drive the classification by computing insertion and deletion AUC curves. Concepts are ranked by mean activation score; the insertion curve reveals accuracy as concepts are progressively revealed from a zero baseline, and the deletion curve reveals accuracy as concepts are progressively zeroed. High insertion AUC and low deletion AUC confirm that the top concepts are necessary and sufficient for accurate classification.</w:t>
      </w:r>
    </w:p>
    <w:p>
      <w:pPr>
        <w:spacing w:after="120" w:before="0"/>
        <w:spacing w:line="276" w:lineRule="auto"/>
        <w:jc w:val="both"/>
      </w:pPr>
      <w:r>
        <w:rPr>
          <w:rFonts w:ascii="Times New Roman" w:hAnsi="Times New Roman"/>
          <w:sz w:val="24"/>
        </w:rPr>
        <w:t>Third, Concept Intervention Analysis measures the classification accuracy change when each concept is hard-set to 0 or 1 across the entire validation set, quantifying each concept's causal influence on the classifier output. Fourth, Concept Importance Ranking reports mean concept activation across all validation samples, indicating which disease indicators are most prevalently activated by the model.</w:t>
      </w:r>
    </w:p>
    <w:p>
      <w:pPr>
        <w:spacing w:before="200" w:after="80"/>
      </w:pPr>
      <w:r>
        <w:rPr>
          <w:rFonts w:ascii="Times New Roman" w:hAnsi="Times New Roman"/>
          <w:b/>
          <w:sz w:val="24"/>
        </w:rPr>
        <w:t>3.7 Preprocessing and Augmentation Pipeline</w:t>
      </w:r>
    </w:p>
    <w:p>
      <w:pPr>
        <w:spacing w:after="120" w:before="0"/>
        <w:spacing w:line="276" w:lineRule="auto"/>
        <w:jc w:val="both"/>
      </w:pPr>
      <w:r>
        <w:rPr>
          <w:rFonts w:ascii="Times New Roman" w:hAnsi="Times New Roman"/>
          <w:sz w:val="24"/>
        </w:rPr>
        <w:t>Training images undergo eight-step augmentation using the Albumentations library. Step 1: RandomResizedCrop to 224×224 with scale ∈ [0.6, 1.0], simulating varying camera distances and leaf sizes. Step 2: HorizontalFlip (p=0.5) and VerticalFlip (p=0.3). Step 3: RandomRotate90 (p=0.5) for orientation invariance. Step 4: One-of color jitter — RandomBrightnessContrast, HueSaturationValue, or CLAHE (p=0.7 total). Step 5: One-of blurring — GaussianBlur, MotionBlur, or MedianBlur (p=0.3). Step 6: GaussNoise (p=0.3). Step 7: CoarseDropout (1–8 holes, up to 32×32 pixels, p=0.3) to simulate occlusion. Step 8: ImageNet-standard normalisation (mean=[0.485, 0.456, 0.406], std=[0.229, 0.224, 0.225]). Validation images undergo only Resize(256)→CenterCrop(224)→Normalise.</w:t>
      </w:r>
    </w:p>
    <w:p>
      <w:r>
        <w:br w:type="page"/>
      </w:r>
    </w:p>
    <w:p>
      <w:pPr>
        <w:spacing w:before="360" w:after="120"/>
        <w:jc w:val="center"/>
      </w:pPr>
      <w:r>
        <w:rPr>
          <w:rFonts w:ascii="Times New Roman" w:hAnsi="Times New Roman"/>
          <w:b/>
          <w:sz w:val="28"/>
        </w:rPr>
        <w:t>CHAPTER 4</w:t>
      </w:r>
    </w:p>
    <w:p>
      <w:pPr>
        <w:spacing w:after="240"/>
        <w:jc w:val="center"/>
      </w:pPr>
      <w:r>
        <w:rPr>
          <w:rFonts w:ascii="Times New Roman" w:hAnsi="Times New Roman"/>
          <w:b/>
          <w:sz w:val="28"/>
        </w:rPr>
        <w:t>IMPLEMENTATION</w:t>
      </w:r>
    </w:p>
    <w:p>
      <w:pPr>
        <w:spacing w:before="200" w:after="80"/>
      </w:pPr>
      <w:r>
        <w:rPr>
          <w:rFonts w:ascii="Times New Roman" w:hAnsi="Times New Roman"/>
          <w:b/>
          <w:sz w:val="24"/>
        </w:rPr>
        <w:t>4.1 Environment and Tools</w:t>
      </w:r>
    </w:p>
    <w:p>
      <w:pPr>
        <w:spacing w:after="120" w:before="0"/>
        <w:spacing w:line="276" w:lineRule="auto"/>
        <w:jc w:val="both"/>
      </w:pPr>
      <w:r>
        <w:rPr>
          <w:rFonts w:ascii="Times New Roman" w:hAnsi="Times New Roman"/>
          <w:sz w:val="24"/>
        </w:rPr>
        <w:t>All experiments were performed on a local machine running Windows 11 with an NVIDIA GPU. The primary framework is PyTorch 2.1.0 with torchvision 0.16.0. Model architecture uses timm 0.9.7 for the pre-trained Swin-Small backbone. Data augmentation is handled by Albumentations 1.3.1. Experiment tracking is performed with TensorBoard via torch.utils.tensorboard. Model serving uses FastAPI 0.103.1 with uvicorn 0.23.2 behind a Dockerfile. XAI evaluation is written in pure PyTorch with matplotlib and seaborn for visualisation. All experiments use random seed 42 for reproducibility.</w:t>
      </w:r>
    </w:p>
    <w:p>
      <w:pPr>
        <w:spacing w:before="200" w:after="80"/>
      </w:pPr>
      <w:r>
        <w:rPr>
          <w:rFonts w:ascii="Times New Roman" w:hAnsi="Times New Roman"/>
          <w:b/>
          <w:sz w:val="24"/>
        </w:rPr>
        <w:t>4.2 Data Preprocessing and Feature Construction</w:t>
      </w:r>
    </w:p>
    <w:p>
      <w:pPr>
        <w:spacing w:after="120" w:before="0"/>
        <w:spacing w:line="276" w:lineRule="auto"/>
        <w:jc w:val="both"/>
      </w:pPr>
      <w:r>
        <w:rPr>
          <w:rFonts w:ascii="Times New Roman" w:hAnsi="Times New Roman"/>
          <w:sz w:val="24"/>
        </w:rPr>
        <w:t>The seven PlantVillage class directories are discovered via recursive directory traversal, with extensions {.jpg, .jpeg, .png} accepted. A fixed random permutation (seed=42) partitions indices into 70% train (37,923 images), 15% validation (8,145 images), and 15% test (8,238 images). PlantDoc train images are concatenated to the PlantVillage training set, yielding a combined training set. The ConcatDataset wrapper from torch.utils.data is used to merge these without resampling.</w:t>
      </w:r>
    </w:p>
    <w:p>
      <w:pPr>
        <w:spacing w:after="120" w:before="0"/>
        <w:spacing w:line="276" w:lineRule="auto"/>
        <w:jc w:val="both"/>
      </w:pPr>
      <w:r>
        <w:rPr>
          <w:rFonts w:ascii="Times New Roman" w:hAnsi="Times New Roman"/>
          <w:sz w:val="24"/>
        </w:rPr>
        <w:t>For each image, the class folder name string is passed through the rule-based concept label generator to produce a 12-dimensional binary concept vector. These concept vectors serve as soft supervision targets for the concept bottleneck layer during training. The DataLoader uses batch_size=32, shuffle=True for training, num_workers=0 (for Windows compatibility), and pin_memory=True for GPU data transfer acceleration.</w:t>
      </w:r>
    </w:p>
    <w:p>
      <w:pPr>
        <w:spacing w:before="200" w:after="80"/>
      </w:pPr>
      <w:r>
        <w:rPr>
          <w:rFonts w:ascii="Times New Roman" w:hAnsi="Times New Roman"/>
          <w:b/>
          <w:sz w:val="24"/>
        </w:rPr>
        <w:t>4.3 Model Architecture and Training</w:t>
      </w:r>
    </w:p>
    <w:p>
      <w:pPr>
        <w:spacing w:after="120" w:before="0"/>
        <w:spacing w:line="276" w:lineRule="auto"/>
        <w:jc w:val="both"/>
      </w:pPr>
      <w:r>
        <w:rPr>
          <w:rFonts w:ascii="Times New Roman" w:hAnsi="Times New Roman"/>
          <w:sz w:val="24"/>
        </w:rPr>
        <w:t>PlantDiseaseCBM is instantiated with num_classes=38, num_concepts=12, pretrained=True. The total parameter count is approximately 49.5M (47.8M in the Swin-Small backbone, 0.5M in the SE block, 1.0M in the 12-concept MLPs, 0.2M in the concept classifier). The model is moved to the available GPU device via .to(device).</w:t>
      </w:r>
    </w:p>
    <w:p>
      <w:pPr>
        <w:spacing w:after="120" w:before="0"/>
        <w:spacing w:line="276" w:lineRule="auto"/>
        <w:jc w:val="both"/>
      </w:pPr>
      <w:r>
        <w:rPr>
          <w:rFonts w:ascii="Times New Roman" w:hAnsi="Times New Roman"/>
          <w:sz w:val="24"/>
        </w:rPr>
        <w:t>Training employs a two-phase strategy. Phase 1 (epochs 1–5): the backbone parameters are frozen (requires_grad=False), training only the SE block, concept head, and classifier. This warmup prevents catastrophic interference with pre-trained features during early gradient descent. Phase 2 (epochs 6–100): all parameters are unfrozen with the backbone learning rate set to 10× lower (1e-5) than the head learning rate (1e-4). AdamW optimiser with weight decay 1e-4 is used throughout, paired with CosineAnnealingWarmRestarts scheduler (T₀=10, T_mult=2, η_min=1e-6). Gradient clipping at max_norm=1.0 prevents gradient explosion in early unfrozen epochs.</w:t>
      </w:r>
    </w:p>
    <w:p>
      <w:pPr>
        <w:spacing w:after="120" w:before="0"/>
        <w:spacing w:line="276" w:lineRule="auto"/>
        <w:jc w:val="both"/>
      </w:pPr>
      <w:r>
        <w:rPr>
          <w:rFonts w:ascii="Times New Roman" w:hAnsi="Times New Roman"/>
          <w:sz w:val="24"/>
        </w:rPr>
        <w:t>The CBMLoss is configured with λ_task=1.0, λ_concept=0.5, λ_div=0.1 based on grid search on a 10% local validation hold-out. Binary Cross-Entropy for the concept supervision uses the programmatically derived concept vectors as targets. Training runs for 100 epochs, saving best_model.pth whenever validation accuracy improves.</w:t>
      </w:r>
    </w:p>
    <w:p>
      <w:pPr>
        <w:spacing w:before="200" w:after="80"/>
      </w:pPr>
      <w:r>
        <w:rPr>
          <w:rFonts w:ascii="Times New Roman" w:hAnsi="Times New Roman"/>
          <w:b/>
          <w:sz w:val="24"/>
        </w:rPr>
        <w:t>4.4 XAI Integration</w:t>
      </w:r>
    </w:p>
    <w:p>
      <w:pPr>
        <w:spacing w:after="120" w:before="0"/>
        <w:spacing w:line="276" w:lineRule="auto"/>
        <w:jc w:val="both"/>
      </w:pPr>
      <w:r>
        <w:rPr>
          <w:rFonts w:ascii="Times New Roman" w:hAnsi="Times New Roman"/>
          <w:sz w:val="24"/>
        </w:rPr>
        <w:t>After training, the best model checkpoint is loaded and set to eval() mode for all XAI analyses. The concept bottleneck architecture makes XAI computationally tractable because the 12-dimensional concept space is three orders of magnitude smaller than the raw pixel space, making exhaustive insertion/deletion and perturbation experiments feasible without GPU-intensive backpropagation through the full backbone.</w:t>
      </w:r>
    </w:p>
    <w:p>
      <w:pPr>
        <w:spacing w:after="120" w:before="0"/>
        <w:spacing w:line="276" w:lineRule="auto"/>
        <w:jc w:val="both"/>
      </w:pPr>
      <w:r>
        <w:rPr>
          <w:rFonts w:ascii="Times New Roman" w:hAnsi="Times New Roman"/>
          <w:sz w:val="24"/>
        </w:rPr>
        <w:t>Counterfactual generation uses torch.optim.Adam on the delta perturbation variable (300 iterations, lr=0.05) with the model backbone and concept head frozen. Faithfulness curves evaluate accuracy at each of the K+1=13 concept inclusion levels over the full validation set loader. Concept intervention hard-sets each of the 24 (concept, value) combinations in turn and evaluates accuracy. The four XAI figures are saved as 150 DPI PNG files to outputs/xai/.</w:t>
      </w:r>
    </w:p>
    <w:p>
      <w:pPr>
        <w:spacing w:before="200" w:after="80"/>
      </w:pPr>
      <w:r>
        <w:rPr>
          <w:rFonts w:ascii="Times New Roman" w:hAnsi="Times New Roman"/>
          <w:b/>
          <w:sz w:val="24"/>
        </w:rPr>
        <w:t>4.5 Deployment: API and Quantisation</w:t>
      </w:r>
    </w:p>
    <w:p>
      <w:pPr>
        <w:spacing w:after="120" w:before="0"/>
        <w:spacing w:line="276" w:lineRule="auto"/>
        <w:jc w:val="both"/>
      </w:pPr>
      <w:r>
        <w:rPr>
          <w:rFonts w:ascii="Times New Roman" w:hAnsi="Times New Roman"/>
          <w:sz w:val="24"/>
        </w:rPr>
        <w:t>A FastAPI REST application exposes two endpoints: POST /predict accepts a JPEG/PNG image upload and returns the top-5 disease predictions with probabilities and the 12 concept scores; GET /health returns service status. The API runs under uvicorn and is containerised in a Dockerfile with Python 3.11-slim base image, exposing port 8000. Model weights are loaded once at startup via a lifespan context manager.</w:t>
      </w:r>
    </w:p>
    <w:p>
      <w:pPr>
        <w:spacing w:after="120" w:before="0"/>
        <w:spacing w:line="276" w:lineRule="auto"/>
        <w:jc w:val="both"/>
      </w:pPr>
      <w:r>
        <w:rPr>
          <w:rFonts w:ascii="Times New Roman" w:hAnsi="Times New Roman"/>
          <w:sz w:val="24"/>
        </w:rPr>
        <w:t>INT8 dynamic quantisation is applied post-training using torch.quantization.quantize_dynamic targeting all nn.Linear layers. Quantisation runs on CPU since it is not yet supported on CUDA for all layer types. Model size reduction and inference speed are measured over 50 validation batches on CPU.</w:t>
      </w:r>
    </w:p>
    <w:p>
      <w:pPr>
        <w:spacing w:before="200" w:after="80"/>
      </w:pPr>
      <w:r>
        <w:rPr>
          <w:rFonts w:ascii="Times New Roman" w:hAnsi="Times New Roman"/>
          <w:b/>
          <w:sz w:val="24"/>
        </w:rPr>
        <w:t>4.6 Pseudocode — Core Algorithms</w:t>
      </w:r>
    </w:p>
    <w:p>
      <w:pPr>
        <w:spacing w:before="160" w:after="80"/>
      </w:pPr>
      <w:r>
        <w:rPr>
          <w:rFonts w:ascii="Times New Roman" w:hAnsi="Times New Roman"/>
          <w:b/>
          <w:sz w:val="22"/>
        </w:rPr>
        <w:t>Algorithm 1: PlantDiseaseCBM Forward Pass</w:t>
      </w:r>
    </w:p>
    <w:p>
      <w:pPr>
        <w:spacing w:after="0"/>
      </w:pPr>
      <w:r>
        <w:rPr>
          <w:rFonts w:ascii="Courier New" w:hAnsi="Courier New"/>
          <w:sz w:val="18"/>
        </w:rPr>
        <w:t>INPUT  : image x ∈ ℝ³ˣ²²⁴ˣ²²⁴</w:t>
      </w:r>
    </w:p>
    <w:p>
      <w:pPr>
        <w:spacing w:after="0"/>
      </w:pPr>
      <w:r>
        <w:rPr>
          <w:rFonts w:ascii="Courier New" w:hAnsi="Courier New"/>
          <w:sz w:val="18"/>
        </w:rPr>
        <w:t>OUTPUT : logits ŷ ∈ ℝ³⁸, concept scores ĉ ∈ ℝ¹²</w:t>
      </w:r>
    </w:p>
    <w:p>
      <w:pPr>
        <w:spacing w:after="0"/>
      </w:pPr>
      <w:r>
        <w:rPr>
          <w:rFonts w:ascii="Courier New" w:hAnsi="Courier New"/>
          <w:sz w:val="18"/>
        </w:rPr>
      </w:r>
    </w:p>
    <w:p>
      <w:pPr>
        <w:spacing w:after="0"/>
      </w:pPr>
      <w:r>
        <w:rPr>
          <w:rFonts w:ascii="Courier New" w:hAnsi="Courier New"/>
          <w:sz w:val="18"/>
        </w:rPr>
        <w:t>feats  ← SwinSmall(x)              # (B, 7, 7, 768)</w:t>
      </w:r>
    </w:p>
    <w:p>
      <w:pPr>
        <w:spacing w:after="0"/>
      </w:pPr>
      <w:r>
        <w:rPr>
          <w:rFonts w:ascii="Courier New" w:hAnsi="Courier New"/>
          <w:sz w:val="18"/>
        </w:rPr>
        <w:t>feats  ← SEBlock(feats)            # channel recalibration [Eq. 1-2]</w:t>
      </w:r>
    </w:p>
    <w:p>
      <w:pPr>
        <w:spacing w:after="0"/>
      </w:pPr>
      <w:r>
        <w:rPr>
          <w:rFonts w:ascii="Courier New" w:hAnsi="Courier New"/>
          <w:sz w:val="18"/>
        </w:rPr>
        <w:t>feats  ← feats.permute(0,3,1,2)    # (B, 768, 7, 7)</w:t>
      </w:r>
    </w:p>
    <w:p>
      <w:pPr>
        <w:spacing w:after="0"/>
      </w:pPr>
      <w:r>
        <w:rPr>
          <w:rFonts w:ascii="Courier New" w:hAnsi="Courier New"/>
          <w:sz w:val="18"/>
        </w:rPr>
        <w:t>feats  ← GlobalAvgPool(feats)      # (B, 768)</w:t>
      </w:r>
    </w:p>
    <w:p>
      <w:pPr>
        <w:spacing w:after="0"/>
      </w:pPr>
      <w:r>
        <w:rPr>
          <w:rFonts w:ascii="Courier New" w:hAnsi="Courier New"/>
          <w:sz w:val="18"/>
        </w:rPr>
        <w:t>ĉ      ← ConceptHead(feats)        # (B, 12), 12 independent MLPs</w:t>
      </w:r>
    </w:p>
    <w:p>
      <w:pPr>
        <w:spacing w:after="0"/>
      </w:pPr>
      <w:r>
        <w:rPr>
          <w:rFonts w:ascii="Courier New" w:hAnsi="Courier New"/>
          <w:sz w:val="18"/>
        </w:rPr>
        <w:t>ŷ      ← ConceptClassifier(ĉ)      # (B, 38)</w:t>
      </w:r>
    </w:p>
    <w:p>
      <w:pPr>
        <w:spacing w:after="0"/>
      </w:pPr>
      <w:r>
        <w:rPr>
          <w:rFonts w:ascii="Courier New" w:hAnsi="Courier New"/>
          <w:sz w:val="18"/>
        </w:rPr>
        <w:t>RETURN ŷ, ĉ</w:t>
      </w:r>
    </w:p>
    <w:p/>
    <w:p>
      <w:pPr>
        <w:spacing w:before="160"/>
      </w:pPr>
      <w:r>
        <w:rPr>
          <w:rFonts w:ascii="Times New Roman" w:hAnsi="Times New Roman"/>
          <w:b/>
          <w:sz w:val="22"/>
        </w:rPr>
        <w:t>Algorithm 2: CBM Training Loop</w:t>
      </w:r>
    </w:p>
    <w:p>
      <w:pPr>
        <w:spacing w:after="0"/>
      </w:pPr>
      <w:r>
        <w:rPr>
          <w:rFonts w:ascii="Courier New" w:hAnsi="Courier New"/>
          <w:sz w:val="18"/>
        </w:rPr>
        <w:t>INPUT  : PlantVillage + PlantDoc datasets, epochs=100</w:t>
      </w:r>
    </w:p>
    <w:p>
      <w:pPr>
        <w:spacing w:after="0"/>
      </w:pPr>
      <w:r>
        <w:rPr>
          <w:rFonts w:ascii="Courier New" w:hAnsi="Courier New"/>
          <w:sz w:val="18"/>
        </w:rPr>
        <w:t>OUTPUT : best_model.pth</w:t>
      </w:r>
    </w:p>
    <w:p>
      <w:pPr>
        <w:spacing w:after="0"/>
      </w:pPr>
      <w:r>
        <w:rPr>
          <w:rFonts w:ascii="Courier New" w:hAnsi="Courier New"/>
          <w:sz w:val="18"/>
        </w:rPr>
      </w:r>
    </w:p>
    <w:p>
      <w:pPr>
        <w:spacing w:after="0"/>
      </w:pPr>
      <w:r>
        <w:rPr>
          <w:rFonts w:ascii="Courier New" w:hAnsi="Courier New"/>
          <w:sz w:val="18"/>
        </w:rPr>
        <w:t>FREEZE backbone parameters</w:t>
      </w:r>
    </w:p>
    <w:p>
      <w:pPr>
        <w:spacing w:after="0"/>
      </w:pPr>
      <w:r>
        <w:rPr>
          <w:rFonts w:ascii="Courier New" w:hAnsi="Courier New"/>
          <w:sz w:val="18"/>
        </w:rPr>
        <w:t>FOR epoch = 1 TO 5:   # warmup phase</w:t>
      </w:r>
    </w:p>
    <w:p>
      <w:pPr>
        <w:spacing w:after="0"/>
      </w:pPr>
      <w:r>
        <w:rPr>
          <w:rFonts w:ascii="Courier New" w:hAnsi="Courier New"/>
          <w:sz w:val="18"/>
        </w:rPr>
        <w:t xml:space="preserve">    FOR each batch (x, y, c_gt) in train_loader:</w:t>
      </w:r>
    </w:p>
    <w:p>
      <w:pPr>
        <w:spacing w:after="0"/>
      </w:pPr>
      <w:r>
        <w:rPr>
          <w:rFonts w:ascii="Courier New" w:hAnsi="Courier New"/>
          <w:sz w:val="18"/>
        </w:rPr>
        <w:t xml:space="preserve">        ŷ, ĉ, _ ← model(x)</w:t>
      </w:r>
    </w:p>
    <w:p>
      <w:pPr>
        <w:spacing w:after="0"/>
      </w:pPr>
      <w:r>
        <w:rPr>
          <w:rFonts w:ascii="Courier New" w:hAnsi="Courier New"/>
          <w:sz w:val="18"/>
        </w:rPr>
        <w:t xml:space="preserve">        L ← CBMLoss(ŷ, y, ĉ, c_gt)    [Eq. 3]</w:t>
      </w:r>
    </w:p>
    <w:p>
      <w:pPr>
        <w:spacing w:after="0"/>
      </w:pPr>
      <w:r>
        <w:rPr>
          <w:rFonts w:ascii="Courier New" w:hAnsi="Courier New"/>
          <w:sz w:val="18"/>
        </w:rPr>
        <w:t xml:space="preserve">        L.backward(); clip_grad(1.0); optimizer.step()</w:t>
      </w:r>
    </w:p>
    <w:p>
      <w:pPr>
        <w:spacing w:after="0"/>
      </w:pPr>
      <w:r>
        <w:rPr>
          <w:rFonts w:ascii="Courier New" w:hAnsi="Courier New"/>
          <w:sz w:val="18"/>
        </w:rPr>
      </w:r>
    </w:p>
    <w:p>
      <w:pPr>
        <w:spacing w:after="0"/>
      </w:pPr>
      <w:r>
        <w:rPr>
          <w:rFonts w:ascii="Courier New" w:hAnsi="Courier New"/>
          <w:sz w:val="18"/>
        </w:rPr>
        <w:t>UNFREEZE backbone; set backbone lr = 1e-5</w:t>
      </w:r>
    </w:p>
    <w:p>
      <w:pPr>
        <w:spacing w:after="0"/>
      </w:pPr>
      <w:r>
        <w:rPr>
          <w:rFonts w:ascii="Courier New" w:hAnsi="Courier New"/>
          <w:sz w:val="18"/>
        </w:rPr>
        <w:t>FOR epoch = 6 TO 100: # full training</w:t>
      </w:r>
    </w:p>
    <w:p>
      <w:pPr>
        <w:spacing w:after="0"/>
      </w:pPr>
      <w:r>
        <w:rPr>
          <w:rFonts w:ascii="Courier New" w:hAnsi="Courier New"/>
          <w:sz w:val="18"/>
        </w:rPr>
        <w:t xml:space="preserve">    FOR each batch (x, y, c_gt) in train_loader:</w:t>
      </w:r>
    </w:p>
    <w:p>
      <w:pPr>
        <w:spacing w:after="0"/>
      </w:pPr>
      <w:r>
        <w:rPr>
          <w:rFonts w:ascii="Courier New" w:hAnsi="Courier New"/>
          <w:sz w:val="18"/>
        </w:rPr>
        <w:t xml:space="preserve">        ŷ, ĉ, _ ← model(x)</w:t>
      </w:r>
    </w:p>
    <w:p>
      <w:pPr>
        <w:spacing w:after="0"/>
      </w:pPr>
      <w:r>
        <w:rPr>
          <w:rFonts w:ascii="Courier New" w:hAnsi="Courier New"/>
          <w:sz w:val="18"/>
        </w:rPr>
        <w:t xml:space="preserve">        L ← CBMLoss(ŷ, y, ĉ, c_gt)    [Eq. 3]</w:t>
      </w:r>
    </w:p>
    <w:p>
      <w:pPr>
        <w:spacing w:after="0"/>
      </w:pPr>
      <w:r>
        <w:rPr>
          <w:rFonts w:ascii="Courier New" w:hAnsi="Courier New"/>
          <w:sz w:val="18"/>
        </w:rPr>
        <w:t xml:space="preserve">        L.backward(); clip_grad(1.0); optimizer.step()</w:t>
      </w:r>
    </w:p>
    <w:p>
      <w:pPr>
        <w:spacing w:after="0"/>
      </w:pPr>
      <w:r>
        <w:rPr>
          <w:rFonts w:ascii="Courier New" w:hAnsi="Courier New"/>
          <w:sz w:val="18"/>
        </w:rPr>
        <w:t xml:space="preserve">    scheduler.step()</w:t>
      </w:r>
    </w:p>
    <w:p>
      <w:pPr>
        <w:spacing w:after="0"/>
      </w:pPr>
      <w:r>
        <w:rPr>
          <w:rFonts w:ascii="Courier New" w:hAnsi="Courier New"/>
          <w:sz w:val="18"/>
        </w:rPr>
        <w:t xml:space="preserve">    val_acc ← evaluate(model, val_loader)</w:t>
      </w:r>
    </w:p>
    <w:p>
      <w:pPr>
        <w:spacing w:after="0"/>
      </w:pPr>
      <w:r>
        <w:rPr>
          <w:rFonts w:ascii="Courier New" w:hAnsi="Courier New"/>
          <w:sz w:val="18"/>
        </w:rPr>
        <w:t xml:space="preserve">    IF val_acc &gt; best_val_acc: SAVE best_model.pth</w:t>
      </w:r>
    </w:p>
    <w:p>
      <w:pPr>
        <w:spacing w:after="0"/>
      </w:pPr>
      <w:r>
        <w:rPr>
          <w:rFonts w:ascii="Courier New" w:hAnsi="Courier New"/>
          <w:sz w:val="18"/>
        </w:rPr>
        <w:t>RETURN best_model.pth</w:t>
      </w:r>
    </w:p>
    <w:p/>
    <w:p>
      <w:pPr>
        <w:spacing w:before="160"/>
      </w:pPr>
      <w:r>
        <w:rPr>
          <w:rFonts w:ascii="Times New Roman" w:hAnsi="Times New Roman"/>
          <w:b/>
          <w:sz w:val="22"/>
        </w:rPr>
        <w:t>Algorithm 3: Counterfactual Explanation Generation</w:t>
      </w:r>
    </w:p>
    <w:p>
      <w:pPr>
        <w:spacing w:after="0"/>
      </w:pPr>
      <w:r>
        <w:rPr>
          <w:rFonts w:ascii="Courier New" w:hAnsi="Courier New"/>
          <w:sz w:val="18"/>
        </w:rPr>
        <w:t>INPUT  : frozen model, diseased concept vector c, target=healthy_class</w:t>
      </w:r>
    </w:p>
    <w:p>
      <w:pPr>
        <w:spacing w:after="0"/>
      </w:pPr>
      <w:r>
        <w:rPr>
          <w:rFonts w:ascii="Courier New" w:hAnsi="Courier New"/>
          <w:sz w:val="18"/>
        </w:rPr>
        <w:t>OUTPUT : Δ, counterfactual concept vector c_cf</w:t>
      </w:r>
    </w:p>
    <w:p>
      <w:pPr>
        <w:spacing w:after="0"/>
      </w:pPr>
      <w:r>
        <w:rPr>
          <w:rFonts w:ascii="Courier New" w:hAnsi="Courier New"/>
          <w:sz w:val="18"/>
        </w:rPr>
      </w:r>
    </w:p>
    <w:p>
      <w:pPr>
        <w:spacing w:after="0"/>
      </w:pPr>
      <w:r>
        <w:rPr>
          <w:rFonts w:ascii="Courier New" w:hAnsi="Courier New"/>
          <w:sz w:val="18"/>
        </w:rPr>
        <w:t>δ ← zeros(12), requires_grad=True</w:t>
      </w:r>
    </w:p>
    <w:p>
      <w:pPr>
        <w:spacing w:after="0"/>
      </w:pPr>
      <w:r>
        <w:rPr>
          <w:rFonts w:ascii="Courier New" w:hAnsi="Courier New"/>
          <w:sz w:val="18"/>
        </w:rPr>
        <w:t>optimizer ← Adam([δ], lr=0.05)</w:t>
      </w:r>
    </w:p>
    <w:p>
      <w:pPr>
        <w:spacing w:after="0"/>
      </w:pPr>
      <w:r>
        <w:rPr>
          <w:rFonts w:ascii="Courier New" w:hAnsi="Courier New"/>
          <w:sz w:val="18"/>
        </w:rPr>
        <w:t>FOR iteration = 1 TO 300:</w:t>
      </w:r>
    </w:p>
    <w:p>
      <w:pPr>
        <w:spacing w:after="0"/>
      </w:pPr>
      <w:r>
        <w:rPr>
          <w:rFonts w:ascii="Courier New" w:hAnsi="Courier New"/>
          <w:sz w:val="18"/>
        </w:rPr>
        <w:t xml:space="preserve">    c_perturbed ← clamp(c + δ, 0, 1)</w:t>
      </w:r>
    </w:p>
    <w:p>
      <w:pPr>
        <w:spacing w:after="0"/>
      </w:pPr>
      <w:r>
        <w:rPr>
          <w:rFonts w:ascii="Courier New" w:hAnsi="Courier New"/>
          <w:sz w:val="18"/>
        </w:rPr>
        <w:t xml:space="preserve">    ŷ ← model.predict_from_concepts(c_perturbed)</w:t>
      </w:r>
    </w:p>
    <w:p>
      <w:pPr>
        <w:spacing w:after="0"/>
      </w:pPr>
      <w:r>
        <w:rPr>
          <w:rFonts w:ascii="Courier New" w:hAnsi="Courier New"/>
          <w:sz w:val="18"/>
        </w:rPr>
        <w:t xml:space="preserve">    L ← CrossEntropy(ŷ, target) + 0.1·‖δ‖₁ + 0.5·‖δ‖₂    [Eq. 5]</w:t>
      </w:r>
    </w:p>
    <w:p>
      <w:pPr>
        <w:spacing w:after="0"/>
      </w:pPr>
      <w:r>
        <w:rPr>
          <w:rFonts w:ascii="Courier New" w:hAnsi="Courier New"/>
          <w:sz w:val="18"/>
        </w:rPr>
        <w:t xml:space="preserve">    L.backward(); optimizer.step()</w:t>
      </w:r>
    </w:p>
    <w:p>
      <w:pPr>
        <w:spacing w:after="0"/>
      </w:pPr>
      <w:r>
        <w:rPr>
          <w:rFonts w:ascii="Courier New" w:hAnsi="Courier New"/>
          <w:sz w:val="18"/>
        </w:rPr>
        <w:t>c_cf ← clamp(c + δ.detach(), 0, 1)</w:t>
      </w:r>
    </w:p>
    <w:p>
      <w:pPr>
        <w:spacing w:after="0"/>
      </w:pPr>
      <w:r>
        <w:rPr>
          <w:rFonts w:ascii="Courier New" w:hAnsi="Courier New"/>
          <w:sz w:val="18"/>
        </w:rPr>
        <w:t>RETURN δ, c_cf</w:t>
      </w:r>
    </w:p>
    <w:p>
      <w:r>
        <w:br w:type="page"/>
      </w:r>
    </w:p>
    <w:p>
      <w:pPr>
        <w:spacing w:before="360" w:after="120"/>
        <w:jc w:val="center"/>
      </w:pPr>
      <w:r>
        <w:rPr>
          <w:rFonts w:ascii="Times New Roman" w:hAnsi="Times New Roman"/>
          <w:b/>
          <w:sz w:val="28"/>
        </w:rPr>
        <w:t>CHAPTER 5</w:t>
      </w:r>
    </w:p>
    <w:p>
      <w:pPr>
        <w:spacing w:after="240"/>
        <w:jc w:val="center"/>
      </w:pPr>
      <w:r>
        <w:rPr>
          <w:rFonts w:ascii="Times New Roman" w:hAnsi="Times New Roman"/>
          <w:b/>
          <w:sz w:val="28"/>
        </w:rPr>
        <w:t>RESULTS AND DISCUSSION</w:t>
      </w:r>
    </w:p>
    <w:p>
      <w:pPr>
        <w:spacing w:before="200" w:after="80"/>
      </w:pPr>
      <w:r>
        <w:rPr>
          <w:rFonts w:ascii="Times New Roman" w:hAnsi="Times New Roman"/>
          <w:b/>
          <w:sz w:val="24"/>
        </w:rPr>
        <w:t>5.1 Classification Performance Metrics</w:t>
      </w:r>
    </w:p>
    <w:p>
      <w:pPr>
        <w:spacing w:after="120" w:before="0"/>
        <w:spacing w:line="276" w:lineRule="auto"/>
        <w:jc w:val="both"/>
      </w:pPr>
      <w:r>
        <w:rPr>
          <w:rFonts w:ascii="Times New Roman" w:hAnsi="Times New Roman"/>
          <w:sz w:val="24"/>
        </w:rPr>
        <w:t>PlantDiseaseCBM achieves 99.91% accuracy on the PlantVillage validation set of 8,145 images spanning all 38 disease-species categories. Macro-averaged precision is 99.68%, recall is 99.89%, and F1-score is 99.78%. These results are obtained with the classification threshold fixed at argmax (no tuning required for multi-class output).</w:t>
      </w:r>
    </w:p>
    <w:p>
      <w:pPr>
        <w:spacing w:after="120" w:before="0"/>
        <w:spacing w:line="276" w:lineRule="auto"/>
        <w:jc w:val="both"/>
      </w:pPr>
      <w:r>
        <w:rPr>
          <w:rFonts w:ascii="Times New Roman" w:hAnsi="Times New Roman"/>
          <w:sz w:val="24"/>
        </w:rPr>
        <w:t>On the combined out-of-distribution test set (PlantVillage test + PlantDoc field images, 8,311 total images), the model achieves 99.25% accuracy, 98.27% precision, 98.28% recall, and 98.27% macro F1-score. The domain generalisation gap — the difference in accuracy between in-distribution validation and combined test — is only 0.66 percentage points, indicating that the combination of PlantDoc training data and aggressive augmentation effectively bridges the domain gap that plagued earlier models.</w:t>
      </w:r>
    </w:p>
    <w:p>
      <w:pPr>
        <w:spacing w:after="120" w:before="0"/>
        <w:spacing w:line="276" w:lineRule="auto"/>
        <w:jc w:val="both"/>
      </w:pPr>
      <w:r>
        <w:rPr>
          <w:rFonts w:ascii="Times New Roman" w:hAnsi="Times New Roman"/>
          <w:sz w:val="24"/>
        </w:rPr>
        <w:t>Class-level analysis reveals that the model achieves perfect 1.00 precision, recall, and F1 on 28 of 38 classes on the validation set. The most challenging classes are Corn_(maize)___Cercospora_leaf_spot (F1=0.98 on validation) and Potato___healthy (precision=0.92 on validation), likely because Cercospora symptoms can visually resemble Northern Leaf Blight in low-resolution crops, and healthy potato leaves share morphological similarity with healthy potato-adjacent classes.</w:t>
      </w:r>
    </w:p>
    <w:p>
      <w:pPr>
        <w:jc w:val="center"/>
      </w:pPr>
      <w:r>
        <w:drawing>
          <wp:inline xmlns:a="http://schemas.openxmlformats.org/drawingml/2006/main" xmlns:pic="http://schemas.openxmlformats.org/drawingml/2006/picture">
            <wp:extent cx="5486400" cy="1944747"/>
            <wp:docPr id="2" name="Picture 2"/>
            <wp:cNvGraphicFramePr>
              <a:graphicFrameLocks noChangeAspect="1"/>
            </wp:cNvGraphicFramePr>
            <a:graphic>
              <a:graphicData uri="http://schemas.openxmlformats.org/drawingml/2006/picture">
                <pic:pic>
                  <pic:nvPicPr>
                    <pic:cNvPr id="0" name="fig3_training_history.png"/>
                    <pic:cNvPicPr/>
                  </pic:nvPicPr>
                  <pic:blipFill>
                    <a:blip r:embed="rId11"/>
                    <a:stretch>
                      <a:fillRect/>
                    </a:stretch>
                  </pic:blipFill>
                  <pic:spPr>
                    <a:xfrm>
                      <a:off x="0" y="0"/>
                      <a:ext cx="5486400" cy="1944747"/>
                    </a:xfrm>
                    <a:prstGeom prst="rect"/>
                  </pic:spPr>
                </pic:pic>
              </a:graphicData>
            </a:graphic>
          </wp:inline>
        </w:drawing>
      </w:r>
    </w:p>
    <w:p>
      <w:pPr>
        <w:spacing w:after="200"/>
        <w:jc w:val="center"/>
      </w:pPr>
      <w:r>
        <w:rPr>
          <w:rFonts w:ascii="Times New Roman" w:hAnsi="Times New Roman"/>
          <w:i/>
          <w:sz w:val="20"/>
        </w:rPr>
        <w:t>Figure 5.1: Training History — Training vs. Validation Accuracy and F1 Score over 100 epochs</w:t>
      </w:r>
    </w:p>
    <w:p>
      <w:pPr>
        <w:jc w:val="center"/>
      </w:pPr>
      <w:r>
        <w:drawing>
          <wp:inline xmlns:a="http://schemas.openxmlformats.org/drawingml/2006/main" xmlns:pic="http://schemas.openxmlformats.org/drawingml/2006/picture">
            <wp:extent cx="5486400" cy="2715491"/>
            <wp:docPr id="3" name="Picture 3"/>
            <wp:cNvGraphicFramePr>
              <a:graphicFrameLocks noChangeAspect="1"/>
            </wp:cNvGraphicFramePr>
            <a:graphic>
              <a:graphicData uri="http://schemas.openxmlformats.org/drawingml/2006/picture">
                <pic:pic>
                  <pic:nvPicPr>
                    <pic:cNvPr id="0" name="fig4_dataset_comparison.png"/>
                    <pic:cNvPicPr/>
                  </pic:nvPicPr>
                  <pic:blipFill>
                    <a:blip r:embed="rId12"/>
                    <a:stretch>
                      <a:fillRect/>
                    </a:stretch>
                  </pic:blipFill>
                  <pic:spPr>
                    <a:xfrm>
                      <a:off x="0" y="0"/>
                      <a:ext cx="5486400" cy="2715491"/>
                    </a:xfrm>
                    <a:prstGeom prst="rect"/>
                  </pic:spPr>
                </pic:pic>
              </a:graphicData>
            </a:graphic>
          </wp:inline>
        </w:drawing>
      </w:r>
    </w:p>
    <w:p>
      <w:pPr>
        <w:spacing w:after="200"/>
        <w:jc w:val="center"/>
      </w:pPr>
      <w:r>
        <w:rPr>
          <w:rFonts w:ascii="Times New Roman" w:hAnsi="Times New Roman"/>
          <w:i/>
          <w:sz w:val="20"/>
        </w:rPr>
        <w:t>Figure 5.2: Performance Across Datasets — Validation (PlantVillage), Test (Combined), and Field Test (PlantDoc)</w:t>
      </w:r>
    </w:p>
    <w:p>
      <w:pPr>
        <w:jc w:val="center"/>
      </w:pPr>
      <w:r>
        <w:drawing>
          <wp:inline xmlns:a="http://schemas.openxmlformats.org/drawingml/2006/main" xmlns:pic="http://schemas.openxmlformats.org/drawingml/2006/picture">
            <wp:extent cx="5486400" cy="1683876"/>
            <wp:docPr id="4" name="Picture 4"/>
            <wp:cNvGraphicFramePr>
              <a:graphicFrameLocks noChangeAspect="1"/>
            </wp:cNvGraphicFramePr>
            <a:graphic>
              <a:graphicData uri="http://schemas.openxmlformats.org/drawingml/2006/picture">
                <pic:pic>
                  <pic:nvPicPr>
                    <pic:cNvPr id="0" name="fig6_summary_metrics.png"/>
                    <pic:cNvPicPr/>
                  </pic:nvPicPr>
                  <pic:blipFill>
                    <a:blip r:embed="rId13"/>
                    <a:stretch>
                      <a:fillRect/>
                    </a:stretch>
                  </pic:blipFill>
                  <pic:spPr>
                    <a:xfrm>
                      <a:off x="0" y="0"/>
                      <a:ext cx="5486400" cy="1683876"/>
                    </a:xfrm>
                    <a:prstGeom prst="rect"/>
                  </pic:spPr>
                </pic:pic>
              </a:graphicData>
            </a:graphic>
          </wp:inline>
        </w:drawing>
      </w:r>
    </w:p>
    <w:p>
      <w:pPr>
        <w:spacing w:after="200"/>
        <w:jc w:val="center"/>
      </w:pPr>
      <w:r>
        <w:rPr>
          <w:rFonts w:ascii="Times New Roman" w:hAnsi="Times New Roman"/>
          <w:i/>
          <w:sz w:val="20"/>
        </w:rPr>
        <w:t>Figure 5.3: Model Performance Summary — Accuracy and F1 Score gauge charts across all evaluation splits</w:t>
      </w:r>
    </w:p>
    <w:p>
      <w:pPr>
        <w:spacing w:before="200" w:after="80"/>
      </w:pPr>
      <w:r>
        <w:rPr>
          <w:rFonts w:ascii="Times New Roman" w:hAnsi="Times New Roman"/>
          <w:b/>
          <w:sz w:val="24"/>
        </w:rPr>
        <w:t>5.2 Comparative Analysis with State-of-the-Art</w:t>
      </w:r>
    </w:p>
    <w:p>
      <w:pPr>
        <w:spacing w:after="120" w:before="0"/>
        <w:spacing w:line="276" w:lineRule="auto"/>
        <w:jc w:val="both"/>
      </w:pPr>
      <w:r>
        <w:rPr>
          <w:rFonts w:ascii="Times New Roman" w:hAnsi="Times New Roman"/>
          <w:sz w:val="24"/>
        </w:rPr>
        <w:t>Table 5.1 presents classification performance comparison of PlantDiseaseCBM against leading baselines.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Model / System</w:t>
            </w:r>
          </w:p>
        </w:tc>
        <w:tc>
          <w:tcPr>
            <w:tcW w:type="dxa" w:w="1800"/>
          </w:tcPr>
          <w:p>
            <w:r>
              <w:rPr>
                <w:rFonts w:ascii="Times New Roman" w:hAnsi="Times New Roman"/>
                <w:b/>
                <w:sz w:val="20"/>
              </w:rPr>
              <w:t>Accuracy (%)</w:t>
            </w:r>
          </w:p>
        </w:tc>
        <w:tc>
          <w:tcPr>
            <w:tcW w:type="dxa" w:w="1800"/>
          </w:tcPr>
          <w:p>
            <w:r>
              <w:rPr>
                <w:rFonts w:ascii="Times New Roman" w:hAnsi="Times New Roman"/>
                <w:b/>
                <w:sz w:val="20"/>
              </w:rPr>
              <w:t>F1 (Macro)</w:t>
            </w:r>
          </w:p>
        </w:tc>
        <w:tc>
          <w:tcPr>
            <w:tcW w:type="dxa" w:w="1800"/>
          </w:tcPr>
          <w:p>
            <w:r>
              <w:rPr>
                <w:rFonts w:ascii="Times New Roman" w:hAnsi="Times New Roman"/>
                <w:b/>
                <w:sz w:val="20"/>
              </w:rPr>
              <w:t>XAI</w:t>
            </w:r>
          </w:p>
        </w:tc>
        <w:tc>
          <w:tcPr>
            <w:tcW w:type="dxa" w:w="1800"/>
          </w:tcPr>
          <w:p>
            <w:r>
              <w:rPr>
                <w:rFonts w:ascii="Times New Roman" w:hAnsi="Times New Roman"/>
                <w:b/>
                <w:sz w:val="20"/>
              </w:rPr>
              <w:t>Domain Test</w:t>
            </w:r>
          </w:p>
        </w:tc>
      </w:tr>
      <w:tr>
        <w:tc>
          <w:tcPr>
            <w:tcW w:type="dxa" w:w="1800"/>
          </w:tcPr>
          <w:p>
            <w:r>
              <w:rPr>
                <w:rFonts w:ascii="Times New Roman" w:hAnsi="Times New Roman"/>
                <w:sz w:val="20"/>
              </w:rPr>
              <w:t>PlantDiseaseCBM (Proposed)</w:t>
            </w:r>
          </w:p>
        </w:tc>
        <w:tc>
          <w:tcPr>
            <w:tcW w:type="dxa" w:w="1800"/>
          </w:tcPr>
          <w:p>
            <w:r>
              <w:rPr>
                <w:rFonts w:ascii="Times New Roman" w:hAnsi="Times New Roman"/>
                <w:sz w:val="20"/>
              </w:rPr>
              <w:t>99.91 / 99.25*</w:t>
            </w:r>
          </w:p>
        </w:tc>
        <w:tc>
          <w:tcPr>
            <w:tcW w:type="dxa" w:w="1800"/>
          </w:tcPr>
          <w:p>
            <w:r>
              <w:rPr>
                <w:rFonts w:ascii="Times New Roman" w:hAnsi="Times New Roman"/>
                <w:sz w:val="20"/>
              </w:rPr>
              <w:t>0.9978 / 0.9827*</w:t>
            </w:r>
          </w:p>
        </w:tc>
        <w:tc>
          <w:tcPr>
            <w:tcW w:type="dxa" w:w="1800"/>
          </w:tcPr>
          <w:p>
            <w:r>
              <w:rPr>
                <w:rFonts w:ascii="Times New Roman" w:hAnsi="Times New Roman"/>
                <w:sz w:val="20"/>
              </w:rPr>
              <w:t>Concept (Full)</w:t>
            </w:r>
          </w:p>
        </w:tc>
        <w:tc>
          <w:tcPr>
            <w:tcW w:type="dxa" w:w="1800"/>
          </w:tcPr>
          <w:p>
            <w:r>
              <w:rPr>
                <w:rFonts w:ascii="Times New Roman" w:hAnsi="Times New Roman"/>
                <w:sz w:val="20"/>
              </w:rPr>
              <w:t>Yes</w:t>
            </w:r>
          </w:p>
        </w:tc>
      </w:tr>
      <w:tr>
        <w:tc>
          <w:tcPr>
            <w:tcW w:type="dxa" w:w="1800"/>
          </w:tcPr>
          <w:p>
            <w:r>
              <w:rPr>
                <w:rFonts w:ascii="Times New Roman" w:hAnsi="Times New Roman"/>
                <w:sz w:val="20"/>
              </w:rPr>
              <w:t>Swin-Small [10]</w:t>
            </w:r>
          </w:p>
        </w:tc>
        <w:tc>
          <w:tcPr>
            <w:tcW w:type="dxa" w:w="1800"/>
          </w:tcPr>
          <w:p>
            <w:r>
              <w:rPr>
                <w:rFonts w:ascii="Times New Roman" w:hAnsi="Times New Roman"/>
                <w:sz w:val="20"/>
              </w:rPr>
              <w:t>99.10</w:t>
            </w:r>
          </w:p>
        </w:tc>
        <w:tc>
          <w:tcPr>
            <w:tcW w:type="dxa" w:w="1800"/>
          </w:tcPr>
          <w:p>
            <w:r>
              <w:rPr>
                <w:rFonts w:ascii="Times New Roman" w:hAnsi="Times New Roman"/>
                <w:sz w:val="20"/>
              </w:rPr>
              <w:t>0.9901</w:t>
            </w:r>
          </w:p>
        </w:tc>
        <w:tc>
          <w:tcPr>
            <w:tcW w:type="dxa" w:w="1800"/>
          </w:tcPr>
          <w:p>
            <w:r>
              <w:rPr>
                <w:rFonts w:ascii="Times New Roman" w:hAnsi="Times New Roman"/>
                <w:sz w:val="20"/>
              </w:rPr>
              <w:t>None</w:t>
            </w:r>
          </w:p>
        </w:tc>
        <w:tc>
          <w:tcPr>
            <w:tcW w:type="dxa" w:w="1800"/>
          </w:tcPr>
          <w:p>
            <w:r>
              <w:rPr>
                <w:rFonts w:ascii="Times New Roman" w:hAnsi="Times New Roman"/>
                <w:sz w:val="20"/>
              </w:rPr>
              <w:t>No</w:t>
            </w:r>
          </w:p>
        </w:tc>
      </w:tr>
      <w:tr>
        <w:tc>
          <w:tcPr>
            <w:tcW w:type="dxa" w:w="1800"/>
          </w:tcPr>
          <w:p>
            <w:r>
              <w:rPr>
                <w:rFonts w:ascii="Times New Roman" w:hAnsi="Times New Roman"/>
                <w:sz w:val="20"/>
              </w:rPr>
              <w:t>ResNet-50 [3]</w:t>
            </w:r>
          </w:p>
        </w:tc>
        <w:tc>
          <w:tcPr>
            <w:tcW w:type="dxa" w:w="1800"/>
          </w:tcPr>
          <w:p>
            <w:r>
              <w:rPr>
                <w:rFonts w:ascii="Times New Roman" w:hAnsi="Times New Roman"/>
                <w:sz w:val="20"/>
              </w:rPr>
              <w:t>98.20</w:t>
            </w:r>
          </w:p>
        </w:tc>
        <w:tc>
          <w:tcPr>
            <w:tcW w:type="dxa" w:w="1800"/>
          </w:tcPr>
          <w:p>
            <w:r>
              <w:rPr>
                <w:rFonts w:ascii="Times New Roman" w:hAnsi="Times New Roman"/>
                <w:sz w:val="20"/>
              </w:rPr>
              <w:t>0.9812</w:t>
            </w:r>
          </w:p>
        </w:tc>
        <w:tc>
          <w:tcPr>
            <w:tcW w:type="dxa" w:w="1800"/>
          </w:tcPr>
          <w:p>
            <w:r>
              <w:rPr>
                <w:rFonts w:ascii="Times New Roman" w:hAnsi="Times New Roman"/>
                <w:sz w:val="20"/>
              </w:rPr>
              <w:t>GradCAM (post-hoc)</w:t>
            </w:r>
          </w:p>
        </w:tc>
        <w:tc>
          <w:tcPr>
            <w:tcW w:type="dxa" w:w="1800"/>
          </w:tcPr>
          <w:p>
            <w:r>
              <w:rPr>
                <w:rFonts w:ascii="Times New Roman" w:hAnsi="Times New Roman"/>
                <w:sz w:val="20"/>
              </w:rPr>
              <w:t>No</w:t>
            </w:r>
          </w:p>
        </w:tc>
      </w:tr>
      <w:tr>
        <w:tc>
          <w:tcPr>
            <w:tcW w:type="dxa" w:w="1800"/>
          </w:tcPr>
          <w:p>
            <w:r>
              <w:rPr>
                <w:rFonts w:ascii="Times New Roman" w:hAnsi="Times New Roman"/>
                <w:sz w:val="20"/>
              </w:rPr>
              <w:t>ViT [9]</w:t>
            </w:r>
          </w:p>
        </w:tc>
        <w:tc>
          <w:tcPr>
            <w:tcW w:type="dxa" w:w="1800"/>
          </w:tcPr>
          <w:p>
            <w:r>
              <w:rPr>
                <w:rFonts w:ascii="Times New Roman" w:hAnsi="Times New Roman"/>
                <w:sz w:val="20"/>
              </w:rPr>
              <w:t>97.80</w:t>
            </w:r>
          </w:p>
        </w:tc>
        <w:tc>
          <w:tcPr>
            <w:tcW w:type="dxa" w:w="1800"/>
          </w:tcPr>
          <w:p>
            <w:r>
              <w:rPr>
                <w:rFonts w:ascii="Times New Roman" w:hAnsi="Times New Roman"/>
                <w:sz w:val="20"/>
              </w:rPr>
              <w:t>0.9770</w:t>
            </w:r>
          </w:p>
        </w:tc>
        <w:tc>
          <w:tcPr>
            <w:tcW w:type="dxa" w:w="1800"/>
          </w:tcPr>
          <w:p>
            <w:r>
              <w:rPr>
                <w:rFonts w:ascii="Times New Roman" w:hAnsi="Times New Roman"/>
                <w:sz w:val="20"/>
              </w:rPr>
              <w:t>Attention map</w:t>
            </w:r>
          </w:p>
        </w:tc>
        <w:tc>
          <w:tcPr>
            <w:tcW w:type="dxa" w:w="1800"/>
          </w:tcPr>
          <w:p>
            <w:r>
              <w:rPr>
                <w:rFonts w:ascii="Times New Roman" w:hAnsi="Times New Roman"/>
                <w:sz w:val="20"/>
              </w:rPr>
              <w:t>No</w:t>
            </w:r>
          </w:p>
        </w:tc>
      </w:tr>
      <w:tr>
        <w:tc>
          <w:tcPr>
            <w:tcW w:type="dxa" w:w="1800"/>
          </w:tcPr>
          <w:p>
            <w:r>
              <w:rPr>
                <w:rFonts w:ascii="Times New Roman" w:hAnsi="Times New Roman"/>
                <w:sz w:val="20"/>
              </w:rPr>
              <w:t>MobileNet [5]</w:t>
            </w:r>
          </w:p>
        </w:tc>
        <w:tc>
          <w:tcPr>
            <w:tcW w:type="dxa" w:w="1800"/>
          </w:tcPr>
          <w:p>
            <w:r>
              <w:rPr>
                <w:rFonts w:ascii="Times New Roman" w:hAnsi="Times New Roman"/>
                <w:sz w:val="20"/>
              </w:rPr>
              <w:t>93.00</w:t>
            </w:r>
          </w:p>
        </w:tc>
        <w:tc>
          <w:tcPr>
            <w:tcW w:type="dxa" w:w="1800"/>
          </w:tcPr>
          <w:p>
            <w:r>
              <w:rPr>
                <w:rFonts w:ascii="Times New Roman" w:hAnsi="Times New Roman"/>
                <w:sz w:val="20"/>
              </w:rPr>
              <w:t>0.9230</w:t>
            </w:r>
          </w:p>
        </w:tc>
        <w:tc>
          <w:tcPr>
            <w:tcW w:type="dxa" w:w="1800"/>
          </w:tcPr>
          <w:p>
            <w:r>
              <w:rPr>
                <w:rFonts w:ascii="Times New Roman" w:hAnsi="Times New Roman"/>
                <w:sz w:val="20"/>
              </w:rPr>
              <w:t>None</w:t>
            </w:r>
          </w:p>
        </w:tc>
        <w:tc>
          <w:tcPr>
            <w:tcW w:type="dxa" w:w="1800"/>
          </w:tcPr>
          <w:p>
            <w:r>
              <w:rPr>
                <w:rFonts w:ascii="Times New Roman" w:hAnsi="Times New Roman"/>
                <w:sz w:val="20"/>
              </w:rPr>
              <w:t>Yes</w:t>
            </w:r>
          </w:p>
        </w:tc>
      </w:tr>
      <w:tr>
        <w:tc>
          <w:tcPr>
            <w:tcW w:type="dxa" w:w="1800"/>
          </w:tcPr>
          <w:p>
            <w:r>
              <w:rPr>
                <w:rFonts w:ascii="Times New Roman" w:hAnsi="Times New Roman"/>
                <w:sz w:val="20"/>
              </w:rPr>
              <w:t>VGG-16 [2]</w:t>
            </w:r>
          </w:p>
        </w:tc>
        <w:tc>
          <w:tcPr>
            <w:tcW w:type="dxa" w:w="1800"/>
          </w:tcPr>
          <w:p>
            <w:r>
              <w:rPr>
                <w:rFonts w:ascii="Times New Roman" w:hAnsi="Times New Roman"/>
                <w:sz w:val="20"/>
              </w:rPr>
              <w:t>97.80</w:t>
            </w:r>
          </w:p>
        </w:tc>
        <w:tc>
          <w:tcPr>
            <w:tcW w:type="dxa" w:w="1800"/>
          </w:tcPr>
          <w:p>
            <w:r>
              <w:rPr>
                <w:rFonts w:ascii="Times New Roman" w:hAnsi="Times New Roman"/>
                <w:sz w:val="20"/>
              </w:rPr>
              <w:t>0.9775</w:t>
            </w:r>
          </w:p>
        </w:tc>
        <w:tc>
          <w:tcPr>
            <w:tcW w:type="dxa" w:w="1800"/>
          </w:tcPr>
          <w:p>
            <w:r>
              <w:rPr>
                <w:rFonts w:ascii="Times New Roman" w:hAnsi="Times New Roman"/>
                <w:sz w:val="20"/>
              </w:rPr>
              <w:t>None</w:t>
            </w:r>
          </w:p>
        </w:tc>
        <w:tc>
          <w:tcPr>
            <w:tcW w:type="dxa" w:w="1800"/>
          </w:tcPr>
          <w:p>
            <w:r>
              <w:rPr>
                <w:rFonts w:ascii="Times New Roman" w:hAnsi="Times New Roman"/>
                <w:sz w:val="20"/>
              </w:rPr>
              <w:t>No</w:t>
            </w:r>
          </w:p>
        </w:tc>
      </w:tr>
      <w:tr>
        <w:tc>
          <w:tcPr>
            <w:tcW w:type="dxa" w:w="1800"/>
          </w:tcPr>
          <w:p>
            <w:r>
              <w:rPr>
                <w:rFonts w:ascii="Times New Roman" w:hAnsi="Times New Roman"/>
                <w:sz w:val="20"/>
              </w:rPr>
              <w:t>CNN + GradCAM [15]</w:t>
            </w:r>
          </w:p>
        </w:tc>
        <w:tc>
          <w:tcPr>
            <w:tcW w:type="dxa" w:w="1800"/>
          </w:tcPr>
          <w:p>
            <w:r>
              <w:rPr>
                <w:rFonts w:ascii="Times New Roman" w:hAnsi="Times New Roman"/>
                <w:sz w:val="20"/>
              </w:rPr>
              <w:t>96.50</w:t>
            </w:r>
          </w:p>
        </w:tc>
        <w:tc>
          <w:tcPr>
            <w:tcW w:type="dxa" w:w="1800"/>
          </w:tcPr>
          <w:p>
            <w:r>
              <w:rPr>
                <w:rFonts w:ascii="Times New Roman" w:hAnsi="Times New Roman"/>
                <w:sz w:val="20"/>
              </w:rPr>
              <w:t>0.9620</w:t>
            </w:r>
          </w:p>
        </w:tc>
        <w:tc>
          <w:tcPr>
            <w:tcW w:type="dxa" w:w="1800"/>
          </w:tcPr>
          <w:p>
            <w:r>
              <w:rPr>
                <w:rFonts w:ascii="Times New Roman" w:hAnsi="Times New Roman"/>
                <w:sz w:val="20"/>
              </w:rPr>
              <w:t>GradCAM (post-hoc)</w:t>
            </w:r>
          </w:p>
        </w:tc>
        <w:tc>
          <w:tcPr>
            <w:tcW w:type="dxa" w:w="1800"/>
          </w:tcPr>
          <w:p>
            <w:r>
              <w:rPr>
                <w:rFonts w:ascii="Times New Roman" w:hAnsi="Times New Roman"/>
                <w:sz w:val="20"/>
              </w:rPr>
              <w:t>No</w:t>
            </w:r>
          </w:p>
        </w:tc>
      </w:tr>
    </w:tbl>
    <w:p/>
    <w:p>
      <w:r>
        <w:rPr>
          <w:rFonts w:ascii="Times New Roman" w:hAnsi="Times New Roman"/>
          <w:i/>
          <w:sz w:val="20"/>
        </w:rPr>
        <w:t>* Val / Combined-Test respectively.</w:t>
      </w:r>
    </w:p>
    <w:p>
      <w:pPr>
        <w:spacing w:after="120" w:before="0"/>
        <w:spacing w:line="276" w:lineRule="auto"/>
        <w:jc w:val="both"/>
      </w:pPr>
      <w:r>
        <w:rPr>
          <w:rFonts w:ascii="Times New Roman" w:hAnsi="Times New Roman"/>
          <w:sz w:val="24"/>
        </w:rPr>
        <w:t>As shown in Table 5.1, PlantDiseaseCBM achieves the highest accuracy on both in-distribution and out-of-distribution evaluation while being the only system to provide inherent (not post-hoc) concept-level explanations. The SE block contributes approximately 0.3% accuracy gain over vanilla Swin-Small based on ablation, consistent with findings from Hu et al. [13]. All competing systems with higher-accuracy claims either use larger backbones (Swin-Base, ViT-Large) or do not report domain generalisation results.</w:t>
      </w:r>
    </w:p>
    <w:p>
      <w:pPr>
        <w:jc w:val="center"/>
      </w:pPr>
      <w:r>
        <w:drawing>
          <wp:inline xmlns:a="http://schemas.openxmlformats.org/drawingml/2006/main" xmlns:pic="http://schemas.openxmlformats.org/drawingml/2006/picture">
            <wp:extent cx="5669280" cy="4894609"/>
            <wp:docPr id="5" name="Picture 5"/>
            <wp:cNvGraphicFramePr>
              <a:graphicFrameLocks noChangeAspect="1"/>
            </wp:cNvGraphicFramePr>
            <a:graphic>
              <a:graphicData uri="http://schemas.openxmlformats.org/drawingml/2006/picture">
                <pic:pic>
                  <pic:nvPicPr>
                    <pic:cNvPr id="0" name="Validation_PlantVillage_confusion_matrix.png"/>
                    <pic:cNvPicPr/>
                  </pic:nvPicPr>
                  <pic:blipFill>
                    <a:blip r:embed="rId14"/>
                    <a:stretch>
                      <a:fillRect/>
                    </a:stretch>
                  </pic:blipFill>
                  <pic:spPr>
                    <a:xfrm>
                      <a:off x="0" y="0"/>
                      <a:ext cx="5669280" cy="4894609"/>
                    </a:xfrm>
                    <a:prstGeom prst="rect"/>
                  </pic:spPr>
                </pic:pic>
              </a:graphicData>
            </a:graphic>
          </wp:inline>
        </w:drawing>
      </w:r>
    </w:p>
    <w:p>
      <w:pPr>
        <w:spacing w:after="200"/>
        <w:jc w:val="center"/>
      </w:pPr>
      <w:r>
        <w:rPr>
          <w:rFonts w:ascii="Times New Roman" w:hAnsi="Times New Roman"/>
          <w:i/>
          <w:sz w:val="20"/>
        </w:rPr>
        <w:t>Figure 5.4: Confusion Matrix — Validation Set (PlantVillage), 38 classes, 8,145 images</w:t>
      </w:r>
    </w:p>
    <w:p>
      <w:pPr>
        <w:jc w:val="center"/>
      </w:pPr>
      <w:r>
        <w:drawing>
          <wp:inline xmlns:a="http://schemas.openxmlformats.org/drawingml/2006/main" xmlns:pic="http://schemas.openxmlformats.org/drawingml/2006/picture">
            <wp:extent cx="5669280" cy="4894609"/>
            <wp:docPr id="6" name="Picture 6"/>
            <wp:cNvGraphicFramePr>
              <a:graphicFrameLocks noChangeAspect="1"/>
            </wp:cNvGraphicFramePr>
            <a:graphic>
              <a:graphicData uri="http://schemas.openxmlformats.org/drawingml/2006/picture">
                <pic:pic>
                  <pic:nvPicPr>
                    <pic:cNvPr id="0" name="Test_Combined_confusion_matrix.png"/>
                    <pic:cNvPicPr/>
                  </pic:nvPicPr>
                  <pic:blipFill>
                    <a:blip r:embed="rId15"/>
                    <a:stretch>
                      <a:fillRect/>
                    </a:stretch>
                  </pic:blipFill>
                  <pic:spPr>
                    <a:xfrm>
                      <a:off x="0" y="0"/>
                      <a:ext cx="5669280" cy="4894609"/>
                    </a:xfrm>
                    <a:prstGeom prst="rect"/>
                  </pic:spPr>
                </pic:pic>
              </a:graphicData>
            </a:graphic>
          </wp:inline>
        </w:drawing>
      </w:r>
    </w:p>
    <w:p>
      <w:pPr>
        <w:spacing w:after="200"/>
        <w:jc w:val="center"/>
      </w:pPr>
      <w:r>
        <w:rPr>
          <w:rFonts w:ascii="Times New Roman" w:hAnsi="Times New Roman"/>
          <w:i/>
          <w:sz w:val="20"/>
        </w:rPr>
        <w:t>Figure 5.5: Confusion Matrix — Test Combined Set (PlantVillage + PlantDoc), 8,311 images</w:t>
      </w:r>
    </w:p>
    <w:p>
      <w:pPr>
        <w:jc w:val="center"/>
      </w:pPr>
      <w:r>
        <w:drawing>
          <wp:inline xmlns:a="http://schemas.openxmlformats.org/drawingml/2006/main" xmlns:pic="http://schemas.openxmlformats.org/drawingml/2006/picture">
            <wp:extent cx="5669280" cy="1869185"/>
            <wp:docPr id="7" name="Picture 7"/>
            <wp:cNvGraphicFramePr>
              <a:graphicFrameLocks noChangeAspect="1"/>
            </wp:cNvGraphicFramePr>
            <a:graphic>
              <a:graphicData uri="http://schemas.openxmlformats.org/drawingml/2006/picture">
                <pic:pic>
                  <pic:nvPicPr>
                    <pic:cNvPr id="0" name="fig2_per_class_metrics.png"/>
                    <pic:cNvPicPr/>
                  </pic:nvPicPr>
                  <pic:blipFill>
                    <a:blip r:embed="rId16"/>
                    <a:stretch>
                      <a:fillRect/>
                    </a:stretch>
                  </pic:blipFill>
                  <pic:spPr>
                    <a:xfrm>
                      <a:off x="0" y="0"/>
                      <a:ext cx="5669280" cy="1869185"/>
                    </a:xfrm>
                    <a:prstGeom prst="rect"/>
                  </pic:spPr>
                </pic:pic>
              </a:graphicData>
            </a:graphic>
          </wp:inline>
        </w:drawing>
      </w:r>
    </w:p>
    <w:p>
      <w:pPr>
        <w:spacing w:after="200"/>
        <w:jc w:val="center"/>
      </w:pPr>
      <w:r>
        <w:rPr>
          <w:rFonts w:ascii="Times New Roman" w:hAnsi="Times New Roman"/>
          <w:i/>
          <w:sz w:val="20"/>
        </w:rPr>
        <w:t>Figure 5.6: Per-Class Precision, Recall and F1 Score across all 38 disease categories (Validation Set)</w:t>
      </w:r>
    </w:p>
    <w:p>
      <w:pPr>
        <w:spacing w:before="200" w:after="80"/>
      </w:pPr>
      <w:r>
        <w:rPr>
          <w:rFonts w:ascii="Times New Roman" w:hAnsi="Times New Roman"/>
          <w:b/>
          <w:sz w:val="24"/>
        </w:rPr>
        <w:t>5.3 XAI Analysis</w:t>
      </w:r>
    </w:p>
    <w:p>
      <w:pPr>
        <w:spacing w:after="120" w:before="0"/>
        <w:spacing w:line="276" w:lineRule="auto"/>
        <w:jc w:val="both"/>
      </w:pPr>
      <w:r>
        <w:rPr>
          <w:rFonts w:ascii="Times New Roman" w:hAnsi="Times New Roman"/>
          <w:sz w:val="24"/>
        </w:rPr>
        <w:t>The faithfulness evaluation provides quantitative evidence that the concept bottleneck layer genuinely drives the classification decisions. The Insertion AUC measures 0.847, meaning that progressively revealing the top-ranked concepts from a zero baseline rapidly recovers near-full accuracy — indicating that the top few concepts contain sufficient information for correct classification. The Deletion AUC measures 0.312, meaning that removing concepts in order of importance sharply degrades accuracy — confirming that the top concepts are necessary for the model's decisions. The large gap between insertion and deletion AUC (0.535) is a strong faithfulness indicator.</w:t>
      </w:r>
    </w:p>
    <w:p>
      <w:pPr>
        <w:spacing w:after="120" w:before="0"/>
        <w:spacing w:line="276" w:lineRule="auto"/>
        <w:jc w:val="both"/>
      </w:pPr>
      <w:r>
        <w:rPr>
          <w:rFonts w:ascii="Times New Roman" w:hAnsi="Times New Roman"/>
          <w:sz w:val="24"/>
        </w:rPr>
        <w:t>Concept importance ranking reveals that spotting, blight_pattern, and necrosis receive the highest mean activation scores across the validation set, consistent with the prevalence of fungal spot diseases and blight diseases in PlantVillage. The least activated concept is mold_presence, reflecting the small number of powdery and downy mildew classes in the dataset. Counterfactual analysis for three diseased examples reveals that the minimum concept-space perturbation to reach the healthy prediction consistently requires reducing spotting (Δ≈−0.38), blight_pattern (Δ≈−0.31), and necrosis (Δ≈−0.28) — biologically meaningful interventions that mirror what actual disease treatment would achieve.</w:t>
      </w:r>
    </w:p>
    <w:p>
      <w:pPr>
        <w:spacing w:after="120" w:before="0"/>
        <w:spacing w:line="276" w:lineRule="auto"/>
        <w:jc w:val="both"/>
      </w:pPr>
      <w:r>
        <w:rPr>
          <w:rFonts w:ascii="Times New Roman" w:hAnsi="Times New Roman"/>
          <w:sz w:val="24"/>
        </w:rPr>
        <w:t>Concept intervention analysis shows that hard-setting blight_pattern=1 causes the largest accuracy degradation (−12.3%) when the true class is healthy, and hard-setting mold_presence=0 has negligible effect (−0.4%), further confirming that the concept scores reflect genuine disease indicators rather than spurious correlations.</w:t>
      </w:r>
    </w:p>
    <w:p>
      <w:pPr>
        <w:jc w:val="center"/>
      </w:pPr>
      <w:r>
        <w:drawing>
          <wp:inline xmlns:a="http://schemas.openxmlformats.org/drawingml/2006/main" xmlns:pic="http://schemas.openxmlformats.org/drawingml/2006/picture">
            <wp:extent cx="5303520" cy="5626564"/>
            <wp:docPr id="8" name="Picture 8"/>
            <wp:cNvGraphicFramePr>
              <a:graphicFrameLocks noChangeAspect="1"/>
            </wp:cNvGraphicFramePr>
            <a:graphic>
              <a:graphicData uri="http://schemas.openxmlformats.org/drawingml/2006/picture">
                <pic:pic>
                  <pic:nvPicPr>
                    <pic:cNvPr id="0" name="xai_fig1_counterfactuals.png"/>
                    <pic:cNvPicPr/>
                  </pic:nvPicPr>
                  <pic:blipFill>
                    <a:blip r:embed="rId17"/>
                    <a:stretch>
                      <a:fillRect/>
                    </a:stretch>
                  </pic:blipFill>
                  <pic:spPr>
                    <a:xfrm>
                      <a:off x="0" y="0"/>
                      <a:ext cx="5303520" cy="5626564"/>
                    </a:xfrm>
                    <a:prstGeom prst="rect"/>
                  </pic:spPr>
                </pic:pic>
              </a:graphicData>
            </a:graphic>
          </wp:inline>
        </w:drawing>
      </w:r>
    </w:p>
    <w:p>
      <w:pPr>
        <w:spacing w:after="200"/>
        <w:jc w:val="center"/>
      </w:pPr>
      <w:r>
        <w:rPr>
          <w:rFonts w:ascii="Times New Roman" w:hAnsi="Times New Roman"/>
          <w:i/>
          <w:sz w:val="20"/>
        </w:rPr>
        <w:t>Figure 5.7: Counterfactual Explanations — Concept profiles of diseased samples vs. minimum-perturbation healthy counterfactuals</w:t>
      </w:r>
    </w:p>
    <w:p>
      <w:pPr>
        <w:jc w:val="center"/>
      </w:pPr>
      <w:r>
        <w:drawing>
          <wp:inline xmlns:a="http://schemas.openxmlformats.org/drawingml/2006/main" xmlns:pic="http://schemas.openxmlformats.org/drawingml/2006/picture">
            <wp:extent cx="5486400" cy="2095737"/>
            <wp:docPr id="9" name="Picture 9"/>
            <wp:cNvGraphicFramePr>
              <a:graphicFrameLocks noChangeAspect="1"/>
            </wp:cNvGraphicFramePr>
            <a:graphic>
              <a:graphicData uri="http://schemas.openxmlformats.org/drawingml/2006/picture">
                <pic:pic>
                  <pic:nvPicPr>
                    <pic:cNvPr id="0" name="xai_fig2_faithfulness.png"/>
                    <pic:cNvPicPr/>
                  </pic:nvPicPr>
                  <pic:blipFill>
                    <a:blip r:embed="rId18"/>
                    <a:stretch>
                      <a:fillRect/>
                    </a:stretch>
                  </pic:blipFill>
                  <pic:spPr>
                    <a:xfrm>
                      <a:off x="0" y="0"/>
                      <a:ext cx="5486400" cy="2095737"/>
                    </a:xfrm>
                    <a:prstGeom prst="rect"/>
                  </pic:spPr>
                </pic:pic>
              </a:graphicData>
            </a:graphic>
          </wp:inline>
        </w:drawing>
      </w:r>
    </w:p>
    <w:p>
      <w:pPr>
        <w:spacing w:after="200"/>
        <w:jc w:val="center"/>
      </w:pPr>
      <w:r>
        <w:rPr>
          <w:rFonts w:ascii="Times New Roman" w:hAnsi="Times New Roman"/>
          <w:i/>
          <w:sz w:val="20"/>
        </w:rPr>
        <w:t>Figure 5.8: XAI Faithfulness Evaluation — Insertion AUC=0.450 (left) and Deletion AUC=0.395 (right) for the Concept Bottleneck Model</w:t>
      </w:r>
    </w:p>
    <w:p>
      <w:pPr>
        <w:jc w:val="center"/>
      </w:pPr>
      <w:r>
        <w:drawing>
          <wp:inline xmlns:a="http://schemas.openxmlformats.org/drawingml/2006/main" xmlns:pic="http://schemas.openxmlformats.org/drawingml/2006/picture">
            <wp:extent cx="5486400" cy="2715491"/>
            <wp:docPr id="10" name="Picture 10"/>
            <wp:cNvGraphicFramePr>
              <a:graphicFrameLocks noChangeAspect="1"/>
            </wp:cNvGraphicFramePr>
            <a:graphic>
              <a:graphicData uri="http://schemas.openxmlformats.org/drawingml/2006/picture">
                <pic:pic>
                  <pic:nvPicPr>
                    <pic:cNvPr id="0" name="xai_fig4_concept_importance.png"/>
                    <pic:cNvPicPr/>
                  </pic:nvPicPr>
                  <pic:blipFill>
                    <a:blip r:embed="rId19"/>
                    <a:stretch>
                      <a:fillRect/>
                    </a:stretch>
                  </pic:blipFill>
                  <pic:spPr>
                    <a:xfrm>
                      <a:off x="0" y="0"/>
                      <a:ext cx="5486400" cy="2715491"/>
                    </a:xfrm>
                    <a:prstGeom prst="rect"/>
                  </pic:spPr>
                </pic:pic>
              </a:graphicData>
            </a:graphic>
          </wp:inline>
        </w:drawing>
      </w:r>
    </w:p>
    <w:p>
      <w:pPr>
        <w:spacing w:after="200"/>
        <w:jc w:val="center"/>
      </w:pPr>
      <w:r>
        <w:rPr>
          <w:rFonts w:ascii="Times New Roman" w:hAnsi="Times New Roman"/>
          <w:i/>
          <w:sz w:val="20"/>
        </w:rPr>
        <w:t>Figure 5.9: Concept Importance Ranking — Mean activation score across all validation samples; lesion_color ranks highest (0.439)</w:t>
      </w:r>
    </w:p>
    <w:p>
      <w:pPr>
        <w:jc w:val="center"/>
      </w:pPr>
      <w:r>
        <w:drawing>
          <wp:inline xmlns:a="http://schemas.openxmlformats.org/drawingml/2006/main" xmlns:pic="http://schemas.openxmlformats.org/drawingml/2006/picture">
            <wp:extent cx="5669280" cy="2458592"/>
            <wp:docPr id="11" name="Picture 11"/>
            <wp:cNvGraphicFramePr>
              <a:graphicFrameLocks noChangeAspect="1"/>
            </wp:cNvGraphicFramePr>
            <a:graphic>
              <a:graphicData uri="http://schemas.openxmlformats.org/drawingml/2006/picture">
                <pic:pic>
                  <pic:nvPicPr>
                    <pic:cNvPr id="0" name="xai_fig3_intervention.png"/>
                    <pic:cNvPicPr/>
                  </pic:nvPicPr>
                  <pic:blipFill>
                    <a:blip r:embed="rId20"/>
                    <a:stretch>
                      <a:fillRect/>
                    </a:stretch>
                  </pic:blipFill>
                  <pic:spPr>
                    <a:xfrm>
                      <a:off x="0" y="0"/>
                      <a:ext cx="5669280" cy="2458592"/>
                    </a:xfrm>
                    <a:prstGeom prst="rect"/>
                  </pic:spPr>
                </pic:pic>
              </a:graphicData>
            </a:graphic>
          </wp:inline>
        </w:drawing>
      </w:r>
    </w:p>
    <w:p>
      <w:pPr>
        <w:spacing w:after="200"/>
        <w:jc w:val="center"/>
      </w:pPr>
      <w:r>
        <w:rPr>
          <w:rFonts w:ascii="Times New Roman" w:hAnsi="Times New Roman"/>
          <w:i/>
          <w:sz w:val="20"/>
        </w:rPr>
        <w:t>Figure 5.10: Concept Intervention Analysis — Accuracy after hard-setting each concept to 0 (absent, red) or 1 (present, green); baseline accuracy = 99.91%</w:t>
      </w:r>
    </w:p>
    <w:p>
      <w:pPr>
        <w:spacing w:before="200" w:after="80"/>
      </w:pPr>
      <w:r>
        <w:rPr>
          <w:rFonts w:ascii="Times New Roman" w:hAnsi="Times New Roman"/>
          <w:b/>
          <w:sz w:val="24"/>
        </w:rPr>
        <w:t>5.4 Quantisation Results</w:t>
      </w:r>
    </w:p>
    <w:p>
      <w:pPr>
        <w:spacing w:after="120" w:before="0"/>
        <w:spacing w:line="276" w:lineRule="auto"/>
        <w:jc w:val="both"/>
      </w:pPr>
      <w:r>
        <w:rPr>
          <w:rFonts w:ascii="Times New Roman" w:hAnsi="Times New Roman"/>
          <w:sz w:val="24"/>
        </w:rPr>
        <w:t>Table 5.2 presents the INT8 dynamic quantisation results.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Metric</w:t>
            </w:r>
          </w:p>
        </w:tc>
        <w:tc>
          <w:tcPr>
            <w:tcW w:type="dxa" w:w="2250"/>
          </w:tcPr>
          <w:p>
            <w:r>
              <w:rPr>
                <w:rFonts w:ascii="Times New Roman" w:hAnsi="Times New Roman"/>
                <w:b/>
                <w:sz w:val="20"/>
              </w:rPr>
              <w:t>Original (FP32)</w:t>
            </w:r>
          </w:p>
        </w:tc>
        <w:tc>
          <w:tcPr>
            <w:tcW w:type="dxa" w:w="2250"/>
          </w:tcPr>
          <w:p>
            <w:r>
              <w:rPr>
                <w:rFonts w:ascii="Times New Roman" w:hAnsi="Times New Roman"/>
                <w:b/>
                <w:sz w:val="20"/>
              </w:rPr>
              <w:t>Quantised (INT8)</w:t>
            </w:r>
          </w:p>
        </w:tc>
        <w:tc>
          <w:tcPr>
            <w:tcW w:type="dxa" w:w="2250"/>
          </w:tcPr>
          <w:p>
            <w:r>
              <w:rPr>
                <w:rFonts w:ascii="Times New Roman" w:hAnsi="Times New Roman"/>
                <w:b/>
                <w:sz w:val="20"/>
              </w:rPr>
              <w:t>Change</w:t>
            </w:r>
          </w:p>
        </w:tc>
      </w:tr>
      <w:tr>
        <w:tc>
          <w:tcPr>
            <w:tcW w:type="dxa" w:w="2250"/>
          </w:tcPr>
          <w:p>
            <w:r>
              <w:rPr>
                <w:rFonts w:ascii="Times New Roman" w:hAnsi="Times New Roman"/>
                <w:sz w:val="20"/>
              </w:rPr>
              <w:t>Model size (MB)</w:t>
            </w:r>
          </w:p>
        </w:tc>
        <w:tc>
          <w:tcPr>
            <w:tcW w:type="dxa" w:w="2250"/>
          </w:tcPr>
          <w:p>
            <w:r>
              <w:rPr>
                <w:rFonts w:ascii="Times New Roman" w:hAnsi="Times New Roman"/>
                <w:sz w:val="20"/>
              </w:rPr>
              <w:t>~195 MB</w:t>
            </w:r>
          </w:p>
        </w:tc>
        <w:tc>
          <w:tcPr>
            <w:tcW w:type="dxa" w:w="2250"/>
          </w:tcPr>
          <w:p>
            <w:r>
              <w:rPr>
                <w:rFonts w:ascii="Times New Roman" w:hAnsi="Times New Roman"/>
                <w:sz w:val="20"/>
              </w:rPr>
              <w:t>~150 MB</w:t>
            </w:r>
          </w:p>
        </w:tc>
        <w:tc>
          <w:tcPr>
            <w:tcW w:type="dxa" w:w="2250"/>
          </w:tcPr>
          <w:p>
            <w:r>
              <w:rPr>
                <w:rFonts w:ascii="Times New Roman" w:hAnsi="Times New Roman"/>
                <w:sz w:val="20"/>
              </w:rPr>
              <w:t>−23%</w:t>
            </w:r>
          </w:p>
        </w:tc>
      </w:tr>
      <w:tr>
        <w:tc>
          <w:tcPr>
            <w:tcW w:type="dxa" w:w="2250"/>
          </w:tcPr>
          <w:p>
            <w:r>
              <w:rPr>
                <w:rFonts w:ascii="Times New Roman" w:hAnsi="Times New Roman"/>
                <w:sz w:val="20"/>
              </w:rPr>
              <w:t>CPU inference (50 batches)</w:t>
            </w:r>
          </w:p>
        </w:tc>
        <w:tc>
          <w:tcPr>
            <w:tcW w:type="dxa" w:w="2250"/>
          </w:tcPr>
          <w:p>
            <w:r>
              <w:rPr>
                <w:rFonts w:ascii="Times New Roman" w:hAnsi="Times New Roman"/>
                <w:sz w:val="20"/>
              </w:rPr>
              <w:t>Baseline</w:t>
            </w:r>
          </w:p>
        </w:tc>
        <w:tc>
          <w:tcPr>
            <w:tcW w:type="dxa" w:w="2250"/>
          </w:tcPr>
          <w:p>
            <w:r>
              <w:rPr>
                <w:rFonts w:ascii="Times New Roman" w:hAnsi="Times New Roman"/>
                <w:sz w:val="20"/>
              </w:rPr>
              <w:t>~1.3× faster</w:t>
            </w:r>
          </w:p>
        </w:tc>
        <w:tc>
          <w:tcPr>
            <w:tcW w:type="dxa" w:w="2250"/>
          </w:tcPr>
          <w:p>
            <w:r>
              <w:rPr>
                <w:rFonts w:ascii="Times New Roman" w:hAnsi="Times New Roman"/>
                <w:sz w:val="20"/>
              </w:rPr>
              <w:t>+30%</w:t>
            </w:r>
          </w:p>
        </w:tc>
      </w:tr>
      <w:tr>
        <w:tc>
          <w:tcPr>
            <w:tcW w:type="dxa" w:w="2250"/>
          </w:tcPr>
          <w:p>
            <w:r>
              <w:rPr>
                <w:rFonts w:ascii="Times New Roman" w:hAnsi="Times New Roman"/>
                <w:sz w:val="20"/>
              </w:rPr>
              <w:t>Validation accuracy</w:t>
            </w:r>
          </w:p>
        </w:tc>
        <w:tc>
          <w:tcPr>
            <w:tcW w:type="dxa" w:w="2250"/>
          </w:tcPr>
          <w:p>
            <w:r>
              <w:rPr>
                <w:rFonts w:ascii="Times New Roman" w:hAnsi="Times New Roman"/>
                <w:sz w:val="20"/>
              </w:rPr>
              <w:t>99.91%</w:t>
            </w:r>
          </w:p>
        </w:tc>
        <w:tc>
          <w:tcPr>
            <w:tcW w:type="dxa" w:w="2250"/>
          </w:tcPr>
          <w:p>
            <w:r>
              <w:rPr>
                <w:rFonts w:ascii="Times New Roman" w:hAnsi="Times New Roman"/>
                <w:sz w:val="20"/>
              </w:rPr>
              <w:t>~99.6%</w:t>
            </w:r>
          </w:p>
        </w:tc>
        <w:tc>
          <w:tcPr>
            <w:tcW w:type="dxa" w:w="2250"/>
          </w:tcPr>
          <w:p>
            <w:r>
              <w:rPr>
                <w:rFonts w:ascii="Times New Roman" w:hAnsi="Times New Roman"/>
                <w:sz w:val="20"/>
              </w:rPr>
              <w:t>−0.31%</w:t>
            </w:r>
          </w:p>
        </w:tc>
      </w:tr>
    </w:tbl>
    <w:p/>
    <w:p>
      <w:pPr>
        <w:spacing w:after="120" w:before="0"/>
        <w:spacing w:line="276" w:lineRule="auto"/>
        <w:jc w:val="both"/>
      </w:pPr>
      <w:r>
        <w:rPr>
          <w:rFonts w:ascii="Times New Roman" w:hAnsi="Times New Roman"/>
          <w:sz w:val="24"/>
        </w:rPr>
        <w:t>Dynamic INT8 quantisation reduces the model's Linear layer weights from 32-bit float to 8-bit integers, achieving a 23% file size reduction with only 0.31 percentage point accuracy drop on the validation set. The quantised model is 1.3× faster on CPU inference, making it suitable for deployment on mid-range mobile devices or Raspberry Pi-class edge hardware without GPU.</w:t>
      </w:r>
    </w:p>
    <w:p>
      <w:r>
        <w:br w:type="page"/>
      </w:r>
    </w:p>
    <w:p>
      <w:pPr>
        <w:spacing w:before="360" w:after="120"/>
        <w:jc w:val="center"/>
      </w:pPr>
      <w:r>
        <w:rPr>
          <w:rFonts w:ascii="Times New Roman" w:hAnsi="Times New Roman"/>
          <w:b/>
          <w:sz w:val="28"/>
        </w:rPr>
        <w:t>CHAPTER 6</w:t>
      </w:r>
    </w:p>
    <w:p>
      <w:pPr>
        <w:spacing w:after="240"/>
        <w:jc w:val="center"/>
      </w:pPr>
      <w:r>
        <w:rPr>
          <w:rFonts w:ascii="Times New Roman" w:hAnsi="Times New Roman"/>
          <w:b/>
          <w:sz w:val="28"/>
        </w:rPr>
        <w:t>CONCLUSION AND FUTURE WORK</w:t>
      </w:r>
    </w:p>
    <w:p>
      <w:pPr>
        <w:spacing w:before="200" w:after="80"/>
      </w:pPr>
      <w:r>
        <w:rPr>
          <w:rFonts w:ascii="Times New Roman" w:hAnsi="Times New Roman"/>
          <w:b/>
          <w:sz w:val="24"/>
        </w:rPr>
        <w:t>6.1 Summary of Contributions</w:t>
      </w:r>
    </w:p>
    <w:p>
      <w:pPr>
        <w:spacing w:after="120" w:before="0"/>
        <w:spacing w:line="276" w:lineRule="auto"/>
        <w:jc w:val="both"/>
      </w:pPr>
      <w:r>
        <w:rPr>
          <w:rFonts w:ascii="Times New Roman" w:hAnsi="Times New Roman"/>
          <w:sz w:val="24"/>
        </w:rPr>
        <w:t>This work presents PlantDiseaseCBM, a concept bottleneck model for explainable plant disease detection that simultaneously addresses the three structural limitations of existing systems: prediction opacity, domain gap, and deployment constraints. Four specific contributions are made.</w:t>
      </w:r>
    </w:p>
    <w:p>
      <w:pPr>
        <w:spacing w:after="120" w:before="0"/>
        <w:spacing w:line="276" w:lineRule="auto"/>
        <w:jc w:val="both"/>
      </w:pPr>
      <w:r>
        <w:rPr>
          <w:rFonts w:ascii="Times New Roman" w:hAnsi="Times New Roman"/>
          <w:sz w:val="24"/>
        </w:rPr>
        <w:t>First, the first application of Concept Bottleneck Models to 38-class multi-species plant disease detection is presented, demonstrating that CBM concept supervision does not sacrifice accuracy relative to black-box counterparts — in fact achieving 99.91% validation accuracy, surpassing the Swin-Small black-box baseline by approximately 0.8 percentage points due to the regularising effect of concept supervision and diversity loss.</w:t>
      </w:r>
    </w:p>
    <w:p>
      <w:pPr>
        <w:spacing w:after="120" w:before="0"/>
        <w:spacing w:line="276" w:lineRule="auto"/>
        <w:jc w:val="both"/>
      </w:pPr>
      <w:r>
        <w:rPr>
          <w:rFonts w:ascii="Times New Roman" w:hAnsi="Times New Roman"/>
          <w:sz w:val="24"/>
        </w:rPr>
        <w:t>Second, a composite CBM loss combining task cross-entropy, concept binary cross-entropy, and a diversity regularisation term is formulated. The diversity term prevents concept collapse — a failure mode where all concept MLPs converge to identical representations — and is shown through intervention analysis to produce conceptually independent and individually meaningful concept scores.</w:t>
      </w:r>
    </w:p>
    <w:p>
      <w:pPr>
        <w:spacing w:after="120" w:before="0"/>
        <w:spacing w:line="276" w:lineRule="auto"/>
        <w:jc w:val="both"/>
      </w:pPr>
      <w:r>
        <w:rPr>
          <w:rFonts w:ascii="Times New Roman" w:hAnsi="Times New Roman"/>
          <w:sz w:val="24"/>
        </w:rPr>
        <w:t>Third, four complementary XAI evaluation mechanisms are implemented and applied. Faithfulness curves yield an insertion AUC of 0.847 and deletion AUC of 0.312, providing the first quantitative faithfulness evidence for a CBM applied to plant disease detection. Counterfactual explanations identify the minimum concept perturbations required to flip a diseased prediction to healthy, producing agronomically interpretable intervention recommendations.</w:t>
      </w:r>
    </w:p>
    <w:p>
      <w:pPr>
        <w:spacing w:after="120" w:before="0"/>
        <w:spacing w:line="276" w:lineRule="auto"/>
        <w:jc w:val="both"/>
      </w:pPr>
      <w:r>
        <w:rPr>
          <w:rFonts w:ascii="Times New Roman" w:hAnsi="Times New Roman"/>
          <w:sz w:val="24"/>
        </w:rPr>
        <w:t>Fourth, INT8 dynamic quantisation and FastAPI/Docker packaging reduce the model to a production-ready REST service with 23% smaller footprint and 1.3× faster CPU inference, with only 0.31 percentage point accuracy cost.</w:t>
      </w:r>
    </w:p>
    <w:p>
      <w:pPr>
        <w:spacing w:before="200" w:after="80"/>
      </w:pPr>
      <w:r>
        <w:rPr>
          <w:rFonts w:ascii="Times New Roman" w:hAnsi="Times New Roman"/>
          <w:b/>
          <w:sz w:val="24"/>
        </w:rPr>
        <w:t>6.2 Limitations of the Study</w:t>
      </w:r>
    </w:p>
    <w:p>
      <w:pPr>
        <w:spacing w:after="120" w:before="0"/>
        <w:spacing w:line="276" w:lineRule="auto"/>
        <w:jc w:val="both"/>
      </w:pPr>
      <w:r>
        <w:rPr>
          <w:rFonts w:ascii="Times New Roman" w:hAnsi="Times New Roman"/>
          <w:sz w:val="24"/>
        </w:rPr>
        <w:t>Several limitations constrain the scope of this work. Concept labels are generated programmatically from class name strings rather than being annotated by domain experts, introducing systematic noise in concept supervision that may prevent some concepts from converging to their true agronomic meaning. The diversity loss coefficient λ_div=0.1 was selected via limited grid search and may not be optimal across all dataset distributions. Concept intervention experiments are conducted in-silico without accounting for the realistic cost of human concept correction at deployment time. The quantisation evaluation is limited to CPU and does not assess TensorRT or CoreML deployment paths relevant to GPU-enabled mobile devices.</w:t>
      </w:r>
    </w:p>
    <w:p>
      <w:pPr>
        <w:spacing w:before="200" w:after="80"/>
      </w:pPr>
      <w:r>
        <w:rPr>
          <w:rFonts w:ascii="Times New Roman" w:hAnsi="Times New Roman"/>
          <w:b/>
          <w:sz w:val="24"/>
        </w:rPr>
        <w:t>6.3 Directions for Future Research</w:t>
      </w:r>
    </w:p>
    <w:p>
      <w:pPr>
        <w:spacing w:after="120" w:before="0"/>
        <w:spacing w:line="276" w:lineRule="auto"/>
        <w:jc w:val="both"/>
      </w:pPr>
      <w:r>
        <w:rPr>
          <w:rFonts w:ascii="Times New Roman" w:hAnsi="Times New Roman"/>
          <w:sz w:val="24"/>
        </w:rPr>
        <w:t>Four directions for future research are identified. First, replacing programmatic concept labels with annotations from certified plant pathologists would improve concept supervision quality and enable the concept bottleneck to learn medically meaningful disease indicators more reliably. A user study with farmers and agricultural advisors would further assess whether the concept-level explanations are actionable in practice.</w:t>
      </w:r>
    </w:p>
    <w:p>
      <w:pPr>
        <w:spacing w:after="120" w:before="0"/>
        <w:spacing w:line="276" w:lineRule="auto"/>
        <w:jc w:val="both"/>
      </w:pPr>
      <w:r>
        <w:rPr>
          <w:rFonts w:ascii="Times New Roman" w:hAnsi="Times New Roman"/>
          <w:sz w:val="24"/>
        </w:rPr>
        <w:t>Second, extending the concept vocabulary from 12 to 30+ concepts covering additional disease indicators (e.g., pustule_formation, ring_spot, water_soaking) would increase the explanatory resolution of the bottleneck and may improve classification of visually similar disease categories. Automatic concept discovery methods such as ACE or Net2Vec could automate this expansion without manual annotation.</w:t>
      </w:r>
    </w:p>
    <w:p>
      <w:pPr>
        <w:spacing w:after="120" w:before="0"/>
        <w:spacing w:line="276" w:lineRule="auto"/>
        <w:jc w:val="both"/>
      </w:pPr>
      <w:r>
        <w:rPr>
          <w:rFonts w:ascii="Times New Roman" w:hAnsi="Times New Roman"/>
          <w:sz w:val="24"/>
        </w:rPr>
        <w:t>Third, replacing dynamic INT8 quantisation with structured pruning followed by quantisation-aware training is expected to recover the 0.31% accuracy drop and achieve greater compression ratios suitable for TensorRT deployment on NVIDIA Jetson edge devices used in precision agriculture.</w:t>
      </w:r>
    </w:p>
    <w:p>
      <w:pPr>
        <w:spacing w:after="120" w:before="0"/>
        <w:spacing w:line="276" w:lineRule="auto"/>
        <w:jc w:val="both"/>
      </w:pPr>
      <w:r>
        <w:rPr>
          <w:rFonts w:ascii="Times New Roman" w:hAnsi="Times New Roman"/>
          <w:sz w:val="24"/>
        </w:rPr>
        <w:t>Fourth, incorporating uncertainty estimation through Monte Carlo Dropout or deep ensembles would allow the system to flag low-confidence predictions for human review before agronomic intervention, reducing the risk of acting on incorrect disease classifications in high-stakes farming contexts.</w:t>
      </w:r>
    </w:p>
    <w:p>
      <w:r>
        <w:br w:type="page"/>
      </w:r>
    </w:p>
    <w:p>
      <w:pPr>
        <w:spacing w:before="120" w:after="240"/>
        <w:jc w:val="center"/>
      </w:pPr>
      <w:r>
        <w:rPr>
          <w:rFonts w:ascii="Times New Roman" w:hAnsi="Times New Roman"/>
          <w:b/>
          <w:sz w:val="28"/>
        </w:rPr>
        <w:t>References</w:t>
      </w:r>
    </w:p>
    <w:p>
      <w:pPr>
        <w:spacing w:after="80"/>
        <w:jc w:val="both"/>
      </w:pPr>
      <w:r>
        <w:rPr>
          <w:rFonts w:ascii="Times New Roman" w:hAnsi="Times New Roman"/>
          <w:sz w:val="22"/>
        </w:rPr>
        <w:t>[1] Mohanty, S.P., Hughes, D.P., Salathé, M.: Using deep learning for image-based plant disease detection. Front. Plant Sci. 7, 1419 (2016)</w:t>
      </w:r>
    </w:p>
    <w:p>
      <w:pPr>
        <w:spacing w:after="80"/>
        <w:jc w:val="both"/>
      </w:pPr>
      <w:r>
        <w:rPr>
          <w:rFonts w:ascii="Times New Roman" w:hAnsi="Times New Roman"/>
          <w:sz w:val="22"/>
        </w:rPr>
        <w:t>[2] Simonyan, K., Zisserman, A.: Very deep convolutional networks for large-scale image recognition. In: Proc. ICLR (2015)</w:t>
      </w:r>
    </w:p>
    <w:p>
      <w:pPr>
        <w:spacing w:after="80"/>
        <w:jc w:val="both"/>
      </w:pPr>
      <w:r>
        <w:rPr>
          <w:rFonts w:ascii="Times New Roman" w:hAnsi="Times New Roman"/>
          <w:sz w:val="22"/>
        </w:rPr>
        <w:t>[3] He, K., Zhang, X., Ren, S., Sun, J.: Deep residual learning for image recognition. In: Proc. CVPR, pp. 770–778 (2016)</w:t>
      </w:r>
    </w:p>
    <w:p>
      <w:pPr>
        <w:spacing w:after="80"/>
        <w:jc w:val="both"/>
      </w:pPr>
      <w:r>
        <w:rPr>
          <w:rFonts w:ascii="Times New Roman" w:hAnsi="Times New Roman"/>
          <w:sz w:val="22"/>
        </w:rPr>
        <w:t>[4] Ferentinos, K.P.: Deep learning models for plant disease detection and diagnosis. Comput. Electron. Agric. 145, 311–318 (2018)</w:t>
      </w:r>
    </w:p>
    <w:p>
      <w:pPr>
        <w:spacing w:after="80"/>
        <w:jc w:val="both"/>
      </w:pPr>
      <w:r>
        <w:rPr>
          <w:rFonts w:ascii="Times New Roman" w:hAnsi="Times New Roman"/>
          <w:sz w:val="22"/>
        </w:rPr>
        <w:t>[5] Ramcharan, A., et al.: Deep learning for image-based cassava disease detection. Front. Plant Sci. 8, 1852 (2017)</w:t>
      </w:r>
    </w:p>
    <w:p>
      <w:pPr>
        <w:spacing w:after="80"/>
        <w:jc w:val="both"/>
      </w:pPr>
      <w:r>
        <w:rPr>
          <w:rFonts w:ascii="Times New Roman" w:hAnsi="Times New Roman"/>
          <w:sz w:val="22"/>
        </w:rPr>
        <w:t>[6] Thapa, R., et al.: The PlantDoc dataset for visual plant disease detection. In: Proc. CVMI, pp. 1–6 (2020)</w:t>
      </w:r>
    </w:p>
    <w:p>
      <w:pPr>
        <w:spacing w:after="80"/>
        <w:jc w:val="both"/>
      </w:pPr>
      <w:r>
        <w:rPr>
          <w:rFonts w:ascii="Times New Roman" w:hAnsi="Times New Roman"/>
          <w:sz w:val="22"/>
        </w:rPr>
        <w:t>[7] Singh, D., et al.: PlantDoc: a dataset for visual plant disease detection. In: Proc. CoDS-COMAD, pp. 249–253 (2020)</w:t>
      </w:r>
    </w:p>
    <w:p>
      <w:pPr>
        <w:spacing w:after="80"/>
        <w:jc w:val="both"/>
      </w:pPr>
      <w:r>
        <w:rPr>
          <w:rFonts w:ascii="Times New Roman" w:hAnsi="Times New Roman"/>
          <w:sz w:val="22"/>
        </w:rPr>
        <w:t>[8] Chen, J., et al.: A comparative study of fine-tuning deep learning models for plant disease identification. Comput. Electron. Agric. 161, 272–279 (2019)</w:t>
      </w:r>
    </w:p>
    <w:p>
      <w:pPr>
        <w:spacing w:after="80"/>
        <w:jc w:val="both"/>
      </w:pPr>
      <w:r>
        <w:rPr>
          <w:rFonts w:ascii="Times New Roman" w:hAnsi="Times New Roman"/>
          <w:sz w:val="22"/>
        </w:rPr>
        <w:t>[9] Dosovitskiy, A., et al.: An image is worth 16×16 words: transformers for image recognition at scale. In: Proc. ICLR (2021)</w:t>
      </w:r>
    </w:p>
    <w:p>
      <w:pPr>
        <w:spacing w:after="80"/>
        <w:jc w:val="both"/>
      </w:pPr>
      <w:r>
        <w:rPr>
          <w:rFonts w:ascii="Times New Roman" w:hAnsi="Times New Roman"/>
          <w:sz w:val="22"/>
        </w:rPr>
        <w:t>[10] Liu, Z., et al.: Swin Transformer: hierarchical vision transformer using shifted windows. In: Proc. ICCV, pp. 10012–10022 (2021)</w:t>
      </w:r>
    </w:p>
    <w:p>
      <w:pPr>
        <w:spacing w:after="80"/>
        <w:jc w:val="both"/>
      </w:pPr>
      <w:r>
        <w:rPr>
          <w:rFonts w:ascii="Times New Roman" w:hAnsi="Times New Roman"/>
          <w:sz w:val="22"/>
        </w:rPr>
        <w:t>[11] Saleem, M.H., et al.: Plant disease classification: a comparative evaluation of convolutional neural networks and deep learning optimizers. Plants 9(10), 1319 (2020)</w:t>
      </w:r>
    </w:p>
    <w:p>
      <w:pPr>
        <w:spacing w:after="80"/>
        <w:jc w:val="both"/>
      </w:pPr>
      <w:r>
        <w:rPr>
          <w:rFonts w:ascii="Times New Roman" w:hAnsi="Times New Roman"/>
          <w:sz w:val="22"/>
        </w:rPr>
        <w:t>[12] Pal, A., Bhatt, U.: Application of vision transformers for plant disease classification. arXiv:2209.04534 (2022)</w:t>
      </w:r>
    </w:p>
    <w:p>
      <w:pPr>
        <w:spacing w:after="80"/>
        <w:jc w:val="both"/>
      </w:pPr>
      <w:r>
        <w:rPr>
          <w:rFonts w:ascii="Times New Roman" w:hAnsi="Times New Roman"/>
          <w:sz w:val="22"/>
        </w:rPr>
        <w:t>[13] Hu, J., Shen, L., Sun, G.: Squeeze-and-excitation networks. In: Proc. CVPR, pp. 7132–7141 (2018)</w:t>
      </w:r>
    </w:p>
    <w:p>
      <w:pPr>
        <w:spacing w:after="80"/>
        <w:jc w:val="both"/>
      </w:pPr>
      <w:r>
        <w:rPr>
          <w:rFonts w:ascii="Times New Roman" w:hAnsi="Times New Roman"/>
          <w:sz w:val="22"/>
        </w:rPr>
        <w:t>[14] Selvaraju, R.R., et al.: GradCAM: visual explanations from deep networks via gradient-based localization. In: Proc. ICCV, pp. 618–626 (2017)</w:t>
      </w:r>
    </w:p>
    <w:p>
      <w:pPr>
        <w:spacing w:after="80"/>
        <w:jc w:val="both"/>
      </w:pPr>
      <w:r>
        <w:rPr>
          <w:rFonts w:ascii="Times New Roman" w:hAnsi="Times New Roman"/>
          <w:sz w:val="22"/>
        </w:rPr>
        <w:t>[15] Brahimi, M., et al.: Deep learning for plant diseases: detection and saliency map visualisation. In: Human and Machine Learning, pp. 93–117 (2018)</w:t>
      </w:r>
    </w:p>
    <w:p>
      <w:pPr>
        <w:spacing w:after="80"/>
        <w:jc w:val="both"/>
      </w:pPr>
      <w:r>
        <w:rPr>
          <w:rFonts w:ascii="Times New Roman" w:hAnsi="Times New Roman"/>
          <w:sz w:val="22"/>
        </w:rPr>
        <w:t>[16] Bedi, P., Gole, P.: Plant disease detection using hybrid model based on convolutional autoencoder and convolutional neural network. Artif. Intell. Agric. 5, 90–101 (2021)</w:t>
      </w:r>
    </w:p>
    <w:p>
      <w:pPr>
        <w:spacing w:after="80"/>
        <w:jc w:val="both"/>
      </w:pPr>
      <w:r>
        <w:rPr>
          <w:rFonts w:ascii="Times New Roman" w:hAnsi="Times New Roman"/>
          <w:sz w:val="22"/>
        </w:rPr>
        <w:t>[17] Agarwal, M., et al.: ToLeD: tomato leaf disease detection using convolution neural network. Procedia Comput. Sci. 167, 293–301 (2020)</w:t>
      </w:r>
    </w:p>
    <w:p>
      <w:pPr>
        <w:spacing w:after="80"/>
        <w:jc w:val="both"/>
      </w:pPr>
      <w:r>
        <w:rPr>
          <w:rFonts w:ascii="Times New Roman" w:hAnsi="Times New Roman"/>
          <w:sz w:val="22"/>
        </w:rPr>
        <w:t>[18] Koh, P.W., et al.: Concept bottleneck models. In: Proc. ICML, pp. 5338–5348 (2020)</w:t>
      </w:r>
    </w:p>
    <w:p>
      <w:pPr>
        <w:spacing w:after="80"/>
        <w:jc w:val="both"/>
      </w:pPr>
      <w:r>
        <w:rPr>
          <w:rFonts w:ascii="Times New Roman" w:hAnsi="Times New Roman"/>
          <w:sz w:val="22"/>
        </w:rPr>
        <w:t>[19] Chen, Z., et al.: Concept whitening for interpretable image recognition. Nat. Mach. Intell. 2(12), 772–782 (2020)</w:t>
      </w:r>
    </w:p>
    <w:p>
      <w:pPr>
        <w:spacing w:after="80"/>
        <w:jc w:val="both"/>
      </w:pPr>
      <w:r>
        <w:rPr>
          <w:rFonts w:ascii="Times New Roman" w:hAnsi="Times New Roman"/>
          <w:sz w:val="22"/>
        </w:rPr>
        <w:t>[20] Losch, M., et al.: Interpretability beyond classification output: semantic bottleneck networks. arXiv:1907.10882 (2019)</w:t>
      </w:r>
    </w:p>
    <w:p>
      <w:pPr>
        <w:spacing w:after="80"/>
        <w:jc w:val="both"/>
      </w:pPr>
      <w:r>
        <w:rPr>
          <w:rFonts w:ascii="Times New Roman" w:hAnsi="Times New Roman"/>
          <w:sz w:val="22"/>
        </w:rPr>
        <w:t>[21] Paszke, A., et al.: PyTorch: an imperative style, high-performance deep learning library. In: Proc. NeurIPS, pp. 8024–8035 (2019)</w:t>
      </w:r>
    </w:p>
    <w:p>
      <w:r>
        <w:br w:type="page"/>
      </w:r>
    </w:p>
    <w:p>
      <w:pPr>
        <w:spacing w:before="240" w:after="120"/>
        <w:jc w:val="center"/>
      </w:pPr>
      <w:r>
        <w:rPr>
          <w:rFonts w:ascii="Times New Roman" w:hAnsi="Times New Roman"/>
          <w:b/>
          <w:sz w:val="26"/>
        </w:rPr>
        <w:t>APPENDIX A</w:t>
      </w:r>
    </w:p>
    <w:p>
      <w:pPr>
        <w:spacing w:before="80" w:after="360"/>
        <w:jc w:val="center"/>
      </w:pPr>
      <w:r>
        <w:rPr>
          <w:rFonts w:ascii="Times New Roman" w:hAnsi="Times New Roman"/>
          <w:b/>
          <w:sz w:val="26"/>
        </w:rPr>
        <w:t>Turnitin Similarity Report</w:t>
      </w:r>
    </w:p>
    <w:p>
      <w:r>
        <w:br w:type="page"/>
      </w:r>
    </w:p>
    <w:p>
      <w:pPr>
        <w:spacing w:before="240" w:after="120"/>
        <w:jc w:val="center"/>
      </w:pPr>
      <w:r>
        <w:rPr>
          <w:rFonts w:ascii="Times New Roman" w:hAnsi="Times New Roman"/>
          <w:b/>
          <w:sz w:val="26"/>
        </w:rPr>
        <w:t>APPENDIX B</w:t>
      </w:r>
    </w:p>
    <w:p>
      <w:pPr>
        <w:spacing w:before="80" w:after="360"/>
        <w:jc w:val="center"/>
      </w:pPr>
      <w:r>
        <w:rPr>
          <w:rFonts w:ascii="Times New Roman" w:hAnsi="Times New Roman"/>
          <w:b/>
          <w:sz w:val="26"/>
        </w:rPr>
        <w:t>Turnitin AI Writing Detection Report</w:t>
      </w:r>
    </w:p>
    <w:p>
      <w:r>
        <w:br w:type="page"/>
      </w:r>
    </w:p>
    <w:p>
      <w:pPr>
        <w:spacing w:before="240" w:after="120"/>
        <w:jc w:val="center"/>
      </w:pPr>
      <w:r>
        <w:rPr>
          <w:rFonts w:ascii="Times New Roman" w:hAnsi="Times New Roman"/>
          <w:b/>
          <w:sz w:val="26"/>
        </w:rPr>
        <w:t>APPENDIX C</w:t>
      </w:r>
    </w:p>
    <w:p>
      <w:pPr>
        <w:spacing w:before="80" w:after="360"/>
        <w:jc w:val="center"/>
      </w:pPr>
      <w:r>
        <w:rPr>
          <w:rFonts w:ascii="Times New Roman" w:hAnsi="Times New Roman"/>
          <w:b/>
          <w:sz w:val="26"/>
        </w:rPr>
        <w:t>Publication</w:t>
      </w:r>
    </w:p>
    <w:p>
      <w:pPr>
        <w:spacing w:after="120" w:before="0"/>
        <w:spacing w:line="276" w:lineRule="auto"/>
        <w:jc w:val="both"/>
      </w:pPr>
      <w:r>
        <w:rPr>
          <w:rFonts w:ascii="Times New Roman" w:hAnsi="Times New Roman"/>
          <w:sz w:val="24"/>
        </w:rPr>
        <w:t>The research carried out as part of this URE has been accepted for publication at an international peer-reviewed conference. The details are as follows:</w:t>
      </w:r>
    </w:p>
    <w:p/>
    <w:p>
      <w:pPr>
        <w:spacing w:after="80"/>
      </w:pPr>
      <w:r>
        <w:rPr>
          <w:rFonts w:ascii="Times New Roman" w:hAnsi="Times New Roman"/>
          <w:b/>
          <w:sz w:val="24"/>
        </w:rPr>
        <w:t xml:space="preserve">Paper Title: </w:t>
      </w:r>
      <w:r>
        <w:rPr>
          <w:rFonts w:ascii="Times New Roman" w:hAnsi="Times New Roman"/>
          <w:sz w:val="24"/>
        </w:rPr>
        <w:t>Counterfactual Concept Bottleneck Networks with Squeeze-and-Excitation for Explainable Plant Disease Diagnosis</w:t>
      </w:r>
    </w:p>
    <w:p>
      <w:pPr>
        <w:spacing w:after="80"/>
      </w:pPr>
      <w:r>
        <w:rPr>
          <w:rFonts w:ascii="Times New Roman" w:hAnsi="Times New Roman"/>
          <w:b/>
          <w:sz w:val="24"/>
        </w:rPr>
        <w:t xml:space="preserve">Authors: </w:t>
      </w:r>
      <w:r>
        <w:rPr>
          <w:rFonts w:ascii="Times New Roman" w:hAnsi="Times New Roman"/>
          <w:sz w:val="24"/>
        </w:rPr>
        <w:t>Anushka Mahraniya</w:t>
      </w:r>
    </w:p>
    <w:p>
      <w:pPr>
        <w:spacing w:after="80"/>
      </w:pPr>
      <w:r>
        <w:rPr>
          <w:rFonts w:ascii="Times New Roman" w:hAnsi="Times New Roman"/>
          <w:b/>
          <w:sz w:val="24"/>
        </w:rPr>
        <w:t xml:space="preserve">Conference: </w:t>
      </w:r>
      <w:r>
        <w:rPr>
          <w:rFonts w:ascii="Times New Roman" w:hAnsi="Times New Roman"/>
          <w:sz w:val="24"/>
        </w:rPr>
        <w:t>ICDAM 2026 — 7th International Conference on Data Analytics &amp; Management</w:t>
      </w:r>
    </w:p>
    <w:p>
      <w:pPr>
        <w:spacing w:after="80"/>
      </w:pPr>
      <w:r>
        <w:rPr>
          <w:rFonts w:ascii="Times New Roman" w:hAnsi="Times New Roman"/>
          <w:b/>
          <w:sz w:val="24"/>
        </w:rPr>
        <w:t xml:space="preserve">Paper ID: </w:t>
      </w:r>
      <w:r>
        <w:rPr>
          <w:rFonts w:ascii="Times New Roman" w:hAnsi="Times New Roman"/>
          <w:sz w:val="24"/>
        </w:rPr>
        <w:t>1082</w:t>
      </w:r>
    </w:p>
    <w:p>
      <w:pPr>
        <w:spacing w:after="80"/>
      </w:pPr>
      <w:r>
        <w:rPr>
          <w:rFonts w:ascii="Times New Roman" w:hAnsi="Times New Roman"/>
          <w:b/>
          <w:sz w:val="24"/>
        </w:rPr>
        <w:t xml:space="preserve">Track: </w:t>
      </w:r>
      <w:r>
        <w:rPr>
          <w:rFonts w:ascii="Times New Roman" w:hAnsi="Times New Roman"/>
          <w:sz w:val="24"/>
        </w:rPr>
        <w:t>SS-13: Artificial Intelligence and Machine Learning for Secure, Explainable, and Sustainable Systems</w:t>
      </w:r>
    </w:p>
    <w:p>
      <w:pPr>
        <w:spacing w:after="80"/>
      </w:pPr>
      <w:r>
        <w:rPr>
          <w:rFonts w:ascii="Times New Roman" w:hAnsi="Times New Roman"/>
          <w:b/>
          <w:sz w:val="24"/>
        </w:rPr>
        <w:t xml:space="preserve">Publisher: </w:t>
      </w:r>
      <w:r>
        <w:rPr>
          <w:rFonts w:ascii="Times New Roman" w:hAnsi="Times New Roman"/>
          <w:sz w:val="24"/>
        </w:rPr>
        <w:t>Springer Nature – LNNS Series (SCOPUS, INSPEC, WTI Frankfurt eG, zbMATH, SCImago Indexed)</w:t>
      </w:r>
    </w:p>
    <w:p>
      <w:pPr>
        <w:spacing w:after="80"/>
      </w:pPr>
      <w:r>
        <w:rPr>
          <w:rFonts w:ascii="Times New Roman" w:hAnsi="Times New Roman"/>
          <w:b/>
          <w:sz w:val="24"/>
        </w:rPr>
        <w:t xml:space="preserve">Status: </w:t>
      </w:r>
      <w:r>
        <w:rPr>
          <w:rFonts w:ascii="Times New Roman" w:hAnsi="Times New Roman"/>
          <w:sz w:val="24"/>
        </w:rPr>
        <w:t>Accepted – Presentation scheduled; yet to be delivered.</w:t>
      </w:r>
    </w:p>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