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billing_subscription_schema"/>
    <w:p>
      <w:pPr>
        <w:pStyle w:val="Heading1"/>
      </w:pPr>
      <w:r>
        <w:t xml:space="preserve">012_BILLING_SUBSCRIPTION_SCHEMA</w:t>
      </w:r>
    </w:p>
    <w:bookmarkEnd w:id="21"/>
    <w:bookmarkStart w:id="23" w:name="master-amendment-v1.1"/>
    <w:p>
      <w:pPr>
        <w:pStyle w:val="Heading1"/>
      </w:pPr>
      <w:r>
        <w:t xml:space="preserve">MASTER AMENDMENT v1.1</w:t>
      </w:r>
    </w:p>
    <w:bookmarkStart w:id="22" w:name="version-1.1"/>
    <w:p>
      <w:pPr>
        <w:pStyle w:val="Heading2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012 Billing &amp; Subscription Schema Master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Documents</w:t>
            </w:r>
          </w:p>
        </w:tc>
        <w:tc>
          <w:tcPr/>
          <w:p>
            <w:pPr>
              <w:pStyle w:val="Compact"/>
            </w:pPr>
            <w:r>
              <w:t xml:space="preserve">Part 1, Part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Enterprise Billing &amp; Revenue Operations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Version</w:t>
            </w:r>
          </w:p>
        </w:tc>
        <w:tc>
          <w:tcPr/>
          <w:p>
            <w:pPr>
              <w:pStyle w:val="Compact"/>
            </w:pPr>
            <w:r>
              <w:t xml:space="preserve">012_BILLING_SUBSCRIPTION_SCHEMA v1.1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incorporates all approved findings from:</w:t>
      </w:r>
    </w:p>
    <w:p>
      <w:pPr>
        <w:pStyle w:val="SourceCode"/>
      </w:pPr>
      <w:r>
        <w:rPr>
          <w:rStyle w:val="VerbatimChar"/>
        </w:rPr>
        <w:t xml:space="preserve">Billing &amp; Subscription Schema Master Review v1.0</w:t>
      </w:r>
    </w:p>
    <w:p>
      <w:pPr>
        <w:pStyle w:val="FirstParagraph"/>
      </w:pPr>
      <w:r>
        <w:t xml:space="preserve">The review confirmed that the Billing &amp; Subscription module is production-ready with no critical or high-severity issues.</w:t>
      </w:r>
    </w:p>
    <w:p>
      <w:pPr>
        <w:pStyle w:val="BodyText"/>
      </w:pPr>
      <w:r>
        <w:t xml:space="preserve">This amendment introduces enterprise-grade enhancements focused on:</w:t>
      </w:r>
    </w:p>
    <w:p>
      <w:pPr>
        <w:pStyle w:val="SourceCode"/>
      </w:pPr>
      <w:r>
        <w:rPr>
          <w:rStyle w:val="VerbatimChar"/>
        </w:rPr>
        <w:t xml:space="preserve">Subscription Lifecycle Traceability</w:t>
      </w:r>
      <w:r>
        <w:br/>
      </w:r>
      <w:r>
        <w:br/>
      </w:r>
      <w:r>
        <w:rPr>
          <w:rStyle w:val="VerbatimChar"/>
        </w:rPr>
        <w:t xml:space="preserve">Revenue Operations</w:t>
      </w:r>
      <w:r>
        <w:br/>
      </w:r>
      <w:r>
        <w:br/>
      </w:r>
      <w:r>
        <w:rPr>
          <w:rStyle w:val="VerbatimChar"/>
        </w:rPr>
        <w:t xml:space="preserve">Collections Management</w:t>
      </w:r>
      <w:r>
        <w:br/>
      </w:r>
      <w:r>
        <w:br/>
      </w:r>
      <w:r>
        <w:rPr>
          <w:rStyle w:val="VerbatimChar"/>
        </w:rPr>
        <w:t xml:space="preserve">Payment Investigation</w:t>
      </w:r>
      <w:r>
        <w:br/>
      </w:r>
      <w:r>
        <w:br/>
      </w:r>
      <w:r>
        <w:rPr>
          <w:rStyle w:val="VerbatimChar"/>
        </w:rPr>
        <w:t xml:space="preserve">Settlement Reconciliation</w:t>
      </w:r>
      <w:r>
        <w:br/>
      </w:r>
      <w:r>
        <w:br/>
      </w:r>
      <w:r>
        <w:rPr>
          <w:rStyle w:val="VerbatimChar"/>
        </w:rPr>
        <w:t xml:space="preserve">Advanced Tax Governance</w:t>
      </w:r>
    </w:p>
    <w:p>
      <w:r>
        <w:pict>
          <v:rect style="width:0;height:1.5pt" o:hralign="center" o:hrstd="t" o:hr="t"/>
        </w:pict>
      </w:r>
    </w:p>
    <w:bookmarkEnd w:id="25"/>
    <w:bookmarkStart w:id="35" w:name="customer_subscriptions-enhancement"/>
    <w:p>
      <w:pPr>
        <w:pStyle w:val="Heading1"/>
      </w:pPr>
      <w:r>
        <w:t xml:space="preserve">2. CUSTOMER_SUBSCRIPTIONS ENHANCEMENT</w:t>
      </w:r>
    </w:p>
    <w:bookmarkStart w:id="31" w:name="subscription-history-tracking"/>
    <w:p>
      <w:pPr>
        <w:pStyle w:val="Heading2"/>
      </w:pPr>
      <w:r>
        <w:t xml:space="preserve">2.1 Subscription History Tracking</w:t>
      </w:r>
    </w:p>
    <w:bookmarkStart w:id="26" w:name="new-column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previous_subscription_id BIGINT UNSIGNED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26"/>
    <w:bookmarkStart w:id="2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Creates a linked history chain for subscription evolution.</w:t>
      </w:r>
    </w:p>
    <w:p>
      <w:r>
        <w:pict>
          <v:rect style="width:0;height:1.5pt" o:hralign="center" o:hrstd="t" o:hr="t"/>
        </w:pict>
      </w:r>
    </w:p>
    <w:bookmarkEnd w:id="27"/>
    <w:bookmarkStart w:id="28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Starter Subscription</w:t>
      </w:r>
      <w:r>
        <w:br/>
      </w:r>
      <w:r>
        <w:rPr>
          <w:rStyle w:val="VerbatimChar"/>
        </w:rPr>
        <w:t xml:space="preserve">        ↓ Upgrade</w:t>
      </w:r>
      <w:r>
        <w:br/>
      </w:r>
      <w:r>
        <w:rPr>
          <w:rStyle w:val="VerbatimChar"/>
        </w:rPr>
        <w:t xml:space="preserve">Professional Subscription</w:t>
      </w:r>
      <w:r>
        <w:br/>
      </w:r>
      <w:r>
        <w:rPr>
          <w:rStyle w:val="VerbatimChar"/>
        </w:rPr>
        <w:t xml:space="preserve">        ↓ Upgrade</w:t>
      </w:r>
      <w:r>
        <w:br/>
      </w:r>
      <w:r>
        <w:rPr>
          <w:rStyle w:val="VerbatimChar"/>
        </w:rPr>
        <w:t xml:space="preserve">Enterprise Subscription</w:t>
      </w:r>
    </w:p>
    <w:p>
      <w:r>
        <w:pict>
          <v:rect style="width:0;height:1.5pt" o:hralign="center" o:hrstd="t" o:hr="t"/>
        </w:pict>
      </w:r>
    </w:p>
    <w:bookmarkEnd w:id="28"/>
    <w:bookmarkStart w:id="29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Subscription Upgrades</w:t>
      </w:r>
      <w:r>
        <w:br/>
      </w:r>
      <w:r>
        <w:br/>
      </w:r>
      <w:r>
        <w:rPr>
          <w:rStyle w:val="VerbatimChar"/>
        </w:rPr>
        <w:t xml:space="preserve">Subscription Downgrades</w:t>
      </w:r>
      <w:r>
        <w:br/>
      </w:r>
      <w:r>
        <w:br/>
      </w:r>
      <w:r>
        <w:rPr>
          <w:rStyle w:val="VerbatimChar"/>
        </w:rPr>
        <w:t xml:space="preserve">Renewal History</w:t>
      </w:r>
      <w:r>
        <w:br/>
      </w:r>
      <w:r>
        <w:br/>
      </w:r>
      <w:r>
        <w:rPr>
          <w:rStyle w:val="VerbatimChar"/>
        </w:rPr>
        <w:t xml:space="preserve">Commercial Audits</w:t>
      </w:r>
    </w:p>
    <w:p>
      <w:r>
        <w:pict>
          <v:rect style="width:0;height:1.5pt" o:hralign="center" o:hrstd="t" o:hr="t"/>
        </w:pict>
      </w:r>
    </w:p>
    <w:bookmarkEnd w:id="29"/>
    <w:bookmarkStart w:id="30" w:name="foreign-key"/>
    <w:p>
      <w:pPr>
        <w:pStyle w:val="Heading3"/>
      </w:pPr>
      <w:r>
        <w:t xml:space="preserve">Foreign Key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customer_subscriptions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fk_customer_subscriptions_previous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(previous_subscription_id)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customer_subscriptions(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ubscription-operations-optimization"/>
    <w:p>
      <w:pPr>
        <w:pStyle w:val="Heading2"/>
      </w:pPr>
      <w:r>
        <w:t xml:space="preserve">2.2 Subscription Operations Optimization</w:t>
      </w:r>
    </w:p>
    <w:bookmarkStart w:id="32" w:name="new-index"/>
    <w:p>
      <w:pPr>
        <w:pStyle w:val="Heading3"/>
      </w:pPr>
      <w:r>
        <w:t xml:space="preserve">New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ix_customer_subscriptions_org_status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customer_subscriptions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organization_id,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2"/>
    <w:bookmarkStart w:id="33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Optimizes tenant subscription operations and revenue reporting.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subscription_usage-enhancement"/>
    <w:p>
      <w:pPr>
        <w:pStyle w:val="Heading1"/>
      </w:pPr>
      <w:r>
        <w:t xml:space="preserve">3. SUBSCRIPTION_USAGE ENHANCEMENT</w:t>
      </w:r>
    </w:p>
    <w:bookmarkStart w:id="40" w:name="billable-usage-indicator"/>
    <w:p>
      <w:pPr>
        <w:pStyle w:val="Heading2"/>
      </w:pPr>
      <w:r>
        <w:t xml:space="preserve">3.1 Billable Usage Indicator</w:t>
      </w:r>
    </w:p>
    <w:bookmarkStart w:id="36" w:name="new-column-1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is_billable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36"/>
    <w:bookmarkStart w:id="37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Distinguishes billable usage from informational or promotional usage.</w:t>
      </w:r>
    </w:p>
    <w:p>
      <w:r>
        <w:pict>
          <v:rect style="width:0;height:1.5pt" o:hralign="center" o:hrstd="t" o:hr="t"/>
        </w:pict>
      </w:r>
    </w:p>
    <w:bookmarkEnd w:id="37"/>
    <w:bookmarkStart w:id="38" w:name="examples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Assessment Attempts</w:t>
      </w:r>
      <w:r>
        <w:br/>
      </w:r>
      <w:r>
        <w:rPr>
          <w:rStyle w:val="VerbatimChar"/>
        </w:rPr>
        <w:t xml:space="preserve">→ Billable</w:t>
      </w:r>
      <w:r>
        <w:br/>
      </w:r>
      <w:r>
        <w:br/>
      </w:r>
      <w:r>
        <w:rPr>
          <w:rStyle w:val="VerbatimChar"/>
        </w:rPr>
        <w:t xml:space="preserve">Free Trial Usage</w:t>
      </w:r>
      <w:r>
        <w:br/>
      </w:r>
      <w:r>
        <w:rPr>
          <w:rStyle w:val="VerbatimChar"/>
        </w:rPr>
        <w:t xml:space="preserve">→ Non-Billable</w:t>
      </w:r>
      <w:r>
        <w:br/>
      </w:r>
      <w:r>
        <w:br/>
      </w:r>
      <w:r>
        <w:rPr>
          <w:rStyle w:val="VerbatimChar"/>
        </w:rPr>
        <w:t xml:space="preserve">Promotional Credits</w:t>
      </w:r>
      <w:r>
        <w:br/>
      </w:r>
      <w:r>
        <w:rPr>
          <w:rStyle w:val="VerbatimChar"/>
        </w:rPr>
        <w:t xml:space="preserve">→ Non-Billable</w:t>
      </w:r>
    </w:p>
    <w:p>
      <w:r>
        <w:pict>
          <v:rect style="width:0;height:1.5pt" o:hralign="center" o:hrstd="t" o:hr="t"/>
        </w:pict>
      </w:r>
    </w:p>
    <w:bookmarkEnd w:id="38"/>
    <w:bookmarkStart w:id="39" w:name="benefits-1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Usage-Based Billing</w:t>
      </w:r>
      <w:r>
        <w:br/>
      </w:r>
      <w:r>
        <w:br/>
      </w:r>
      <w:r>
        <w:rPr>
          <w:rStyle w:val="VerbatimChar"/>
        </w:rPr>
        <w:t xml:space="preserve">Promotional Programs</w:t>
      </w:r>
      <w:r>
        <w:br/>
      </w:r>
      <w:r>
        <w:br/>
      </w:r>
      <w:r>
        <w:rPr>
          <w:rStyle w:val="VerbatimChar"/>
        </w:rPr>
        <w:t xml:space="preserve">Revenue Recognition</w:t>
      </w:r>
      <w:r>
        <w:br/>
      </w:r>
      <w:r>
        <w:br/>
      </w:r>
      <w:r>
        <w:rPr>
          <w:rStyle w:val="VerbatimChar"/>
        </w:rPr>
        <w:t xml:space="preserve">Commercial Flexibility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9" w:name="invoices-enhancement"/>
    <w:p>
      <w:pPr>
        <w:pStyle w:val="Heading1"/>
      </w:pPr>
      <w:r>
        <w:t xml:space="preserve">4. INVOICES ENHANCEMENT</w:t>
      </w:r>
    </w:p>
    <w:bookmarkStart w:id="45" w:name="due-date-governance"/>
    <w:p>
      <w:pPr>
        <w:pStyle w:val="Heading2"/>
      </w:pPr>
      <w:r>
        <w:t xml:space="preserve">4.1 Due Date Governance</w:t>
      </w:r>
    </w:p>
    <w:bookmarkStart w:id="42" w:name="new-column-2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due_date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42"/>
    <w:bookmarkStart w:id="43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invoice payment deadlines.</w:t>
      </w:r>
    </w:p>
    <w:p>
      <w:r>
        <w:pict>
          <v:rect style="width:0;height:1.5pt" o:hralign="center" o:hrstd="t" o:hr="t"/>
        </w:pict>
      </w:r>
    </w:p>
    <w:bookmarkEnd w:id="43"/>
    <w:bookmarkStart w:id="44" w:name="benefits-2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Receivables Management</w:t>
      </w:r>
      <w:r>
        <w:br/>
      </w:r>
      <w:r>
        <w:br/>
      </w:r>
      <w:r>
        <w:rPr>
          <w:rStyle w:val="VerbatimChar"/>
        </w:rPr>
        <w:t xml:space="preserve">Collections Operations</w:t>
      </w:r>
      <w:r>
        <w:br/>
      </w:r>
      <w:r>
        <w:br/>
      </w:r>
      <w:r>
        <w:rPr>
          <w:rStyle w:val="VerbatimChar"/>
        </w:rPr>
        <w:t xml:space="preserve">Overdue Reporting</w:t>
      </w:r>
      <w:r>
        <w:br/>
      </w:r>
      <w:r>
        <w:br/>
      </w:r>
      <w:r>
        <w:rPr>
          <w:rStyle w:val="VerbatimChar"/>
        </w:rPr>
        <w:t xml:space="preserve">Cash Flow Forecasting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ollections-optimization"/>
    <w:p>
      <w:pPr>
        <w:pStyle w:val="Heading2"/>
      </w:pPr>
      <w:r>
        <w:t xml:space="preserve">4.2 Collections Optimization</w:t>
      </w:r>
    </w:p>
    <w:bookmarkStart w:id="46" w:name="new-index-1"/>
    <w:p>
      <w:pPr>
        <w:pStyle w:val="Heading3"/>
      </w:pPr>
      <w:r>
        <w:t xml:space="preserve">New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ix_invoices_due_status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due_date,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6"/>
    <w:bookmarkStart w:id="47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Optimizes overdue invoice monitoring and collections dashboards.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5" w:name="invoice_items-enhancement"/>
    <w:p>
      <w:pPr>
        <w:pStyle w:val="Heading1"/>
      </w:pPr>
      <w:r>
        <w:t xml:space="preserve">5. INVOICE_ITEMS ENHANCEMENT</w:t>
      </w:r>
    </w:p>
    <w:bookmarkStart w:id="54" w:name="advanced-tax-breakdown"/>
    <w:p>
      <w:pPr>
        <w:pStyle w:val="Heading2"/>
      </w:pPr>
      <w:r>
        <w:t xml:space="preserve">5.1 Advanced Tax Breakdown</w:t>
      </w:r>
    </w:p>
    <w:bookmarkStart w:id="50" w:name="new-column-3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tax_breakdown_json JSON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50"/>
    <w:bookmarkStart w:id="51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Supports detailed tax calculations.</w:t>
      </w:r>
    </w:p>
    <w:p>
      <w:r>
        <w:pict>
          <v:rect style="width:0;height:1.5pt" o:hralign="center" o:hrstd="t" o:hr="t"/>
        </w:pict>
      </w:r>
    </w:p>
    <w:bookmarkEnd w:id="51"/>
    <w:bookmarkStart w:id="52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"cgst"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"sgst"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benefits-3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GST Compliance</w:t>
      </w:r>
      <w:r>
        <w:br/>
      </w:r>
      <w:r>
        <w:br/>
      </w:r>
      <w:r>
        <w:rPr>
          <w:rStyle w:val="VerbatimChar"/>
        </w:rPr>
        <w:t xml:space="preserve">International Taxation</w:t>
      </w:r>
      <w:r>
        <w:br/>
      </w:r>
      <w:r>
        <w:br/>
      </w:r>
      <w:r>
        <w:rPr>
          <w:rStyle w:val="VerbatimChar"/>
        </w:rPr>
        <w:t xml:space="preserve">Detailed Invoicing</w:t>
      </w:r>
      <w:r>
        <w:br/>
      </w:r>
      <w:r>
        <w:br/>
      </w:r>
      <w:r>
        <w:rPr>
          <w:rStyle w:val="VerbatimChar"/>
        </w:rPr>
        <w:t xml:space="preserve">Tax Audits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1" w:name="payments-enhancement"/>
    <w:p>
      <w:pPr>
        <w:pStyle w:val="Heading1"/>
      </w:pPr>
      <w:r>
        <w:t xml:space="preserve">6. PAYMENTS ENHANCEMENT</w:t>
      </w:r>
    </w:p>
    <w:bookmarkStart w:id="60" w:name="payment-reference-tracking"/>
    <w:p>
      <w:pPr>
        <w:pStyle w:val="Heading2"/>
      </w:pPr>
      <w:r>
        <w:t xml:space="preserve">6.1 Payment Reference Tracking</w:t>
      </w:r>
    </w:p>
    <w:bookmarkStart w:id="56" w:name="new-column-4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payment_reference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56"/>
    <w:bookmarkStart w:id="57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customer-visible payment identifiers.</w:t>
      </w:r>
    </w:p>
    <w:p>
      <w:r>
        <w:pict>
          <v:rect style="width:0;height:1.5pt" o:hralign="center" o:hrstd="t" o:hr="t"/>
        </w:pict>
      </w:r>
    </w:p>
    <w:bookmarkEnd w:id="57"/>
    <w:bookmarkStart w:id="58" w:name="examples-1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UPI-REF-123456</w:t>
      </w:r>
      <w:r>
        <w:br/>
      </w:r>
      <w:r>
        <w:br/>
      </w:r>
      <w:r>
        <w:rPr>
          <w:rStyle w:val="VerbatimChar"/>
        </w:rPr>
        <w:t xml:space="preserve">BANK-TXN-987654</w:t>
      </w:r>
      <w:r>
        <w:br/>
      </w:r>
      <w:r>
        <w:br/>
      </w:r>
      <w:r>
        <w:rPr>
          <w:rStyle w:val="VerbatimChar"/>
        </w:rPr>
        <w:t xml:space="preserve">PAY-2026-001</w:t>
      </w:r>
    </w:p>
    <w:p>
      <w:r>
        <w:pict>
          <v:rect style="width:0;height:1.5pt" o:hralign="center" o:hrstd="t" o:hr="t"/>
        </w:pict>
      </w:r>
    </w:p>
    <w:bookmarkEnd w:id="58"/>
    <w:bookmarkStart w:id="59" w:name="benefits-4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Customer Support</w:t>
      </w:r>
      <w:r>
        <w:br/>
      </w:r>
      <w:r>
        <w:br/>
      </w:r>
      <w:r>
        <w:rPr>
          <w:rStyle w:val="VerbatimChar"/>
        </w:rPr>
        <w:t xml:space="preserve">Payment Investigations</w:t>
      </w:r>
      <w:r>
        <w:br/>
      </w:r>
      <w:r>
        <w:br/>
      </w:r>
      <w:r>
        <w:rPr>
          <w:rStyle w:val="VerbatimChar"/>
        </w:rPr>
        <w:t xml:space="preserve">Finance Operations</w:t>
      </w:r>
      <w:r>
        <w:br/>
      </w:r>
      <w:r>
        <w:br/>
      </w:r>
      <w:r>
        <w:rPr>
          <w:rStyle w:val="VerbatimChar"/>
        </w:rPr>
        <w:t xml:space="preserve">Dispute Resolution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7" w:name="payment_transactions-enhancement"/>
    <w:p>
      <w:pPr>
        <w:pStyle w:val="Heading1"/>
      </w:pPr>
      <w:r>
        <w:t xml:space="preserve">7. PAYMENT_TRANSACTIONS ENHANCEMENT</w:t>
      </w:r>
    </w:p>
    <w:bookmarkStart w:id="66" w:name="settlement-tracking"/>
    <w:p>
      <w:pPr>
        <w:pStyle w:val="Heading2"/>
      </w:pPr>
      <w:r>
        <w:t xml:space="preserve">7.1 Settlement Tracking</w:t>
      </w:r>
    </w:p>
    <w:bookmarkStart w:id="62" w:name="new-column-5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settlement_date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62"/>
    <w:bookmarkStart w:id="63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Tracks when provider funds are settled.</w:t>
      </w:r>
    </w:p>
    <w:p>
      <w:r>
        <w:pict>
          <v:rect style="width:0;height:1.5pt" o:hralign="center" o:hrstd="t" o:hr="t"/>
        </w:pict>
      </w:r>
    </w:p>
    <w:bookmarkEnd w:id="63"/>
    <w:bookmarkStart w:id="64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Transaction Captured</w:t>
      </w:r>
      <w:r>
        <w:br/>
      </w:r>
      <w:r>
        <w:rPr>
          <w:rStyle w:val="VerbatimChar"/>
        </w:rPr>
        <w:t xml:space="preserve">01-Jan-2027</w:t>
      </w:r>
      <w:r>
        <w:br/>
      </w:r>
      <w:r>
        <w:br/>
      </w:r>
      <w:r>
        <w:rPr>
          <w:rStyle w:val="VerbatimChar"/>
        </w:rPr>
        <w:t xml:space="preserve">Funds Settled</w:t>
      </w:r>
      <w:r>
        <w:br/>
      </w:r>
      <w:r>
        <w:rPr>
          <w:rStyle w:val="VerbatimChar"/>
        </w:rPr>
        <w:t xml:space="preserve">03-Jan-2027</w:t>
      </w:r>
    </w:p>
    <w:p>
      <w:r>
        <w:pict>
          <v:rect style="width:0;height:1.5pt" o:hralign="center" o:hrstd="t" o:hr="t"/>
        </w:pict>
      </w:r>
    </w:p>
    <w:bookmarkEnd w:id="64"/>
    <w:bookmarkStart w:id="65" w:name="benefits-5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Cash Reconciliation</w:t>
      </w:r>
      <w:r>
        <w:br/>
      </w:r>
      <w:r>
        <w:br/>
      </w:r>
      <w:r>
        <w:rPr>
          <w:rStyle w:val="VerbatimChar"/>
        </w:rPr>
        <w:t xml:space="preserve">Settlement Analytics</w:t>
      </w:r>
      <w:r>
        <w:br/>
      </w:r>
      <w:r>
        <w:br/>
      </w:r>
      <w:r>
        <w:rPr>
          <w:rStyle w:val="VerbatimChar"/>
        </w:rPr>
        <w:t xml:space="preserve">Finance Operations</w:t>
      </w:r>
      <w:r>
        <w:br/>
      </w:r>
      <w:r>
        <w:br/>
      </w:r>
      <w:r>
        <w:rPr>
          <w:rStyle w:val="VerbatimChar"/>
        </w:rPr>
        <w:t xml:space="preserve">Treasury Reporting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3" w:name="governance-rules"/>
    <w:p>
      <w:pPr>
        <w:pStyle w:val="Heading1"/>
      </w:pPr>
      <w:r>
        <w:t xml:space="preserve">8. GOVERNANCE RULES</w:t>
      </w:r>
    </w:p>
    <w:bookmarkStart w:id="68" w:name="subscription-governance"/>
    <w:p>
      <w:pPr>
        <w:pStyle w:val="Heading2"/>
      </w:pPr>
      <w:r>
        <w:t xml:space="preserve">Subscription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previous_subscription_id</w:t>
      </w:r>
    </w:p>
    <w:p>
      <w:pPr>
        <w:pStyle w:val="FirstParagraph"/>
      </w:pPr>
      <w:r>
        <w:t xml:space="preserve">is populated, the subscription represents a commercial transition from an earlier subscription.</w:t>
      </w:r>
    </w:p>
    <w:p>
      <w:r>
        <w:pict>
          <v:rect style="width:0;height:1.5pt" o:hralign="center" o:hrstd="t" o:hr="t"/>
        </w:pict>
      </w:r>
    </w:p>
    <w:bookmarkEnd w:id="68"/>
    <w:bookmarkStart w:id="69" w:name="usage-governance"/>
    <w:p>
      <w:pPr>
        <w:pStyle w:val="Heading2"/>
      </w:pPr>
      <w:r>
        <w:t xml:space="preserve">Usage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is_billable = 0</w:t>
      </w:r>
    </w:p>
    <w:p>
      <w:pPr>
        <w:pStyle w:val="FirstParagraph"/>
      </w:pPr>
      <w:r>
        <w:t xml:space="preserve">usage must not generate invoice charges.</w:t>
      </w:r>
    </w:p>
    <w:p>
      <w:r>
        <w:pict>
          <v:rect style="width:0;height:1.5pt" o:hralign="center" o:hrstd="t" o:hr="t"/>
        </w:pict>
      </w:r>
    </w:p>
    <w:bookmarkEnd w:id="69"/>
    <w:bookmarkStart w:id="70" w:name="invoice-governance"/>
    <w:p>
      <w:pPr>
        <w:pStyle w:val="Heading2"/>
      </w:pPr>
      <w:r>
        <w:t xml:space="preserve">Invoice Governance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due_date</w:t>
      </w:r>
    </w:p>
    <w:p>
      <w:pPr>
        <w:pStyle w:val="FirstParagraph"/>
      </w:pPr>
      <w:r>
        <w:t xml:space="preserve">is exceeded and payment remains incomplete, invoice status may transition to:</w:t>
      </w:r>
    </w:p>
    <w:p>
      <w:pPr>
        <w:pStyle w:val="SourceCode"/>
      </w:pPr>
      <w:r>
        <w:rPr>
          <w:rStyle w:val="VerbatimChar"/>
        </w:rPr>
        <w:t xml:space="preserve">Overdue</w:t>
      </w:r>
    </w:p>
    <w:p>
      <w:r>
        <w:pict>
          <v:rect style="width:0;height:1.5pt" o:hralign="center" o:hrstd="t" o:hr="t"/>
        </w:pict>
      </w:r>
    </w:p>
    <w:bookmarkEnd w:id="70"/>
    <w:bookmarkStart w:id="71" w:name="payment-governance"/>
    <w:p>
      <w:pPr>
        <w:pStyle w:val="Heading2"/>
      </w:pPr>
      <w:r>
        <w:t xml:space="preserve">Payment Governance</w:t>
      </w:r>
    </w:p>
    <w:p>
      <w:pPr>
        <w:pStyle w:val="SourceCode"/>
      </w:pPr>
      <w:r>
        <w:rPr>
          <w:rStyle w:val="VerbatimChar"/>
        </w:rPr>
        <w:t xml:space="preserve">payment_reference</w:t>
      </w:r>
    </w:p>
    <w:p>
      <w:pPr>
        <w:pStyle w:val="FirstParagraph"/>
      </w:pPr>
      <w:r>
        <w:t xml:space="preserve">must remain immutable once payment status becomes:</w:t>
      </w:r>
    </w:p>
    <w:p>
      <w:pPr>
        <w:pStyle w:val="SourceCode"/>
      </w:pP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71"/>
    <w:bookmarkStart w:id="72" w:name="settlement-governance"/>
    <w:p>
      <w:pPr>
        <w:pStyle w:val="Heading2"/>
      </w:pPr>
      <w:r>
        <w:t xml:space="preserve">Settlement Governance</w:t>
      </w:r>
    </w:p>
    <w:p>
      <w:pPr>
        <w:pStyle w:val="SourceCode"/>
      </w:pPr>
      <w:r>
        <w:rPr>
          <w:rStyle w:val="VerbatimChar"/>
        </w:rPr>
        <w:t xml:space="preserve">settlement_date</w:t>
      </w:r>
    </w:p>
    <w:p>
      <w:pPr>
        <w:pStyle w:val="FirstParagraph"/>
      </w:pPr>
      <w:r>
        <w:t xml:space="preserve">must only be populated after provider settlement confirmation.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impact-analysis"/>
    <w:p>
      <w:pPr>
        <w:pStyle w:val="Heading1"/>
      </w:pPr>
      <w:r>
        <w:t xml:space="preserve">9.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Lifecycle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Operations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Collections Management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Investigations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Compliance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Reconciliation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final-validation-summary"/>
    <w:p>
      <w:pPr>
        <w:pStyle w:val="Heading1"/>
      </w:pPr>
      <w:r>
        <w:t xml:space="preserve">10. FINAL VALIDATION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Lifecycle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Metering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Governance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Reconciliation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Auditability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Management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Monetization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approved-billing-baseline"/>
    <w:p>
      <w:pPr>
        <w:pStyle w:val="Heading1"/>
      </w:pPr>
      <w:r>
        <w:t xml:space="preserve">11. APPROVED BILLING BASELINE</w:t>
      </w:r>
    </w:p>
    <w:p>
      <w:pPr>
        <w:pStyle w:val="FirstParagraph"/>
      </w:pPr>
      <w:r>
        <w:t xml:space="preserve">The approved Billing &amp; Subscription tables are:</w:t>
      </w:r>
    </w:p>
    <w:p>
      <w:pPr>
        <w:pStyle w:val="SourceCode"/>
      </w:pPr>
      <w:r>
        <w:rPr>
          <w:rStyle w:val="VerbatimChar"/>
        </w:rPr>
        <w:t xml:space="preserve">subscription_plans</w:t>
      </w:r>
      <w:r>
        <w:br/>
      </w:r>
      <w:r>
        <w:br/>
      </w:r>
      <w:r>
        <w:rPr>
          <w:rStyle w:val="VerbatimChar"/>
        </w:rPr>
        <w:t xml:space="preserve">customer_subscriptions</w:t>
      </w:r>
      <w:r>
        <w:br/>
      </w:r>
      <w:r>
        <w:br/>
      </w:r>
      <w:r>
        <w:rPr>
          <w:rStyle w:val="VerbatimChar"/>
        </w:rPr>
        <w:t xml:space="preserve">subscription_usage</w:t>
      </w:r>
      <w:r>
        <w:br/>
      </w:r>
      <w:r>
        <w:br/>
      </w: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invoice_items</w:t>
      </w:r>
      <w:r>
        <w:br/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payment_transactions</w:t>
      </w:r>
    </w:p>
    <w:p>
      <w:pPr>
        <w:pStyle w:val="FirstParagraph"/>
      </w:pPr>
      <w:r>
        <w:t xml:space="preserve">with all approved amendments merged.</w:t>
      </w:r>
    </w:p>
    <w:p>
      <w:r>
        <w:pict>
          <v:rect style="width:0;height:1.5pt" o:hralign="center" o:hrstd="t" o:hr="t"/>
        </w:pict>
      </w:r>
    </w:p>
    <w:bookmarkEnd w:id="76"/>
    <w:bookmarkStart w:id="77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012 Billing &amp; Subscription Schema Master Amendment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v1.1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MERGED INTO BASELINE</w:t>
      </w:r>
    </w:p>
    <w:p>
      <w:r>
        <w:pict>
          <v:rect style="width:0;height:1.5pt" o:hralign="center" o:hrstd="t" o:hr="t"/>
        </w:pict>
      </w:r>
    </w:p>
    <w:bookmarkEnd w:id="77"/>
    <w:bookmarkStart w:id="78" w:name="final-module-status"/>
    <w:p>
      <w:pPr>
        <w:pStyle w:val="Heading1"/>
      </w:pPr>
      <w:r>
        <w:t xml:space="preserve">FINAL MODULE STATUS</w:t>
      </w:r>
    </w:p>
    <w:p>
      <w:pPr>
        <w:pStyle w:val="SourceCode"/>
      </w:pPr>
      <w:r>
        <w:rPr>
          <w:rStyle w:val="VerbatimChar"/>
        </w:rPr>
        <w:t xml:space="preserve">012_BILLING_SUBSCRIPTION_SCHEMA</w:t>
      </w:r>
      <w:r>
        <w:br/>
      </w:r>
      <w:r>
        <w:br/>
      </w:r>
      <w:r>
        <w:rPr>
          <w:rStyle w:val="VerbatimChar"/>
        </w:rPr>
        <w:t xml:space="preserve">VERSION 1.1</w:t>
      </w:r>
      <w:r>
        <w:br/>
      </w:r>
      <w:r>
        <w:br/>
      </w:r>
      <w:r>
        <w:rPr>
          <w:rStyle w:val="VerbatimChar"/>
        </w:rPr>
        <w:t xml:space="preserve">FINAL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78"/>
    <w:bookmarkStart w:id="79" w:name="architecture-baseline-status"/>
    <w:p>
      <w:pPr>
        <w:pStyle w:val="Heading1"/>
      </w:pPr>
      <w:r>
        <w:t xml:space="preserve">ARCHITECTURE BASELINE STATUS</w:t>
      </w:r>
    </w:p>
    <w:p>
      <w:pPr>
        <w:pStyle w:val="SourceCode"/>
      </w:pPr>
      <w:r>
        <w:rPr>
          <w:rStyle w:val="VerbatimChar"/>
        </w:rPr>
        <w:t xml:space="preserve">001_SECURITY_SCHEMA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002_GOVERNANCE_FOUNDATION_SCHEMA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003_ASSESSMENT_DEFINITION_SCHEMA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004_ASSESSMENT_EXECUTION_SCHEMA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005_EVALUATION_SCHEMA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006_CERTIFICATION_SCHEMA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007_NOTIFICATION_SCHEMA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008_REPORTING_ANALYTICS_SCHEMA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009_INTEGRATION_AUDIT_SCHEMA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010_PLATFORM_OPERATIONS_SCHEMA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011_AI_PROCTORING_SCHEMA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012_BILLING_SUBSCRIPTION_SCHEMA v1.1 FINAL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79"/>
    <w:bookmarkStart w:id="80" w:name="overall-platform-status"/>
    <w:p>
      <w:pPr>
        <w:pStyle w:val="Heading1"/>
      </w:pPr>
      <w:r>
        <w:t xml:space="preserve">OVERALL PLATFORM STATUS</w:t>
      </w:r>
    </w:p>
    <w:p>
      <w:pPr>
        <w:pStyle w:val="FirstParagraph"/>
      </w:pPr>
      <w:r>
        <w:t xml:space="preserve">Completed Core Domains:</w:t>
      </w:r>
    </w:p>
    <w:p>
      <w:pPr>
        <w:pStyle w:val="SourceCode"/>
      </w:pPr>
      <w:r>
        <w:rPr>
          <w:rStyle w:val="VerbatimChar"/>
        </w:rPr>
        <w:t xml:space="preserve">001 Security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002 Governance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003 Assessment Definition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004 Assessment Execution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005 Evaluation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006 Certification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007 Notification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008 Reporting &amp; Analytics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009 Integration &amp; Audit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010 Platform Operations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011 AI Proctoring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012 Billing &amp; Subscription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80"/>
    <w:bookmarkStart w:id="81" w:name="platform-architecture-status"/>
    <w:p>
      <w:pPr>
        <w:pStyle w:val="Heading1"/>
      </w:pPr>
      <w:r>
        <w:t xml:space="preserve">PLATFORM ARCHITECTURE STATUS</w:t>
      </w:r>
    </w:p>
    <w:p>
      <w:pPr>
        <w:pStyle w:val="SourceCode"/>
      </w:pPr>
      <w:r>
        <w:rPr>
          <w:rStyle w:val="VerbatimChar"/>
        </w:rPr>
        <w:t xml:space="preserve">Security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Governance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Definition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Execution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Evaluation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Certification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Notification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Reporting &amp; Analytics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Integration &amp; Audit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Platform Operations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AI Proctoring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Billing &amp; Subscription Layer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81"/>
    <w:bookmarkStart w:id="82" w:name="recommended-next-step"/>
    <w:p>
      <w:pPr>
        <w:pStyle w:val="Heading1"/>
      </w:pPr>
      <w:r>
        <w:t xml:space="preserve">RECOMMENDED 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013_CONTENT_LIBRARY_SCHEMA</w:t>
      </w:r>
    </w:p>
    <w:p>
      <w:pPr>
        <w:pStyle w:val="FirstParagraph"/>
      </w:pPr>
      <w:r>
        <w:t xml:space="preserve">Core Areas:</w:t>
      </w:r>
    </w:p>
    <w:p>
      <w:pPr>
        <w:pStyle w:val="SourceCode"/>
      </w:pPr>
      <w:r>
        <w:rPr>
          <w:rStyle w:val="VerbatimChar"/>
        </w:rPr>
        <w:t xml:space="preserve">content_categories</w:t>
      </w:r>
      <w:r>
        <w:br/>
      </w:r>
      <w:r>
        <w:br/>
      </w:r>
      <w:r>
        <w:rPr>
          <w:rStyle w:val="VerbatimChar"/>
        </w:rPr>
        <w:t xml:space="preserve">content_tags</w:t>
      </w:r>
      <w:r>
        <w:br/>
      </w:r>
      <w:r>
        <w:br/>
      </w:r>
      <w:r>
        <w:rPr>
          <w:rStyle w:val="VerbatimChar"/>
        </w:rPr>
        <w:t xml:space="preserve">content_assets</w:t>
      </w:r>
      <w:r>
        <w:br/>
      </w:r>
      <w:r>
        <w:br/>
      </w:r>
      <w:r>
        <w:rPr>
          <w:rStyle w:val="VerbatimChar"/>
        </w:rPr>
        <w:t xml:space="preserve">content_versions</w:t>
      </w:r>
      <w:r>
        <w:br/>
      </w:r>
      <w:r>
        <w:br/>
      </w:r>
      <w:r>
        <w:rPr>
          <w:rStyle w:val="VerbatimChar"/>
        </w:rPr>
        <w:t xml:space="preserve">content_reviews</w:t>
      </w:r>
      <w:r>
        <w:br/>
      </w:r>
      <w:r>
        <w:br/>
      </w:r>
      <w:r>
        <w:rPr>
          <w:rStyle w:val="VerbatimChar"/>
        </w:rPr>
        <w:t xml:space="preserve">content_publish_history</w:t>
      </w:r>
    </w:p>
    <w:p>
      <w:pPr>
        <w:pStyle w:val="FirstParagraph"/>
      </w:pPr>
      <w:r>
        <w:t xml:space="preserve">This module will establish:</w:t>
      </w:r>
    </w:p>
    <w:p>
      <w:pPr>
        <w:pStyle w:val="SourceCode"/>
      </w:pPr>
      <w:r>
        <w:rPr>
          <w:rStyle w:val="VerbatimChar"/>
        </w:rPr>
        <w:t xml:space="preserve">Question Bank Asset Management</w:t>
      </w:r>
      <w:r>
        <w:br/>
      </w:r>
      <w:r>
        <w:br/>
      </w:r>
      <w:r>
        <w:rPr>
          <w:rStyle w:val="VerbatimChar"/>
        </w:rPr>
        <w:t xml:space="preserve">Learning Content Repository</w:t>
      </w:r>
      <w:r>
        <w:br/>
      </w:r>
      <w:r>
        <w:br/>
      </w:r>
      <w:r>
        <w:rPr>
          <w:rStyle w:val="VerbatimChar"/>
        </w:rPr>
        <w:t xml:space="preserve">Version Control</w:t>
      </w:r>
      <w:r>
        <w:br/>
      </w:r>
      <w:r>
        <w:br/>
      </w:r>
      <w:r>
        <w:rPr>
          <w:rStyle w:val="VerbatimChar"/>
        </w:rPr>
        <w:t xml:space="preserve">Content Governance</w:t>
      </w:r>
      <w:r>
        <w:br/>
      </w:r>
      <w:r>
        <w:br/>
      </w:r>
      <w:r>
        <w:rPr>
          <w:rStyle w:val="VerbatimChar"/>
        </w:rPr>
        <w:t xml:space="preserve">Publishing Workflow</w:t>
      </w:r>
      <w:r>
        <w:br/>
      </w:r>
      <w:r>
        <w:br/>
      </w:r>
      <w:r>
        <w:rPr>
          <w:rStyle w:val="VerbatimChar"/>
        </w:rPr>
        <w:t xml:space="preserve">Knowledge Management</w:t>
      </w:r>
    </w:p>
    <w:p>
      <w:pPr>
        <w:pStyle w:val="FirstParagraph"/>
      </w:pPr>
      <w:r>
        <w:t xml:space="preserve">and completes the enterprise content management foundation of the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2026-06-19T22:51:59Z</dcterms:created>
  <dcterms:modified xsi:type="dcterms:W3CDTF">2026-06-19T22:51:59Z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