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database-standards-conventions"/>
    <w:p>
      <w:pPr>
        <w:pStyle w:val="Heading1"/>
      </w:pPr>
      <w:r>
        <w:t xml:space="preserve">DATABASE STANDARDS &amp; CONVENTIONS</w:t>
      </w:r>
    </w:p>
    <w:bookmarkEnd w:id="21"/>
    <w:bookmarkStart w:id="22" w:name="amendment-v1.1"/>
    <w:p>
      <w:pPr>
        <w:pStyle w:val="Heading1"/>
      </w:pPr>
      <w:r>
        <w:t xml:space="preserve">AMENDMENT v1.1</w:t>
      </w:r>
    </w:p>
    <w:bookmarkEnd w:id="22"/>
    <w:bookmarkStart w:id="24" w:name="final-database-engineering-update"/>
    <w:p>
      <w:pPr>
        <w:pStyle w:val="Heading1"/>
      </w:pPr>
      <w:r>
        <w:t xml:space="preserve">FINAL DATABASE ENGINEERING UPDATE</w:t>
      </w:r>
    </w:p>
    <w:bookmarkStart w:id="23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Database Standards &amp; Conventions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Version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Version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All Database Schemas, Migrations, APIs, and Cursor AI Generated Database Artifacts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amendment enhances the Database Standards &amp; Conventions v1.0 document by introducing additional database engineering standards identified during the final architecture and database review.</w:t>
      </w:r>
    </w:p>
    <w:p>
      <w:pPr>
        <w:pStyle w:val="BodyText"/>
      </w:pPr>
      <w:r>
        <w:t xml:space="preserve">These updates improve:</w:t>
      </w:r>
    </w:p>
    <w:p>
      <w:pPr>
        <w:pStyle w:val="Compact"/>
        <w:numPr>
          <w:ilvl w:val="0"/>
          <w:numId w:val="1001"/>
        </w:numPr>
      </w:pPr>
      <w:r>
        <w:t xml:space="preserve">Performance</w:t>
      </w:r>
    </w:p>
    <w:p>
      <w:pPr>
        <w:pStyle w:val="Compact"/>
        <w:numPr>
          <w:ilvl w:val="0"/>
          <w:numId w:val="1001"/>
        </w:numPr>
      </w:pPr>
      <w:r>
        <w:t xml:space="preserve">Maintainability</w:t>
      </w:r>
    </w:p>
    <w:p>
      <w:pPr>
        <w:pStyle w:val="Compact"/>
        <w:numPr>
          <w:ilvl w:val="0"/>
          <w:numId w:val="1001"/>
        </w:numPr>
      </w:pPr>
      <w:r>
        <w:t xml:space="preserve">Scalability</w:t>
      </w:r>
    </w:p>
    <w:p>
      <w:pPr>
        <w:pStyle w:val="Compact"/>
        <w:numPr>
          <w:ilvl w:val="0"/>
          <w:numId w:val="1001"/>
        </w:numPr>
      </w:pPr>
      <w:r>
        <w:t xml:space="preserve">Auditability</w:t>
      </w:r>
    </w:p>
    <w:p>
      <w:pPr>
        <w:pStyle w:val="Compact"/>
        <w:numPr>
          <w:ilvl w:val="0"/>
          <w:numId w:val="1001"/>
        </w:numPr>
      </w:pPr>
      <w:r>
        <w:t xml:space="preserve">Migration Governance</w:t>
      </w:r>
    </w:p>
    <w:p>
      <w:pPr>
        <w:pStyle w:val="Compact"/>
        <w:numPr>
          <w:ilvl w:val="0"/>
          <w:numId w:val="1001"/>
        </w:numPr>
      </w:pPr>
      <w:r>
        <w:t xml:space="preserve">MySQL 8 Compatibility</w:t>
      </w:r>
    </w:p>
    <w:p>
      <w:pPr>
        <w:pStyle w:val="FirstParagraph"/>
      </w:pPr>
      <w:r>
        <w:t xml:space="preserve">This amendment shall be read together with Database Standards &amp; Conventions v1.0.</w:t>
      </w:r>
    </w:p>
    <w:p>
      <w:r>
        <w:pict>
          <v:rect style="width:0;height:1.5pt" o:hralign="center" o:hrstd="t" o:hr="t"/>
        </w:pict>
      </w:r>
    </w:p>
    <w:bookmarkEnd w:id="25"/>
    <w:bookmarkStart w:id="30" w:name="db-a1-datetime-precision-standard"/>
    <w:p>
      <w:pPr>
        <w:pStyle w:val="Heading1"/>
      </w:pPr>
      <w:r>
        <w:t xml:space="preserve">DB-A1: DATETIME PRECISION STANDARD</w:t>
      </w:r>
    </w:p>
    <w:bookmarkStart w:id="26" w:name="previous-standard"/>
    <w:p>
      <w:pPr>
        <w:pStyle w:val="Heading2"/>
      </w:pPr>
      <w:r>
        <w:t xml:space="preserve">Previous Standard</w:t>
      </w:r>
    </w:p>
    <w:p>
      <w:pPr>
        <w:pStyle w:val="SourceCode"/>
      </w:pPr>
      <w:r>
        <w:rPr>
          <w:rStyle w:val="NormalTok"/>
        </w:rPr>
        <w:t xml:space="preserve">DATETIME</w:t>
      </w:r>
    </w:p>
    <w:bookmarkEnd w:id="26"/>
    <w:bookmarkStart w:id="27" w:name="updated-standard"/>
    <w:p>
      <w:pPr>
        <w:pStyle w:val="Heading2"/>
      </w:pPr>
      <w:r>
        <w:t xml:space="preserve">Updated Standard</w:t>
      </w:r>
    </w:p>
    <w:p>
      <w:pPr>
        <w:pStyle w:val="SourceCode"/>
      </w:pPr>
      <w:r>
        <w:rPr>
          <w:rStyle w:val="NormalTok"/>
        </w:rPr>
        <w:t xml:space="preserve">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27"/>
    <w:bookmarkStart w:id="28" w:name="applies-to"/>
    <w:p>
      <w:pPr>
        <w:pStyle w:val="Heading2"/>
      </w:pPr>
      <w:r>
        <w:t xml:space="preserve">Applies To</w:t>
      </w:r>
    </w:p>
    <w:p>
      <w:pPr>
        <w:pStyle w:val="FirstParagraph"/>
      </w:pPr>
      <w:r>
        <w:t xml:space="preserve">All date and time columns including:</w:t>
      </w:r>
    </w:p>
    <w:p>
      <w:pPr>
        <w:pStyle w:val="Compact"/>
        <w:numPr>
          <w:ilvl w:val="0"/>
          <w:numId w:val="1002"/>
        </w:numPr>
      </w:pPr>
      <w:r>
        <w:t xml:space="preserve">created_date</w:t>
      </w:r>
    </w:p>
    <w:p>
      <w:pPr>
        <w:pStyle w:val="Compact"/>
        <w:numPr>
          <w:ilvl w:val="0"/>
          <w:numId w:val="1002"/>
        </w:numPr>
      </w:pPr>
      <w:r>
        <w:t xml:space="preserve">modified_date</w:t>
      </w:r>
    </w:p>
    <w:p>
      <w:pPr>
        <w:pStyle w:val="Compact"/>
        <w:numPr>
          <w:ilvl w:val="0"/>
          <w:numId w:val="1002"/>
        </w:numPr>
      </w:pPr>
      <w:r>
        <w:t xml:space="preserve">deleted_date</w:t>
      </w:r>
    </w:p>
    <w:p>
      <w:pPr>
        <w:pStyle w:val="Compact"/>
        <w:numPr>
          <w:ilvl w:val="0"/>
          <w:numId w:val="1002"/>
        </w:numPr>
      </w:pPr>
      <w:r>
        <w:t xml:space="preserve">submitted_date</w:t>
      </w:r>
    </w:p>
    <w:p>
      <w:pPr>
        <w:pStyle w:val="Compact"/>
        <w:numPr>
          <w:ilvl w:val="0"/>
          <w:numId w:val="1002"/>
        </w:numPr>
      </w:pPr>
      <w:r>
        <w:t xml:space="preserve">reviewed_date</w:t>
      </w:r>
    </w:p>
    <w:p>
      <w:pPr>
        <w:pStyle w:val="Compact"/>
        <w:numPr>
          <w:ilvl w:val="0"/>
          <w:numId w:val="1002"/>
        </w:numPr>
      </w:pPr>
      <w:r>
        <w:t xml:space="preserve">acknowledged_date</w:t>
      </w:r>
    </w:p>
    <w:p>
      <w:pPr>
        <w:pStyle w:val="Compact"/>
        <w:numPr>
          <w:ilvl w:val="0"/>
          <w:numId w:val="1002"/>
        </w:numPr>
      </w:pPr>
      <w:r>
        <w:t xml:space="preserve">assigned_date</w:t>
      </w:r>
    </w:p>
    <w:p>
      <w:pPr>
        <w:pStyle w:val="Compact"/>
        <w:numPr>
          <w:ilvl w:val="0"/>
          <w:numId w:val="1002"/>
        </w:numPr>
      </w:pPr>
      <w:r>
        <w:t xml:space="preserve">completed_date</w:t>
      </w:r>
    </w:p>
    <w:bookmarkEnd w:id="28"/>
    <w:bookmarkStart w:id="29" w:name="benefits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03"/>
        </w:numPr>
      </w:pPr>
      <w:r>
        <w:t xml:space="preserve">Millisecond precision</w:t>
      </w:r>
    </w:p>
    <w:p>
      <w:pPr>
        <w:pStyle w:val="Compact"/>
        <w:numPr>
          <w:ilvl w:val="0"/>
          <w:numId w:val="1003"/>
        </w:numPr>
      </w:pPr>
      <w:r>
        <w:t xml:space="preserve">Better audit traceability</w:t>
      </w:r>
    </w:p>
    <w:p>
      <w:pPr>
        <w:pStyle w:val="Compact"/>
        <w:numPr>
          <w:ilvl w:val="0"/>
          <w:numId w:val="1003"/>
        </w:numPr>
      </w:pPr>
      <w:r>
        <w:t xml:space="preserve">Accurate event sequencing</w:t>
      </w:r>
    </w:p>
    <w:p>
      <w:pPr>
        <w:pStyle w:val="Compact"/>
        <w:numPr>
          <w:ilvl w:val="0"/>
          <w:numId w:val="1003"/>
        </w:numPr>
      </w:pPr>
      <w:r>
        <w:t xml:space="preserve">Improved concurrency tracking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db-a2-foreign-key-index-standard"/>
    <w:p>
      <w:pPr>
        <w:pStyle w:val="Heading1"/>
      </w:pPr>
      <w:r>
        <w:t xml:space="preserve">DB-A2: FOREIGN KEY INDEX STANDARD</w:t>
      </w:r>
    </w:p>
    <w:bookmarkStart w:id="31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Every foreign key column must have a supporting index.</w:t>
      </w:r>
    </w:p>
    <w:bookmarkEnd w:id="31"/>
    <w:bookmarkStart w:id="32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assessment_id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t xml:space="preserve">Must include:</w:t>
      </w:r>
    </w:p>
    <w:p>
      <w:pPr>
        <w:pStyle w:val="SourceCode"/>
      </w:pPr>
      <w:r>
        <w:rPr>
          <w:rStyle w:val="KeywordTok"/>
        </w:rPr>
        <w:t xml:space="preserve">INDEX</w:t>
      </w:r>
      <w:r>
        <w:rPr>
          <w:rStyle w:val="NormalTok"/>
        </w:rPr>
        <w:t xml:space="preserve"> idx_assessment_attempts_assessment_id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assessment_id</w:t>
      </w:r>
      <w:r>
        <w:br/>
      </w:r>
      <w:r>
        <w:rPr>
          <w:rStyle w:val="NormalTok"/>
        </w:rPr>
        <w:t xml:space="preserve">)</w:t>
      </w:r>
    </w:p>
    <w:bookmarkEnd w:id="32"/>
    <w:bookmarkStart w:id="33" w:name="purpose-1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04"/>
        </w:numPr>
      </w:pPr>
      <w:r>
        <w:t xml:space="preserve">Faster joins</w:t>
      </w:r>
    </w:p>
    <w:p>
      <w:pPr>
        <w:pStyle w:val="Compact"/>
        <w:numPr>
          <w:ilvl w:val="0"/>
          <w:numId w:val="1004"/>
        </w:numPr>
      </w:pPr>
      <w:r>
        <w:t xml:space="preserve">Better reporting performance</w:t>
      </w:r>
    </w:p>
    <w:p>
      <w:pPr>
        <w:pStyle w:val="Compact"/>
        <w:numPr>
          <w:ilvl w:val="0"/>
          <w:numId w:val="1004"/>
        </w:numPr>
      </w:pPr>
      <w:r>
        <w:t xml:space="preserve">Better query execution plans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db-a3-composite-index-naming-standard"/>
    <w:p>
      <w:pPr>
        <w:pStyle w:val="Heading1"/>
      </w:pPr>
      <w:r>
        <w:t xml:space="preserve">DB-A3: COMPOSITE INDEX NAMING STANDARD</w:t>
      </w:r>
    </w:p>
    <w:bookmarkStart w:id="35" w:name="naming-convention"/>
    <w:p>
      <w:pPr>
        <w:pStyle w:val="Heading2"/>
      </w:pPr>
      <w:r>
        <w:t xml:space="preserve">Naming Convention</w:t>
      </w:r>
    </w:p>
    <w:p>
      <w:pPr>
        <w:pStyle w:val="SourceCode"/>
      </w:pPr>
      <w:r>
        <w:rPr>
          <w:rStyle w:val="VerbatimChar"/>
        </w:rPr>
        <w:t xml:space="preserve">idx_&lt;table_name&gt;_&lt;column_names&gt;</w:t>
      </w:r>
    </w:p>
    <w:bookmarkEnd w:id="35"/>
    <w:bookmarkStart w:id="36" w:name="examples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idx_assessments_technology_status</w:t>
      </w:r>
      <w:r>
        <w:br/>
      </w:r>
      <w:r>
        <w:br/>
      </w:r>
      <w:r>
        <w:rPr>
          <w:rStyle w:val="VerbatimChar"/>
        </w:rPr>
        <w:t xml:space="preserve">idx_assessment_attempts_user_assessment</w:t>
      </w:r>
      <w:r>
        <w:br/>
      </w:r>
      <w:r>
        <w:br/>
      </w:r>
      <w:r>
        <w:rPr>
          <w:rStyle w:val="VerbatimChar"/>
        </w:rPr>
        <w:t xml:space="preserve">idx_assessment_reviews_attempt_status</w:t>
      </w:r>
    </w:p>
    <w:bookmarkEnd w:id="36"/>
    <w:bookmarkStart w:id="37" w:name="rules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05"/>
        </w:numPr>
      </w:pPr>
      <w:r>
        <w:t xml:space="preserve">Must be descriptive</w:t>
      </w:r>
    </w:p>
    <w:p>
      <w:pPr>
        <w:pStyle w:val="Compact"/>
        <w:numPr>
          <w:ilvl w:val="0"/>
          <w:numId w:val="1005"/>
        </w:numPr>
      </w:pPr>
      <w:r>
        <w:t xml:space="preserve">Must be unique</w:t>
      </w:r>
    </w:p>
    <w:p>
      <w:pPr>
        <w:pStyle w:val="Compact"/>
        <w:numPr>
          <w:ilvl w:val="0"/>
          <w:numId w:val="1005"/>
        </w:numPr>
      </w:pPr>
      <w:r>
        <w:t xml:space="preserve">Must clearly identify indexed columns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db-a4-collation-upgrade-standard"/>
    <w:p>
      <w:pPr>
        <w:pStyle w:val="Heading1"/>
      </w:pPr>
      <w:r>
        <w:t xml:space="preserve">DB-A4: COLLATION UPGRADE STANDARD</w:t>
      </w:r>
    </w:p>
    <w:bookmarkStart w:id="39" w:name="previous-standard-1"/>
    <w:p>
      <w:pPr>
        <w:pStyle w:val="Heading2"/>
      </w:pPr>
      <w:r>
        <w:t xml:space="preserve">Previous Standard</w:t>
      </w:r>
    </w:p>
    <w:p>
      <w:pPr>
        <w:pStyle w:val="SourceCode"/>
      </w:pPr>
      <w:r>
        <w:rPr>
          <w:rStyle w:val="NormalTok"/>
        </w:rPr>
        <w:t xml:space="preserve">utf8mb4_unicode_ci</w:t>
      </w:r>
    </w:p>
    <w:bookmarkEnd w:id="39"/>
    <w:bookmarkStart w:id="40" w:name="updated-standard-1"/>
    <w:p>
      <w:pPr>
        <w:pStyle w:val="Heading2"/>
      </w:pPr>
      <w:r>
        <w:t xml:space="preserve">Updated Standard</w:t>
      </w:r>
    </w:p>
    <w:p>
      <w:pPr>
        <w:pStyle w:val="SourceCode"/>
      </w:pPr>
      <w:r>
        <w:rPr>
          <w:rStyle w:val="NormalTok"/>
        </w:rPr>
        <w:t xml:space="preserve">utf8mb4_0900_ai_ci</w:t>
      </w:r>
    </w:p>
    <w:bookmarkEnd w:id="40"/>
    <w:bookmarkStart w:id="41" w:name="database-default"/>
    <w:p>
      <w:pPr>
        <w:pStyle w:val="Heading2"/>
      </w:pPr>
      <w:r>
        <w:t xml:space="preserve">Database Default</w:t>
      </w:r>
    </w:p>
    <w:p>
      <w:pPr>
        <w:pStyle w:val="SourceCode"/>
      </w:pP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</w:t>
      </w:r>
      <w:r>
        <w:br/>
      </w:r>
      <w:r>
        <w:rPr>
          <w:rStyle w:val="NormalTok"/>
        </w:rPr>
        <w:t xml:space="preserve">COLLATE utf8mb4_0900_ai_ci</w:t>
      </w:r>
    </w:p>
    <w:bookmarkEnd w:id="41"/>
    <w:bookmarkStart w:id="42" w:name="benefits-1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Improved Unicode support</w:t>
      </w:r>
    </w:p>
    <w:p>
      <w:pPr>
        <w:pStyle w:val="Compact"/>
        <w:numPr>
          <w:ilvl w:val="0"/>
          <w:numId w:val="1006"/>
        </w:numPr>
      </w:pPr>
      <w:r>
        <w:t xml:space="preserve">Improved sorting behavior</w:t>
      </w:r>
    </w:p>
    <w:p>
      <w:pPr>
        <w:pStyle w:val="Compact"/>
        <w:numPr>
          <w:ilvl w:val="0"/>
          <w:numId w:val="1006"/>
        </w:numPr>
      </w:pPr>
      <w:r>
        <w:t xml:space="preserve">Native MySQL 8 optimization</w:t>
      </w:r>
    </w:p>
    <w:p>
      <w:pPr>
        <w:pStyle w:val="Compact"/>
        <w:numPr>
          <w:ilvl w:val="0"/>
          <w:numId w:val="1006"/>
        </w:numPr>
      </w:pPr>
      <w:r>
        <w:t xml:space="preserve">Better multilingual support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db-a5-json-data-type-standard"/>
    <w:p>
      <w:pPr>
        <w:pStyle w:val="Heading1"/>
      </w:pPr>
      <w:r>
        <w:t xml:space="preserve">DB-A5: JSON DATA TYPE STANDARD</w:t>
      </w:r>
    </w:p>
    <w:bookmarkStart w:id="45" w:name="approved-standard"/>
    <w:p>
      <w:pPr>
        <w:pStyle w:val="Heading2"/>
      </w:pPr>
      <w:r>
        <w:t xml:space="preserve">Approved Standard</w:t>
      </w:r>
    </w:p>
    <w:p>
      <w:pPr>
        <w:pStyle w:val="FirstParagraph"/>
      </w:pPr>
      <w:r>
        <w:t xml:space="preserve">Use native MySQL JSON datatype where querying is expected.</w:t>
      </w:r>
    </w:p>
    <w:bookmarkStart w:id="44" w:name="examples-1"/>
    <w:p>
      <w:pPr>
        <w:pStyle w:val="Heading3"/>
      </w:pPr>
      <w:r>
        <w:t xml:space="preserve">Examples</w:t>
      </w:r>
    </w:p>
    <w:p>
      <w:pPr>
        <w:pStyle w:val="SourceCode"/>
      </w:pPr>
      <w:r>
        <w:rPr>
          <w:rStyle w:val="NormalTok"/>
        </w:rPr>
        <w:t xml:space="preserve">old_value_json JSON</w:t>
      </w:r>
      <w:r>
        <w:br/>
      </w:r>
      <w:r>
        <w:br/>
      </w:r>
      <w:r>
        <w:rPr>
          <w:rStyle w:val="NormalTok"/>
        </w:rPr>
        <w:t xml:space="preserve">new_value_json JSON</w:t>
      </w:r>
      <w:r>
        <w:br/>
      </w:r>
      <w:r>
        <w:br/>
      </w:r>
      <w:r>
        <w:rPr>
          <w:rStyle w:val="NormalTok"/>
        </w:rPr>
        <w:t xml:space="preserve">parameters_json JSON</w:t>
      </w:r>
      <w:r>
        <w:br/>
      </w:r>
      <w:r>
        <w:br/>
      </w:r>
      <w:r>
        <w:rPr>
          <w:rStyle w:val="NormalTok"/>
        </w:rPr>
        <w:t xml:space="preserve">answer_json JSON</w:t>
      </w:r>
    </w:p>
    <w:bookmarkEnd w:id="44"/>
    <w:bookmarkEnd w:id="45"/>
    <w:bookmarkStart w:id="46" w:name="exception"/>
    <w:p>
      <w:pPr>
        <w:pStyle w:val="Heading2"/>
      </w:pPr>
      <w:r>
        <w:t xml:space="preserve">Exception</w:t>
      </w:r>
    </w:p>
    <w:p>
      <w:pPr>
        <w:pStyle w:val="FirstParagraph"/>
      </w:pPr>
      <w:r>
        <w:t xml:space="preserve">The following remains approved as LONGTEXT:</w:t>
      </w:r>
    </w:p>
    <w:p>
      <w:pPr>
        <w:pStyle w:val="SourceCode"/>
      </w:pPr>
      <w:r>
        <w:rPr>
          <w:rStyle w:val="NormalTok"/>
        </w:rPr>
        <w:t xml:space="preserve">snapshot_json LONGTEXT</w:t>
      </w:r>
    </w:p>
    <w:bookmarkEnd w:id="46"/>
    <w:bookmarkStart w:id="47" w:name="reason"/>
    <w:p>
      <w:pPr>
        <w:pStyle w:val="Heading2"/>
      </w:pPr>
      <w:r>
        <w:t xml:space="preserve">Reason</w:t>
      </w:r>
    </w:p>
    <w:p>
      <w:pPr>
        <w:pStyle w:val="FirstParagraph"/>
      </w:pPr>
      <w:r>
        <w:t xml:space="preserve">Snapshot archives prioritize:</w:t>
      </w:r>
    </w:p>
    <w:p>
      <w:pPr>
        <w:pStyle w:val="Compact"/>
        <w:numPr>
          <w:ilvl w:val="0"/>
          <w:numId w:val="1007"/>
        </w:numPr>
      </w:pPr>
      <w:r>
        <w:t xml:space="preserve">Historical preservation</w:t>
      </w:r>
    </w:p>
    <w:p>
      <w:pPr>
        <w:pStyle w:val="Compact"/>
        <w:numPr>
          <w:ilvl w:val="0"/>
          <w:numId w:val="1007"/>
        </w:numPr>
      </w:pPr>
      <w:r>
        <w:t xml:space="preserve">Large payload support</w:t>
      </w:r>
    </w:p>
    <w:p>
      <w:pPr>
        <w:pStyle w:val="Compact"/>
        <w:numPr>
          <w:ilvl w:val="0"/>
          <w:numId w:val="1007"/>
        </w:numPr>
      </w:pPr>
      <w:r>
        <w:t xml:space="preserve">Simpler storage model</w:t>
      </w:r>
    </w:p>
    <w:p>
      <w:pPr>
        <w:pStyle w:val="FirstParagraph"/>
      </w:pPr>
      <w:r>
        <w:t xml:space="preserve">over queryability.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db-a6-file-checksum-standard"/>
    <w:p>
      <w:pPr>
        <w:pStyle w:val="Heading1"/>
      </w:pPr>
      <w:r>
        <w:t xml:space="preserve">DB-A6: FILE CHECKSUM STANDARD</w:t>
      </w:r>
    </w:p>
    <w:bookmarkStart w:id="49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 file integrity validation.</w:t>
      </w:r>
    </w:p>
    <w:bookmarkEnd w:id="49"/>
    <w:bookmarkStart w:id="50" w:name="standard-column"/>
    <w:p>
      <w:pPr>
        <w:pStyle w:val="Heading2"/>
      </w:pPr>
      <w:r>
        <w:t xml:space="preserve">Standard Column</w:t>
      </w:r>
    </w:p>
    <w:p>
      <w:pPr>
        <w:pStyle w:val="SourceCode"/>
      </w:pPr>
      <w:r>
        <w:rPr>
          <w:rStyle w:val="NormalTok"/>
        </w:rPr>
        <w:t xml:space="preserve">checksum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</w:p>
    <w:bookmarkEnd w:id="50"/>
    <w:bookmarkStart w:id="51" w:name="algorithm"/>
    <w:p>
      <w:pPr>
        <w:pStyle w:val="Heading2"/>
      </w:pPr>
      <w:r>
        <w:t xml:space="preserve">Algorithm</w:t>
      </w:r>
    </w:p>
    <w:p>
      <w:pPr>
        <w:pStyle w:val="SourceCode"/>
      </w:pPr>
      <w:r>
        <w:rPr>
          <w:rStyle w:val="VerbatimChar"/>
        </w:rPr>
        <w:t xml:space="preserve">SHA-256</w:t>
      </w:r>
    </w:p>
    <w:bookmarkEnd w:id="51"/>
    <w:bookmarkStart w:id="52" w:name="benefits-2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08"/>
        </w:numPr>
      </w:pPr>
      <w:r>
        <w:t xml:space="preserve">Integrity verification</w:t>
      </w:r>
    </w:p>
    <w:p>
      <w:pPr>
        <w:pStyle w:val="Compact"/>
        <w:numPr>
          <w:ilvl w:val="0"/>
          <w:numId w:val="1008"/>
        </w:numPr>
      </w:pPr>
      <w:r>
        <w:t xml:space="preserve">Duplicate detection</w:t>
      </w:r>
    </w:p>
    <w:p>
      <w:pPr>
        <w:pStyle w:val="Compact"/>
        <w:numPr>
          <w:ilvl w:val="0"/>
          <w:numId w:val="1008"/>
        </w:numPr>
      </w:pPr>
      <w:r>
        <w:t xml:space="preserve">Corruption detection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db-a7-database-migration-standard"/>
    <w:p>
      <w:pPr>
        <w:pStyle w:val="Heading1"/>
      </w:pPr>
      <w:r>
        <w:t xml:space="preserve">DB-A7: DATABASE MIGRATION STANDARD</w:t>
      </w:r>
    </w:p>
    <w:bookmarkStart w:id="54" w:name="migration-principles"/>
    <w:p>
      <w:pPr>
        <w:pStyle w:val="Heading2"/>
      </w:pPr>
      <w:r>
        <w:t xml:space="preserve">Migration Principles</w:t>
      </w:r>
    </w:p>
    <w:p>
      <w:pPr>
        <w:pStyle w:val="FirstParagraph"/>
      </w:pPr>
      <w:r>
        <w:t xml:space="preserve">All schema changes must be:</w:t>
      </w:r>
    </w:p>
    <w:p>
      <w:pPr>
        <w:pStyle w:val="Compact"/>
        <w:numPr>
          <w:ilvl w:val="0"/>
          <w:numId w:val="1009"/>
        </w:numPr>
      </w:pPr>
      <w:r>
        <w:t xml:space="preserve">Versioned</w:t>
      </w:r>
    </w:p>
    <w:p>
      <w:pPr>
        <w:pStyle w:val="Compact"/>
        <w:numPr>
          <w:ilvl w:val="0"/>
          <w:numId w:val="1009"/>
        </w:numPr>
      </w:pPr>
      <w:r>
        <w:t xml:space="preserve">Auditable</w:t>
      </w:r>
    </w:p>
    <w:p>
      <w:pPr>
        <w:pStyle w:val="Compact"/>
        <w:numPr>
          <w:ilvl w:val="0"/>
          <w:numId w:val="1009"/>
        </w:numPr>
      </w:pPr>
      <w:r>
        <w:t xml:space="preserve">Repeatable</w:t>
      </w:r>
    </w:p>
    <w:p>
      <w:pPr>
        <w:pStyle w:val="Compact"/>
        <w:numPr>
          <w:ilvl w:val="0"/>
          <w:numId w:val="1009"/>
        </w:numPr>
      </w:pPr>
      <w:r>
        <w:t xml:space="preserve">Forward-Only</w:t>
      </w:r>
    </w:p>
    <w:bookmarkEnd w:id="54"/>
    <w:bookmarkStart w:id="55" w:name="migration-naming-convention"/>
    <w:p>
      <w:pPr>
        <w:pStyle w:val="Heading2"/>
      </w:pPr>
      <w:r>
        <w:t xml:space="preserve">Migration Naming Convention</w:t>
      </w:r>
    </w:p>
    <w:p>
      <w:pPr>
        <w:pStyle w:val="SourceCode"/>
      </w:pPr>
      <w:r>
        <w:rPr>
          <w:rStyle w:val="VerbatimChar"/>
        </w:rPr>
        <w:t xml:space="preserve">001_security_schema.sql</w:t>
      </w:r>
      <w:r>
        <w:br/>
      </w:r>
      <w:r>
        <w:br/>
      </w:r>
      <w:r>
        <w:rPr>
          <w:rStyle w:val="VerbatimChar"/>
        </w:rPr>
        <w:t xml:space="preserve">002_assessment_definition.sql</w:t>
      </w:r>
      <w:r>
        <w:br/>
      </w:r>
      <w:r>
        <w:br/>
      </w:r>
      <w:r>
        <w:rPr>
          <w:rStyle w:val="VerbatimChar"/>
        </w:rPr>
        <w:t xml:space="preserve">003_runtime_schema.sql</w:t>
      </w:r>
      <w:r>
        <w:br/>
      </w:r>
      <w:r>
        <w:br/>
      </w:r>
      <w:r>
        <w:rPr>
          <w:rStyle w:val="VerbatimChar"/>
        </w:rPr>
        <w:t xml:space="preserve">004_governance_schema.sql</w:t>
      </w:r>
    </w:p>
    <w:bookmarkEnd w:id="55"/>
    <w:bookmarkStart w:id="56" w:name="migration-header-example"/>
    <w:p>
      <w:pPr>
        <w:pStyle w:val="Heading2"/>
      </w:pPr>
      <w:r>
        <w:t xml:space="preserve">Migration Header Example</w:t>
      </w:r>
    </w:p>
    <w:p>
      <w:pPr>
        <w:pStyle w:val="SourceCode"/>
      </w:pPr>
      <w:r>
        <w:rPr>
          <w:rStyle w:val="CommentTok"/>
        </w:rPr>
        <w:t xml:space="preserve">-- Migration: 001_security_schema</w:t>
      </w:r>
      <w:r>
        <w:br/>
      </w:r>
      <w:r>
        <w:rPr>
          <w:rStyle w:val="CommentTok"/>
        </w:rPr>
        <w:t xml:space="preserve">-- Version: 1.0</w:t>
      </w:r>
      <w:r>
        <w:br/>
      </w:r>
      <w:r>
        <w:rPr>
          <w:rStyle w:val="CommentTok"/>
        </w:rPr>
        <w:t xml:space="preserve">-- Purpose: Create security and RBAC tables</w:t>
      </w:r>
      <w:r>
        <w:br/>
      </w:r>
      <w:r>
        <w:rPr>
          <w:rStyle w:val="CommentTok"/>
        </w:rPr>
        <w:t xml:space="preserve">-- Author: Snapflect Assessment Portal</w:t>
      </w:r>
    </w:p>
    <w:bookmarkEnd w:id="56"/>
    <w:bookmarkStart w:id="57" w:name="rollback-policy"/>
    <w:p>
      <w:pPr>
        <w:pStyle w:val="Heading2"/>
      </w:pPr>
      <w:r>
        <w:t xml:space="preserve">Rollback Policy</w:t>
      </w:r>
    </w:p>
    <w:p>
      <w:pPr>
        <w:pStyle w:val="FirstParagraph"/>
      </w:pPr>
      <w:r>
        <w:t xml:space="preserve">Production environments shall prefer:</w:t>
      </w:r>
    </w:p>
    <w:p>
      <w:pPr>
        <w:pStyle w:val="SourceCode"/>
      </w:pPr>
      <w:r>
        <w:rPr>
          <w:rStyle w:val="VerbatimChar"/>
        </w:rPr>
        <w:t xml:space="preserve">Forward Fixes</w:t>
      </w:r>
    </w:p>
    <w:p>
      <w:pPr>
        <w:pStyle w:val="FirstParagraph"/>
      </w:pPr>
      <w:r>
        <w:t xml:space="preserve">instead of rollback scripts.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db-a8-uuid-storage-optimization-note"/>
    <w:p>
      <w:pPr>
        <w:pStyle w:val="Heading1"/>
      </w:pPr>
      <w:r>
        <w:t xml:space="preserve">DB-A8: UUID STORAGE OPTIMIZATION NOTE</w:t>
      </w:r>
    </w:p>
    <w:bookmarkStart w:id="59" w:name="current-standard"/>
    <w:p>
      <w:pPr>
        <w:pStyle w:val="Heading2"/>
      </w:pPr>
      <w:r>
        <w:t xml:space="preserve">Current Standard</w:t>
      </w:r>
    </w:p>
    <w:p>
      <w:pPr>
        <w:pStyle w:val="SourceCode"/>
      </w:pPr>
      <w:r>
        <w:rPr>
          <w:rStyle w:val="NormalTok"/>
        </w:rPr>
        <w:t xml:space="preserve">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remains approved.</w:t>
      </w:r>
    </w:p>
    <w:bookmarkEnd w:id="59"/>
    <w:bookmarkStart w:id="60" w:name="reason-1"/>
    <w:p>
      <w:pPr>
        <w:pStyle w:val="Heading2"/>
      </w:pPr>
      <w:r>
        <w:t xml:space="preserve">Reason</w:t>
      </w:r>
    </w:p>
    <w:p>
      <w:pPr>
        <w:pStyle w:val="Compact"/>
        <w:numPr>
          <w:ilvl w:val="0"/>
          <w:numId w:val="1010"/>
        </w:numPr>
      </w:pPr>
      <w:r>
        <w:t xml:space="preserve">Easier debugging</w:t>
      </w:r>
    </w:p>
    <w:p>
      <w:pPr>
        <w:pStyle w:val="Compact"/>
        <w:numPr>
          <w:ilvl w:val="0"/>
          <w:numId w:val="1010"/>
        </w:numPr>
      </w:pPr>
      <w:r>
        <w:t xml:space="preserve">Easier exports</w:t>
      </w:r>
    </w:p>
    <w:p>
      <w:pPr>
        <w:pStyle w:val="Compact"/>
        <w:numPr>
          <w:ilvl w:val="0"/>
          <w:numId w:val="1010"/>
        </w:numPr>
      </w:pPr>
      <w:r>
        <w:t xml:space="preserve">Simpler administration</w:t>
      </w:r>
    </w:p>
    <w:p>
      <w:pPr>
        <w:pStyle w:val="Compact"/>
        <w:numPr>
          <w:ilvl w:val="0"/>
          <w:numId w:val="1010"/>
        </w:numPr>
      </w:pPr>
      <w:r>
        <w:t xml:space="preserve">Easier Cursor AI generation</w:t>
      </w:r>
    </w:p>
    <w:bookmarkEnd w:id="60"/>
    <w:bookmarkStart w:id="61" w:name="future-optimization"/>
    <w:p>
      <w:pPr>
        <w:pStyle w:val="Heading2"/>
      </w:pPr>
      <w:r>
        <w:t xml:space="preserve">Future Optimization</w:t>
      </w:r>
    </w:p>
    <w:p>
      <w:pPr>
        <w:pStyle w:val="FirstParagraph"/>
      </w:pPr>
      <w:r>
        <w:t xml:space="preserve">Future large-scale deployments may adopt:</w:t>
      </w:r>
    </w:p>
    <w:p>
      <w:pPr>
        <w:pStyle w:val="SourceCode"/>
      </w:pPr>
      <w:r>
        <w:rPr>
          <w:rStyle w:val="NormalTok"/>
        </w:rPr>
        <w:t xml:space="preserve">uuid BINARY(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without changing application architecture.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db-a9-query-performance-guidelines"/>
    <w:p>
      <w:pPr>
        <w:pStyle w:val="Heading1"/>
      </w:pPr>
      <w:r>
        <w:t xml:space="preserve">DB-A9: QUERY PERFORMANCE GUIDELINES</w:t>
      </w:r>
    </w:p>
    <w:bookmarkStart w:id="63" w:name="recommended"/>
    <w:p>
      <w:pPr>
        <w:pStyle w:val="Heading2"/>
      </w:pPr>
      <w:r>
        <w:t xml:space="preserve">Recommended</w:t>
      </w:r>
    </w:p>
    <w:p>
      <w:pPr>
        <w:pStyle w:val="Compact"/>
        <w:numPr>
          <w:ilvl w:val="0"/>
          <w:numId w:val="1011"/>
        </w:numPr>
      </w:pPr>
      <w:r>
        <w:t xml:space="preserve">Indexed lookups</w:t>
      </w:r>
    </w:p>
    <w:p>
      <w:pPr>
        <w:pStyle w:val="Compact"/>
        <w:numPr>
          <w:ilvl w:val="0"/>
          <w:numId w:val="1011"/>
        </w:numPr>
      </w:pPr>
      <w:r>
        <w:t xml:space="preserve">Pagination</w:t>
      </w:r>
    </w:p>
    <w:p>
      <w:pPr>
        <w:pStyle w:val="Compact"/>
        <w:numPr>
          <w:ilvl w:val="0"/>
          <w:numId w:val="1011"/>
        </w:numPr>
      </w:pPr>
      <w:r>
        <w:t xml:space="preserve">Optimized joins</w:t>
      </w:r>
    </w:p>
    <w:p>
      <w:pPr>
        <w:pStyle w:val="Compact"/>
        <w:numPr>
          <w:ilvl w:val="0"/>
          <w:numId w:val="1011"/>
        </w:numPr>
      </w:pPr>
      <w:r>
        <w:t xml:space="preserve">Derived analytics services</w:t>
      </w:r>
    </w:p>
    <w:bookmarkEnd w:id="63"/>
    <w:bookmarkStart w:id="64" w:name="avoid"/>
    <w:p>
      <w:pPr>
        <w:pStyle w:val="Heading2"/>
      </w:pPr>
      <w:r>
        <w:t xml:space="preserve">Avoid</w:t>
      </w:r>
    </w:p>
    <w:p>
      <w:pPr>
        <w:pStyle w:val="Compact"/>
        <w:numPr>
          <w:ilvl w:val="0"/>
          <w:numId w:val="1012"/>
        </w:numPr>
      </w:pPr>
      <w:r>
        <w:t xml:space="preserve">Full table scans</w:t>
      </w:r>
    </w:p>
    <w:p>
      <w:pPr>
        <w:pStyle w:val="Compact"/>
        <w:numPr>
          <w:ilvl w:val="0"/>
          <w:numId w:val="1012"/>
        </w:numPr>
      </w:pPr>
      <w:r>
        <w:t xml:space="preserve">Unindexed filters</w:t>
      </w:r>
    </w:p>
    <w:p>
      <w:pPr>
        <w:pStyle w:val="Compact"/>
        <w:numPr>
          <w:ilvl w:val="0"/>
          <w:numId w:val="1012"/>
        </w:numPr>
      </w:pPr>
      <w:r>
        <w:t xml:space="preserve">Repeated nested subqueries</w:t>
      </w:r>
    </w:p>
    <w:p>
      <w:pPr>
        <w:pStyle w:val="Compact"/>
        <w:numPr>
          <w:ilvl w:val="0"/>
          <w:numId w:val="1012"/>
        </w:numPr>
      </w:pPr>
      <w:r>
        <w:t xml:space="preserve">Redundant joins</w:t>
      </w:r>
    </w:p>
    <w:bookmarkEnd w:id="64"/>
    <w:bookmarkStart w:id="65" w:name="reporting-rule"/>
    <w:p>
      <w:pPr>
        <w:pStyle w:val="Heading2"/>
      </w:pPr>
      <w:r>
        <w:t xml:space="preserve">Reporting Rule</w:t>
      </w:r>
    </w:p>
    <w:p>
      <w:pPr>
        <w:pStyle w:val="FirstParagraph"/>
      </w:pPr>
      <w:r>
        <w:t xml:space="preserve">Reporting must consume:</w:t>
      </w:r>
    </w:p>
    <w:p>
      <w:pPr>
        <w:pStyle w:val="Compact"/>
        <w:numPr>
          <w:ilvl w:val="0"/>
          <w:numId w:val="1013"/>
        </w:numPr>
      </w:pPr>
      <w:r>
        <w:t xml:space="preserve">assessment_results</w:t>
      </w:r>
    </w:p>
    <w:p>
      <w:pPr>
        <w:pStyle w:val="Compact"/>
        <w:numPr>
          <w:ilvl w:val="0"/>
          <w:numId w:val="1013"/>
        </w:numPr>
      </w:pPr>
      <w:r>
        <w:t xml:space="preserve">attempt_questions</w:t>
      </w:r>
    </w:p>
    <w:p>
      <w:pPr>
        <w:pStyle w:val="Compact"/>
        <w:numPr>
          <w:ilvl w:val="0"/>
          <w:numId w:val="1013"/>
        </w:numPr>
      </w:pPr>
      <w:r>
        <w:t xml:space="preserve">attempt_answers</w:t>
      </w:r>
    </w:p>
    <w:p>
      <w:pPr>
        <w:pStyle w:val="FirstParagraph"/>
      </w:pPr>
      <w:r>
        <w:t xml:space="preserve">instead of snapshot archives.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Xff714f2d321522846cefeb3d7d3faf164c790e5"/>
    <w:p>
      <w:pPr>
        <w:pStyle w:val="Heading1"/>
      </w:pPr>
      <w:r>
        <w:t xml:space="preserve">DB-A10: FINAL DATABASE VALIDATION CHECKLIST</w:t>
      </w:r>
    </w:p>
    <w:p>
      <w:pPr>
        <w:pStyle w:val="FirstParagraph"/>
      </w:pPr>
      <w:r>
        <w:t xml:space="preserve">Before approving any schema section:</w:t>
      </w:r>
    </w:p>
    <w:p>
      <w:pPr>
        <w:pStyle w:val="BodyText"/>
      </w:pPr>
      <w:r>
        <w:t xml:space="preserve">✓ Naming Standards</w:t>
      </w:r>
    </w:p>
    <w:p>
      <w:pPr>
        <w:pStyle w:val="BodyText"/>
      </w:pPr>
      <w:r>
        <w:t xml:space="preserve">✓ Primary Key Standards</w:t>
      </w:r>
    </w:p>
    <w:p>
      <w:pPr>
        <w:pStyle w:val="BodyText"/>
      </w:pPr>
      <w:r>
        <w:t xml:space="preserve">✓ UUID Standards</w:t>
      </w:r>
    </w:p>
    <w:p>
      <w:pPr>
        <w:pStyle w:val="BodyText"/>
      </w:pPr>
      <w:r>
        <w:t xml:space="preserve">✓ Foreign Key Standards</w:t>
      </w:r>
    </w:p>
    <w:p>
      <w:pPr>
        <w:pStyle w:val="BodyText"/>
      </w:pPr>
      <w:r>
        <w:t xml:space="preserve">✓ Foreign Key Index Standards</w:t>
      </w:r>
    </w:p>
    <w:p>
      <w:pPr>
        <w:pStyle w:val="BodyText"/>
      </w:pPr>
      <w:r>
        <w:t xml:space="preserve">✓ Composite Index Standards</w:t>
      </w:r>
    </w:p>
    <w:p>
      <w:pPr>
        <w:pStyle w:val="BodyText"/>
      </w:pPr>
      <w:r>
        <w:t xml:space="preserve">✓ DATETIME(3) Compliance</w:t>
      </w:r>
    </w:p>
    <w:p>
      <w:pPr>
        <w:pStyle w:val="BodyText"/>
      </w:pPr>
      <w:r>
        <w:t xml:space="preserve">✓ JSON Standards</w:t>
      </w:r>
    </w:p>
    <w:p>
      <w:pPr>
        <w:pStyle w:val="BodyText"/>
      </w:pPr>
      <w:r>
        <w:t xml:space="preserve">✓ Soft Delete Standards</w:t>
      </w:r>
    </w:p>
    <w:p>
      <w:pPr>
        <w:pStyle w:val="BodyText"/>
      </w:pPr>
      <w:r>
        <w:t xml:space="preserve">✓ Audit Standards</w:t>
      </w:r>
    </w:p>
    <w:p>
      <w:pPr>
        <w:pStyle w:val="BodyText"/>
      </w:pPr>
      <w:r>
        <w:t xml:space="preserve">✓ Versioning Standards</w:t>
      </w:r>
    </w:p>
    <w:p>
      <w:pPr>
        <w:pStyle w:val="BodyText"/>
      </w:pPr>
      <w:r>
        <w:t xml:space="preserve">✓ Snapshot Standards</w:t>
      </w:r>
    </w:p>
    <w:p>
      <w:pPr>
        <w:pStyle w:val="BodyText"/>
      </w:pPr>
      <w:r>
        <w:t xml:space="preserve">✓ Notification Standards</w:t>
      </w:r>
    </w:p>
    <w:p>
      <w:pPr>
        <w:pStyle w:val="BodyText"/>
      </w:pPr>
      <w:r>
        <w:t xml:space="preserve">✓ Approval Standards</w:t>
      </w:r>
    </w:p>
    <w:p>
      <w:pPr>
        <w:pStyle w:val="BodyText"/>
      </w:pPr>
      <w:r>
        <w:t xml:space="preserve">✓ Attachment Standards</w:t>
      </w:r>
    </w:p>
    <w:p>
      <w:pPr>
        <w:pStyle w:val="BodyText"/>
      </w:pPr>
      <w:r>
        <w:t xml:space="preserve">✓ Migration Standards</w:t>
      </w:r>
    </w:p>
    <w:p>
      <w:pPr>
        <w:pStyle w:val="BodyText"/>
      </w:pPr>
      <w:r>
        <w:t xml:space="preserve">✓ Referential Integrity</w:t>
      </w:r>
    </w:p>
    <w:p>
      <w:pPr>
        <w:pStyle w:val="BodyText"/>
      </w:pPr>
      <w:r>
        <w:t xml:space="preserve">✓ No Circular Dependencies</w:t>
      </w:r>
    </w:p>
    <w:p>
      <w:pPr>
        <w:pStyle w:val="BodyText"/>
      </w:pPr>
      <w:r>
        <w:t xml:space="preserve">✓ No Redundant Tables</w:t>
      </w:r>
    </w:p>
    <w:p>
      <w:pPr>
        <w:pStyle w:val="BodyText"/>
      </w:pPr>
      <w:r>
        <w:t xml:space="preserve">✓ No Duplicate Answer Definitions</w:t>
      </w:r>
    </w:p>
    <w:p>
      <w:r>
        <w:pict>
          <v:rect style="width:0;height:1.5pt" o:hralign="center" o:hrstd="t" o:hr="t"/>
        </w:pict>
      </w:r>
    </w:p>
    <w:bookmarkEnd w:id="67"/>
    <w:bookmarkStart w:id="71" w:name="version-update"/>
    <w:p>
      <w:pPr>
        <w:pStyle w:val="Heading1"/>
      </w:pPr>
      <w:r>
        <w:t xml:space="preserve">VERSION UPDATE</w:t>
      </w:r>
    </w:p>
    <w:bookmarkStart w:id="68" w:name="previous-version"/>
    <w:p>
      <w:pPr>
        <w:pStyle w:val="Heading2"/>
      </w:pPr>
      <w:r>
        <w:t xml:space="preserve">Previous Version</w:t>
      </w:r>
    </w:p>
    <w:p>
      <w:pPr>
        <w:pStyle w:val="FirstParagraph"/>
      </w:pPr>
      <w:r>
        <w:t xml:space="preserve">Database Standards &amp; Conventions v1.0</w:t>
      </w:r>
    </w:p>
    <w:bookmarkEnd w:id="68"/>
    <w:bookmarkStart w:id="69" w:name="updated-version"/>
    <w:p>
      <w:pPr>
        <w:pStyle w:val="Heading2"/>
      </w:pPr>
      <w:r>
        <w:t xml:space="preserve">Updated Version</w:t>
      </w:r>
    </w:p>
    <w:p>
      <w:pPr>
        <w:pStyle w:val="FirstParagraph"/>
      </w:pPr>
      <w:r>
        <w:t xml:space="preserve">Database Standards &amp; Conventions v1.1</w:t>
      </w:r>
    </w:p>
    <w:bookmarkEnd w:id="69"/>
    <w:bookmarkStart w:id="70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FINAL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This amendment is approved for:</w:t>
      </w:r>
    </w:p>
    <w:p>
      <w:pPr>
        <w:pStyle w:val="Compact"/>
        <w:numPr>
          <w:ilvl w:val="0"/>
          <w:numId w:val="1014"/>
        </w:numPr>
      </w:pPr>
      <w:r>
        <w:t xml:space="preserve">MySQL Schema Design</w:t>
      </w:r>
    </w:p>
    <w:p>
      <w:pPr>
        <w:pStyle w:val="Compact"/>
        <w:numPr>
          <w:ilvl w:val="0"/>
          <w:numId w:val="1014"/>
        </w:numPr>
      </w:pPr>
      <w:r>
        <w:t xml:space="preserve">Database Migration Design</w:t>
      </w:r>
    </w:p>
    <w:p>
      <w:pPr>
        <w:pStyle w:val="Compact"/>
        <w:numPr>
          <w:ilvl w:val="0"/>
          <w:numId w:val="1014"/>
        </w:numPr>
      </w:pPr>
      <w:r>
        <w:t xml:space="preserve">API Development</w:t>
      </w:r>
    </w:p>
    <w:p>
      <w:pPr>
        <w:pStyle w:val="Compact"/>
        <w:numPr>
          <w:ilvl w:val="0"/>
          <w:numId w:val="1014"/>
        </w:numPr>
      </w:pPr>
      <w:r>
        <w:t xml:space="preserve">Cursor AI Development</w:t>
      </w:r>
    </w:p>
    <w:p>
      <w:pPr>
        <w:pStyle w:val="Compact"/>
        <w:numPr>
          <w:ilvl w:val="0"/>
          <w:numId w:val="1014"/>
        </w:numPr>
      </w:pPr>
      <w:r>
        <w:t xml:space="preserve">Production Deployment</w:t>
      </w:r>
    </w:p>
    <w:p>
      <w:pPr>
        <w:pStyle w:val="Compact"/>
        <w:numPr>
          <w:ilvl w:val="0"/>
          <w:numId w:val="1014"/>
        </w:numPr>
      </w:pPr>
      <w:r>
        <w:t xml:space="preserve">Future Cloud Migration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DATABASE STANDARDS &amp; CONVENTIONS AMENDMENT v1.1</w:t>
      </w:r>
    </w:p>
    <w:p>
      <w:pPr>
        <w:pStyle w:val="BodyText"/>
      </w:pPr>
      <w:r>
        <w:t xml:space="preserve">END OF DATABASE STANDARDS &amp; CONVENTIONS v1.1 FINAL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2026-06-19T21:57:17Z</dcterms:created>
  <dcterms:modified xsi:type="dcterms:W3CDTF">2026-06-19T21:57:17Z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