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nowledge-base"/>
    <w:p>
      <w:pPr>
        <w:pStyle w:val="Heading1"/>
      </w:pPr>
      <w:r>
        <w:t xml:space="preserve">PROJECT KNOWLEDGE BASE</w:t>
      </w:r>
    </w:p>
    <w:bookmarkEnd w:id="20"/>
    <w:bookmarkStart w:id="21" w:name="document-03"/>
    <w:p>
      <w:pPr>
        <w:pStyle w:val="Heading1"/>
      </w:pPr>
      <w:r>
        <w:t xml:space="preserve">DOCUMENT 03</w:t>
      </w:r>
    </w:p>
    <w:bookmarkEnd w:id="21"/>
    <w:bookmarkStart w:id="22" w:name="database-knowledge"/>
    <w:p>
      <w:pPr>
        <w:pStyle w:val="Heading1"/>
      </w:pPr>
      <w:r>
        <w:t xml:space="preserve">DATABASE KNOWLEDGE</w:t>
      </w:r>
    </w:p>
    <w:p>
      <w:pPr>
        <w:pStyle w:val="FirstParagraph"/>
      </w:pPr>
      <w:r>
        <w:rPr>
          <w:b/>
          <w:bCs/>
        </w:rPr>
        <w:t xml:space="preserve">Knowledge Base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Accepted State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Enterprise Database Knowledge Base</w:t>
      </w:r>
    </w:p>
    <w:p>
      <w:r>
        <w:pict>
          <v:rect style="width:0;height:1.5pt" o:hralign="center" o:hrstd="t" o:hr="t"/>
        </w:pict>
      </w:r>
    </w:p>
    <w:bookmarkEnd w:id="22"/>
    <w:bookmarkStart w:id="28" w:name="database-overview"/>
    <w:p>
      <w:pPr>
        <w:pStyle w:val="Heading1"/>
      </w:pPr>
      <w:r>
        <w:t xml:space="preserve">1. Database Overview</w:t>
      </w:r>
    </w:p>
    <w:bookmarkStart w:id="23" w:name="database-type"/>
    <w:p>
      <w:pPr>
        <w:pStyle w:val="Heading2"/>
      </w:pPr>
      <w:r>
        <w:t xml:space="preserve">Database Type</w:t>
      </w:r>
    </w:p>
    <w:p>
      <w:pPr>
        <w:pStyle w:val="FirstParagraph"/>
      </w:pPr>
      <w:r>
        <w:t xml:space="preserve">Relational Database</w:t>
      </w:r>
    </w:p>
    <w:bookmarkEnd w:id="23"/>
    <w:bookmarkStart w:id="24" w:name="engine"/>
    <w:p>
      <w:pPr>
        <w:pStyle w:val="Heading2"/>
      </w:pPr>
      <w:r>
        <w:t xml:space="preserve">Engine</w:t>
      </w:r>
    </w:p>
    <w:p>
      <w:pPr>
        <w:pStyle w:val="FirstParagraph"/>
      </w:pPr>
      <w:r>
        <w:t xml:space="preserve">MySQL</w:t>
      </w:r>
    </w:p>
    <w:bookmarkEnd w:id="24"/>
    <w:bookmarkStart w:id="25" w:name="orm"/>
    <w:p>
      <w:pPr>
        <w:pStyle w:val="Heading2"/>
      </w:pPr>
      <w:r>
        <w:t xml:space="preserve">ORM</w:t>
      </w:r>
    </w:p>
    <w:p>
      <w:pPr>
        <w:pStyle w:val="FirstParagraph"/>
      </w:pPr>
      <w:r>
        <w:t xml:space="preserve">Laravel Eloquent ORM</w:t>
      </w:r>
    </w:p>
    <w:bookmarkEnd w:id="25"/>
    <w:bookmarkStart w:id="26" w:name="migration-framework"/>
    <w:p>
      <w:pPr>
        <w:pStyle w:val="Heading2"/>
      </w:pPr>
      <w:r>
        <w:t xml:space="preserve">Migration Framework</w:t>
      </w:r>
    </w:p>
    <w:p>
      <w:pPr>
        <w:pStyle w:val="FirstParagraph"/>
      </w:pPr>
      <w:r>
        <w:t xml:space="preserve">Laravel Migrations</w:t>
      </w:r>
    </w:p>
    <w:bookmarkEnd w:id="26"/>
    <w:bookmarkStart w:id="27" w:name="database-strategy"/>
    <w:p>
      <w:pPr>
        <w:pStyle w:val="Heading2"/>
      </w:pPr>
      <w:r>
        <w:t xml:space="preserve">Database Strategy</w:t>
      </w:r>
    </w:p>
    <w:p>
      <w:pPr>
        <w:pStyle w:val="Compact"/>
        <w:numPr>
          <w:ilvl w:val="0"/>
          <w:numId w:val="1001"/>
        </w:numPr>
      </w:pPr>
      <w:r>
        <w:t xml:space="preserve">Domain-oriented</w:t>
      </w:r>
    </w:p>
    <w:p>
      <w:pPr>
        <w:pStyle w:val="Compact"/>
        <w:numPr>
          <w:ilvl w:val="0"/>
          <w:numId w:val="1001"/>
        </w:numPr>
      </w:pPr>
      <w:r>
        <w:t xml:space="preserve">Migration driven</w:t>
      </w:r>
    </w:p>
    <w:p>
      <w:pPr>
        <w:pStyle w:val="Compact"/>
        <w:numPr>
          <w:ilvl w:val="0"/>
          <w:numId w:val="1001"/>
        </w:numPr>
      </w:pPr>
      <w:r>
        <w:t xml:space="preserve">Immutable historical records</w:t>
      </w:r>
    </w:p>
    <w:p>
      <w:pPr>
        <w:pStyle w:val="Compact"/>
        <w:numPr>
          <w:ilvl w:val="0"/>
          <w:numId w:val="1001"/>
        </w:numPr>
      </w:pPr>
      <w:r>
        <w:t xml:space="preserve">Version-aware persistence</w:t>
      </w:r>
    </w:p>
    <w:p>
      <w:pPr>
        <w:pStyle w:val="Compact"/>
        <w:numPr>
          <w:ilvl w:val="0"/>
          <w:numId w:val="1001"/>
        </w:numPr>
      </w:pPr>
      <w:r>
        <w:t xml:space="preserve">Soft deletion where appropriate</w:t>
      </w:r>
    </w:p>
    <w:p>
      <w:pPr>
        <w:pStyle w:val="Compact"/>
        <w:numPr>
          <w:ilvl w:val="0"/>
          <w:numId w:val="1001"/>
        </w:numPr>
      </w:pPr>
      <w:r>
        <w:t xml:space="preserve">Audit-first design</w:t>
      </w:r>
    </w:p>
    <w:p>
      <w:pPr>
        <w:pStyle w:val="Compact"/>
        <w:numPr>
          <w:ilvl w:val="0"/>
          <w:numId w:val="1001"/>
        </w:numPr>
      </w:pPr>
      <w:r>
        <w:t xml:space="preserve">Multi-tenant ready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atabase-architecture"/>
    <w:p>
      <w:pPr>
        <w:pStyle w:val="Heading1"/>
      </w:pPr>
      <w:r>
        <w:t xml:space="preserve">2. Database Architecture</w:t>
      </w:r>
    </w:p>
    <w:p>
      <w:pPr>
        <w:pStyle w:val="FirstParagraph"/>
      </w:pPr>
      <w:r>
        <w:t xml:space="preserve">The database is logically organized into five major domains:</w:t>
      </w:r>
    </w:p>
    <w:p>
      <w:pPr>
        <w:pStyle w:val="SourceCode"/>
      </w:pPr>
      <w:r>
        <w:rPr>
          <w:rStyle w:val="VerbatimChar"/>
        </w:rPr>
        <w:t xml:space="preserve">Identity &amp; Security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Assessment Authoring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Assessment Execution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Assessment Scoring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Results &amp; Reporting</w:t>
      </w:r>
    </w:p>
    <w:p>
      <w:r>
        <w:pict>
          <v:rect style="width:0;height:1.5pt" o:hralign="center" o:hrstd="t" o:hr="t"/>
        </w:pict>
      </w:r>
    </w:p>
    <w:bookmarkEnd w:id="29"/>
    <w:bookmarkStart w:id="30" w:name="module-level-database-domains"/>
    <w:p>
      <w:pPr>
        <w:pStyle w:val="Heading1"/>
      </w:pPr>
      <w:r>
        <w:t xml:space="preserve">3. Module-Level Database Domains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Authoring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Near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Planned /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master-tables"/>
    <w:p>
      <w:pPr>
        <w:pStyle w:val="Heading1"/>
      </w:pPr>
      <w:r>
        <w:t xml:space="preserve">4. Master Tables</w:t>
      </w:r>
    </w:p>
    <w:p>
      <w:pPr>
        <w:pStyle w:val="FirstParagraph"/>
      </w:pPr>
      <w:r>
        <w:t xml:space="preserve">The following master entities exist or are strongly established by the current architecture.</w:t>
      </w:r>
    </w:p>
    <w:bookmarkStart w:id="31" w:name="identity"/>
    <w:p>
      <w:pPr>
        <w:pStyle w:val="Heading2"/>
      </w:pPr>
      <w:r>
        <w:t xml:space="preserve">Identity</w:t>
      </w:r>
    </w:p>
    <w:p>
      <w:pPr>
        <w:pStyle w:val="Compact"/>
        <w:numPr>
          <w:ilvl w:val="0"/>
          <w:numId w:val="1002"/>
        </w:numPr>
      </w:pPr>
      <w:r>
        <w:t xml:space="preserve">users</w:t>
      </w:r>
    </w:p>
    <w:p>
      <w:pPr>
        <w:pStyle w:val="Compact"/>
        <w:numPr>
          <w:ilvl w:val="0"/>
          <w:numId w:val="1002"/>
        </w:numPr>
      </w:pPr>
      <w:r>
        <w:t xml:space="preserve">roles</w:t>
      </w:r>
    </w:p>
    <w:p>
      <w:pPr>
        <w:pStyle w:val="Compact"/>
        <w:numPr>
          <w:ilvl w:val="0"/>
          <w:numId w:val="1002"/>
        </w:numPr>
      </w:pPr>
      <w:r>
        <w:t xml:space="preserve">permissions</w:t>
      </w:r>
    </w:p>
    <w:p>
      <w:pPr>
        <w:pStyle w:val="Compact"/>
        <w:numPr>
          <w:ilvl w:val="0"/>
          <w:numId w:val="1002"/>
        </w:numPr>
      </w:pPr>
      <w:r>
        <w:t xml:space="preserve">role_permissions</w:t>
      </w:r>
    </w:p>
    <w:p>
      <w:pPr>
        <w:pStyle w:val="Compact"/>
        <w:numPr>
          <w:ilvl w:val="0"/>
          <w:numId w:val="1002"/>
        </w:numPr>
      </w:pPr>
      <w:r>
        <w:t xml:space="preserve">user_roles</w:t>
      </w:r>
    </w:p>
    <w:p>
      <w:pPr>
        <w:pStyle w:val="Compact"/>
        <w:numPr>
          <w:ilvl w:val="0"/>
          <w:numId w:val="1002"/>
        </w:numPr>
      </w:pPr>
      <w:r>
        <w:t xml:space="preserve">tenants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1"/>
    <w:bookmarkStart w:id="32" w:name="assessment-catalog"/>
    <w:p>
      <w:pPr>
        <w:pStyle w:val="Heading2"/>
      </w:pPr>
      <w:r>
        <w:t xml:space="preserve">Assessment Catalog</w:t>
      </w:r>
    </w:p>
    <w:p>
      <w:pPr>
        <w:pStyle w:val="Compact"/>
        <w:numPr>
          <w:ilvl w:val="0"/>
          <w:numId w:val="1003"/>
        </w:numPr>
      </w:pPr>
      <w:r>
        <w:t xml:space="preserve">frameworks</w:t>
      </w:r>
    </w:p>
    <w:p>
      <w:pPr>
        <w:pStyle w:val="Compact"/>
        <w:numPr>
          <w:ilvl w:val="0"/>
          <w:numId w:val="1003"/>
        </w:numPr>
      </w:pPr>
      <w:r>
        <w:t xml:space="preserve">technologies</w:t>
      </w:r>
    </w:p>
    <w:p>
      <w:pPr>
        <w:pStyle w:val="Compact"/>
        <w:numPr>
          <w:ilvl w:val="0"/>
          <w:numId w:val="1003"/>
        </w:numPr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assessment_versions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2"/>
    <w:bookmarkStart w:id="33" w:name="question-bank"/>
    <w:p>
      <w:pPr>
        <w:pStyle w:val="Heading2"/>
      </w:pPr>
      <w:r>
        <w:t xml:space="preserve">Question Bank</w:t>
      </w:r>
    </w:p>
    <w:p>
      <w:pPr>
        <w:pStyle w:val="Compact"/>
        <w:numPr>
          <w:ilvl w:val="0"/>
          <w:numId w:val="1004"/>
        </w:numPr>
      </w:pPr>
      <w:r>
        <w:t xml:space="preserve">question_banks</w:t>
      </w:r>
    </w:p>
    <w:p>
      <w:pPr>
        <w:pStyle w:val="Compact"/>
        <w:numPr>
          <w:ilvl w:val="0"/>
          <w:numId w:val="1004"/>
        </w:numPr>
      </w:pPr>
      <w:r>
        <w:t xml:space="preserve">questions</w:t>
      </w:r>
    </w:p>
    <w:p>
      <w:pPr>
        <w:pStyle w:val="Compact"/>
        <w:numPr>
          <w:ilvl w:val="0"/>
          <w:numId w:val="1004"/>
        </w:numPr>
      </w:pPr>
      <w:r>
        <w:t xml:space="preserve">question_options</w:t>
      </w:r>
    </w:p>
    <w:p>
      <w:pPr>
        <w:pStyle w:val="Compact"/>
        <w:numPr>
          <w:ilvl w:val="0"/>
          <w:numId w:val="1004"/>
        </w:numPr>
      </w:pPr>
      <w:r>
        <w:t xml:space="preserve">competencies</w:t>
      </w:r>
    </w:p>
    <w:p>
      <w:pPr>
        <w:pStyle w:val="Compact"/>
        <w:numPr>
          <w:ilvl w:val="0"/>
          <w:numId w:val="1004"/>
        </w:numPr>
      </w:pPr>
      <w:r>
        <w:t xml:space="preserve">sections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3"/>
    <w:bookmarkStart w:id="34" w:name="assessment-configuration"/>
    <w:p>
      <w:pPr>
        <w:pStyle w:val="Heading2"/>
      </w:pPr>
      <w:r>
        <w:t xml:space="preserve">Assessment Configuration</w:t>
      </w:r>
    </w:p>
    <w:p>
      <w:pPr>
        <w:pStyle w:val="Compact"/>
        <w:numPr>
          <w:ilvl w:val="0"/>
          <w:numId w:val="1005"/>
        </w:numPr>
      </w:pPr>
      <w:r>
        <w:t xml:space="preserve">assessment_blueprints</w:t>
      </w:r>
    </w:p>
    <w:p>
      <w:pPr>
        <w:pStyle w:val="Compact"/>
        <w:numPr>
          <w:ilvl w:val="0"/>
          <w:numId w:val="1005"/>
        </w:numPr>
      </w:pPr>
      <w:r>
        <w:t xml:space="preserve">assessment_sections</w:t>
      </w:r>
    </w:p>
    <w:p>
      <w:pPr>
        <w:pStyle w:val="Compact"/>
        <w:numPr>
          <w:ilvl w:val="0"/>
          <w:numId w:val="1005"/>
        </w:numPr>
      </w:pPr>
      <w:r>
        <w:t xml:space="preserve">blueprint_competencies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transaction-tables"/>
    <w:p>
      <w:pPr>
        <w:pStyle w:val="Heading1"/>
      </w:pPr>
      <w:r>
        <w:t xml:space="preserve">5. Transaction Tables</w:t>
      </w:r>
    </w:p>
    <w:bookmarkStart w:id="36" w:name="publication"/>
    <w:p>
      <w:pPr>
        <w:pStyle w:val="Heading2"/>
      </w:pPr>
      <w:r>
        <w:t xml:space="preserve">Publication</w:t>
      </w:r>
    </w:p>
    <w:p>
      <w:pPr>
        <w:pStyle w:val="Compact"/>
        <w:numPr>
          <w:ilvl w:val="0"/>
          <w:numId w:val="1006"/>
        </w:numPr>
      </w:pPr>
      <w:r>
        <w:t xml:space="preserve">published_assessments</w:t>
      </w:r>
    </w:p>
    <w:p>
      <w:pPr>
        <w:pStyle w:val="Compact"/>
        <w:numPr>
          <w:ilvl w:val="0"/>
          <w:numId w:val="1006"/>
        </w:numPr>
      </w:pPr>
      <w:r>
        <w:t xml:space="preserve">assessment_snapshots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6"/>
    <w:bookmarkStart w:id="37" w:name="execution"/>
    <w:p>
      <w:pPr>
        <w:pStyle w:val="Heading2"/>
      </w:pPr>
      <w:r>
        <w:t xml:space="preserve">Execution</w:t>
      </w:r>
    </w:p>
    <w:p>
      <w:pPr>
        <w:pStyle w:val="FirstParagraph"/>
      </w:pPr>
      <w:r>
        <w:t xml:space="preserve">Core transactional tables:</w:t>
      </w:r>
    </w:p>
    <w:p>
      <w:pPr>
        <w:pStyle w:val="Compact"/>
        <w:numPr>
          <w:ilvl w:val="0"/>
          <w:numId w:val="1007"/>
        </w:numPr>
      </w:pPr>
      <w:r>
        <w:t xml:space="preserve">assessment_attempts</w:t>
      </w:r>
    </w:p>
    <w:p>
      <w:pPr>
        <w:pStyle w:val="Compact"/>
        <w:numPr>
          <w:ilvl w:val="0"/>
          <w:numId w:val="1007"/>
        </w:numPr>
      </w:pPr>
      <w:r>
        <w:t xml:space="preserve">attempt_sections</w:t>
      </w:r>
    </w:p>
    <w:p>
      <w:pPr>
        <w:pStyle w:val="Compact"/>
        <w:numPr>
          <w:ilvl w:val="0"/>
          <w:numId w:val="1007"/>
        </w:numPr>
      </w:pPr>
      <w:r>
        <w:t xml:space="preserve">attempt_questions</w:t>
      </w:r>
    </w:p>
    <w:p>
      <w:pPr>
        <w:pStyle w:val="Compact"/>
        <w:numPr>
          <w:ilvl w:val="0"/>
          <w:numId w:val="1007"/>
        </w:numPr>
      </w:pPr>
      <w:r>
        <w:t xml:space="preserve">candidate_answers</w:t>
      </w:r>
    </w:p>
    <w:p>
      <w:pPr>
        <w:pStyle w:val="Compact"/>
        <w:numPr>
          <w:ilvl w:val="0"/>
          <w:numId w:val="1007"/>
        </w:numPr>
      </w:pPr>
      <w:r>
        <w:t xml:space="preserve">attempt_submissions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Key execution fields confirmed:</w:t>
      </w:r>
    </w:p>
    <w:p>
      <w:pPr>
        <w:pStyle w:val="Compact"/>
        <w:numPr>
          <w:ilvl w:val="0"/>
          <w:numId w:val="1008"/>
        </w:numPr>
      </w:pPr>
      <w:r>
        <w:t xml:space="preserve">started_at</w:t>
      </w:r>
    </w:p>
    <w:p>
      <w:pPr>
        <w:pStyle w:val="Compact"/>
        <w:numPr>
          <w:ilvl w:val="0"/>
          <w:numId w:val="1008"/>
        </w:numPr>
      </w:pPr>
      <w:r>
        <w:t xml:space="preserve">expires_at</w:t>
      </w:r>
    </w:p>
    <w:p>
      <w:pPr>
        <w:pStyle w:val="Compact"/>
        <w:numPr>
          <w:ilvl w:val="0"/>
          <w:numId w:val="1008"/>
        </w:numPr>
      </w:pPr>
      <w:r>
        <w:t xml:space="preserve">submitted_at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FirstParagraph"/>
      </w:pPr>
      <w:r>
        <w:t xml:space="preserve">These are the authoritative execution lifecycle fields.</w:t>
      </w:r>
    </w:p>
    <w:p>
      <w:r>
        <w:pict>
          <v:rect style="width:0;height:1.5pt" o:hralign="center" o:hrstd="t" o:hr="t"/>
        </w:pict>
      </w:r>
    </w:p>
    <w:bookmarkEnd w:id="37"/>
    <w:bookmarkStart w:id="38" w:name="scoring"/>
    <w:p>
      <w:pPr>
        <w:pStyle w:val="Heading2"/>
      </w:pPr>
      <w:r>
        <w:t xml:space="preserve">Scoring</w:t>
      </w:r>
    </w:p>
    <w:p>
      <w:pPr>
        <w:pStyle w:val="FirstParagraph"/>
      </w:pPr>
      <w:r>
        <w:t xml:space="preserve">Confirmed scoring entities:</w:t>
      </w:r>
    </w:p>
    <w:p>
      <w:pPr>
        <w:pStyle w:val="Compact"/>
        <w:numPr>
          <w:ilvl w:val="0"/>
          <w:numId w:val="1009"/>
        </w:numPr>
      </w:pPr>
      <w:r>
        <w:t xml:space="preserve">assessment_results</w:t>
      </w:r>
    </w:p>
    <w:p>
      <w:pPr>
        <w:pStyle w:val="Compact"/>
        <w:numPr>
          <w:ilvl w:val="0"/>
          <w:numId w:val="1009"/>
        </w:numPr>
      </w:pPr>
      <w:r>
        <w:t xml:space="preserve">question_scores</w:t>
      </w:r>
    </w:p>
    <w:p>
      <w:pPr>
        <w:pStyle w:val="Compact"/>
        <w:numPr>
          <w:ilvl w:val="0"/>
          <w:numId w:val="1009"/>
        </w:numPr>
      </w:pPr>
      <w:r>
        <w:t xml:space="preserve">competency_scores</w:t>
      </w:r>
    </w:p>
    <w:p>
      <w:pPr>
        <w:pStyle w:val="Compact"/>
        <w:numPr>
          <w:ilvl w:val="0"/>
          <w:numId w:val="1009"/>
        </w:numPr>
      </w:pPr>
      <w:r>
        <w:t xml:space="preserve">section_scores</w:t>
      </w:r>
    </w:p>
    <w:p>
      <w:pPr>
        <w:pStyle w:val="Compact"/>
        <w:numPr>
          <w:ilvl w:val="0"/>
          <w:numId w:val="1009"/>
        </w:numPr>
      </w:pPr>
      <w:r>
        <w:t xml:space="preserve">result_audits</w:t>
      </w:r>
    </w:p>
    <w:p>
      <w:pPr>
        <w:pStyle w:val="Compact"/>
        <w:numPr>
          <w:ilvl w:val="0"/>
          <w:numId w:val="1009"/>
        </w:numPr>
      </w:pPr>
      <w:r>
        <w:t xml:space="preserve">result_versions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8"/>
    <w:bookmarkStart w:id="39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Expected entities:</w:t>
      </w:r>
    </w:p>
    <w:p>
      <w:pPr>
        <w:pStyle w:val="Compact"/>
        <w:numPr>
          <w:ilvl w:val="0"/>
          <w:numId w:val="1010"/>
        </w:numPr>
      </w:pPr>
      <w:r>
        <w:t xml:space="preserve">certificates</w:t>
      </w:r>
    </w:p>
    <w:p>
      <w:pPr>
        <w:pStyle w:val="Compact"/>
        <w:numPr>
          <w:ilvl w:val="0"/>
          <w:numId w:val="1010"/>
        </w:numPr>
      </w:pPr>
      <w:r>
        <w:t xml:space="preserve">leaderboard snapshots (logical capability)</w:t>
      </w:r>
    </w:p>
    <w:p>
      <w:pPr>
        <w:pStyle w:val="Compact"/>
        <w:numPr>
          <w:ilvl w:val="0"/>
          <w:numId w:val="1010"/>
        </w:numPr>
      </w:pPr>
      <w:r>
        <w:t xml:space="preserve">analytics summary tables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Partial / Planned implementation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udit-tables"/>
    <w:p>
      <w:pPr>
        <w:pStyle w:val="Heading1"/>
      </w:pPr>
      <w:r>
        <w:t xml:space="preserve">6. Audit Tables</w:t>
      </w:r>
    </w:p>
    <w:p>
      <w:pPr>
        <w:pStyle w:val="FirstParagraph"/>
      </w:pPr>
      <w:r>
        <w:t xml:space="preserve">The platform follows an immutable audit strategy.</w:t>
      </w:r>
    </w:p>
    <w:p>
      <w:pPr>
        <w:pStyle w:val="BodyText"/>
      </w:pPr>
      <w:r>
        <w:t xml:space="preserve">Confirmed audit structures:</w:t>
      </w:r>
    </w:p>
    <w:p>
      <w:pPr>
        <w:pStyle w:val="Compact"/>
        <w:numPr>
          <w:ilvl w:val="0"/>
          <w:numId w:val="1011"/>
        </w:numPr>
      </w:pPr>
      <w:r>
        <w:t xml:space="preserve">result_audits</w:t>
      </w:r>
    </w:p>
    <w:p>
      <w:pPr>
        <w:pStyle w:val="FirstParagraph"/>
      </w:pPr>
      <w:r>
        <w:t xml:space="preserve">Audit captures:</w:t>
      </w:r>
    </w:p>
    <w:p>
      <w:pPr>
        <w:pStyle w:val="Compact"/>
        <w:numPr>
          <w:ilvl w:val="0"/>
          <w:numId w:val="1012"/>
        </w:numPr>
      </w:pPr>
      <w:r>
        <w:t xml:space="preserve">candidateAnswer</w:t>
      </w:r>
    </w:p>
    <w:p>
      <w:pPr>
        <w:pStyle w:val="Compact"/>
        <w:numPr>
          <w:ilvl w:val="0"/>
          <w:numId w:val="1012"/>
        </w:numPr>
      </w:pPr>
      <w:r>
        <w:t xml:space="preserve">correctAnswer</w:t>
      </w:r>
    </w:p>
    <w:p>
      <w:pPr>
        <w:pStyle w:val="Compact"/>
        <w:numPr>
          <w:ilvl w:val="0"/>
          <w:numId w:val="1012"/>
        </w:numPr>
      </w:pPr>
      <w:r>
        <w:t xml:space="preserve">strategyApplied</w:t>
      </w:r>
    </w:p>
    <w:p>
      <w:pPr>
        <w:pStyle w:val="Compact"/>
        <w:numPr>
          <w:ilvl w:val="0"/>
          <w:numId w:val="1012"/>
        </w:numPr>
      </w:pPr>
      <w:r>
        <w:t xml:space="preserve">scoreAwarded</w:t>
      </w:r>
    </w:p>
    <w:p>
      <w:pPr>
        <w:pStyle w:val="Compact"/>
        <w:numPr>
          <w:ilvl w:val="0"/>
          <w:numId w:val="1012"/>
        </w:numPr>
      </w:pPr>
      <w:r>
        <w:t xml:space="preserve">penaltyApplied</w:t>
      </w:r>
    </w:p>
    <w:p>
      <w:pPr>
        <w:pStyle w:val="Compact"/>
        <w:numPr>
          <w:ilvl w:val="0"/>
          <w:numId w:val="1012"/>
        </w:numPr>
      </w:pPr>
      <w:r>
        <w:t xml:space="preserve">explanation</w:t>
      </w:r>
    </w:p>
    <w:p>
      <w:pPr>
        <w:pStyle w:val="Compact"/>
        <w:numPr>
          <w:ilvl w:val="0"/>
          <w:numId w:val="1012"/>
        </w:numPr>
      </w:pPr>
      <w:r>
        <w:t xml:space="preserve">version history</w:t>
      </w:r>
    </w:p>
    <w:p>
      <w:pPr>
        <w:pStyle w:val="FirstParagraph"/>
      </w:pPr>
      <w:r>
        <w:t xml:space="preserve">Audit records are never overwritten.</w:t>
      </w:r>
    </w:p>
    <w:p>
      <w:r>
        <w:pict>
          <v:rect style="width:0;height:1.5pt" o:hralign="center" o:hrstd="t" o:hr="t"/>
        </w:pict>
      </w:r>
    </w:p>
    <w:bookmarkEnd w:id="41"/>
    <w:bookmarkStart w:id="47" w:name="relationships"/>
    <w:p>
      <w:pPr>
        <w:pStyle w:val="Heading1"/>
      </w:pPr>
      <w:r>
        <w:t xml:space="preserve">7. Relationships</w:t>
      </w:r>
    </w:p>
    <w:bookmarkStart w:id="42" w:name="assessment"/>
    <w:p>
      <w:pPr>
        <w:pStyle w:val="Heading2"/>
      </w:pPr>
      <w:r>
        <w:t xml:space="preserve">Assessment</w:t>
      </w:r>
    </w:p>
    <w:p>
      <w:pPr>
        <w:pStyle w:val="SourceCode"/>
      </w:pPr>
      <w:r>
        <w:rPr>
          <w:rStyle w:val="VerbatimChar"/>
        </w:rPr>
        <w:t xml:space="preserve">Framework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Sections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Options</w:t>
      </w:r>
    </w:p>
    <w:p>
      <w:r>
        <w:pict>
          <v:rect style="width:0;height:1.5pt" o:hralign="center" o:hrstd="t" o:hr="t"/>
        </w:pict>
      </w:r>
    </w:p>
    <w:bookmarkEnd w:id="42"/>
    <w:bookmarkStart w:id="43" w:name="publication-1"/>
    <w:p>
      <w:pPr>
        <w:pStyle w:val="Heading2"/>
      </w:pPr>
      <w:r>
        <w:t xml:space="preserve">Publication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Published Assessment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Snapshot JSON</w:t>
      </w:r>
    </w:p>
    <w:p>
      <w:r>
        <w:pict>
          <v:rect style="width:0;height:1.5pt" o:hralign="center" o:hrstd="t" o:hr="t"/>
        </w:pict>
      </w:r>
    </w:p>
    <w:bookmarkEnd w:id="43"/>
    <w:bookmarkStart w:id="44" w:name="execution-1"/>
    <w:p>
      <w:pPr>
        <w:pStyle w:val="Heading2"/>
      </w:pPr>
      <w:r>
        <w:t xml:space="preserve">Execution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Attempt Sections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Attempt Questions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Candidate Answers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Submission</w:t>
      </w:r>
    </w:p>
    <w:p>
      <w:r>
        <w:pict>
          <v:rect style="width:0;height:1.5pt" o:hralign="center" o:hrstd="t" o:hr="t"/>
        </w:pict>
      </w:r>
    </w:p>
    <w:bookmarkEnd w:id="44"/>
    <w:bookmarkStart w:id="45" w:name="scoring-1"/>
    <w:p>
      <w:pPr>
        <w:pStyle w:val="Heading2"/>
      </w:pPr>
      <w:r>
        <w:t xml:space="preserve">Scoring</w:t>
      </w:r>
    </w:p>
    <w:p>
      <w:pPr>
        <w:pStyle w:val="SourceCode"/>
      </w:pP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Assessment Result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Question Scores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Competency Scores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Result Versions</w:t>
      </w:r>
    </w:p>
    <w:p>
      <w:r>
        <w:pict>
          <v:rect style="width:0;height:1.5pt" o:hralign="center" o:hrstd="t" o:hr="t"/>
        </w:pict>
      </w:r>
    </w:p>
    <w:bookmarkEnd w:id="45"/>
    <w:bookmarkStart w:id="46" w:name="results-1"/>
    <w:p>
      <w:pPr>
        <w:pStyle w:val="Heading2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Assessment Result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Certificate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napshot-strategy"/>
    <w:p>
      <w:pPr>
        <w:pStyle w:val="Heading1"/>
      </w:pPr>
      <w:r>
        <w:t xml:space="preserve">8. Snapshot Strategy</w:t>
      </w:r>
    </w:p>
    <w:p>
      <w:pPr>
        <w:pStyle w:val="FirstParagraph"/>
      </w:pPr>
      <w:r>
        <w:t xml:space="preserve">Snapshots are immutable.</w:t>
      </w:r>
    </w:p>
    <w:p>
      <w:pPr>
        <w:pStyle w:val="BodyText"/>
      </w:pPr>
      <w:r>
        <w:t xml:space="preserve">Snapshot stores:</w:t>
      </w:r>
    </w:p>
    <w:p>
      <w:pPr>
        <w:pStyle w:val="Compact"/>
        <w:numPr>
          <w:ilvl w:val="0"/>
          <w:numId w:val="1013"/>
        </w:numPr>
      </w:pPr>
      <w:r>
        <w:t xml:space="preserve">Question text</w:t>
      </w:r>
    </w:p>
    <w:p>
      <w:pPr>
        <w:pStyle w:val="Compact"/>
        <w:numPr>
          <w:ilvl w:val="0"/>
          <w:numId w:val="1013"/>
        </w:numPr>
      </w:pPr>
      <w:r>
        <w:t xml:space="preserve">Option text</w:t>
      </w:r>
    </w:p>
    <w:p>
      <w:pPr>
        <w:pStyle w:val="Compact"/>
        <w:numPr>
          <w:ilvl w:val="0"/>
          <w:numId w:val="1013"/>
        </w:numPr>
      </w:pPr>
      <w:r>
        <w:t xml:space="preserve">Question type</w:t>
      </w:r>
    </w:p>
    <w:p>
      <w:pPr>
        <w:pStyle w:val="Compact"/>
        <w:numPr>
          <w:ilvl w:val="0"/>
          <w:numId w:val="1013"/>
        </w:numPr>
      </w:pPr>
      <w:r>
        <w:t xml:space="preserve">Ordering</w:t>
      </w:r>
    </w:p>
    <w:p>
      <w:pPr>
        <w:pStyle w:val="Compact"/>
        <w:numPr>
          <w:ilvl w:val="0"/>
          <w:numId w:val="1013"/>
        </w:numPr>
      </w:pPr>
      <w:r>
        <w:t xml:space="preserve">Metadata</w:t>
      </w:r>
    </w:p>
    <w:p>
      <w:pPr>
        <w:pStyle w:val="FirstParagraph"/>
      </w:pPr>
      <w:r>
        <w:t xml:space="preserve">Execution consumes only snapshots.</w:t>
      </w:r>
    </w:p>
    <w:p>
      <w:pPr>
        <w:pStyle w:val="BodyText"/>
      </w:pPr>
      <w:r>
        <w:t xml:space="preserve">Scoring consumes only snapshot-derived data.</w:t>
      </w:r>
    </w:p>
    <w:p>
      <w:pPr>
        <w:pStyle w:val="BodyText"/>
      </w:pPr>
      <w:r>
        <w:t xml:space="preserve">Blueprint changes never affect historical attempts.</w:t>
      </w:r>
    </w:p>
    <w:p>
      <w:r>
        <w:pict>
          <v:rect style="width:0;height:1.5pt" o:hralign="center" o:hrstd="t" o:hr="t"/>
        </w:pict>
      </w:r>
    </w:p>
    <w:bookmarkEnd w:id="48"/>
    <w:bookmarkStart w:id="49" w:name="candidate-answer-strategy"/>
    <w:p>
      <w:pPr>
        <w:pStyle w:val="Heading1"/>
      </w:pPr>
      <w:r>
        <w:t xml:space="preserve">9. Candidate Answer Strategy</w:t>
      </w:r>
    </w:p>
    <w:p>
      <w:pPr>
        <w:pStyle w:val="FirstParagraph"/>
      </w:pPr>
      <w:r>
        <w:t xml:space="preserve">Candidate answers are stored using lazy materialization.</w:t>
      </w:r>
    </w:p>
    <w:p>
      <w:pPr>
        <w:pStyle w:val="BodyText"/>
      </w:pPr>
      <w:r>
        <w:t xml:space="preserve">Characteristics</w:t>
      </w:r>
    </w:p>
    <w:p>
      <w:pPr>
        <w:numPr>
          <w:ilvl w:val="0"/>
          <w:numId w:val="1014"/>
        </w:numPr>
      </w:pPr>
      <w:r>
        <w:t xml:space="preserve">No massive pre-seeding</w:t>
      </w:r>
    </w:p>
    <w:p>
      <w:pPr>
        <w:numPr>
          <w:ilvl w:val="0"/>
          <w:numId w:val="1014"/>
        </w:numPr>
      </w:pPr>
      <w:r>
        <w:t xml:space="preserve">Rows created on demand</w:t>
      </w:r>
    </w:p>
    <w:p>
      <w:pPr>
        <w:numPr>
          <w:ilvl w:val="0"/>
          <w:numId w:val="1014"/>
        </w:numPr>
      </w:pPr>
      <w:r>
        <w:t xml:space="preserve">Snapshot validation enforced</w:t>
      </w:r>
    </w:p>
    <w:p>
      <w:pPr>
        <w:numPr>
          <w:ilvl w:val="0"/>
          <w:numId w:val="1014"/>
        </w:numPr>
      </w:pPr>
      <w:r>
        <w:t xml:space="preserve">Supports:</w:t>
      </w:r>
    </w:p>
    <w:p>
      <w:pPr>
        <w:numPr>
          <w:ilvl w:val="1"/>
          <w:numId w:val="1015"/>
        </w:numPr>
      </w:pPr>
      <w:r>
        <w:t xml:space="preserve">single_choice</w:t>
      </w:r>
    </w:p>
    <w:p>
      <w:pPr>
        <w:numPr>
          <w:ilvl w:val="1"/>
          <w:numId w:val="1015"/>
        </w:numPr>
      </w:pPr>
      <w:r>
        <w:t xml:space="preserve">multiple_choice</w:t>
      </w:r>
    </w:p>
    <w:p>
      <w:pPr>
        <w:pStyle w:val="FirstParagraph"/>
      </w:pPr>
      <w:r>
        <w:t xml:space="preserve">Storage supports</w:t>
      </w:r>
    </w:p>
    <w:p>
      <w:pPr>
        <w:pStyle w:val="BodyText"/>
      </w:pPr>
      <w:r>
        <w:t xml:space="preserve">String answers</w:t>
      </w:r>
    </w:p>
    <w:p>
      <w:pPr>
        <w:pStyle w:val="BodyText"/>
      </w:pPr>
      <w:r>
        <w:t xml:space="preserve">JSON arrays</w:t>
      </w:r>
    </w:p>
    <w:p>
      <w:pPr>
        <w:pStyle w:val="BodyText"/>
      </w:pPr>
      <w:r>
        <w:t xml:space="preserve">Version tracking</w:t>
      </w:r>
    </w:p>
    <w:p>
      <w:r>
        <w:pict>
          <v:rect style="width:0;height:1.5pt" o:hralign="center" o:hrstd="t" o:hr="t"/>
        </w:pict>
      </w:r>
    </w:p>
    <w:bookmarkEnd w:id="49"/>
    <w:bookmarkStart w:id="50" w:name="scoring-persistence-strategy"/>
    <w:p>
      <w:pPr>
        <w:pStyle w:val="Heading1"/>
      </w:pPr>
      <w:r>
        <w:t xml:space="preserve">10. Scoring Persistence Strategy</w:t>
      </w:r>
    </w:p>
    <w:p>
      <w:pPr>
        <w:pStyle w:val="FirstParagraph"/>
      </w:pPr>
      <w:r>
        <w:t xml:space="preserve">Scoring is version-aware.</w:t>
      </w:r>
    </w:p>
    <w:p>
      <w:pPr>
        <w:pStyle w:val="BodyText"/>
      </w:pPr>
      <w:r>
        <w:t xml:space="preserve">Never overwrite existing results.</w:t>
      </w:r>
    </w:p>
    <w:p>
      <w:pPr>
        <w:pStyle w:val="BodyText"/>
      </w:pPr>
      <w:r>
        <w:t xml:space="preserve">Each recalculation creates:</w:t>
      </w:r>
    </w:p>
    <w:p>
      <w:pPr>
        <w:pStyle w:val="SourceCode"/>
      </w:pPr>
      <w:r>
        <w:rPr>
          <w:rStyle w:val="VerbatimChar"/>
        </w:rPr>
        <w:t xml:space="preserve">Version 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Version 2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Version N</w:t>
      </w:r>
    </w:p>
    <w:p>
      <w:pPr>
        <w:pStyle w:val="FirstParagraph"/>
      </w:pPr>
      <w:r>
        <w:t xml:space="preserve">Historical versions remain available.</w:t>
      </w:r>
    </w:p>
    <w:p>
      <w:r>
        <w:pict>
          <v:rect style="width:0;height:1.5pt" o:hralign="center" o:hrstd="t" o:hr="t"/>
        </w:pict>
      </w:r>
    </w:p>
    <w:bookmarkEnd w:id="50"/>
    <w:bookmarkStart w:id="51" w:name="certificate-persistence"/>
    <w:p>
      <w:pPr>
        <w:pStyle w:val="Heading1"/>
      </w:pPr>
      <w:r>
        <w:t xml:space="preserve">11. Certificate Persistence</w:t>
      </w:r>
    </w:p>
    <w:p>
      <w:pPr>
        <w:pStyle w:val="FirstParagraph"/>
      </w:pPr>
      <w:r>
        <w:t xml:space="preserve">Certificates are linked to:</w:t>
      </w:r>
    </w:p>
    <w:p>
      <w:pPr>
        <w:pStyle w:val="Compact"/>
        <w:numPr>
          <w:ilvl w:val="0"/>
          <w:numId w:val="1016"/>
        </w:numPr>
      </w:pPr>
      <w:r>
        <w:t xml:space="preserve">result_uuid</w:t>
      </w:r>
    </w:p>
    <w:p>
      <w:pPr>
        <w:pStyle w:val="Compact"/>
        <w:numPr>
          <w:ilvl w:val="0"/>
          <w:numId w:val="1016"/>
        </w:numPr>
      </w:pPr>
      <w:r>
        <w:t xml:space="preserve">result_version</w:t>
      </w:r>
    </w:p>
    <w:p>
      <w:pPr>
        <w:pStyle w:val="FirstParagraph"/>
      </w:pPr>
      <w:r>
        <w:t xml:space="preserve">Certificate lifecycle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REVOKED</w:t>
      </w:r>
    </w:p>
    <w:p>
      <w:pPr>
        <w:pStyle w:val="BodyText"/>
      </w:pPr>
      <w:r>
        <w:t xml:space="preserve">No deletion.</w:t>
      </w:r>
    </w:p>
    <w:p>
      <w:pPr>
        <w:pStyle w:val="BodyText"/>
      </w:pPr>
      <w:r>
        <w:t xml:space="preserve">Historical artifacts preserved.</w:t>
      </w:r>
    </w:p>
    <w:p>
      <w:r>
        <w:pict>
          <v:rect style="width:0;height:1.5pt" o:hralign="center" o:hrstd="t" o:hr="t"/>
        </w:pict>
      </w:r>
    </w:p>
    <w:bookmarkEnd w:id="51"/>
    <w:bookmarkStart w:id="52" w:name="analytics-storage"/>
    <w:p>
      <w:pPr>
        <w:pStyle w:val="Heading1"/>
      </w:pPr>
      <w:r>
        <w:t xml:space="preserve">12. Analytics Storage</w:t>
      </w:r>
    </w:p>
    <w:p>
      <w:pPr>
        <w:pStyle w:val="FirstParagraph"/>
      </w:pPr>
      <w:r>
        <w:t xml:space="preserve">Approved architecture:</w:t>
      </w:r>
    </w:p>
    <w:p>
      <w:pPr>
        <w:pStyle w:val="BodyText"/>
      </w:pPr>
      <w:r>
        <w:t xml:space="preserve">Materialized summary tables</w:t>
      </w:r>
    </w:p>
    <w:p>
      <w:pPr>
        <w:pStyle w:val="FirstParagraph"/>
      </w:pPr>
      <w:r>
        <w:t xml:space="preserve">Redis cache</w:t>
      </w:r>
    </w:p>
    <w:p>
      <w:pPr>
        <w:pStyle w:val="BodyText"/>
      </w:pPr>
      <w:r>
        <w:t xml:space="preserve">Likely summary entities:</w:t>
      </w:r>
    </w:p>
    <w:p>
      <w:pPr>
        <w:pStyle w:val="Compact"/>
        <w:numPr>
          <w:ilvl w:val="0"/>
          <w:numId w:val="1018"/>
        </w:numPr>
      </w:pPr>
      <w:r>
        <w:t xml:space="preserve">assessment_analytics_summary</w:t>
      </w:r>
    </w:p>
    <w:p>
      <w:pPr>
        <w:pStyle w:val="Compact"/>
        <w:numPr>
          <w:ilvl w:val="0"/>
          <w:numId w:val="1018"/>
        </w:numPr>
      </w:pPr>
      <w:r>
        <w:t xml:space="preserve">competency_analytics_summary</w:t>
      </w:r>
    </w:p>
    <w:p>
      <w:pPr>
        <w:pStyle w:val="Compact"/>
        <w:numPr>
          <w:ilvl w:val="0"/>
          <w:numId w:val="1018"/>
        </w:numPr>
      </w:pPr>
      <w:r>
        <w:t xml:space="preserve">question_analytics_summary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O(1) dashboard retrieval</w:t>
      </w:r>
    </w:p>
    <w:p>
      <w:pPr>
        <w:pStyle w:val="BodyText"/>
      </w:pPr>
      <w:r>
        <w:t xml:space="preserve">Historical analytics</w:t>
      </w:r>
    </w:p>
    <w:p>
      <w:r>
        <w:pict>
          <v:rect style="width:0;height:1.5pt" o:hralign="center" o:hrstd="t" o:hr="t"/>
        </w:pict>
      </w:r>
    </w:p>
    <w:bookmarkEnd w:id="52"/>
    <w:bookmarkStart w:id="53" w:name="migration-strategy"/>
    <w:p>
      <w:pPr>
        <w:pStyle w:val="Heading1"/>
      </w:pPr>
      <w:r>
        <w:t xml:space="preserve">13. Migration Strategy</w:t>
      </w:r>
    </w:p>
    <w:p>
      <w:pPr>
        <w:pStyle w:val="FirstParagraph"/>
      </w:pPr>
      <w:r>
        <w:t xml:space="preserve">Migration principles</w:t>
      </w:r>
    </w:p>
    <w:p>
      <w:pPr>
        <w:pStyle w:val="Compact"/>
        <w:numPr>
          <w:ilvl w:val="0"/>
          <w:numId w:val="1019"/>
        </w:numPr>
      </w:pPr>
      <w:r>
        <w:t xml:space="preserve">Incremental</w:t>
      </w:r>
    </w:p>
    <w:p>
      <w:pPr>
        <w:pStyle w:val="Compact"/>
        <w:numPr>
          <w:ilvl w:val="0"/>
          <w:numId w:val="1019"/>
        </w:numPr>
      </w:pPr>
      <w:r>
        <w:t xml:space="preserve">Reversible</w:t>
      </w:r>
    </w:p>
    <w:p>
      <w:pPr>
        <w:pStyle w:val="Compact"/>
        <w:numPr>
          <w:ilvl w:val="0"/>
          <w:numId w:val="1019"/>
        </w:numPr>
      </w:pPr>
      <w:r>
        <w:t xml:space="preserve">Minimal schema change</w:t>
      </w:r>
    </w:p>
    <w:p>
      <w:pPr>
        <w:pStyle w:val="Compact"/>
        <w:numPr>
          <w:ilvl w:val="0"/>
          <w:numId w:val="1019"/>
        </w:numPr>
      </w:pPr>
      <w:r>
        <w:t xml:space="preserve">Prefer existing schema</w:t>
      </w:r>
    </w:p>
    <w:p>
      <w:pPr>
        <w:pStyle w:val="Compact"/>
        <w:numPr>
          <w:ilvl w:val="0"/>
          <w:numId w:val="1019"/>
        </w:numPr>
      </w:pPr>
      <w:r>
        <w:t xml:space="preserve">Avoid redundant tables</w:t>
      </w:r>
    </w:p>
    <w:p>
      <w:pPr>
        <w:pStyle w:val="Compact"/>
        <w:numPr>
          <w:ilvl w:val="0"/>
          <w:numId w:val="1019"/>
        </w:numPr>
      </w:pPr>
      <w:r>
        <w:t xml:space="preserve">Preserve historical data</w:t>
      </w:r>
    </w:p>
    <w:p>
      <w:pPr>
        <w:pStyle w:val="FirstParagraph"/>
      </w:pPr>
      <w:r>
        <w:t xml:space="preserve">No destructive migrations.</w:t>
      </w:r>
    </w:p>
    <w:p>
      <w:r>
        <w:pict>
          <v:rect style="width:0;height:1.5pt" o:hralign="center" o:hrstd="t" o:hr="t"/>
        </w:pict>
      </w:r>
    </w:p>
    <w:bookmarkEnd w:id="53"/>
    <w:bookmarkStart w:id="54" w:name="seed-strategy"/>
    <w:p>
      <w:pPr>
        <w:pStyle w:val="Heading1"/>
      </w:pPr>
      <w:r>
        <w:t xml:space="preserve">14. Seed Strategy</w:t>
      </w:r>
    </w:p>
    <w:p>
      <w:pPr>
        <w:pStyle w:val="FirstParagraph"/>
      </w:pPr>
      <w:r>
        <w:t xml:space="preserve">Expected seed domains</w:t>
      </w:r>
    </w:p>
    <w:p>
      <w:pPr>
        <w:pStyle w:val="Compact"/>
        <w:numPr>
          <w:ilvl w:val="0"/>
          <w:numId w:val="1020"/>
        </w:numPr>
      </w:pPr>
      <w:r>
        <w:t xml:space="preserve">Roles</w:t>
      </w:r>
    </w:p>
    <w:p>
      <w:pPr>
        <w:pStyle w:val="Compact"/>
        <w:numPr>
          <w:ilvl w:val="0"/>
          <w:numId w:val="1020"/>
        </w:numPr>
      </w:pPr>
      <w:r>
        <w:t xml:space="preserve">Permissions</w:t>
      </w:r>
    </w:p>
    <w:p>
      <w:pPr>
        <w:pStyle w:val="Compact"/>
        <w:numPr>
          <w:ilvl w:val="0"/>
          <w:numId w:val="1020"/>
        </w:numPr>
      </w:pPr>
      <w:r>
        <w:t xml:space="preserve">Frameworks</w:t>
      </w:r>
    </w:p>
    <w:p>
      <w:pPr>
        <w:pStyle w:val="Compact"/>
        <w:numPr>
          <w:ilvl w:val="0"/>
          <w:numId w:val="1020"/>
        </w:numPr>
      </w:pPr>
      <w:r>
        <w:t xml:space="preserve">Technologies</w:t>
      </w:r>
    </w:p>
    <w:p>
      <w:pPr>
        <w:pStyle w:val="Compact"/>
        <w:numPr>
          <w:ilvl w:val="0"/>
          <w:numId w:val="1020"/>
        </w:numPr>
      </w:pPr>
      <w:r>
        <w:t xml:space="preserve">Sample competencies</w:t>
      </w:r>
    </w:p>
    <w:p>
      <w:pPr>
        <w:pStyle w:val="Compact"/>
        <w:numPr>
          <w:ilvl w:val="0"/>
          <w:numId w:val="1020"/>
        </w:numPr>
      </w:pPr>
      <w:r>
        <w:t xml:space="preserve">System configuration</w:t>
      </w:r>
    </w:p>
    <w:p>
      <w:pPr>
        <w:pStyle w:val="FirstParagraph"/>
      </w:pPr>
      <w:r>
        <w:t xml:space="preserve">Specific seed implementation</w:t>
      </w:r>
    </w:p>
    <w:p>
      <w:pPr>
        <w:pStyle w:val="BodyText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54"/>
    <w:bookmarkStart w:id="55" w:name="constraints"/>
    <w:p>
      <w:pPr>
        <w:pStyle w:val="Heading1"/>
      </w:pPr>
      <w:r>
        <w:t xml:space="preserve">15. Constraints</w:t>
      </w:r>
    </w:p>
    <w:p>
      <w:pPr>
        <w:pStyle w:val="FirstParagraph"/>
      </w:pPr>
      <w:r>
        <w:t xml:space="preserve">Observed constraints include:</w:t>
      </w:r>
    </w:p>
    <w:p>
      <w:pPr>
        <w:pStyle w:val="BodyText"/>
      </w:pPr>
      <w:r>
        <w:t xml:space="preserve">Primary keys</w:t>
      </w:r>
    </w:p>
    <w:p>
      <w:pPr>
        <w:pStyle w:val="BodyText"/>
      </w:pPr>
      <w:r>
        <w:t xml:space="preserve">Foreign keys</w:t>
      </w:r>
    </w:p>
    <w:p>
      <w:pPr>
        <w:pStyle w:val="BodyText"/>
      </w:pPr>
      <w:r>
        <w:t xml:space="preserve">Attempt ownership</w:t>
      </w:r>
    </w:p>
    <w:p>
      <w:pPr>
        <w:pStyle w:val="BodyText"/>
      </w:pPr>
      <w:r>
        <w:t xml:space="preserve">Tenant ownership</w:t>
      </w:r>
    </w:p>
    <w:p>
      <w:pPr>
        <w:pStyle w:val="BodyText"/>
      </w:pPr>
      <w:r>
        <w:t xml:space="preserve">Version integrity</w:t>
      </w:r>
    </w:p>
    <w:p>
      <w:pPr>
        <w:pStyle w:val="BodyText"/>
      </w:pPr>
      <w:r>
        <w:t xml:space="preserve">Snapshot integrity</w:t>
      </w:r>
    </w:p>
    <w:p>
      <w:pPr>
        <w:pStyle w:val="BodyText"/>
      </w:pPr>
      <w:r>
        <w:t xml:space="preserve">Certificate version linkage</w:t>
      </w:r>
    </w:p>
    <w:p>
      <w:pPr>
        <w:pStyle w:val="BodyText"/>
      </w:pPr>
      <w:r>
        <w:t xml:space="preserve">Assessment publication integrity</w:t>
      </w:r>
    </w:p>
    <w:p>
      <w:r>
        <w:pict>
          <v:rect style="width:0;height:1.5pt" o:hralign="center" o:hrstd="t" o:hr="t"/>
        </w:pict>
      </w:r>
    </w:p>
    <w:bookmarkEnd w:id="55"/>
    <w:bookmarkStart w:id="56" w:name="index-strategy"/>
    <w:p>
      <w:pPr>
        <w:pStyle w:val="Heading1"/>
      </w:pPr>
      <w:r>
        <w:t xml:space="preserve">16. Index Strategy</w:t>
      </w:r>
    </w:p>
    <w:p>
      <w:pPr>
        <w:pStyle w:val="FirstParagraph"/>
      </w:pPr>
      <w:r>
        <w:t xml:space="preserve">Known indexing priorities</w:t>
      </w:r>
    </w:p>
    <w:p>
      <w:pPr>
        <w:pStyle w:val="BodyText"/>
      </w:pPr>
      <w:r>
        <w:t xml:space="preserve">Execution</w:t>
      </w:r>
    </w:p>
    <w:p>
      <w:pPr>
        <w:pStyle w:val="Compact"/>
        <w:numPr>
          <w:ilvl w:val="0"/>
          <w:numId w:val="1021"/>
        </w:numPr>
      </w:pPr>
      <w:r>
        <w:t xml:space="preserve">attempt_uuid</w:t>
      </w:r>
    </w:p>
    <w:p>
      <w:pPr>
        <w:pStyle w:val="Compact"/>
        <w:numPr>
          <w:ilvl w:val="0"/>
          <w:numId w:val="1021"/>
        </w:numPr>
      </w:pPr>
      <w:r>
        <w:t xml:space="preserve">status</w:t>
      </w:r>
    </w:p>
    <w:p>
      <w:pPr>
        <w:pStyle w:val="Compact"/>
        <w:numPr>
          <w:ilvl w:val="0"/>
          <w:numId w:val="1021"/>
        </w:numPr>
      </w:pPr>
      <w:r>
        <w:t xml:space="preserve">started_at</w:t>
      </w:r>
    </w:p>
    <w:p>
      <w:pPr>
        <w:pStyle w:val="Compact"/>
        <w:numPr>
          <w:ilvl w:val="0"/>
          <w:numId w:val="1021"/>
        </w:numPr>
      </w:pPr>
      <w:r>
        <w:t xml:space="preserve">expires_at</w:t>
      </w:r>
    </w:p>
    <w:p>
      <w:pPr>
        <w:pStyle w:val="FirstParagraph"/>
      </w:pPr>
      <w:r>
        <w:t xml:space="preserve">Scoring</w:t>
      </w:r>
    </w:p>
    <w:p>
      <w:pPr>
        <w:pStyle w:val="Compact"/>
        <w:numPr>
          <w:ilvl w:val="0"/>
          <w:numId w:val="1022"/>
        </w:numPr>
      </w:pPr>
      <w:r>
        <w:t xml:space="preserve">result_uuid</w:t>
      </w:r>
    </w:p>
    <w:p>
      <w:pPr>
        <w:pStyle w:val="Compact"/>
        <w:numPr>
          <w:ilvl w:val="0"/>
          <w:numId w:val="1022"/>
        </w:numPr>
      </w:pPr>
      <w:r>
        <w:t xml:space="preserve">result_version</w:t>
      </w:r>
    </w:p>
    <w:p>
      <w:pPr>
        <w:pStyle w:val="FirstParagraph"/>
      </w:pPr>
      <w:r>
        <w:t xml:space="preserve">Leaderboards</w:t>
      </w:r>
    </w:p>
    <w:p>
      <w:pPr>
        <w:pStyle w:val="Compact"/>
        <w:numPr>
          <w:ilvl w:val="0"/>
          <w:numId w:val="1023"/>
        </w:numPr>
      </w:pPr>
      <w:r>
        <w:t xml:space="preserve">overall_score</w:t>
      </w:r>
    </w:p>
    <w:p>
      <w:pPr>
        <w:pStyle w:val="Compact"/>
        <w:numPr>
          <w:ilvl w:val="0"/>
          <w:numId w:val="1023"/>
        </w:numPr>
      </w:pPr>
      <w:r>
        <w:t xml:space="preserve">completed_at</w:t>
      </w:r>
    </w:p>
    <w:p>
      <w:pPr>
        <w:pStyle w:val="FirstParagraph"/>
      </w:pPr>
      <w:r>
        <w:t xml:space="preserve">Certificates</w:t>
      </w:r>
    </w:p>
    <w:p>
      <w:pPr>
        <w:pStyle w:val="Compact"/>
        <w:numPr>
          <w:ilvl w:val="0"/>
          <w:numId w:val="1024"/>
        </w:numPr>
      </w:pPr>
      <w:r>
        <w:t xml:space="preserve">verification_code</w:t>
      </w:r>
    </w:p>
    <w:p>
      <w:pPr>
        <w:pStyle w:val="Compact"/>
        <w:numPr>
          <w:ilvl w:val="0"/>
          <w:numId w:val="1024"/>
        </w:numPr>
      </w:pPr>
      <w:r>
        <w:t xml:space="preserve">certificate_uuid</w:t>
      </w:r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t xml:space="preserve">Materialized aggregation keys</w:t>
      </w:r>
    </w:p>
    <w:p>
      <w:r>
        <w:pict>
          <v:rect style="width:0;height:1.5pt" o:hralign="center" o:hrstd="t" o:hr="t"/>
        </w:pict>
      </w:r>
    </w:p>
    <w:bookmarkEnd w:id="56"/>
    <w:bookmarkStart w:id="57" w:name="soft-delete-strategy"/>
    <w:p>
      <w:pPr>
        <w:pStyle w:val="Heading1"/>
      </w:pPr>
      <w:r>
        <w:t xml:space="preserve">17. Soft Delete Strategy</w:t>
      </w:r>
    </w:p>
    <w:p>
      <w:pPr>
        <w:pStyle w:val="FirstParagraph"/>
      </w:pPr>
      <w:r>
        <w:t xml:space="preserve">Confirmed</w:t>
      </w:r>
    </w:p>
    <w:p>
      <w:pPr>
        <w:pStyle w:val="BodyText"/>
      </w:pPr>
      <w:r>
        <w:t xml:space="preserve">Historical entities are preserved.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25"/>
        </w:numPr>
      </w:pPr>
      <w:r>
        <w:t xml:space="preserve">Result versions</w:t>
      </w:r>
    </w:p>
    <w:p>
      <w:pPr>
        <w:pStyle w:val="Compact"/>
        <w:numPr>
          <w:ilvl w:val="0"/>
          <w:numId w:val="1025"/>
        </w:numPr>
      </w:pPr>
      <w:r>
        <w:t xml:space="preserve">Certificates</w:t>
      </w:r>
    </w:p>
    <w:p>
      <w:pPr>
        <w:pStyle w:val="Compact"/>
        <w:numPr>
          <w:ilvl w:val="0"/>
          <w:numId w:val="1025"/>
        </w:numPr>
      </w:pPr>
      <w:r>
        <w:t xml:space="preserve">Audit records</w:t>
      </w:r>
    </w:p>
    <w:p>
      <w:pPr>
        <w:pStyle w:val="FirstParagraph"/>
      </w:pPr>
      <w:r>
        <w:t xml:space="preserve">General soft delete implementation</w:t>
      </w:r>
    </w:p>
    <w:p>
      <w:pPr>
        <w:pStyle w:val="BodyText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57"/>
    <w:bookmarkStart w:id="58" w:name="audit-strategy"/>
    <w:p>
      <w:pPr>
        <w:pStyle w:val="Heading1"/>
      </w:pPr>
      <w:r>
        <w:t xml:space="preserve">18. Audit Strategy</w:t>
      </w:r>
    </w:p>
    <w:p>
      <w:pPr>
        <w:pStyle w:val="FirstParagraph"/>
      </w:pPr>
      <w:r>
        <w:t xml:space="preserve">Platform-wide principles</w:t>
      </w:r>
    </w:p>
    <w:p>
      <w:pPr>
        <w:pStyle w:val="Compact"/>
        <w:numPr>
          <w:ilvl w:val="0"/>
          <w:numId w:val="1026"/>
        </w:numPr>
      </w:pPr>
      <w:r>
        <w:t xml:space="preserve">Immutable</w:t>
      </w:r>
    </w:p>
    <w:p>
      <w:pPr>
        <w:pStyle w:val="Compact"/>
        <w:numPr>
          <w:ilvl w:val="0"/>
          <w:numId w:val="1026"/>
        </w:numPr>
      </w:pPr>
      <w:r>
        <w:t xml:space="preserve">Append-only</w:t>
      </w:r>
    </w:p>
    <w:p>
      <w:pPr>
        <w:pStyle w:val="Compact"/>
        <w:numPr>
          <w:ilvl w:val="0"/>
          <w:numId w:val="1026"/>
        </w:numPr>
      </w:pPr>
      <w:r>
        <w:t xml:space="preserve">Version-aware</w:t>
      </w:r>
    </w:p>
    <w:p>
      <w:pPr>
        <w:pStyle w:val="Compact"/>
        <w:numPr>
          <w:ilvl w:val="0"/>
          <w:numId w:val="1026"/>
        </w:numPr>
      </w:pPr>
      <w:r>
        <w:t xml:space="preserve">Human-readable</w:t>
      </w:r>
    </w:p>
    <w:p>
      <w:pPr>
        <w:pStyle w:val="Compact"/>
        <w:numPr>
          <w:ilvl w:val="0"/>
          <w:numId w:val="1026"/>
        </w:numPr>
      </w:pPr>
      <w:r>
        <w:t xml:space="preserve">Machine-readable</w:t>
      </w:r>
    </w:p>
    <w:p>
      <w:pPr>
        <w:pStyle w:val="FirstParagraph"/>
      </w:pPr>
      <w:r>
        <w:t xml:space="preserve">Audit captures: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Recalculation</w:t>
      </w:r>
    </w:p>
    <w:p>
      <w:r>
        <w:pict>
          <v:rect style="width:0;height:1.5pt" o:hralign="center" o:hrstd="t" o:hr="t"/>
        </w:pict>
      </w:r>
    </w:p>
    <w:bookmarkEnd w:id="58"/>
    <w:bookmarkStart w:id="59" w:name="naming-standards"/>
    <w:p>
      <w:pPr>
        <w:pStyle w:val="Heading1"/>
      </w:pPr>
      <w:r>
        <w:t xml:space="preserve">19. Naming Standards</w:t>
      </w:r>
    </w:p>
    <w:p>
      <w:pPr>
        <w:pStyle w:val="FirstParagraph"/>
      </w:pPr>
      <w:r>
        <w:t xml:space="preserve">Plural table names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27"/>
        </w:numPr>
      </w:pPr>
      <w:r>
        <w:t xml:space="preserve">assessment_attempts</w:t>
      </w:r>
    </w:p>
    <w:p>
      <w:pPr>
        <w:pStyle w:val="Compact"/>
        <w:numPr>
          <w:ilvl w:val="0"/>
          <w:numId w:val="1027"/>
        </w:numPr>
      </w:pPr>
      <w:r>
        <w:t xml:space="preserve">candidate_answers</w:t>
      </w:r>
    </w:p>
    <w:p>
      <w:pPr>
        <w:pStyle w:val="Compact"/>
        <w:numPr>
          <w:ilvl w:val="0"/>
          <w:numId w:val="1027"/>
        </w:numPr>
      </w:pPr>
      <w:r>
        <w:t xml:space="preserve">assessment_results</w:t>
      </w:r>
    </w:p>
    <w:p>
      <w:pPr>
        <w:pStyle w:val="Compact"/>
        <w:numPr>
          <w:ilvl w:val="0"/>
          <w:numId w:val="1027"/>
        </w:numPr>
      </w:pPr>
      <w:r>
        <w:t xml:space="preserve">competency_scores</w:t>
      </w:r>
    </w:p>
    <w:p>
      <w:pPr>
        <w:pStyle w:val="FirstParagraph"/>
      </w:pPr>
      <w:r>
        <w:t xml:space="preserve">Primary identifiers</w:t>
      </w:r>
    </w:p>
    <w:p>
      <w:pPr>
        <w:pStyle w:val="BodyText"/>
      </w:pPr>
      <w:r>
        <w:t xml:space="preserve">UUID-centric</w:t>
      </w:r>
    </w:p>
    <w:p>
      <w:pPr>
        <w:pStyle w:val="BodyText"/>
      </w:pPr>
      <w:r>
        <w:t xml:space="preserve">Timestamp naming</w:t>
      </w:r>
    </w:p>
    <w:p>
      <w:pPr>
        <w:pStyle w:val="Compact"/>
        <w:numPr>
          <w:ilvl w:val="0"/>
          <w:numId w:val="1028"/>
        </w:numPr>
      </w:pPr>
      <w:r>
        <w:t xml:space="preserve">created_at</w:t>
      </w:r>
    </w:p>
    <w:p>
      <w:pPr>
        <w:pStyle w:val="Compact"/>
        <w:numPr>
          <w:ilvl w:val="0"/>
          <w:numId w:val="1028"/>
        </w:numPr>
      </w:pPr>
      <w:r>
        <w:t xml:space="preserve">updated_at</w:t>
      </w:r>
    </w:p>
    <w:p>
      <w:pPr>
        <w:pStyle w:val="Compact"/>
        <w:numPr>
          <w:ilvl w:val="0"/>
          <w:numId w:val="1028"/>
        </w:numPr>
      </w:pPr>
      <w:r>
        <w:t xml:space="preserve">started_at</w:t>
      </w:r>
    </w:p>
    <w:p>
      <w:pPr>
        <w:pStyle w:val="Compact"/>
        <w:numPr>
          <w:ilvl w:val="0"/>
          <w:numId w:val="1028"/>
        </w:numPr>
      </w:pPr>
      <w:r>
        <w:t xml:space="preserve">expires_at</w:t>
      </w:r>
    </w:p>
    <w:p>
      <w:pPr>
        <w:pStyle w:val="Compact"/>
        <w:numPr>
          <w:ilvl w:val="0"/>
          <w:numId w:val="1028"/>
        </w:numPr>
      </w:pPr>
      <w:r>
        <w:t xml:space="preserve">submitted_at</w:t>
      </w:r>
    </w:p>
    <w:p>
      <w:r>
        <w:pict>
          <v:rect style="width:0;height:1.5pt" o:hralign="center" o:hrstd="t" o:hr="t"/>
        </w:pict>
      </w:r>
    </w:p>
    <w:bookmarkEnd w:id="59"/>
    <w:bookmarkStart w:id="60" w:name="multi-tenancy"/>
    <w:p>
      <w:pPr>
        <w:pStyle w:val="Heading1"/>
      </w:pPr>
      <w:r>
        <w:t xml:space="preserve">20. Multi-Tenancy</w:t>
      </w:r>
    </w:p>
    <w:p>
      <w:pPr>
        <w:pStyle w:val="FirstParagraph"/>
      </w:pPr>
      <w:r>
        <w:t xml:space="preserve">Database supports tenant isolation.</w:t>
      </w:r>
    </w:p>
    <w:p>
      <w:pPr>
        <w:pStyle w:val="BodyText"/>
      </w:pPr>
      <w:r>
        <w:t xml:space="preserve">Enforced through: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Ownership validation</w:t>
      </w:r>
    </w:p>
    <w:p>
      <w:pPr>
        <w:pStyle w:val="BodyText"/>
      </w:pPr>
      <w:r>
        <w:t xml:space="preserve">API restrictions</w:t>
      </w:r>
    </w:p>
    <w:p>
      <w:pPr>
        <w:pStyle w:val="BodyText"/>
      </w:pPr>
      <w:r>
        <w:t xml:space="preserve">Cross-tenant access prohibited.</w:t>
      </w:r>
    </w:p>
    <w:p>
      <w:r>
        <w:pict>
          <v:rect style="width:0;height:1.5pt" o:hralign="center" o:hrstd="t" o:hr="t"/>
        </w:pict>
      </w:r>
    </w:p>
    <w:bookmarkEnd w:id="60"/>
    <w:bookmarkStart w:id="61" w:name="current-database-completion"/>
    <w:p>
      <w:pPr>
        <w:pStyle w:val="Heading1"/>
      </w:pPr>
      <w:r>
        <w:t xml:space="preserve">21. Current Database Completion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Authoring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Estimated overall database completion:</w:t>
      </w:r>
    </w:p>
    <w:p>
      <w:pPr>
        <w:pStyle w:val="BodyText"/>
      </w:pPr>
      <w:r>
        <w:rPr>
          <w:b/>
          <w:bCs/>
        </w:rPr>
        <w:t xml:space="preserve">96%</w:t>
      </w:r>
    </w:p>
    <w:p>
      <w:r>
        <w:pict>
          <v:rect style="width:0;height:1.5pt" o:hralign="center" o:hrstd="t" o:hr="t"/>
        </w:pict>
      </w:r>
    </w:p>
    <w:bookmarkEnd w:id="61"/>
    <w:bookmarkStart w:id="62" w:name="remaining-database-work"/>
    <w:p>
      <w:pPr>
        <w:pStyle w:val="Heading1"/>
      </w:pPr>
      <w:r>
        <w:t xml:space="preserve">22. Remaining Database Work</w:t>
      </w:r>
    </w:p>
    <w:p>
      <w:pPr>
        <w:pStyle w:val="FirstParagraph"/>
      </w:pPr>
      <w:r>
        <w:t xml:space="preserve">Known remaining work:</w:t>
      </w:r>
    </w:p>
    <w:p>
      <w:pPr>
        <w:pStyle w:val="Compact"/>
        <w:numPr>
          <w:ilvl w:val="0"/>
          <w:numId w:val="1029"/>
        </w:numPr>
      </w:pPr>
      <w:r>
        <w:t xml:space="preserve">Analytics summary table implementation (if not yet physically created)</w:t>
      </w:r>
    </w:p>
    <w:p>
      <w:pPr>
        <w:pStyle w:val="Compact"/>
        <w:numPr>
          <w:ilvl w:val="0"/>
          <w:numId w:val="1029"/>
        </w:numPr>
      </w:pPr>
      <w:r>
        <w:t xml:space="preserve">Leaderboard snapshot persistence</w:t>
      </w:r>
    </w:p>
    <w:p>
      <w:pPr>
        <w:pStyle w:val="Compact"/>
        <w:numPr>
          <w:ilvl w:val="0"/>
          <w:numId w:val="1029"/>
        </w:numPr>
      </w:pPr>
      <w:r>
        <w:t xml:space="preserve">Certificate storage metadata refinement</w:t>
      </w:r>
    </w:p>
    <w:p>
      <w:pPr>
        <w:pStyle w:val="Compact"/>
        <w:numPr>
          <w:ilvl w:val="0"/>
          <w:numId w:val="1029"/>
        </w:numPr>
      </w:pPr>
      <w:r>
        <w:t xml:space="preserve">Performance indexes review</w:t>
      </w:r>
    </w:p>
    <w:p>
      <w:pPr>
        <w:pStyle w:val="Compact"/>
        <w:numPr>
          <w:ilvl w:val="0"/>
          <w:numId w:val="1029"/>
        </w:numPr>
      </w:pPr>
      <w:r>
        <w:t xml:space="preserve">Production optimization</w:t>
      </w:r>
    </w:p>
    <w:p>
      <w:pPr>
        <w:pStyle w:val="Compact"/>
        <w:numPr>
          <w:ilvl w:val="0"/>
          <w:numId w:val="1029"/>
        </w:numPr>
      </w:pPr>
      <w:r>
        <w:t xml:space="preserve">Data archival strategy</w:t>
      </w:r>
    </w:p>
    <w:p>
      <w:pPr>
        <w:pStyle w:val="FirstParagraph"/>
      </w:pPr>
      <w:r>
        <w:t xml:space="preserve">No major schema redesign is required.</w:t>
      </w:r>
    </w:p>
    <w:p>
      <w:r>
        <w:pict>
          <v:rect style="width:0;height:1.5pt" o:hralign="center" o:hrstd="t" o:hr="t"/>
        </w:pict>
      </w:r>
    </w:p>
    <w:bookmarkEnd w:id="62"/>
    <w:bookmarkStart w:id="63" w:name="database-strengths"/>
    <w:p>
      <w:pPr>
        <w:pStyle w:val="Heading1"/>
      </w:pPr>
      <w:r>
        <w:t xml:space="preserve">23. Database Strengths</w:t>
      </w:r>
    </w:p>
    <w:p>
      <w:pPr>
        <w:pStyle w:val="Compact"/>
        <w:numPr>
          <w:ilvl w:val="0"/>
          <w:numId w:val="1030"/>
        </w:numPr>
      </w:pPr>
      <w:r>
        <w:t xml:space="preserve">Strong normalization</w:t>
      </w:r>
    </w:p>
    <w:p>
      <w:pPr>
        <w:pStyle w:val="Compact"/>
        <w:numPr>
          <w:ilvl w:val="0"/>
          <w:numId w:val="1030"/>
        </w:numPr>
      </w:pPr>
      <w:r>
        <w:t xml:space="preserve">Immutable historical records</w:t>
      </w:r>
    </w:p>
    <w:p>
      <w:pPr>
        <w:pStyle w:val="Compact"/>
        <w:numPr>
          <w:ilvl w:val="0"/>
          <w:numId w:val="1030"/>
        </w:numPr>
      </w:pPr>
      <w:r>
        <w:t xml:space="preserve">Version-aware persistence</w:t>
      </w:r>
    </w:p>
    <w:p>
      <w:pPr>
        <w:pStyle w:val="Compact"/>
        <w:numPr>
          <w:ilvl w:val="0"/>
          <w:numId w:val="1030"/>
        </w:numPr>
      </w:pPr>
      <w:r>
        <w:t xml:space="preserve">Snapshot architecture</w:t>
      </w:r>
    </w:p>
    <w:p>
      <w:pPr>
        <w:pStyle w:val="Compact"/>
        <w:numPr>
          <w:ilvl w:val="0"/>
          <w:numId w:val="1030"/>
        </w:numPr>
      </w:pPr>
      <w:r>
        <w:t xml:space="preserve">Audit-first design</w:t>
      </w:r>
    </w:p>
    <w:p>
      <w:pPr>
        <w:pStyle w:val="Compact"/>
        <w:numPr>
          <w:ilvl w:val="0"/>
          <w:numId w:val="1030"/>
        </w:numPr>
      </w:pPr>
      <w:r>
        <w:t xml:space="preserve">Transaction-safe operations</w:t>
      </w:r>
    </w:p>
    <w:p>
      <w:pPr>
        <w:pStyle w:val="Compact"/>
        <w:numPr>
          <w:ilvl w:val="0"/>
          <w:numId w:val="1030"/>
        </w:numPr>
      </w:pPr>
      <w:r>
        <w:t xml:space="preserve">Multi-tenant ready</w:t>
      </w:r>
    </w:p>
    <w:p>
      <w:pPr>
        <w:pStyle w:val="Compact"/>
        <w:numPr>
          <w:ilvl w:val="0"/>
          <w:numId w:val="1030"/>
        </w:numPr>
      </w:pPr>
      <w:r>
        <w:t xml:space="preserve">Enterprise scalability</w:t>
      </w:r>
    </w:p>
    <w:p>
      <w:pPr>
        <w:pStyle w:val="Compact"/>
        <w:numPr>
          <w:ilvl w:val="0"/>
          <w:numId w:val="1030"/>
        </w:numPr>
      </w:pPr>
      <w:r>
        <w:t xml:space="preserve">Minimal technical debt</w:t>
      </w:r>
    </w:p>
    <w:p>
      <w:r>
        <w:pict>
          <v:rect style="width:0;height:1.5pt" o:hralign="center" o:hrstd="t" o:hr="t"/>
        </w:pict>
      </w:r>
    </w:p>
    <w:bookmarkEnd w:id="63"/>
    <w:bookmarkStart w:id="64" w:name="known-unknowns"/>
    <w:p>
      <w:pPr>
        <w:pStyle w:val="Heading1"/>
      </w:pPr>
      <w:r>
        <w:t xml:space="preserve">24. Known Unknowns</w:t>
      </w:r>
    </w:p>
    <w:p>
      <w:pPr>
        <w:pStyle w:val="FirstParagraph"/>
      </w:pPr>
      <w:r>
        <w:t xml:space="preserve">The following cannot be confirmed from the available project state and are therefore marked as UNKNOWN:</w:t>
      </w:r>
    </w:p>
    <w:p>
      <w:pPr>
        <w:pStyle w:val="Compact"/>
        <w:numPr>
          <w:ilvl w:val="0"/>
          <w:numId w:val="1031"/>
        </w:numPr>
      </w:pPr>
      <w:r>
        <w:t xml:space="preserve">Exact MySQL version</w:t>
      </w:r>
    </w:p>
    <w:p>
      <w:pPr>
        <w:pStyle w:val="Compact"/>
        <w:numPr>
          <w:ilvl w:val="0"/>
          <w:numId w:val="1031"/>
        </w:numPr>
      </w:pPr>
      <w:r>
        <w:t xml:space="preserve">Complete DDL for every table</w:t>
      </w:r>
    </w:p>
    <w:p>
      <w:pPr>
        <w:pStyle w:val="Compact"/>
        <w:numPr>
          <w:ilvl w:val="0"/>
          <w:numId w:val="1031"/>
        </w:numPr>
      </w:pPr>
      <w:r>
        <w:t xml:space="preserve">Full index definitions</w:t>
      </w:r>
    </w:p>
    <w:p>
      <w:pPr>
        <w:pStyle w:val="Compact"/>
        <w:numPr>
          <w:ilvl w:val="0"/>
          <w:numId w:val="1031"/>
        </w:numPr>
      </w:pPr>
      <w:r>
        <w:t xml:space="preserve">Partitioning strategy</w:t>
      </w:r>
    </w:p>
    <w:p>
      <w:pPr>
        <w:pStyle w:val="Compact"/>
        <w:numPr>
          <w:ilvl w:val="0"/>
          <w:numId w:val="1031"/>
        </w:numPr>
      </w:pPr>
      <w:r>
        <w:t xml:space="preserve">Replication topology</w:t>
      </w:r>
    </w:p>
    <w:p>
      <w:pPr>
        <w:pStyle w:val="Compact"/>
        <w:numPr>
          <w:ilvl w:val="0"/>
          <w:numId w:val="1031"/>
        </w:numPr>
      </w:pPr>
      <w:r>
        <w:t xml:space="preserve">Backup/restore configuration</w:t>
      </w:r>
    </w:p>
    <w:p>
      <w:pPr>
        <w:pStyle w:val="Compact"/>
        <w:numPr>
          <w:ilvl w:val="0"/>
          <w:numId w:val="1031"/>
        </w:numPr>
      </w:pPr>
      <w:r>
        <w:t xml:space="preserve">Data retention policy</w:t>
      </w:r>
    </w:p>
    <w:p>
      <w:pPr>
        <w:pStyle w:val="Compact"/>
        <w:numPr>
          <w:ilvl w:val="0"/>
          <w:numId w:val="1031"/>
        </w:numPr>
      </w:pPr>
      <w:r>
        <w:t xml:space="preserve">Archival implementation</w:t>
      </w:r>
    </w:p>
    <w:p>
      <w:pPr>
        <w:pStyle w:val="Compact"/>
        <w:numPr>
          <w:ilvl w:val="0"/>
          <w:numId w:val="1031"/>
        </w:numPr>
      </w:pPr>
      <w:r>
        <w:t xml:space="preserve">Encryption-at-rest configuration</w:t>
      </w:r>
    </w:p>
    <w:p>
      <w:r>
        <w:pict>
          <v:rect style="width:0;height:1.5pt" o:hralign="center" o:hrstd="t" o:hr="t"/>
        </w:pict>
      </w:r>
    </w:p>
    <w:bookmarkEnd w:id="64"/>
    <w:bookmarkStart w:id="65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03_DATABASE_KNOWLEDGE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✅ COMPLETE</w:t>
      </w:r>
    </w:p>
    <w:p>
      <w:pPr>
        <w:pStyle w:val="BodyText"/>
      </w:pPr>
      <w:r>
        <w:t xml:space="preserve">Next document:</w:t>
      </w:r>
    </w:p>
    <w:p>
      <w:pPr>
        <w:pStyle w:val="BodyText"/>
      </w:pPr>
      <w:r>
        <w:rPr>
          <w:b/>
          <w:bCs/>
        </w:rPr>
        <w:t xml:space="preserve">DOCUMENT 04 — MODULE KNOWLEDGE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2026-06-27T08:17:50Z</dcterms:created>
  <dcterms:modified xsi:type="dcterms:W3CDTF">2026-06-27T08:17:50Z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