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C6F2E"/>
          <w:spacing w:val="30"/>
          <w:sz w:val="18"/>
          <w:szCs w:val="18"/>
        </w:rPr>
        <w:t xml:space="preserve">STRATEGISK GJENNOMGANG</w:t>
      </w:r>
    </w:p>
    <w:p>
      <w:pPr>
        <w:spacing w:after="200"/>
      </w:pPr>
      <w:r>
        <w:rPr>
          <w:rFonts w:ascii="Arial" w:cs="Arial" w:eastAsia="Arial" w:hAnsi="Arial"/>
          <w:b/>
          <w:bCs/>
          <w:color w:val="18231F"/>
          <w:sz w:val="40"/>
          <w:szCs w:val="40"/>
        </w:rPr>
        <w:t xml:space="preserve">AI-implementeringsmappen — sett med COO/CFO-øyne</w:t>
      </w:r>
    </w:p>
    <w:p>
      <w:pPr>
        <w:spacing w:after="160"/>
      </w:pPr>
      <w:r>
        <w:rPr>
          <w:i/>
          <w:iCs/>
          <w:color w:val="3C463F"/>
          <w:sz w:val="22"/>
          <w:szCs w:val="22"/>
        </w:rPr>
        <w:t xml:space="preserve">3. september 2026 — vurdering av verdiforslag, struktur og språk i den delbare mappen (artifact 558ae109), simulert som om den ble mottatt av en driftsdirektør og en finansdirektør, videreformidlet av en ansatt, uten deg til stede til å svare på oppfølgingsspørsmål.</w:t>
      </w:r>
    </w:p>
    <w:tbl>
      <w:tblPr>
        <w:tblW w:type="dxa" w:w="9350"/>
        <w:tblBorders>
          <w:top w:val="single" w:color="9C6F2E" w:sz="4"/>
          <w:left w:val="single" w:color="9C6F2E" w:sz="4"/>
          <w:bottom w:val="single" w:color="9C6F2E" w:sz="4"/>
          <w:right w:val="single" w:color="9C6F2E" w:sz="4"/>
          <w:insideH w:val="none" w:color="FFFFFF" w:sz="0"/>
          <w:insideV w:val="none" w:color="FFFFFF" w:sz="0"/>
        </w:tblBorders>
      </w:tblPr>
      <w:tblGrid>
        <w:gridCol w:w="100"/>
      </w:tblGrid>
      <w:tr>
        <w:tc>
          <w:tcPr>
            <w:tcW w:type="dxa" w:w="9350"/>
            <w:shd w:fill="F4F0E5" w:val="clear"/>
            <w:tcMar>
              <w:top w:type="dxa" w:w="200"/>
              <w:left w:type="dxa" w:w="240"/>
              <w:bottom w:type="dxa" w:w="200"/>
              <w:right w:type="dxa" w:w="240"/>
            </w:tcMar>
          </w:tcPr>
          <w:p>
            <w:pPr>
              <w:spacing w:after="80"/>
            </w:pPr>
            <w:r>
              <w:rPr>
                <w:b/>
                <w:bCs/>
                <w:color w:val="1F4A46"/>
                <w:sz w:val="22"/>
                <w:szCs w:val="22"/>
              </w:rPr>
              <w:t xml:space="preserve">Om metoden og begrensningene</w:t>
            </w:r>
          </w:p>
          <w:p>
            <w:r>
              <w:rPr>
                <w:color w:val="18231F"/>
                <w:sz w:val="22"/>
                <w:szCs w:val="22"/>
              </w:rPr>
              <w:t xml:space="preserve">LinkedIn blokkerer automatisert henting av full artikkeltekst (robots.txt), så jeg har ikke kunnet lese de 10 artiklene dine på nytt i sin helhet. Pain point-analysen bygger derfor på det du selv dikterte meg tidligere i denne samtalen (SaaS/kontekst-, Copilot- og turnover-argumentene, som allerede ligger i mappens tekst), på titlene til de øvrige artiklene, og på en selvstendig Porter's Five Forces-analyse jeg har gjort som strategisk øvelse — ikke på sitater jeg har verifisert i artiklene i dag. Jeg sier tydelig fra der jeg antar fremfor vet.</w:t>
            </w:r>
          </w:p>
        </w:tc>
      </w:tr>
    </w:tbl>
    <w:p>
      <w:pPr>
        <w:pStyle w:val="Heading1"/>
        <w:spacing w:after="160" w:before="320"/>
      </w:pPr>
      <w:r>
        <w:t xml:space="preserve">1. 360-gjennomgang: rommet, verdiforslaget, Porter's Five Forces</w:t>
      </w:r>
    </w:p>
    <w:p>
      <w:pPr>
        <w:pStyle w:val="Heading2"/>
        <w:spacing w:after="120" w:before="260"/>
      </w:pPr>
      <w:r>
        <w:t xml:space="preserve">Rommet</w:t>
      </w:r>
    </w:p>
    <w:p>
      <w:pPr>
        <w:spacing w:after="160"/>
      </w:pPr>
      <w:r>
        <w:rPr>
          <w:i w:val="false"/>
          <w:iCs w:val="false"/>
          <w:color w:val="18231F"/>
          <w:sz w:val="22"/>
          <w:szCs w:val="22"/>
        </w:rPr>
        <w:t xml:space="preserve">Scenariet du beskriver er ikke et lite skifte: dokumentet leses av to økonomisk/operasjonelt trente ledere, videreformidlet av en ansatt som ikke kan forsvare eller utdype budskapet, i et selskap som muligens er del av et større konsern (med det det innebærer av innkjøpsprosesser og konsern-policyer), og der COO i beste fall allerede har egen erfaring med et AI-verktøy privat — og dermed lavere toleranse for generisk AI-prat. Det stiller tre konkrete krav til dokumentet: det må stå helt på egne ben uten deg til stede, det må svare på de reelle risikospørsmålene en CFO alltid stiller (sikkerhet, kost, exit), og det får ikke undervurdere leseren med floskler.</w:t>
      </w:r>
    </w:p>
    <w:p>
      <w:pPr>
        <w:pStyle w:val="Heading2"/>
        <w:spacing w:after="120" w:before="260"/>
      </w:pPr>
      <w:r>
        <w:t xml:space="preserve">Verdiforslaget — er det tydelig?</w:t>
      </w:r>
    </w:p>
    <w:p>
      <w:pPr>
        <w:spacing w:after="160"/>
      </w:pPr>
      <w:r>
        <w:rPr>
          <w:i w:val="false"/>
          <w:iCs w:val="false"/>
          <w:color w:val="18231F"/>
          <w:sz w:val="22"/>
          <w:szCs w:val="22"/>
        </w:rPr>
        <w:t xml:space="preserve">Forsiden (etter siste runde) gjør mye riktig: et ekte bilde, en klar overskrift, og en lede som binder AI direkte til topplinje/bunnlinje — det er akkurat språket en CFO skanner etter. Svakheten er at forsiden lover resultat («styrke hele organisasjonen, øke topplinjen, redusere bunnlinjen») uten et eneste tall eller referansepunkt lenger ned i dokumentet som underbygger løftet. En driftsdirektør og en finansdirektør som leser videre vil lete etter beviset for den påstanden — og finner prosessbeskrivelser og rolledefinisjoner, ikke resultater. Det er ikke en svakhet i selve påstanden, men i oppfølgingen av den.</w:t>
      </w:r>
    </w:p>
    <w:p>
      <w:pPr>
        <w:pStyle w:val="Heading2"/>
        <w:spacing w:after="120" w:before="260"/>
      </w:pPr>
      <w:r>
        <w:t xml:space="preserve">Porter's Five Forces — brukt som sjekk av posisjoneringen</w:t>
      </w:r>
    </w:p>
    <w:p>
      <w:pPr>
        <w:spacing w:after="160"/>
      </w:pPr>
      <w:r>
        <w:rPr>
          <w:i/>
          <w:iCs/>
          <w:color w:val="3C463F"/>
          <w:sz w:val="22"/>
          <w:szCs w:val="22"/>
        </w:rPr>
        <w:t xml:space="preserve">Jeg har ikke funnet at Porters fem krefter er eksplisitt behandlet i artiklene dine (se metode-boksen over) — så dette er min egen analyse av hvor godt mappen posisjonerer deg i et marked med økende konkurranse om AI-rådgivning, ikke en gjenfortelling av noe du allerede har skrevet.</w:t>
      </w:r>
    </w:p>
    <w:p>
      <w:pPr>
        <w:spacing w:after="26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50"/>
      </w:tblGrid>
      <w:tr>
        <w:trPr>
          <w:tblHeader/>
        </w:trPr>
        <w:tc>
          <w:tcPr>
            <w:tcW w:type="dxa" w:w="2000"/>
            <w:shd w:fill="1F4A46" w:val="clear"/>
            <w:tcMar>
              <w:top w:type="dxa" w:w="120"/>
              <w:left w:type="dxa" w:w="140"/>
              <w:bottom w:type="dxa" w:w="120"/>
              <w:right w:type="dxa" w:w="140"/>
            </w:tcMar>
          </w:tcPr>
          <w:p>
            <w:r>
              <w:rPr>
                <w:b/>
                <w:bCs/>
                <w:color w:val="FFFFFF"/>
                <w:sz w:val="20"/>
                <w:szCs w:val="20"/>
              </w:rPr>
              <w:t xml:space="preserve">Kraft (Porter's Five Forces)</w:t>
            </w:r>
          </w:p>
        </w:tc>
        <w:tc>
          <w:tcPr>
            <w:tcW w:type="dxa" w:w="1500"/>
            <w:shd w:fill="1F4A46" w:val="clear"/>
            <w:tcMar>
              <w:top w:type="dxa" w:w="120"/>
              <w:left w:type="dxa" w:w="140"/>
              <w:bottom w:type="dxa" w:w="120"/>
              <w:right w:type="dxa" w:w="140"/>
            </w:tcMar>
          </w:tcPr>
          <w:p>
            <w:r>
              <w:rPr>
                <w:b/>
                <w:bCs/>
                <w:color w:val="FFFFFF"/>
                <w:sz w:val="20"/>
                <w:szCs w:val="20"/>
              </w:rPr>
              <w:t xml:space="preserve">Styrke</w:t>
            </w:r>
          </w:p>
        </w:tc>
        <w:tc>
          <w:tcPr>
            <w:tcW w:type="dxa" w:w="3000"/>
            <w:shd w:fill="1F4A46" w:val="clear"/>
            <w:tcMar>
              <w:top w:type="dxa" w:w="120"/>
              <w:left w:type="dxa" w:w="140"/>
              <w:bottom w:type="dxa" w:w="120"/>
              <w:right w:type="dxa" w:w="140"/>
            </w:tcMar>
          </w:tcPr>
          <w:p>
            <w:r>
              <w:rPr>
                <w:b/>
                <w:bCs/>
                <w:color w:val="FFFFFF"/>
                <w:sz w:val="20"/>
                <w:szCs w:val="20"/>
              </w:rPr>
              <w:t xml:space="preserve">Hvordan mappen svarer i dag</w:t>
            </w:r>
          </w:p>
        </w:tc>
        <w:tc>
          <w:tcPr>
            <w:tcW w:type="dxa" w:w="2850"/>
            <w:shd w:fill="1F4A46" w:val="clear"/>
            <w:tcMar>
              <w:top w:type="dxa" w:w="120"/>
              <w:left w:type="dxa" w:w="140"/>
              <w:bottom w:type="dxa" w:w="120"/>
              <w:right w:type="dxa" w:w="140"/>
            </w:tcMar>
          </w:tcPr>
          <w:p>
            <w:r>
              <w:rPr>
                <w:b/>
                <w:bCs/>
                <w:color w:val="FFFFFF"/>
                <w:sz w:val="20"/>
                <w:szCs w:val="20"/>
              </w:rPr>
              <w:t xml:space="preserve">Gap</w:t>
            </w:r>
          </w:p>
        </w:tc>
      </w:tr>
      <w:tr>
        <w:tc>
          <w:tcPr>
            <w:tcW w:type="dxa" w:w="2000"/>
            <w:tcMar>
              <w:top w:type="dxa" w:w="120"/>
              <w:left w:type="dxa" w:w="140"/>
              <w:bottom w:type="dxa" w:w="120"/>
              <w:right w:type="dxa" w:w="140"/>
            </w:tcMar>
          </w:tcPr>
          <w:p>
            <w:r>
              <w:rPr>
                <w:b w:val="false"/>
                <w:bCs w:val="false"/>
                <w:color w:val="18231F"/>
                <w:sz w:val="20"/>
                <w:szCs w:val="20"/>
              </w:rPr>
              <w:t xml:space="preserve">Trussel fra nye aktører</w:t>
            </w:r>
          </w:p>
        </w:tc>
        <w:tc>
          <w:tcPr>
            <w:tcW w:type="dxa" w:w="1500"/>
            <w:tcMar>
              <w:top w:type="dxa" w:w="120"/>
              <w:left w:type="dxa" w:w="140"/>
              <w:bottom w:type="dxa" w:w="120"/>
              <w:right w:type="dxa" w:w="140"/>
            </w:tcMar>
          </w:tcPr>
          <w:p>
            <w:r>
              <w:rPr>
                <w:b w:val="false"/>
                <w:bCs w:val="false"/>
                <w:color w:val="18231F"/>
                <w:sz w:val="20"/>
                <w:szCs w:val="20"/>
              </w:rPr>
              <w:t xml:space="preserve">Moderat–høy</w:t>
            </w:r>
          </w:p>
        </w:tc>
        <w:tc>
          <w:tcPr>
            <w:tcW w:type="dxa" w:w="3000"/>
            <w:tcMar>
              <w:top w:type="dxa" w:w="120"/>
              <w:left w:type="dxa" w:w="140"/>
              <w:bottom w:type="dxa" w:w="120"/>
              <w:right w:type="dxa" w:w="140"/>
            </w:tcMar>
          </w:tcPr>
          <w:p>
            <w:r>
              <w:rPr>
                <w:b w:val="false"/>
                <w:bCs w:val="false"/>
                <w:color w:val="18231F"/>
                <w:sz w:val="20"/>
                <w:szCs w:val="20"/>
              </w:rPr>
              <w:t xml:space="preserve">Praktiker-troverdighet (drifter egne AI-produkter) etablert i «Hvem er jeg»</w:t>
            </w:r>
          </w:p>
        </w:tc>
        <w:tc>
          <w:tcPr>
            <w:tcW w:type="dxa" w:w="2850"/>
            <w:tcMar>
              <w:top w:type="dxa" w:w="120"/>
              <w:left w:type="dxa" w:w="140"/>
              <w:bottom w:type="dxa" w:w="120"/>
              <w:right w:type="dxa" w:w="140"/>
            </w:tcMar>
          </w:tcPr>
          <w:p>
            <w:r>
              <w:rPr>
                <w:b w:val="false"/>
                <w:bCs w:val="false"/>
                <w:color w:val="18231F"/>
                <w:sz w:val="20"/>
                <w:szCs w:val="20"/>
              </w:rPr>
              <w:t xml:space="preserve">Kontrasten mot «enda en AI-rådgiver» er ikke skjerpet noe sted i teksten</w:t>
            </w:r>
          </w:p>
        </w:tc>
      </w:tr>
      <w:tr>
        <w:tc>
          <w:tcPr>
            <w:tcW w:type="dxa" w:w="2000"/>
            <w:tcMar>
              <w:top w:type="dxa" w:w="120"/>
              <w:left w:type="dxa" w:w="140"/>
              <w:bottom w:type="dxa" w:w="120"/>
              <w:right w:type="dxa" w:w="140"/>
            </w:tcMar>
          </w:tcPr>
          <w:p>
            <w:r>
              <w:rPr>
                <w:b w:val="false"/>
                <w:bCs w:val="false"/>
                <w:color w:val="18231F"/>
                <w:sz w:val="20"/>
                <w:szCs w:val="20"/>
              </w:rPr>
              <w:t xml:space="preserve">Kjøpers forhandlingsmakt</w:t>
            </w:r>
          </w:p>
        </w:tc>
        <w:tc>
          <w:tcPr>
            <w:tcW w:type="dxa" w:w="1500"/>
            <w:tcMar>
              <w:top w:type="dxa" w:w="120"/>
              <w:left w:type="dxa" w:w="140"/>
              <w:bottom w:type="dxa" w:w="120"/>
              <w:right w:type="dxa" w:w="140"/>
            </w:tcMar>
          </w:tcPr>
          <w:p>
            <w:r>
              <w:rPr>
                <w:b w:val="false"/>
                <w:bCs w:val="false"/>
                <w:color w:val="18231F"/>
                <w:sz w:val="20"/>
                <w:szCs w:val="20"/>
              </w:rPr>
              <w:t xml:space="preserve">Høy</w:t>
            </w:r>
          </w:p>
        </w:tc>
        <w:tc>
          <w:tcPr>
            <w:tcW w:type="dxa" w:w="3000"/>
            <w:tcMar>
              <w:top w:type="dxa" w:w="120"/>
              <w:left w:type="dxa" w:w="140"/>
              <w:bottom w:type="dxa" w:w="120"/>
              <w:right w:type="dxa" w:w="140"/>
            </w:tcMar>
          </w:tcPr>
          <w:p>
            <w:r>
              <w:rPr>
                <w:b w:val="false"/>
                <w:bCs w:val="false"/>
                <w:color w:val="18231F"/>
                <w:sz w:val="20"/>
                <w:szCs w:val="20"/>
              </w:rPr>
              <w:t xml:space="preserve">Gjennomsiktig, enkel prisstruktur reduserer forhandlingsfriksjon</w:t>
            </w:r>
          </w:p>
        </w:tc>
        <w:tc>
          <w:tcPr>
            <w:tcW w:type="dxa" w:w="2850"/>
            <w:tcMar>
              <w:top w:type="dxa" w:w="120"/>
              <w:left w:type="dxa" w:w="140"/>
              <w:bottom w:type="dxa" w:w="120"/>
              <w:right w:type="dxa" w:w="140"/>
            </w:tcMar>
          </w:tcPr>
          <w:p>
            <w:r>
              <w:rPr>
                <w:b w:val="false"/>
                <w:bCs w:val="false"/>
                <w:color w:val="18231F"/>
                <w:sz w:val="20"/>
                <w:szCs w:val="20"/>
              </w:rPr>
              <w:t xml:space="preserve">Ingen anerkjennelse av at et datterselskap kan ha konserninnkjøp/policy å forholde seg til</w:t>
            </w:r>
          </w:p>
        </w:tc>
      </w:tr>
      <w:tr>
        <w:tc>
          <w:tcPr>
            <w:tcW w:type="dxa" w:w="2000"/>
            <w:tcMar>
              <w:top w:type="dxa" w:w="120"/>
              <w:left w:type="dxa" w:w="140"/>
              <w:bottom w:type="dxa" w:w="120"/>
              <w:right w:type="dxa" w:w="140"/>
            </w:tcMar>
          </w:tcPr>
          <w:p>
            <w:r>
              <w:rPr>
                <w:b w:val="false"/>
                <w:bCs w:val="false"/>
                <w:color w:val="18231F"/>
                <w:sz w:val="20"/>
                <w:szCs w:val="20"/>
              </w:rPr>
              <w:t xml:space="preserve">Leverandørers forhandlingsmakt</w:t>
            </w:r>
          </w:p>
        </w:tc>
        <w:tc>
          <w:tcPr>
            <w:tcW w:type="dxa" w:w="1500"/>
            <w:tcMar>
              <w:top w:type="dxa" w:w="120"/>
              <w:left w:type="dxa" w:w="140"/>
              <w:bottom w:type="dxa" w:w="120"/>
              <w:right w:type="dxa" w:w="140"/>
            </w:tcMar>
          </w:tcPr>
          <w:p>
            <w:r>
              <w:rPr>
                <w:b w:val="false"/>
                <w:bCs w:val="false"/>
                <w:color w:val="18231F"/>
                <w:sz w:val="20"/>
                <w:szCs w:val="20"/>
              </w:rPr>
              <w:t xml:space="preserve">Lav</w:t>
            </w:r>
          </w:p>
        </w:tc>
        <w:tc>
          <w:tcPr>
            <w:tcW w:type="dxa" w:w="3000"/>
            <w:tcMar>
              <w:top w:type="dxa" w:w="120"/>
              <w:left w:type="dxa" w:w="140"/>
              <w:bottom w:type="dxa" w:w="120"/>
              <w:right w:type="dxa" w:w="140"/>
            </w:tcMar>
          </w:tcPr>
          <w:p>
            <w:r>
              <w:rPr>
                <w:b w:val="false"/>
                <w:bCs w:val="false"/>
                <w:color w:val="18231F"/>
                <w:sz w:val="20"/>
                <w:szCs w:val="20"/>
              </w:rPr>
              <w:t xml:space="preserve">Du tilbyr selv å finne teknologipartner ved behov</w:t>
            </w:r>
          </w:p>
        </w:tc>
        <w:tc>
          <w:tcPr>
            <w:tcW w:type="dxa" w:w="2850"/>
            <w:tcMar>
              <w:top w:type="dxa" w:w="120"/>
              <w:left w:type="dxa" w:w="140"/>
              <w:bottom w:type="dxa" w:w="120"/>
              <w:right w:type="dxa" w:w="140"/>
            </w:tcMar>
          </w:tcPr>
          <w:p>
            <w:r>
              <w:rPr>
                <w:b w:val="false"/>
                <w:bCs w:val="false"/>
                <w:color w:val="18231F"/>
                <w:sz w:val="20"/>
                <w:szCs w:val="20"/>
              </w:rPr>
              <w:t xml:space="preserve">Liten relevans her — ikke en reell svakhet</w:t>
            </w:r>
          </w:p>
        </w:tc>
      </w:tr>
      <w:tr>
        <w:tc>
          <w:tcPr>
            <w:tcW w:type="dxa" w:w="2000"/>
            <w:tcMar>
              <w:top w:type="dxa" w:w="120"/>
              <w:left w:type="dxa" w:w="140"/>
              <w:bottom w:type="dxa" w:w="120"/>
              <w:right w:type="dxa" w:w="140"/>
            </w:tcMar>
          </w:tcPr>
          <w:p>
            <w:r>
              <w:rPr>
                <w:b w:val="false"/>
                <w:bCs w:val="false"/>
                <w:color w:val="18231F"/>
                <w:sz w:val="20"/>
                <w:szCs w:val="20"/>
              </w:rPr>
              <w:t xml:space="preserve">Trussel fra substitutter</w:t>
            </w:r>
          </w:p>
        </w:tc>
        <w:tc>
          <w:tcPr>
            <w:tcW w:type="dxa" w:w="1500"/>
            <w:tcMar>
              <w:top w:type="dxa" w:w="120"/>
              <w:left w:type="dxa" w:w="140"/>
              <w:bottom w:type="dxa" w:w="120"/>
              <w:right w:type="dxa" w:w="140"/>
            </w:tcMar>
          </w:tcPr>
          <w:p>
            <w:r>
              <w:rPr>
                <w:b w:val="false"/>
                <w:bCs w:val="false"/>
                <w:color w:val="18231F"/>
                <w:sz w:val="20"/>
                <w:szCs w:val="20"/>
              </w:rPr>
              <w:t xml:space="preserve">Høy</w:t>
            </w:r>
          </w:p>
        </w:tc>
        <w:tc>
          <w:tcPr>
            <w:tcW w:type="dxa" w:w="3000"/>
            <w:tcMar>
              <w:top w:type="dxa" w:w="120"/>
              <w:left w:type="dxa" w:w="140"/>
              <w:bottom w:type="dxa" w:w="120"/>
              <w:right w:type="dxa" w:w="140"/>
            </w:tcMar>
          </w:tcPr>
          <w:p>
            <w:r>
              <w:rPr>
                <w:b w:val="false"/>
                <w:bCs w:val="false"/>
                <w:color w:val="18231F"/>
                <w:sz w:val="20"/>
                <w:szCs w:val="20"/>
              </w:rPr>
              <w:t xml:space="preserve">Copilot tilbakevist eksplisitt (side 2)</w:t>
            </w:r>
          </w:p>
        </w:tc>
        <w:tc>
          <w:tcPr>
            <w:tcW w:type="dxa" w:w="2850"/>
            <w:tcMar>
              <w:top w:type="dxa" w:w="120"/>
              <w:left w:type="dxa" w:w="140"/>
              <w:bottom w:type="dxa" w:w="120"/>
              <w:right w:type="dxa" w:w="140"/>
            </w:tcMar>
          </w:tcPr>
          <w:p>
            <w:r>
              <w:rPr>
                <w:b w:val="false"/>
                <w:bCs w:val="false"/>
                <w:color w:val="18231F"/>
                <w:sz w:val="20"/>
                <w:szCs w:val="20"/>
              </w:rPr>
              <w:t xml:space="preserve">Big4/generalist-konsulent og «vent og se» er ikke tilbakevist — ingen «kost av å vente»-argument</w:t>
            </w:r>
          </w:p>
        </w:tc>
      </w:tr>
      <w:tr>
        <w:tc>
          <w:tcPr>
            <w:tcW w:type="dxa" w:w="2000"/>
            <w:tcMar>
              <w:top w:type="dxa" w:w="120"/>
              <w:left w:type="dxa" w:w="140"/>
              <w:bottom w:type="dxa" w:w="120"/>
              <w:right w:type="dxa" w:w="140"/>
            </w:tcMar>
          </w:tcPr>
          <w:p>
            <w:r>
              <w:rPr>
                <w:b w:val="false"/>
                <w:bCs w:val="false"/>
                <w:color w:val="18231F"/>
                <w:sz w:val="20"/>
                <w:szCs w:val="20"/>
              </w:rPr>
              <w:t xml:space="preserve">Konkurranseintensitet</w:t>
            </w:r>
          </w:p>
        </w:tc>
        <w:tc>
          <w:tcPr>
            <w:tcW w:type="dxa" w:w="1500"/>
            <w:tcMar>
              <w:top w:type="dxa" w:w="120"/>
              <w:left w:type="dxa" w:w="140"/>
              <w:bottom w:type="dxa" w:w="120"/>
              <w:right w:type="dxa" w:w="140"/>
            </w:tcMar>
          </w:tcPr>
          <w:p>
            <w:r>
              <w:rPr>
                <w:b w:val="false"/>
                <w:bCs w:val="false"/>
                <w:color w:val="18231F"/>
                <w:sz w:val="20"/>
                <w:szCs w:val="20"/>
              </w:rPr>
              <w:t xml:space="preserve">Høy</w:t>
            </w:r>
          </w:p>
        </w:tc>
        <w:tc>
          <w:tcPr>
            <w:tcW w:type="dxa" w:w="3000"/>
            <w:tcMar>
              <w:top w:type="dxa" w:w="120"/>
              <w:left w:type="dxa" w:w="140"/>
              <w:bottom w:type="dxa" w:w="120"/>
              <w:right w:type="dxa" w:w="140"/>
            </w:tcMar>
          </w:tcPr>
          <w:p>
            <w:r>
              <w:rPr>
                <w:b w:val="false"/>
                <w:bCs w:val="false"/>
                <w:color w:val="18231F"/>
                <w:sz w:val="20"/>
                <w:szCs w:val="20"/>
              </w:rPr>
              <w:t xml:space="preserve">Rolledefinisjon (produkteier vs. prosjektleder) + prisgjennomsiktighet differensierer prosessen</w:t>
            </w:r>
          </w:p>
        </w:tc>
        <w:tc>
          <w:tcPr>
            <w:tcW w:type="dxa" w:w="2850"/>
            <w:tcMar>
              <w:top w:type="dxa" w:w="120"/>
              <w:left w:type="dxa" w:w="140"/>
              <w:bottom w:type="dxa" w:w="120"/>
              <w:right w:type="dxa" w:w="140"/>
            </w:tcMar>
          </w:tcPr>
          <w:p>
            <w:r>
              <w:rPr>
                <w:b w:val="false"/>
                <w:bCs w:val="false"/>
                <w:color w:val="18231F"/>
                <w:sz w:val="20"/>
                <w:szCs w:val="20"/>
              </w:rPr>
              <w:t xml:space="preserve">Ingen tallfestet bevis/case for utfall — kun prosess-differensiering, ikke resultat-differensiering</w:t>
            </w:r>
          </w:p>
        </w:tc>
      </w:tr>
    </w:tbl>
    <w:p>
      <w:pPr>
        <w:pStyle w:val="Heading2"/>
        <w:spacing w:after="120" w:before="260"/>
      </w:pPr>
      <w:r>
        <w:t xml:space="preserve">«Løser jeg pain points?» — den viktigste funnet</w:t>
      </w:r>
    </w:p>
    <w:p>
      <w:pPr>
        <w:spacing w:after="160"/>
      </w:pPr>
      <w:r>
        <w:rPr>
          <w:i w:val="false"/>
          <w:iCs w:val="false"/>
          <w:color w:val="18231F"/>
          <w:sz w:val="22"/>
          <w:szCs w:val="22"/>
        </w:rPr>
        <w:t xml:space="preserve">Dette er det konkrete svaret, ikke en synsing: «De store spørsmålene» (side 1) stiller fem spørsmål og lover eksplisitt i brotekst-setningen at «svarene» kommer på neste side. Når jeg går gjennom alle åtte sidene i mappen én gang til, er det bare to av de fem spørsmålene som faktisk får et svar:</w:t>
      </w:r>
    </w:p>
    <w:p>
      <w:pPr>
        <w:spacing w:after="260" w:before="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50"/>
      </w:tblGrid>
      <w:tr>
        <w:trPr>
          <w:tblHeader/>
        </w:trPr>
        <w:tc>
          <w:tcPr>
            <w:tcW w:type="dxa" w:w="4200"/>
            <w:shd w:fill="1F4A46" w:val="clear"/>
            <w:tcMar>
              <w:top w:type="dxa" w:w="120"/>
              <w:left w:type="dxa" w:w="140"/>
              <w:bottom w:type="dxa" w:w="120"/>
              <w:right w:type="dxa" w:w="140"/>
            </w:tcMar>
          </w:tcPr>
          <w:p>
            <w:r>
              <w:rPr>
                <w:b/>
                <w:bCs/>
                <w:color w:val="FFFFFF"/>
                <w:sz w:val="20"/>
                <w:szCs w:val="20"/>
              </w:rPr>
              <w:t xml:space="preserve">Spørsmål på side 1 («De store spørsmålene»)</w:t>
            </w:r>
          </w:p>
        </w:tc>
        <w:tc>
          <w:tcPr>
            <w:tcW w:type="dxa" w:w="1500"/>
            <w:shd w:fill="1F4A46" w:val="clear"/>
            <w:tcMar>
              <w:top w:type="dxa" w:w="120"/>
              <w:left w:type="dxa" w:w="140"/>
              <w:bottom w:type="dxa" w:w="120"/>
              <w:right w:type="dxa" w:w="140"/>
            </w:tcMar>
          </w:tcPr>
          <w:p>
            <w:r>
              <w:rPr>
                <w:b/>
                <w:bCs/>
                <w:color w:val="FFFFFF"/>
                <w:sz w:val="20"/>
                <w:szCs w:val="20"/>
              </w:rPr>
              <w:t xml:space="preserve">Besvart?</w:t>
            </w:r>
          </w:p>
        </w:tc>
        <w:tc>
          <w:tcPr>
            <w:tcW w:type="dxa" w:w="3650"/>
            <w:shd w:fill="1F4A46" w:val="clear"/>
            <w:tcMar>
              <w:top w:type="dxa" w:w="120"/>
              <w:left w:type="dxa" w:w="140"/>
              <w:bottom w:type="dxa" w:w="120"/>
              <w:right w:type="dxa" w:w="140"/>
            </w:tcMar>
          </w:tcPr>
          <w:p>
            <w:r>
              <w:rPr>
                <w:b/>
                <w:bCs/>
                <w:color w:val="FFFFFF"/>
                <w:sz w:val="20"/>
                <w:szCs w:val="20"/>
              </w:rPr>
              <w:t xml:space="preserve">Hvor / kommentar</w:t>
            </w:r>
          </w:p>
        </w:tc>
      </w:tr>
      <w:tr>
        <w:tc>
          <w:tcPr>
            <w:tcW w:type="dxa" w:w="4200"/>
            <w:tcMar>
              <w:top w:type="dxa" w:w="120"/>
              <w:left w:type="dxa" w:w="140"/>
              <w:bottom w:type="dxa" w:w="120"/>
              <w:right w:type="dxa" w:w="140"/>
            </w:tcMar>
          </w:tcPr>
          <w:p>
            <w:r>
              <w:rPr>
                <w:b w:val="false"/>
                <w:bCs w:val="false"/>
                <w:color w:val="18231F"/>
                <w:sz w:val="20"/>
                <w:szCs w:val="20"/>
              </w:rPr>
              <w:t xml:space="preserve">1. Konfidensiell informasjon på avveie?</w:t>
            </w:r>
          </w:p>
        </w:tc>
        <w:tc>
          <w:tcPr>
            <w:tcW w:type="dxa" w:w="1500"/>
            <w:shd w:fill="F3D9D9" w:val="clear"/>
            <w:tcMar>
              <w:top w:type="dxa" w:w="120"/>
              <w:left w:type="dxa" w:w="140"/>
              <w:bottom w:type="dxa" w:w="120"/>
              <w:right w:type="dxa" w:w="140"/>
            </w:tcMar>
          </w:tcPr>
          <w:p>
            <w:r>
              <w:rPr>
                <w:b/>
                <w:bCs/>
                <w:color w:val="18231F"/>
                <w:sz w:val="20"/>
                <w:szCs w:val="20"/>
              </w:rPr>
              <w:t xml:space="preserve">NEI</w:t>
            </w:r>
          </w:p>
        </w:tc>
        <w:tc>
          <w:tcPr>
            <w:tcW w:type="dxa" w:w="3650"/>
            <w:tcMar>
              <w:top w:type="dxa" w:w="120"/>
              <w:left w:type="dxa" w:w="140"/>
              <w:bottom w:type="dxa" w:w="120"/>
              <w:right w:type="dxa" w:w="140"/>
            </w:tcMar>
          </w:tcPr>
          <w:p>
            <w:r>
              <w:rPr>
                <w:b w:val="false"/>
                <w:bCs w:val="false"/>
                <w:color w:val="18231F"/>
                <w:sz w:val="20"/>
                <w:szCs w:val="20"/>
              </w:rPr>
              <w:t xml:space="preserve">Ikke besvart eksplisitt noe sted i mappen</w:t>
            </w:r>
          </w:p>
        </w:tc>
      </w:tr>
      <w:tr>
        <w:tc>
          <w:tcPr>
            <w:tcW w:type="dxa" w:w="4200"/>
            <w:tcMar>
              <w:top w:type="dxa" w:w="120"/>
              <w:left w:type="dxa" w:w="140"/>
              <w:bottom w:type="dxa" w:w="120"/>
              <w:right w:type="dxa" w:w="140"/>
            </w:tcMar>
          </w:tcPr>
          <w:p>
            <w:r>
              <w:rPr>
                <w:b w:val="false"/>
                <w:bCs w:val="false"/>
                <w:color w:val="18231F"/>
                <w:sz w:val="20"/>
                <w:szCs w:val="20"/>
              </w:rPr>
              <w:t xml:space="preserve">2. Data feil, manipulert eller misforstått?</w:t>
            </w:r>
          </w:p>
        </w:tc>
        <w:tc>
          <w:tcPr>
            <w:tcW w:type="dxa" w:w="1500"/>
            <w:shd w:fill="F3D9D9" w:val="clear"/>
            <w:tcMar>
              <w:top w:type="dxa" w:w="120"/>
              <w:left w:type="dxa" w:w="140"/>
              <w:bottom w:type="dxa" w:w="120"/>
              <w:right w:type="dxa" w:w="140"/>
            </w:tcMar>
          </w:tcPr>
          <w:p>
            <w:r>
              <w:rPr>
                <w:b/>
                <w:bCs/>
                <w:color w:val="18231F"/>
                <w:sz w:val="20"/>
                <w:szCs w:val="20"/>
              </w:rPr>
              <w:t xml:space="preserve">NEI</w:t>
            </w:r>
          </w:p>
        </w:tc>
        <w:tc>
          <w:tcPr>
            <w:tcW w:type="dxa" w:w="3650"/>
            <w:tcMar>
              <w:top w:type="dxa" w:w="120"/>
              <w:left w:type="dxa" w:w="140"/>
              <w:bottom w:type="dxa" w:w="120"/>
              <w:right w:type="dxa" w:w="140"/>
            </w:tcMar>
          </w:tcPr>
          <w:p>
            <w:r>
              <w:rPr>
                <w:b w:val="false"/>
                <w:bCs w:val="false"/>
                <w:color w:val="18231F"/>
                <w:sz w:val="20"/>
                <w:szCs w:val="20"/>
              </w:rPr>
              <w:t xml:space="preserve">Ikke besvart eksplisitt noe sted i mappen</w:t>
            </w:r>
          </w:p>
        </w:tc>
      </w:tr>
      <w:tr>
        <w:tc>
          <w:tcPr>
            <w:tcW w:type="dxa" w:w="4200"/>
            <w:tcMar>
              <w:top w:type="dxa" w:w="120"/>
              <w:left w:type="dxa" w:w="140"/>
              <w:bottom w:type="dxa" w:w="120"/>
              <w:right w:type="dxa" w:w="140"/>
            </w:tcMar>
          </w:tcPr>
          <w:p>
            <w:r>
              <w:rPr>
                <w:b w:val="false"/>
                <w:bCs w:val="false"/>
                <w:color w:val="18231F"/>
                <w:sz w:val="20"/>
                <w:szCs w:val="20"/>
              </w:rPr>
              <w:t xml:space="preserve">3. Trygt å gi AI tilgang til sensitiv info?</w:t>
            </w:r>
          </w:p>
        </w:tc>
        <w:tc>
          <w:tcPr>
            <w:tcW w:type="dxa" w:w="1500"/>
            <w:shd w:fill="F3D9D9" w:val="clear"/>
            <w:tcMar>
              <w:top w:type="dxa" w:w="120"/>
              <w:left w:type="dxa" w:w="140"/>
              <w:bottom w:type="dxa" w:w="120"/>
              <w:right w:type="dxa" w:w="140"/>
            </w:tcMar>
          </w:tcPr>
          <w:p>
            <w:r>
              <w:rPr>
                <w:b/>
                <w:bCs/>
                <w:color w:val="18231F"/>
                <w:sz w:val="20"/>
                <w:szCs w:val="20"/>
              </w:rPr>
              <w:t xml:space="preserve">NEI</w:t>
            </w:r>
          </w:p>
        </w:tc>
        <w:tc>
          <w:tcPr>
            <w:tcW w:type="dxa" w:w="3650"/>
            <w:tcMar>
              <w:top w:type="dxa" w:w="120"/>
              <w:left w:type="dxa" w:w="140"/>
              <w:bottom w:type="dxa" w:w="120"/>
              <w:right w:type="dxa" w:w="140"/>
            </w:tcMar>
          </w:tcPr>
          <w:p>
            <w:r>
              <w:rPr>
                <w:b w:val="false"/>
                <w:bCs w:val="false"/>
                <w:color w:val="18231F"/>
                <w:sz w:val="20"/>
                <w:szCs w:val="20"/>
              </w:rPr>
              <w:t xml:space="preserve">Ikke besvart eksplisitt noe sted i mappen</w:t>
            </w:r>
          </w:p>
        </w:tc>
      </w:tr>
      <w:tr>
        <w:tc>
          <w:tcPr>
            <w:tcW w:type="dxa" w:w="4200"/>
            <w:tcMar>
              <w:top w:type="dxa" w:w="120"/>
              <w:left w:type="dxa" w:w="140"/>
              <w:bottom w:type="dxa" w:w="120"/>
              <w:right w:type="dxa" w:w="140"/>
            </w:tcMar>
          </w:tcPr>
          <w:p>
            <w:r>
              <w:rPr>
                <w:b w:val="false"/>
                <w:bCs w:val="false"/>
                <w:color w:val="18231F"/>
                <w:sz w:val="20"/>
                <w:szCs w:val="20"/>
              </w:rPr>
              <w:t xml:space="preserve">4. Er ikke Copilot godt nok, da?</w:t>
            </w:r>
          </w:p>
        </w:tc>
        <w:tc>
          <w:tcPr>
            <w:tcW w:type="dxa" w:w="1500"/>
            <w:shd w:fill="DCE9DC" w:val="clear"/>
            <w:tcMar>
              <w:top w:type="dxa" w:w="120"/>
              <w:left w:type="dxa" w:w="140"/>
              <w:bottom w:type="dxa" w:w="120"/>
              <w:right w:type="dxa" w:w="140"/>
            </w:tcMar>
          </w:tcPr>
          <w:p>
            <w:r>
              <w:rPr>
                <w:b/>
                <w:bCs/>
                <w:color w:val="18231F"/>
                <w:sz w:val="20"/>
                <w:szCs w:val="20"/>
              </w:rPr>
              <w:t xml:space="preserve">JA</w:t>
            </w:r>
          </w:p>
        </w:tc>
        <w:tc>
          <w:tcPr>
            <w:tcW w:type="dxa" w:w="3650"/>
            <w:tcMar>
              <w:top w:type="dxa" w:w="120"/>
              <w:left w:type="dxa" w:w="140"/>
              <w:bottom w:type="dxa" w:w="120"/>
              <w:right w:type="dxa" w:w="140"/>
            </w:tcMar>
          </w:tcPr>
          <w:p>
            <w:r>
              <w:rPr>
                <w:b w:val="false"/>
                <w:bCs w:val="false"/>
                <w:color w:val="18231F"/>
                <w:sz w:val="20"/>
                <w:szCs w:val="20"/>
              </w:rPr>
              <w:t xml:space="preserve">Side 2 («Svarene»), «Hvorfor ikke bare Copilot?»</w:t>
            </w:r>
          </w:p>
        </w:tc>
      </w:tr>
      <w:tr>
        <w:tc>
          <w:tcPr>
            <w:tcW w:type="dxa" w:w="4200"/>
            <w:tcMar>
              <w:top w:type="dxa" w:w="120"/>
              <w:left w:type="dxa" w:w="140"/>
              <w:bottom w:type="dxa" w:w="120"/>
              <w:right w:type="dxa" w:w="140"/>
            </w:tcMar>
          </w:tcPr>
          <w:p>
            <w:r>
              <w:rPr>
                <w:b w:val="false"/>
                <w:bCs w:val="false"/>
                <w:color w:val="18231F"/>
                <w:sz w:val="20"/>
                <w:szCs w:val="20"/>
              </w:rPr>
              <w:t xml:space="preserve">5. Hva skjer om noen slutter?</w:t>
            </w:r>
          </w:p>
        </w:tc>
        <w:tc>
          <w:tcPr>
            <w:tcW w:type="dxa" w:w="1500"/>
            <w:shd w:fill="DCE9DC" w:val="clear"/>
            <w:tcMar>
              <w:top w:type="dxa" w:w="120"/>
              <w:left w:type="dxa" w:w="140"/>
              <w:bottom w:type="dxa" w:w="120"/>
              <w:right w:type="dxa" w:w="140"/>
            </w:tcMar>
          </w:tcPr>
          <w:p>
            <w:r>
              <w:rPr>
                <w:b/>
                <w:bCs/>
                <w:color w:val="18231F"/>
                <w:sz w:val="20"/>
                <w:szCs w:val="20"/>
              </w:rPr>
              <w:t xml:space="preserve">JA</w:t>
            </w:r>
          </w:p>
        </w:tc>
        <w:tc>
          <w:tcPr>
            <w:tcW w:type="dxa" w:w="3650"/>
            <w:tcMar>
              <w:top w:type="dxa" w:w="120"/>
              <w:left w:type="dxa" w:w="140"/>
              <w:bottom w:type="dxa" w:w="120"/>
              <w:right w:type="dxa" w:w="140"/>
            </w:tcMar>
          </w:tcPr>
          <w:p>
            <w:r>
              <w:rPr>
                <w:b w:val="false"/>
                <w:bCs w:val="false"/>
                <w:color w:val="18231F"/>
                <w:sz w:val="20"/>
                <w:szCs w:val="20"/>
              </w:rPr>
              <w:t xml:space="preserve">Side 2 («Svarene»), «Når noen slutter»</w:t>
            </w:r>
          </w:p>
        </w:tc>
      </w:tr>
    </w:tbl>
    <w:p>
      <w:pPr>
        <w:spacing w:after="0" w:before="220"/>
      </w:pPr>
    </w:p>
    <w:p>
      <w:pPr>
        <w:spacing w:after="160"/>
      </w:pPr>
      <w:r>
        <w:rPr>
          <w:b w:val="false"/>
          <w:bCs w:val="false"/>
          <w:i w:val="false"/>
          <w:iCs w:val="false"/>
          <w:color w:val="18231F"/>
          <w:sz w:val="22"/>
          <w:szCs w:val="22"/>
        </w:rPr>
        <w:t xml:space="preserve">Det betyr at nøyaktig de tre spørsmålene en CFO bryr seg mest om — konfidensialitet, datakvalitet, sikkerhet — er akkurat de tre du lover å svare på og aldri gjør. </w:t>
      </w:r>
      <w:r>
        <w:rPr>
          <w:b/>
          <w:bCs/>
          <w:i w:val="false"/>
          <w:iCs w:val="false"/>
          <w:color w:val="18231F"/>
          <w:sz w:val="22"/>
          <w:szCs w:val="22"/>
        </w:rPr>
        <w:t xml:space="preserve">Det er ikke pynt, det er et løftebrudd dokumentet selv skaper.</w:t>
      </w:r>
    </w:p>
    <w:p>
      <w:pPr>
        <w:spacing w:after="160"/>
      </w:pPr>
      <w:r>
        <w:rPr>
          <w:i w:val="false"/>
          <w:iCs w:val="false"/>
          <w:color w:val="18231F"/>
          <w:sz w:val="22"/>
          <w:szCs w:val="22"/>
        </w:rPr>
        <w:t xml:space="preserve">Det paradoksale er at du har det beste svaret tilgjengelig og bruker det aldri: AI-governance-bakgrunnen din fra Proactima (nevnt i «Hvem er jeg», side 4) er nøyaktig den erfaringen som skulle besvart spørsmål 1–3, men den er plassert som et biografisk faktum fire sider unna, uten at noen linje kobler den tilbake til risikospørsmålene på side 1.</w:t>
      </w:r>
    </w:p>
    <w:p>
      <w:pPr>
        <w:pStyle w:val="Heading1"/>
        <w:spacing w:after="160" w:before="320"/>
      </w:pPr>
      <w:r>
        <w:t xml:space="preserve">2. Har jeg riktig verktøysett — og er dokumentet satt opp intuitivt?</w:t>
      </w:r>
    </w:p>
    <w:p>
      <w:pPr>
        <w:pStyle w:val="Heading2"/>
        <w:spacing w:after="120" w:before="260"/>
      </w:pPr>
      <w:r>
        <w:t xml:space="preserve">Verktøyene jeg faktisk brukte</w:t>
      </w:r>
    </w:p>
    <w:p>
      <w:pPr>
        <w:spacing w:after="160"/>
      </w:pPr>
      <w:r>
        <w:rPr>
          <w:i w:val="false"/>
          <w:iCs w:val="false"/>
          <w:color w:val="18231F"/>
          <w:sz w:val="22"/>
          <w:szCs w:val="22"/>
        </w:rPr>
        <w:t xml:space="preserve">Til selve byggingen brukte jeg artifact-design-skillet (visuell utforming/layout-disiplin), egen HTML/CSS/JS, og Playwright for å skjermbilde-verifisere resultatet før publisering — det er godt egnet til å bygge et velformet, merkevaretro dokument, men det er ikke i seg selv et konverterings-/salgstekst-rammeverk.</w:t>
      </w:r>
    </w:p>
    <w:p>
      <w:pPr>
        <w:pStyle w:val="Heading2"/>
        <w:spacing w:after="120" w:before="260"/>
      </w:pPr>
      <w:r>
        <w:t xml:space="preserve">Fant jeg noe bedre?</w:t>
      </w:r>
    </w:p>
    <w:p>
      <w:pPr>
        <w:spacing w:after="160"/>
      </w:pPr>
      <w:r>
        <w:rPr>
          <w:i w:val="false"/>
          <w:iCs w:val="false"/>
          <w:color w:val="18231F"/>
          <w:sz w:val="22"/>
          <w:szCs w:val="22"/>
        </w:rPr>
        <w:t xml:space="preserve">Jeg søkte gjennom dine tilgjengelige skills og gjennom markedsplassen for plugins. Det finnes ingen installert skill spesifikt for salgs-/konverteringstekst. Markedsplassen har to relevante pakker — «sales» (konkurrentinnsikt, utkast til utsendelser, «create-an-asset») og «marketing» (competitive-brief, innholdsproduksjon, merkevare-gjennomgang) — men begge er tunge, CRM-koblede pakker (HubSpot, Notion, Slack, Apollo m.fl.) bygget for løpende salgs-/markedsføringsarbeid over tid, ikke for å style-sjekke ett enkelt dokument. Jeg anbefaler ikke å installere dem for denne oppgaven — det er som å kjøpe et helt CRM-system for å lese korrektur på ett brev.</w:t>
      </w:r>
    </w:p>
    <w:p>
      <w:pPr>
        <w:spacing w:after="160"/>
      </w:pPr>
      <w:r>
        <w:rPr>
          <w:i w:val="false"/>
          <w:iCs w:val="false"/>
          <w:color w:val="18231F"/>
          <w:sz w:val="22"/>
          <w:szCs w:val="22"/>
        </w:rPr>
        <w:t xml:space="preserve">Det jeg derimot allerede har tilgjengelig og som faktisk passer oppgaven: product-management:competitive-brief-skillet (posisjonerings-/battle card-tenkning — det jeg i praksis brukte i Porter-analysen over), og linkedin-voice-skillet hvis du vil at jeg kjører selve teksten gjennom en formell stemme-sjekk mot din etablerte LinkedIn-stil. Si fra om du vil at jeg gjør det som et eget steg.</w:t>
      </w:r>
    </w:p>
    <w:p>
      <w:pPr>
        <w:pStyle w:val="Heading2"/>
        <w:spacing w:after="120" w:before="260"/>
      </w:pPr>
      <w:r>
        <w:t xml:space="preserve">Intuitiv gjennomlesning — simulert skumlesning</w:t>
      </w:r>
    </w:p>
    <w:p>
      <w:pPr>
        <w:spacing w:after="160"/>
      </w:pPr>
      <w:r>
        <w:rPr>
          <w:i w:val="false"/>
          <w:iCs w:val="false"/>
          <w:color w:val="18231F"/>
          <w:sz w:val="22"/>
          <w:szCs w:val="22"/>
        </w:rPr>
        <w:t xml:space="preserve">Jeg gikk gjennom mappen fane for fane som om jeg var CFO-en som fikk den videresendt av en ansatt, uten kontekst utover selve dokumentet:</w:t>
      </w:r>
    </w:p>
    <w:p>
      <w:pPr>
        <w:pStyle w:val="ListParagraph"/>
        <w:numPr>
          <w:ilvl w:val="0"/>
          <w:numId w:val="2"/>
        </w:numPr>
        <w:spacing w:after="100"/>
      </w:pPr>
      <w:r>
        <w:rPr>
          <w:color w:val="18231F"/>
          <w:sz w:val="22"/>
          <w:szCs w:val="22"/>
        </w:rPr>
        <w:t xml:space="preserve">Forsiden — sterk. Bildet, overskriften og topplinje/bunnlinje-koblingen lander på under fem sekunder. Ingen konkret kredibilitets-linje her ennå (se forslag 2 under).</w:t>
      </w:r>
    </w:p>
    <w:p>
      <w:pPr>
        <w:pStyle w:val="ListParagraph"/>
        <w:numPr>
          <w:ilvl w:val="0"/>
          <w:numId w:val="2"/>
        </w:numPr>
        <w:spacing w:after="100"/>
      </w:pPr>
      <w:r>
        <w:rPr>
          <w:color w:val="18231F"/>
          <w:sz w:val="22"/>
          <w:szCs w:val="22"/>
        </w:rPr>
        <w:t xml:space="preserve">Fane 1–2 (Spørsmålene / Svarene) — leseren får halve svaret på egne spørsmål. Risikoen er at en CFO stopper her, konkluderer «sikkerhet er visst ikke tema», og lukker fanen.</w:t>
      </w:r>
    </w:p>
    <w:p>
      <w:pPr>
        <w:pStyle w:val="ListParagraph"/>
        <w:numPr>
          <w:ilvl w:val="0"/>
          <w:numId w:val="2"/>
        </w:numPr>
        <w:spacing w:after="100"/>
      </w:pPr>
      <w:r>
        <w:rPr>
          <w:color w:val="18231F"/>
          <w:sz w:val="22"/>
          <w:szCs w:val="22"/>
        </w:rPr>
        <w:t xml:space="preserve">Fane 3 (Kulturen) — leses fort som HR-tekst av en tallfokusert leser, før troverdighet er etablert. Innholdet er godt, men rekkefølgen jobber mot deg her.</w:t>
      </w:r>
    </w:p>
    <w:p>
      <w:pPr>
        <w:pStyle w:val="ListParagraph"/>
        <w:numPr>
          <w:ilvl w:val="0"/>
          <w:numId w:val="2"/>
        </w:numPr>
        <w:spacing w:after="100"/>
      </w:pPr>
      <w:r>
        <w:rPr>
          <w:color w:val="18231F"/>
          <w:sz w:val="22"/>
          <w:szCs w:val="22"/>
        </w:rPr>
        <w:t xml:space="preserve">Fane 4 (Hvem er jeg) — akkurat der troverdigheten faktisk bygges, fire klikk inn. For en leser uten deg til stede kommer den for sent.</w:t>
      </w:r>
    </w:p>
    <w:p>
      <w:pPr>
        <w:pStyle w:val="ListParagraph"/>
        <w:numPr>
          <w:ilvl w:val="0"/>
          <w:numId w:val="2"/>
        </w:numPr>
        <w:spacing w:after="100"/>
      </w:pPr>
      <w:r>
        <w:rPr>
          <w:color w:val="18231F"/>
          <w:sz w:val="22"/>
          <w:szCs w:val="22"/>
        </w:rPr>
        <w:t xml:space="preserve">Fane 5–6 (Rollen / Slik jobber vi) — den nye «midlertidig produkteier»-rammingen er original og god, men ber leseren akseptere en uvant rolle før de vet hvem du er.</w:t>
      </w:r>
    </w:p>
    <w:p>
      <w:pPr>
        <w:pStyle w:val="ListParagraph"/>
        <w:numPr>
          <w:ilvl w:val="0"/>
          <w:numId w:val="2"/>
        </w:numPr>
        <w:spacing w:after="100"/>
      </w:pPr>
      <w:r>
        <w:rPr>
          <w:color w:val="18231F"/>
          <w:sz w:val="22"/>
          <w:szCs w:val="22"/>
        </w:rPr>
        <w:t xml:space="preserve">Fane 7 (Pris) — i en fysisk mappe man blar i, hopper de fleste økonomiansvarlige rett hit uansett rekkefølge. Prisen tåler dagslys — gjennomsiktigheten er en reell styrke, uavhengig av hvor den står.</w:t>
      </w:r>
    </w:p>
    <w:p>
      <w:pPr>
        <w:pStyle w:val="ListParagraph"/>
        <w:numPr>
          <w:ilvl w:val="0"/>
          <w:numId w:val="2"/>
        </w:numPr>
        <w:spacing w:after="100"/>
      </w:pPr>
      <w:r>
        <w:rPr>
          <w:color w:val="18231F"/>
          <w:sz w:val="22"/>
          <w:szCs w:val="22"/>
        </w:rPr>
        <w:t xml:space="preserve">Fane 8 (Ta kontakt) — Sofia-kortet er en fin, lavterskel «prøv meg selv»-utgang for en skeptisk COO som har brukt AI privat og vil teste før de tar kontakt.</w:t>
      </w:r>
    </w:p>
    <w:p>
      <w:pPr>
        <w:pStyle w:val="Heading1"/>
        <w:spacing w:after="160" w:before="320"/>
      </w:pPr>
      <w:r>
        <w:t xml:space="preserve">3. Forslag til forbedringer — prioritert</w:t>
      </w:r>
    </w:p>
    <w:p>
      <w:pPr>
        <w:spacing w:after="160"/>
      </w:pPr>
      <w:r>
        <w:rPr>
          <w:i w:val="false"/>
          <w:iCs w:val="false"/>
          <w:color w:val="18231F"/>
          <w:sz w:val="22"/>
          <w:szCs w:val="22"/>
        </w:rPr>
        <w:t xml:space="preserve">Rangert etter hva som faktisk flytter en beslutning, ikke etter hva som er raskest å gjøre.</w:t>
      </w:r>
    </w:p>
    <w:p>
      <w:pPr>
        <w:pStyle w:val="Heading3"/>
        <w:spacing w:after="100" w:before="200"/>
      </w:pPr>
      <w:r>
        <w:t xml:space="preserve">1. Besvar de tre sikkerhetsspørsmålene (høyeste prioritet)</w:t>
      </w:r>
    </w:p>
    <w:p>
      <w:pPr>
        <w:spacing w:after="160"/>
      </w:pPr>
      <w:r>
        <w:rPr>
          <w:i w:val="false"/>
          <w:iCs w:val="false"/>
          <w:color w:val="18231F"/>
          <w:sz w:val="22"/>
          <w:szCs w:val="22"/>
        </w:rPr>
        <w:t xml:space="preserve">Legg til korte, konkrete svar på konfidensialitet, datakvalitet og tilgangskontroll — enten direkte under hvert spørsmål på side 1, eller samlet på side 2 med en eksplisitt kobling til AI-governance-arbeidet ditt fra Proactima. Uten dette bryter dokumentet sitt eget løfte, og det er den svakheten en CFO fanger raskest.</w:t>
      </w:r>
    </w:p>
    <w:p>
      <w:pPr>
        <w:pStyle w:val="Heading3"/>
        <w:spacing w:after="100" w:before="200"/>
      </w:pPr>
      <w:r>
        <w:t xml:space="preserve">2. Ett troverdighetssignal på forsiden selv</w:t>
      </w:r>
    </w:p>
    <w:p>
      <w:pPr>
        <w:spacing w:after="160"/>
      </w:pPr>
      <w:r>
        <w:rPr>
          <w:i w:val="false"/>
          <w:iCs w:val="false"/>
          <w:color w:val="18231F"/>
          <w:sz w:val="22"/>
          <w:szCs w:val="22"/>
        </w:rPr>
        <w:t xml:space="preserve">En kort linje under leden — noe i retning av «bygger egne AI-produkter (Sofia, Matchforger, Nikola) parallelt med rådgivningen» — gir praktiker-kontrasten før leseren i det hele tatt klikker videre. Viktig når dokumentet må stå på egne ben.</w:t>
      </w:r>
    </w:p>
    <w:p>
      <w:pPr>
        <w:pStyle w:val="Heading3"/>
        <w:spacing w:after="100" w:before="200"/>
      </w:pPr>
      <w:r>
        <w:t xml:space="preserve">3. Minst ett tallfestet bevispunkt</w:t>
      </w:r>
    </w:p>
    <w:p>
      <w:pPr>
        <w:spacing w:after="160"/>
      </w:pPr>
      <w:r>
        <w:rPr>
          <w:i w:val="false"/>
          <w:iCs w:val="false"/>
          <w:color w:val="18231F"/>
          <w:sz w:val="22"/>
          <w:szCs w:val="22"/>
        </w:rPr>
        <w:t xml:space="preserve">«Øke topplinjen, redusere bunnlinjen» trenger ett tall å henge seg på. Har du ikke et ekte kundecase ennå, kan et tall fra dine egne produkter (for eksempel Matchforger og utlysningsvolumet i Doffin/TED) fungere som bevis på at du finner reelle kroner, ikke bare prosess.</w:t>
      </w:r>
    </w:p>
    <w:p>
      <w:pPr>
        <w:pStyle w:val="Heading3"/>
        <w:spacing w:after="100" w:before="200"/>
      </w:pPr>
      <w:r>
        <w:t xml:space="preserve">4. Anerkjenn konsern-scenarioet</w:t>
      </w:r>
    </w:p>
    <w:p>
      <w:pPr>
        <w:spacing w:after="160"/>
      </w:pPr>
      <w:r>
        <w:rPr>
          <w:i w:val="false"/>
          <w:iCs w:val="false"/>
          <w:color w:val="18231F"/>
          <w:sz w:val="22"/>
          <w:szCs w:val="22"/>
        </w:rPr>
        <w:t xml:space="preserve">Én setning i «Slik jobber vi» eller «Pris» om at du er vant til å jobbe innenfor konsernstrukturer og innkjøpsprosesser — eller at et engasjement kan starte med en enkelt halv dag nettopp for å gjøre intern godkjenning enkel — fjerner en unødvendig innvending før den oppstår.</w:t>
      </w:r>
    </w:p>
    <w:p>
      <w:pPr>
        <w:pStyle w:val="Heading3"/>
        <w:spacing w:after="100" w:before="200"/>
      </w:pPr>
      <w:r>
        <w:t xml:space="preserve">5. Vurder å flytte «Hvem er jeg» tidligere</w:t>
      </w:r>
    </w:p>
    <w:p>
      <w:pPr>
        <w:spacing w:after="160"/>
      </w:pPr>
      <w:r>
        <w:rPr>
          <w:i w:val="false"/>
          <w:iCs w:val="false"/>
          <w:color w:val="18231F"/>
          <w:sz w:val="22"/>
          <w:szCs w:val="22"/>
        </w:rPr>
        <w:t xml:space="preserve">Siden dokumentet leses uten deg til stede, bør troverdighet etableres før «Rollen» ber leseren akseptere en ny rolledefinisjon. Å flytte «Hvem er jeg» til fane 2 (rett etter «De store spørsmålene») ville løst det uten å miste noe av det andre innholdet.</w:t>
      </w:r>
    </w:p>
    <w:p>
      <w:pPr>
        <w:pStyle w:val="Heading3"/>
        <w:spacing w:after="100" w:before="200"/>
      </w:pPr>
      <w:r>
        <w:t xml:space="preserve">Der jeg vil argumentere mot mitt eget tidligere valg</w:t>
      </w:r>
    </w:p>
    <w:p>
      <w:pPr>
        <w:spacing w:after="160"/>
      </w:pPr>
      <w:r>
        <w:rPr>
          <w:i w:val="false"/>
          <w:iCs w:val="false"/>
          <w:color w:val="18231F"/>
          <w:sz w:val="22"/>
          <w:szCs w:val="22"/>
        </w:rPr>
        <w:t xml:space="preserve">Jeg la selv inn «Hvem er «vi»?»-forklaringen øverst på «Slik jobber vi»-siden i forrige runde, og står fortsatt bak innholdet — men ved nærmere ettersyn tror jeg rekkefølgen der er feil. Å åpne en prosess-side med et forsvar («hvem mener du med vi?») før leseren har sett de fem konkrete stegene, kan lese som defensivt og bremse en side som ellers skal virke bestemt og ryddig. Jeg vil foreslå å snu rekkefølgen: vis de fem stegene først, og legg «Hvem er «vi»?» som en kort avsluttende note etter dem — samme informasjon, men uten å starte siden på baklengs fot.</w:t>
      </w:r>
    </w:p>
    <w:p>
      <w:pPr>
        <w:pStyle w:val="Heading3"/>
        <w:spacing w:after="100" w:before="200"/>
      </w:pPr>
      <w:r>
        <w:t xml:space="preserve">Mindre prioritert, men verdt å vurdere</w:t>
      </w:r>
    </w:p>
    <w:p>
      <w:pPr>
        <w:pStyle w:val="ListParagraph"/>
        <w:numPr>
          <w:ilvl w:val="0"/>
          <w:numId w:val="2"/>
        </w:numPr>
        <w:spacing w:after="100"/>
      </w:pPr>
      <w:r>
        <w:rPr>
          <w:color w:val="18231F"/>
          <w:sz w:val="22"/>
          <w:szCs w:val="22"/>
        </w:rPr>
        <w:t xml:space="preserve">Flytt «Kulturen» bakover (etter Rollen/Slik jobber vi), eller gi den en tydeligere kostnads-kobling (turnover/rekrutteringskost) — smakssak, ikke en feil, og du kjenner rommet bedre enn meg her.</w:t>
      </w:r>
    </w:p>
    <w:p>
      <w:pPr>
        <w:pStyle w:val="ListParagraph"/>
        <w:numPr>
          <w:ilvl w:val="0"/>
          <w:numId w:val="2"/>
        </w:numPr>
        <w:spacing w:after="100"/>
      </w:pPr>
      <w:r>
        <w:rPr>
          <w:color w:val="18231F"/>
          <w:sz w:val="22"/>
          <w:szCs w:val="22"/>
        </w:rPr>
        <w:t xml:space="preserve">Vurder en kort «hvorfor ikke bare leie inn et stort konsulentbyrå»-linje et sted — Copilot-substitutten er tilbakevist, generalist-konsulent-substitutten er det ikke.</w:t>
      </w:r>
    </w:p>
    <w:p>
      <w:pPr>
        <w:pBdr>
          <w:top w:val="single" w:color="C7C0AC" w:sz="6" w:space="8"/>
        </w:pBdr>
        <w:spacing w:after="0" w:before="300"/>
      </w:pPr>
    </w:p>
    <w:p>
      <w:pPr>
        <w:spacing w:after="160"/>
      </w:pPr>
      <w:r>
        <w:rPr>
          <w:i/>
          <w:iCs/>
          <w:color w:val="3C463F"/>
          <w:sz w:val="22"/>
          <w:szCs w:val="22"/>
        </w:rPr>
        <w:t xml:space="preserve">Ingenting er endret i selve mappen ennå — dette er kun gjennomgangen du ba om. Si fra hvilke av punktene over du vil at jeg går videre med, så bygger jeg dem inn og publiserer på nytt.</w:t>
      </w:r>
    </w:p>
    <w:sectPr>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823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Arial" w:cs="Arial" w:eastAsia="Arial" w:hAnsi="Arial"/>
      <w:b/>
      <w:bCs/>
      <w:color w:val="1F4A46"/>
      <w:sz w:val="32"/>
      <w:szCs w:val="32"/>
    </w:rPr>
  </w:style>
  <w:style w:type="paragraph" w:styleId="Heading2">
    <w:name w:val="Heading 2"/>
    <w:basedOn w:val="Normal"/>
    <w:next w:val="Normal"/>
    <w:pPr>
      <w:spacing w:after="120" w:before="260"/>
    </w:pPr>
    <w:rPr>
      <w:rFonts w:ascii="Arial" w:cs="Arial" w:eastAsia="Arial" w:hAnsi="Arial"/>
      <w:b/>
      <w:bCs/>
      <w:color w:val="1F4A46"/>
      <w:sz w:val="26"/>
      <w:szCs w:val="26"/>
    </w:rPr>
  </w:style>
  <w:style w:type="paragraph" w:styleId="Heading3">
    <w:name w:val="Heading 3"/>
    <w:basedOn w:val="Normal"/>
    <w:next w:val="Normal"/>
    <w:pPr>
      <w:spacing w:after="100" w:before="200"/>
    </w:pPr>
    <w:rPr>
      <w:rFonts w:ascii="Arial" w:cs="Arial" w:eastAsia="Arial" w:hAnsi="Arial"/>
      <w:b/>
      <w:bCs/>
      <w:color w:val="9C6F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2026-09-03T16:15:53.581Z</dcterms:created>
  <dcterms:modified xsi:type="dcterms:W3CDTF">2026-09-03T16:15:53.590Z</dcterms:modified>
</cp:coreProperties>
</file>

<file path=docProps/custom.xml><?xml version="1.0" encoding="utf-8"?>
<Properties xmlns="http://schemas.openxmlformats.org/officeDocument/2006/custom-properties" xmlns:vt="http://schemas.openxmlformats.org/officeDocument/2006/docPropsVTypes"/>
</file>