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DejaVu Sans" w:hAnsi="DejaVu Sans"/>
          <w:b/>
          <w:color w:val="27598B"/>
          <w:sz w:val="40"/>
        </w:rPr>
        <w:t>Воркшоп «Семифокусная модель супервизии»</w:t>
      </w:r>
    </w:p>
    <w:p>
      <w:pPr>
        <w:spacing w:after="360"/>
        <w:jc w:val="center"/>
      </w:pPr>
      <w:r>
        <w:rPr>
          <w:rFonts w:ascii="DejaVu Sans" w:hAnsi="DejaVu Sans"/>
          <w:b/>
          <w:color w:val="C69538"/>
          <w:sz w:val="28"/>
        </w:rPr>
        <w:t>для практикующих психологов и психотерапевтов</w:t>
      </w:r>
    </w:p>
    <w:p>
      <w:pPr>
        <w:spacing w:after="160"/>
      </w:pPr>
      <w:r>
        <w:rPr>
          <w:rFonts w:ascii="DejaVu Sans" w:hAnsi="DejaVu Sans"/>
          <w:b w:val="0"/>
          <w:color w:val="232F3E"/>
          <w:sz w:val="23"/>
        </w:rPr>
        <w:t>Приглашаем практикующих психологов и психотерапевтов на 3-часовой воркшоп, посвященный семифокусной модели супервизии — профессиональному инструменту анализа терапевтической работы, который помогает глубже видеть клиента, терапевта, процесс, супервизионные отношения и духовно-нравственное измерение помощи.</w:t>
      </w:r>
    </w:p>
    <w:p>
      <w:pPr>
        <w:spacing w:after="160"/>
      </w:pPr>
      <w:r>
        <w:rPr>
          <w:rFonts w:ascii="DejaVu Sans" w:hAnsi="DejaVu Sans"/>
          <w:b w:val="0"/>
          <w:color w:val="232F3E"/>
          <w:sz w:val="23"/>
        </w:rPr>
        <w:t>Семифокусная модель опирается на классическую шестифокусную модель супервизии и дополняет ее седьмым фокусом — вниманием к отношениям с Богом, вопросам смысла, свободы, ответственности, смирения, профессиональных границ и духовной трезвости специалиста.</w:t>
      </w:r>
    </w:p>
    <w:p>
      <w:pPr>
        <w:spacing w:before="200" w:after="120"/>
      </w:pPr>
      <w:r>
        <w:rPr>
          <w:rFonts w:ascii="DejaVu Sans" w:hAnsi="DejaVu Sans"/>
          <w:b/>
          <w:color w:val="27598B"/>
          <w:sz w:val="32"/>
        </w:rPr>
        <w:t>Для кого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практикующим психологам и психотерапевтам;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специалистам, работающим с христианскими клиентами;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психологам, которым важно соединять профессиональную позицию, этику и духовное измерение помощи;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участникам супервизионных и интервизионных групп;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специалистам, сталкивающимся с выгоранием, контрпереносом, сложными случаями и вопросами границ.</w:t>
      </w:r>
    </w:p>
    <w:p>
      <w:pPr>
        <w:spacing w:before="200" w:after="120"/>
      </w:pPr>
      <w:r>
        <w:rPr>
          <w:rFonts w:ascii="DejaVu Sans" w:hAnsi="DejaVu Sans"/>
          <w:b/>
          <w:color w:val="27598B"/>
          <w:sz w:val="32"/>
        </w:rPr>
        <w:t>Что будем разбирать</w:t>
      </w:r>
    </w:p>
    <w:p>
      <w:pPr>
        <w:spacing w:after="160"/>
      </w:pPr>
      <w:r>
        <w:rPr>
          <w:rFonts w:ascii="DejaVu Sans" w:hAnsi="DejaVu Sans"/>
          <w:b w:val="0"/>
          <w:color w:val="232F3E"/>
          <w:sz w:val="22"/>
        </w:rPr>
        <w:t>За 3 часа участники познакомятся с семью фокусами супервизионного внимания:</w:t>
      </w:r>
    </w:p>
    <w:p>
      <w:pPr>
        <w:pStyle w:val="ListNumber"/>
        <w:spacing w:after="80"/>
      </w:pPr>
      <w:r>
        <w:rPr>
          <w:rFonts w:ascii="DejaVu Sans" w:hAnsi="DejaVu Sans"/>
          <w:b w:val="0"/>
          <w:color w:val="232F3E"/>
          <w:sz w:val="22"/>
        </w:rPr>
        <w:t>Клиент: запрос, страдание, ресурсы и риски.</w:t>
      </w:r>
    </w:p>
    <w:p>
      <w:pPr>
        <w:pStyle w:val="ListNumber"/>
        <w:spacing w:after="80"/>
      </w:pPr>
      <w:r>
        <w:rPr>
          <w:rFonts w:ascii="DejaVu Sans" w:hAnsi="DejaVu Sans"/>
          <w:b w:val="0"/>
          <w:color w:val="232F3E"/>
          <w:sz w:val="22"/>
        </w:rPr>
        <w:t>Терапевт: гипотезы, стратегия, методы и профессиональная позиция.</w:t>
      </w:r>
    </w:p>
    <w:p>
      <w:pPr>
        <w:pStyle w:val="ListNumber"/>
        <w:spacing w:after="80"/>
      </w:pPr>
      <w:r>
        <w:rPr>
          <w:rFonts w:ascii="DejaVu Sans" w:hAnsi="DejaVu Sans"/>
          <w:b w:val="0"/>
          <w:color w:val="232F3E"/>
          <w:sz w:val="22"/>
        </w:rPr>
        <w:t>Отношения клиента и терапевта: процесс, перенос, контакт, динамика встречи.</w:t>
      </w:r>
    </w:p>
    <w:p>
      <w:pPr>
        <w:pStyle w:val="ListNumber"/>
        <w:spacing w:after="80"/>
      </w:pPr>
      <w:r>
        <w:rPr>
          <w:rFonts w:ascii="DejaVu Sans" w:hAnsi="DejaVu Sans"/>
          <w:b w:val="0"/>
          <w:color w:val="232F3E"/>
          <w:sz w:val="22"/>
        </w:rPr>
        <w:t>Состояние супервизируемого: чувства, телесные реакции, контрперенос, усталость.</w:t>
      </w:r>
    </w:p>
    <w:p>
      <w:pPr>
        <w:pStyle w:val="ListNumber"/>
        <w:spacing w:after="80"/>
      </w:pPr>
      <w:r>
        <w:rPr>
          <w:rFonts w:ascii="DejaVu Sans" w:hAnsi="DejaVu Sans"/>
          <w:b w:val="0"/>
          <w:color w:val="232F3E"/>
          <w:sz w:val="22"/>
        </w:rPr>
        <w:t>Отношения терапевта и супервизора: что проявляется в супервизии из терапевтического процесса.</w:t>
      </w:r>
    </w:p>
    <w:p>
      <w:pPr>
        <w:pStyle w:val="ListNumber"/>
        <w:spacing w:after="80"/>
      </w:pPr>
      <w:r>
        <w:rPr>
          <w:rFonts w:ascii="DejaVu Sans" w:hAnsi="DejaVu Sans"/>
          <w:b w:val="0"/>
          <w:color w:val="232F3E"/>
          <w:sz w:val="22"/>
        </w:rPr>
        <w:t>Состояние супервизора: реакции, гипотезы, ограничения и ответственность.</w:t>
      </w:r>
    </w:p>
    <w:p>
      <w:pPr>
        <w:pStyle w:val="ListNumber"/>
        <w:spacing w:after="80"/>
      </w:pPr>
      <w:r>
        <w:rPr>
          <w:rFonts w:ascii="DejaVu Sans" w:hAnsi="DejaVu Sans"/>
          <w:b w:val="0"/>
          <w:color w:val="232F3E"/>
          <w:sz w:val="22"/>
        </w:rPr>
        <w:t>Отношения с Богом: молитвенное внимание, свобода клиента, смирение специалиста, различение духовного и психологического.</w:t>
      </w:r>
    </w:p>
    <w:p>
      <w:pPr>
        <w:spacing w:before="200" w:after="120"/>
      </w:pPr>
      <w:r>
        <w:rPr>
          <w:rFonts w:ascii="DejaVu Sans" w:hAnsi="DejaVu Sans"/>
          <w:b/>
          <w:color w:val="27598B"/>
          <w:sz w:val="32"/>
        </w:rPr>
        <w:t>Формат</w:t>
      </w:r>
    </w:p>
    <w:p>
      <w:pPr>
        <w:spacing w:after="160"/>
      </w:pPr>
      <w:r>
        <w:rPr>
          <w:rFonts w:ascii="DejaVu Sans" w:hAnsi="DejaVu Sans"/>
          <w:b w:val="0"/>
          <w:color w:val="232F3E"/>
          <w:sz w:val="22"/>
        </w:rPr>
        <w:t>Воркшоп сочетает мини-лекцию, разбор модели, практические вопросы для самодиагностики и работу с примерами из практики.</w:t>
      </w:r>
    </w:p>
    <w:p>
      <w:pPr>
        <w:spacing w:after="160"/>
      </w:pPr>
      <w:r>
        <w:rPr>
          <w:rFonts w:ascii="DejaVu Sans" w:hAnsi="DejaVu Sans"/>
          <w:b/>
          <w:color w:val="232F3E"/>
          <w:sz w:val="22"/>
        </w:rPr>
        <w:t>План встречи: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вводная часть: зачем психологу супервизионная карта внимания;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обзор шестифокусной модели;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добавление седьмого фокуса в православном и христианском контексте;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практический разбор случая по семи фокусам;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обсуждение рисков: спасательство, духовные объяснения вместо анализа, нарушение границ;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итоговая карта вопросов для дальнейшей супервизионной работы.</w:t>
      </w:r>
    </w:p>
    <w:p>
      <w:pPr>
        <w:spacing w:before="200" w:after="120"/>
      </w:pPr>
      <w:r>
        <w:rPr>
          <w:rFonts w:ascii="DejaVu Sans" w:hAnsi="DejaVu Sans"/>
          <w:b/>
          <w:color w:val="27598B"/>
          <w:sz w:val="32"/>
        </w:rPr>
        <w:t>Что участники получат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смогут структурировать сложный клиентский случай по семи фокусам;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будут лучше различать профессиональные, личные и духовные аспекты работы;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научатся замечать контрперенос, усталость и риск выгорания;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смогут удерживать профессиональные границы без потери христианского взгляда на человека;</w:t>
      </w:r>
    </w:p>
    <w:p>
      <w:pPr>
        <w:pStyle w:val="ListBullet"/>
        <w:spacing w:after="80"/>
      </w:pPr>
      <w:r>
        <w:rPr>
          <w:rFonts w:ascii="DejaVu Sans" w:hAnsi="DejaVu Sans"/>
          <w:b w:val="0"/>
          <w:color w:val="232F3E"/>
          <w:sz w:val="22"/>
        </w:rPr>
        <w:t>получат семифокусную карту как инструмент для супервизии, интервизии и саморефлексии.</w:t>
      </w:r>
    </w:p>
    <w:p>
      <w:pPr>
        <w:spacing w:before="200" w:after="120"/>
      </w:pPr>
      <w:r>
        <w:rPr>
          <w:rFonts w:ascii="DejaVu Sans" w:hAnsi="DejaVu Sans"/>
          <w:b/>
          <w:color w:val="27598B"/>
          <w:sz w:val="32"/>
        </w:rPr>
        <w:t>Продолжительность</w:t>
      </w:r>
    </w:p>
    <w:p>
      <w:pPr>
        <w:spacing w:after="160"/>
      </w:pPr>
      <w:r>
        <w:rPr>
          <w:rFonts w:ascii="DejaVu Sans" w:hAnsi="DejaVu Sans"/>
          <w:b/>
          <w:color w:val="C69538"/>
          <w:sz w:val="22"/>
        </w:rPr>
        <w:t>3 часа.</w:t>
      </w:r>
    </w:p>
    <w:p>
      <w:pPr>
        <w:spacing w:before="200" w:after="120"/>
      </w:pPr>
      <w:r>
        <w:rPr>
          <w:rFonts w:ascii="DejaVu Sans" w:hAnsi="DejaVu Sans"/>
          <w:b/>
          <w:color w:val="27598B"/>
          <w:sz w:val="32"/>
        </w:rPr>
        <w:t>Ведущий</w:t>
      </w:r>
    </w:p>
    <w:p>
      <w:pPr>
        <w:spacing w:after="160"/>
      </w:pPr>
      <w:r>
        <w:rPr>
          <w:rFonts w:ascii="DejaVu Sans" w:hAnsi="DejaVu Sans"/>
          <w:b w:val="0"/>
          <w:color w:val="5B6876"/>
          <w:sz w:val="22"/>
        </w:rPr>
        <w:t>[Имя ведущего, регалии, профессиональный опыт]</w:t>
      </w:r>
    </w:p>
    <w:p>
      <w:pPr>
        <w:spacing w:before="200" w:after="120"/>
      </w:pPr>
      <w:r>
        <w:rPr>
          <w:rFonts w:ascii="DejaVu Sans" w:hAnsi="DejaVu Sans"/>
          <w:b/>
          <w:color w:val="27598B"/>
          <w:sz w:val="32"/>
        </w:rPr>
        <w:t>Дата и место</w:t>
      </w:r>
    </w:p>
    <w:p>
      <w:pPr>
        <w:spacing w:after="160"/>
      </w:pPr>
      <w:r>
        <w:rPr>
          <w:rFonts w:ascii="DejaVu Sans" w:hAnsi="DejaVu Sans"/>
          <w:b w:val="0"/>
          <w:color w:val="5B6876"/>
          <w:sz w:val="22"/>
        </w:rPr>
        <w:t>[Дата, время, город/онлайн-формат]</w:t>
      </w:r>
    </w:p>
    <w:p>
      <w:pPr>
        <w:spacing w:before="200" w:after="120"/>
      </w:pPr>
      <w:r>
        <w:rPr>
          <w:rFonts w:ascii="DejaVu Sans" w:hAnsi="DejaVu Sans"/>
          <w:b/>
          <w:color w:val="27598B"/>
          <w:sz w:val="32"/>
        </w:rPr>
        <w:t>Участие</w:t>
      </w:r>
    </w:p>
    <w:p>
      <w:pPr>
        <w:spacing w:after="160"/>
      </w:pPr>
      <w:r>
        <w:rPr>
          <w:rFonts w:ascii="DejaVu Sans" w:hAnsi="DejaVu Sans"/>
          <w:b w:val="0"/>
          <w:color w:val="5B6876"/>
          <w:sz w:val="22"/>
        </w:rPr>
        <w:t>[Стоимость, условия регистрации, ссылка или контакт]</w:t>
      </w:r>
    </w:p>
    <w:p>
      <w:pPr>
        <w:spacing w:after="160"/>
      </w:pPr>
      <w:r>
        <w:rPr>
          <w:rFonts w:ascii="DejaVu Sans" w:hAnsi="DejaVu Sans"/>
          <w:b w:val="0"/>
          <w:color w:val="5B6876"/>
          <w:sz w:val="21"/>
        </w:rPr>
        <w:t>Количество мест может быть ограничено, чтобы сохранить возможность живого обсуждения и практической работы.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