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165F5" w14:textId="77777777" w:rsidR="005E6118" w:rsidRPr="00A954CB" w:rsidRDefault="005E6118" w:rsidP="00A954CB">
      <w:pPr>
        <w:widowControl/>
        <w:spacing w:after="0" w:line="240" w:lineRule="auto"/>
        <w:jc w:val="both"/>
        <w:outlineLvl w:val="0"/>
        <w:rPr>
          <w:rFonts w:ascii="Times" w:eastAsia="宋体" w:hAnsi="Times" w:cs="Times"/>
          <w:b/>
          <w:bCs/>
          <w:kern w:val="36"/>
          <w:sz w:val="48"/>
          <w:szCs w:val="48"/>
          <w14:ligatures w14:val="none"/>
        </w:rPr>
      </w:pPr>
      <w:r w:rsidRPr="00A954CB">
        <w:rPr>
          <w:rFonts w:ascii="Times" w:eastAsia="宋体" w:hAnsi="Times" w:cs="Times"/>
          <w:b/>
          <w:bCs/>
          <w:kern w:val="36"/>
          <w:sz w:val="48"/>
          <w:szCs w:val="48"/>
          <w14:ligatures w14:val="none"/>
        </w:rPr>
        <w:t>Dataset - chemokines, cytokines, and biomarkers in the saliva of children with Sjögren’s syndrome</w:t>
      </w:r>
    </w:p>
    <w:p w14:paraId="6F079622" w14:textId="77777777" w:rsidR="005A4388" w:rsidRPr="00A954CB" w:rsidRDefault="005A4388" w:rsidP="00A954CB">
      <w:pPr>
        <w:pStyle w:val="2"/>
        <w:spacing w:before="0" w:after="195"/>
        <w:jc w:val="both"/>
        <w:rPr>
          <w:rFonts w:ascii="Times" w:eastAsia="宋体" w:hAnsi="Times" w:cs="Times"/>
          <w:b/>
          <w:bCs/>
          <w:color w:val="auto"/>
          <w:kern w:val="0"/>
          <w:sz w:val="36"/>
          <w:szCs w:val="36"/>
          <w14:ligatures w14:val="none"/>
        </w:rPr>
      </w:pPr>
      <w:r w:rsidRPr="00A954CB">
        <w:rPr>
          <w:rFonts w:ascii="Times" w:hAnsi="Times" w:cs="Times"/>
        </w:rPr>
        <w:tab/>
      </w:r>
      <w:r w:rsidRPr="00A954CB">
        <w:rPr>
          <w:rFonts w:ascii="Times" w:eastAsia="宋体" w:hAnsi="Times" w:cs="Times"/>
          <w:b/>
          <w:bCs/>
          <w:color w:val="auto"/>
          <w:kern w:val="0"/>
          <w:sz w:val="36"/>
          <w:szCs w:val="36"/>
          <w14:ligatures w14:val="none"/>
        </w:rPr>
        <w:t>Description</w:t>
      </w:r>
    </w:p>
    <w:p w14:paraId="111792EC" w14:textId="77777777" w:rsidR="005A4388" w:rsidRPr="00A954CB" w:rsidRDefault="005A4388" w:rsidP="00A954CB">
      <w:pPr>
        <w:widowControl/>
        <w:spacing w:after="0" w:line="240" w:lineRule="auto"/>
        <w:jc w:val="both"/>
        <w:rPr>
          <w:rFonts w:ascii="Times" w:eastAsia="宋体" w:hAnsi="Times" w:cs="Times"/>
          <w:color w:val="505050"/>
          <w:kern w:val="0"/>
          <w:sz w:val="24"/>
          <w14:ligatures w14:val="none"/>
        </w:rPr>
      </w:pPr>
      <w:r w:rsidRPr="00A954CB">
        <w:rPr>
          <w:rFonts w:ascii="Times" w:eastAsia="宋体" w:hAnsi="Times" w:cs="Times"/>
          <w:color w:val="505050"/>
          <w:kern w:val="0"/>
          <w:sz w:val="24"/>
          <w14:ligatures w14:val="none"/>
        </w:rPr>
        <w:t xml:space="preserve">INTRODUCTION Sjögren’s syndrome can occur in children. While the concentrations of chemokines, cytokines, and biomarkers (CCBMs) are reported in the saliva of adults with Sjögren’s syndrome, this data is not known in the saliva of children with Sjögren’s syndrome. We hypothesized that CCBMs associated with lymphocyte and mononuclear cell functions were present in the saliva of children with Sjögren’s syndrome. This dataset is associated with 2 studies recently published by Gomez Hernandez et al. A distinguishing profile of chemokines, cytokines, and biomarkers in the saliva of children with Sjögren’s syndrome. Rheumatology (accepted January 17, 2021) and </w:t>
      </w:r>
      <w:proofErr w:type="spellStart"/>
      <w:r w:rsidRPr="00A954CB">
        <w:rPr>
          <w:rFonts w:ascii="Times" w:eastAsia="宋体" w:hAnsi="Times" w:cs="Times"/>
          <w:color w:val="505050"/>
          <w:kern w:val="0"/>
          <w:sz w:val="24"/>
          <w14:ligatures w14:val="none"/>
        </w:rPr>
        <w:t>Hikkaduwa</w:t>
      </w:r>
      <w:proofErr w:type="spellEnd"/>
      <w:r w:rsidRPr="00A954CB">
        <w:rPr>
          <w:rFonts w:ascii="Times" w:eastAsia="宋体" w:hAnsi="Times" w:cs="Times"/>
          <w:color w:val="505050"/>
          <w:kern w:val="0"/>
          <w:sz w:val="24"/>
          <w14:ligatures w14:val="none"/>
        </w:rPr>
        <w:t xml:space="preserve"> Withanage et al. Dataset - chemokines, cytokines, and biomarkers in the saliva of children with Sjögren’s syndrome. Data in Brief (submitted January 17, 2021). METHODS Saliva was collected from 11 children diagnosed with Sjögren’s syndrome and 16 normal healthy children. The presence and concentrations of 105 CCBMs (</w:t>
      </w:r>
      <w:proofErr w:type="spellStart"/>
      <w:r w:rsidRPr="00A954CB">
        <w:rPr>
          <w:rFonts w:ascii="Times" w:eastAsia="宋体" w:hAnsi="Times" w:cs="Times"/>
          <w:color w:val="505050"/>
          <w:kern w:val="0"/>
          <w:sz w:val="24"/>
          <w14:ligatures w14:val="none"/>
        </w:rPr>
        <w:t>pg</w:t>
      </w:r>
      <w:proofErr w:type="spellEnd"/>
      <w:r w:rsidRPr="00A954CB">
        <w:rPr>
          <w:rFonts w:ascii="Times" w:eastAsia="宋体" w:hAnsi="Times" w:cs="Times"/>
          <w:color w:val="505050"/>
          <w:kern w:val="0"/>
          <w:sz w:val="24"/>
          <w14:ligatures w14:val="none"/>
        </w:rPr>
        <w:t xml:space="preserve">/ml) were determined using multiplex fluorescent microparticle-based immunoassays. CCBM concentrations were interpolated from their MFI values using five parameter logistic curves created from the standard concentrations and their respective MFI readings using </w:t>
      </w:r>
      <w:proofErr w:type="spellStart"/>
      <w:r w:rsidRPr="00A954CB">
        <w:rPr>
          <w:rFonts w:ascii="Times" w:eastAsia="宋体" w:hAnsi="Times" w:cs="Times"/>
          <w:color w:val="505050"/>
          <w:kern w:val="0"/>
          <w:sz w:val="24"/>
          <w14:ligatures w14:val="none"/>
        </w:rPr>
        <w:t>xPonent</w:t>
      </w:r>
      <w:proofErr w:type="spellEnd"/>
      <w:r w:rsidRPr="00A954CB">
        <w:rPr>
          <w:rFonts w:ascii="Times" w:eastAsia="宋体" w:hAnsi="Times" w:cs="Times"/>
          <w:color w:val="505050"/>
          <w:kern w:val="0"/>
          <w:sz w:val="24"/>
          <w14:ligatures w14:val="none"/>
        </w:rPr>
        <w:t xml:space="preserve"> v3.1 software (Luminex, Austin, TX) or using </w:t>
      </w:r>
      <w:proofErr w:type="spellStart"/>
      <w:r w:rsidRPr="00A954CB">
        <w:rPr>
          <w:rFonts w:ascii="Times" w:eastAsia="宋体" w:hAnsi="Times" w:cs="Times"/>
          <w:color w:val="505050"/>
          <w:kern w:val="0"/>
          <w:sz w:val="24"/>
          <w14:ligatures w14:val="none"/>
        </w:rPr>
        <w:t>Milliplex</w:t>
      </w:r>
      <w:proofErr w:type="spellEnd"/>
      <w:r w:rsidRPr="00A954CB">
        <w:rPr>
          <w:rFonts w:ascii="Times" w:eastAsia="宋体" w:hAnsi="Times" w:cs="Times"/>
          <w:color w:val="505050"/>
          <w:kern w:val="0"/>
          <w:sz w:val="24"/>
          <w14:ligatures w14:val="none"/>
        </w:rPr>
        <w:t xml:space="preserve"> Analyst v5.1 software (EMD Millipore, Billerica, MA). Occasionally, there were CCBM concentrations below the standard curve. These concentrations were extrapolated from their MFI values using curves created from zero concentration to the lowest standard concentration and their respective MFI readings. For example, CCL27 concentrations in saliva were below the standard curve. After extrapolation, the mean (standard error of the mean), minimum - maximum values were 4.6 (0.8), 1.7-9.7 </w:t>
      </w:r>
      <w:proofErr w:type="spellStart"/>
      <w:r w:rsidRPr="00A954CB">
        <w:rPr>
          <w:rFonts w:ascii="Times" w:eastAsia="宋体" w:hAnsi="Times" w:cs="Times"/>
          <w:color w:val="505050"/>
          <w:kern w:val="0"/>
          <w:sz w:val="24"/>
          <w14:ligatures w14:val="none"/>
        </w:rPr>
        <w:t>pg</w:t>
      </w:r>
      <w:proofErr w:type="spellEnd"/>
      <w:r w:rsidRPr="00A954CB">
        <w:rPr>
          <w:rFonts w:ascii="Times" w:eastAsia="宋体" w:hAnsi="Times" w:cs="Times"/>
          <w:color w:val="505050"/>
          <w:kern w:val="0"/>
          <w:sz w:val="24"/>
          <w14:ligatures w14:val="none"/>
        </w:rPr>
        <w:t xml:space="preserve">/ml for children with Sjögrens syndrome and 2.6 (0.3), 0.6-5.8 </w:t>
      </w:r>
      <w:proofErr w:type="spellStart"/>
      <w:r w:rsidRPr="00A954CB">
        <w:rPr>
          <w:rFonts w:ascii="Times" w:eastAsia="宋体" w:hAnsi="Times" w:cs="Times"/>
          <w:color w:val="505050"/>
          <w:kern w:val="0"/>
          <w:sz w:val="24"/>
          <w14:ligatures w14:val="none"/>
        </w:rPr>
        <w:t>pg</w:t>
      </w:r>
      <w:proofErr w:type="spellEnd"/>
      <w:r w:rsidRPr="00A954CB">
        <w:rPr>
          <w:rFonts w:ascii="Times" w:eastAsia="宋体" w:hAnsi="Times" w:cs="Times"/>
          <w:color w:val="505050"/>
          <w:kern w:val="0"/>
          <w:sz w:val="24"/>
          <w14:ligatures w14:val="none"/>
        </w:rPr>
        <w:t xml:space="preserve">/ml for normal healthy children. There were also CCBM concentrations above the standard curve. These concentrations were extrapolated from their MFI values using curves extended beyond the highest concentration and their respective MFI readings. For example, B2M concentrations in saliva were above the standard curve. After extrapolation, the mean (standard error of the mean), minimum - maximum values were 122,671.6 (14,485.0), 98,850.0-266,527.2 </w:t>
      </w:r>
      <w:proofErr w:type="spellStart"/>
      <w:r w:rsidRPr="00A954CB">
        <w:rPr>
          <w:rFonts w:ascii="Times" w:eastAsia="宋体" w:hAnsi="Times" w:cs="Times"/>
          <w:color w:val="505050"/>
          <w:kern w:val="0"/>
          <w:sz w:val="24"/>
          <w14:ligatures w14:val="none"/>
        </w:rPr>
        <w:t>pg</w:t>
      </w:r>
      <w:proofErr w:type="spellEnd"/>
      <w:r w:rsidRPr="00A954CB">
        <w:rPr>
          <w:rFonts w:ascii="Times" w:eastAsia="宋体" w:hAnsi="Times" w:cs="Times"/>
          <w:color w:val="505050"/>
          <w:kern w:val="0"/>
          <w:sz w:val="24"/>
          <w14:ligatures w14:val="none"/>
        </w:rPr>
        <w:t xml:space="preserve">/ml for children with Sjögrens syndrome and 98,060.6 (6,038.4), 9,110.0-111,270.0 </w:t>
      </w:r>
      <w:proofErr w:type="spellStart"/>
      <w:r w:rsidRPr="00A954CB">
        <w:rPr>
          <w:rFonts w:ascii="Times" w:eastAsia="宋体" w:hAnsi="Times" w:cs="Times"/>
          <w:color w:val="505050"/>
          <w:kern w:val="0"/>
          <w:sz w:val="24"/>
          <w14:ligatures w14:val="none"/>
        </w:rPr>
        <w:t>pg</w:t>
      </w:r>
      <w:proofErr w:type="spellEnd"/>
      <w:r w:rsidRPr="00A954CB">
        <w:rPr>
          <w:rFonts w:ascii="Times" w:eastAsia="宋体" w:hAnsi="Times" w:cs="Times"/>
          <w:color w:val="505050"/>
          <w:kern w:val="0"/>
          <w:sz w:val="24"/>
          <w14:ligatures w14:val="none"/>
        </w:rPr>
        <w:t xml:space="preserve">/ml for normal healthy children. RESULTS 43/105 of CCBMs were significantly different between these 2 groups and 71/105 CCBMs were not. The 43 CCBMs were associated with leukocyte chemotaxis, migration, proliferation, and regulation of T-cell activation. CONCLUSION This dataset is among the first to report the concentrations of CCMBs in the saliva of children with Sjögren’s syndrome. It will assist others in their work to understand the etiopathogenesis of Sjögren’s syndrome in </w:t>
      </w:r>
      <w:proofErr w:type="gramStart"/>
      <w:r w:rsidRPr="00A954CB">
        <w:rPr>
          <w:rFonts w:ascii="Times" w:eastAsia="宋体" w:hAnsi="Times" w:cs="Times"/>
          <w:color w:val="505050"/>
          <w:kern w:val="0"/>
          <w:sz w:val="24"/>
          <w14:ligatures w14:val="none"/>
        </w:rPr>
        <w:t>children, and</w:t>
      </w:r>
      <w:proofErr w:type="gramEnd"/>
      <w:r w:rsidRPr="00A954CB">
        <w:rPr>
          <w:rFonts w:ascii="Times" w:eastAsia="宋体" w:hAnsi="Times" w:cs="Times"/>
          <w:color w:val="505050"/>
          <w:kern w:val="0"/>
          <w:sz w:val="24"/>
          <w14:ligatures w14:val="none"/>
        </w:rPr>
        <w:t xml:space="preserve"> assist in the identification of early markers of disease in children.</w:t>
      </w:r>
    </w:p>
    <w:p w14:paraId="43D04567" w14:textId="77777777" w:rsidR="007E1F8A" w:rsidRPr="00A954CB" w:rsidRDefault="007E1F8A" w:rsidP="00A954CB">
      <w:pPr>
        <w:widowControl/>
        <w:spacing w:after="195" w:line="240" w:lineRule="auto"/>
        <w:jc w:val="both"/>
        <w:outlineLvl w:val="1"/>
        <w:rPr>
          <w:rFonts w:ascii="Times" w:eastAsia="宋体" w:hAnsi="Times" w:cs="Times"/>
          <w:b/>
          <w:bCs/>
          <w:kern w:val="0"/>
          <w:sz w:val="36"/>
          <w:szCs w:val="36"/>
          <w14:ligatures w14:val="none"/>
        </w:rPr>
      </w:pPr>
      <w:r w:rsidRPr="00A954CB">
        <w:rPr>
          <w:rFonts w:ascii="Times" w:eastAsia="宋体" w:hAnsi="Times" w:cs="Times"/>
          <w:b/>
          <w:bCs/>
          <w:kern w:val="0"/>
          <w:sz w:val="36"/>
          <w:szCs w:val="36"/>
          <w14:ligatures w14:val="none"/>
        </w:rPr>
        <w:lastRenderedPageBreak/>
        <w:t>Steps to reproduce</w:t>
      </w:r>
    </w:p>
    <w:p w14:paraId="280361D4" w14:textId="77777777" w:rsidR="007E1F8A" w:rsidRPr="00A954CB" w:rsidRDefault="007E1F8A" w:rsidP="00A954CB">
      <w:pPr>
        <w:widowControl/>
        <w:spacing w:after="0" w:line="240" w:lineRule="auto"/>
        <w:jc w:val="both"/>
        <w:rPr>
          <w:rFonts w:ascii="Times" w:eastAsia="宋体" w:hAnsi="Times" w:cs="Times"/>
          <w:kern w:val="0"/>
          <w:sz w:val="24"/>
          <w14:ligatures w14:val="none"/>
        </w:rPr>
      </w:pPr>
      <w:r w:rsidRPr="00A954CB">
        <w:rPr>
          <w:rFonts w:ascii="Times" w:eastAsia="宋体" w:hAnsi="Times" w:cs="Times"/>
          <w:kern w:val="0"/>
          <w:sz w:val="24"/>
          <w14:ligatures w14:val="none"/>
        </w:rPr>
        <w:t xml:space="preserve">This </w:t>
      </w:r>
      <w:proofErr w:type="gramStart"/>
      <w:r w:rsidRPr="00A954CB">
        <w:rPr>
          <w:rFonts w:ascii="Times" w:eastAsia="宋体" w:hAnsi="Times" w:cs="Times"/>
          <w:kern w:val="0"/>
          <w:sz w:val="24"/>
          <w14:ligatures w14:val="none"/>
        </w:rPr>
        <w:t>dataset</w:t>
      </w:r>
      <w:proofErr w:type="gramEnd"/>
      <w:r w:rsidRPr="00A954CB">
        <w:rPr>
          <w:rFonts w:ascii="Times" w:eastAsia="宋体" w:hAnsi="Times" w:cs="Times"/>
          <w:kern w:val="0"/>
          <w:sz w:val="24"/>
          <w14:ligatures w14:val="none"/>
        </w:rPr>
        <w:t xml:space="preserve"> contains 7 files (e.g., tabs) in a Microsoft Excel file. The first tab contains ‘Starting Data.’ It is the row data </w:t>
      </w:r>
      <w:proofErr w:type="gramStart"/>
      <w:r w:rsidRPr="00A954CB">
        <w:rPr>
          <w:rFonts w:ascii="Times" w:eastAsia="宋体" w:hAnsi="Times" w:cs="Times"/>
          <w:kern w:val="0"/>
          <w:sz w:val="24"/>
          <w14:ligatures w14:val="none"/>
        </w:rPr>
        <w:t>file</w:t>
      </w:r>
      <w:proofErr w:type="gramEnd"/>
      <w:r w:rsidRPr="00A954CB">
        <w:rPr>
          <w:rFonts w:ascii="Times" w:eastAsia="宋体" w:hAnsi="Times" w:cs="Times"/>
          <w:kern w:val="0"/>
          <w:sz w:val="24"/>
          <w14:ligatures w14:val="none"/>
        </w:rPr>
        <w:t xml:space="preserve"> and it contains the replicate CCBM concentrations (</w:t>
      </w:r>
      <w:proofErr w:type="spellStart"/>
      <w:r w:rsidRPr="00A954CB">
        <w:rPr>
          <w:rFonts w:ascii="Times" w:eastAsia="宋体" w:hAnsi="Times" w:cs="Times"/>
          <w:kern w:val="0"/>
          <w:sz w:val="24"/>
          <w14:ligatures w14:val="none"/>
        </w:rPr>
        <w:t>pg</w:t>
      </w:r>
      <w:proofErr w:type="spellEnd"/>
      <w:r w:rsidRPr="00A954CB">
        <w:rPr>
          <w:rFonts w:ascii="Times" w:eastAsia="宋体" w:hAnsi="Times" w:cs="Times"/>
          <w:kern w:val="0"/>
          <w:sz w:val="24"/>
          <w14:ligatures w14:val="none"/>
        </w:rPr>
        <w:t>/ml). The second tab is called ‘stp2_replicateGroups’ and contains the replicate information, which has been grouped. There are three replicates. The third tab is called ‘stp3_groupMeans.’ Here, group means are calculated and displayed. The fourth tab is called ‘stp4_meanDataRowsAdded.’ A new data row was added and defined for mean values. The fifth tab is called ‘stp5_OnlyMeanRowsRemain.’ All the raw data rows are discarded leaving the mean data rows. The sixth tab is called ‘</w:t>
      </w:r>
      <w:proofErr w:type="spellStart"/>
      <w:r w:rsidRPr="00A954CB">
        <w:rPr>
          <w:rFonts w:ascii="Times" w:eastAsia="宋体" w:hAnsi="Times" w:cs="Times"/>
          <w:kern w:val="0"/>
          <w:sz w:val="24"/>
          <w14:ligatures w14:val="none"/>
        </w:rPr>
        <w:t>input_allData</w:t>
      </w:r>
      <w:proofErr w:type="spellEnd"/>
      <w:r w:rsidRPr="00A954CB">
        <w:rPr>
          <w:rFonts w:ascii="Times" w:eastAsia="宋体" w:hAnsi="Times" w:cs="Times"/>
          <w:kern w:val="0"/>
          <w:sz w:val="24"/>
          <w14:ligatures w14:val="none"/>
        </w:rPr>
        <w:t>.’ The data from file ‘stp5_OnlyMeanRowsRemain’ were standardized (https://scikit-learn.org/stable/modules/generated/sklearn.preprocessing.MinMaxScaler.html#sklearn.preprocessing.MinMaxScaler). This dataset contains information from both female and male samples. The seventh tab is called ‘</w:t>
      </w:r>
      <w:proofErr w:type="spellStart"/>
      <w:r w:rsidRPr="00A954CB">
        <w:rPr>
          <w:rFonts w:ascii="Times" w:eastAsia="宋体" w:hAnsi="Times" w:cs="Times"/>
          <w:kern w:val="0"/>
          <w:sz w:val="24"/>
          <w14:ligatures w14:val="none"/>
        </w:rPr>
        <w:t>input_FemaleData_only</w:t>
      </w:r>
      <w:proofErr w:type="spellEnd"/>
      <w:r w:rsidRPr="00A954CB">
        <w:rPr>
          <w:rFonts w:ascii="Times" w:eastAsia="宋体" w:hAnsi="Times" w:cs="Times"/>
          <w:kern w:val="0"/>
          <w:sz w:val="24"/>
          <w14:ligatures w14:val="none"/>
        </w:rPr>
        <w:t>.’ Data from ‘stp5_OnlyMeanRowsRemain’ ere standardized (https://scikit-learn.org/stable/modules/generated/sklearn.preprocessing.MinMaxScaler.html#sklearn.preprocessing.MinMaxScaler). This dataset contains information from only female samples.</w:t>
      </w:r>
    </w:p>
    <w:p w14:paraId="24CCBA97" w14:textId="77777777" w:rsidR="007E1F8A" w:rsidRPr="00A954CB" w:rsidRDefault="007E1F8A" w:rsidP="00A954CB">
      <w:pPr>
        <w:widowControl/>
        <w:spacing w:after="195" w:line="240" w:lineRule="auto"/>
        <w:jc w:val="both"/>
        <w:outlineLvl w:val="1"/>
        <w:rPr>
          <w:rFonts w:ascii="Times" w:eastAsia="宋体" w:hAnsi="Times" w:cs="Times"/>
          <w:b/>
          <w:bCs/>
          <w:kern w:val="0"/>
          <w:sz w:val="36"/>
          <w:szCs w:val="36"/>
          <w14:ligatures w14:val="none"/>
        </w:rPr>
      </w:pPr>
      <w:r w:rsidRPr="00A954CB">
        <w:rPr>
          <w:rFonts w:ascii="Times" w:eastAsia="宋体" w:hAnsi="Times" w:cs="Times"/>
          <w:b/>
          <w:bCs/>
          <w:kern w:val="0"/>
          <w:sz w:val="36"/>
          <w:szCs w:val="36"/>
          <w14:ligatures w14:val="none"/>
        </w:rPr>
        <w:t>Institutions</w:t>
      </w:r>
    </w:p>
    <w:p w14:paraId="5D1EEBA6" w14:textId="77777777" w:rsidR="007E1F8A" w:rsidRPr="00A954CB" w:rsidRDefault="007E1F8A" w:rsidP="00A954CB">
      <w:pPr>
        <w:widowControl/>
        <w:spacing w:after="0" w:line="240" w:lineRule="auto"/>
        <w:jc w:val="both"/>
        <w:rPr>
          <w:rFonts w:ascii="Times" w:eastAsia="宋体" w:hAnsi="Times" w:cs="Times"/>
          <w:kern w:val="0"/>
          <w:sz w:val="24"/>
          <w14:ligatures w14:val="none"/>
        </w:rPr>
      </w:pPr>
      <w:r w:rsidRPr="00A954CB">
        <w:rPr>
          <w:rFonts w:ascii="Times" w:eastAsia="宋体" w:hAnsi="Times" w:cs="Times"/>
          <w:kern w:val="0"/>
          <w:sz w:val="24"/>
          <w14:ligatures w14:val="none"/>
        </w:rPr>
        <w:t>University of Iowa College of Dentistry, University of Iowa</w:t>
      </w:r>
    </w:p>
    <w:p w14:paraId="0643335F" w14:textId="77777777" w:rsidR="007E1F8A" w:rsidRPr="00A954CB" w:rsidRDefault="007E1F8A" w:rsidP="00A954CB">
      <w:pPr>
        <w:widowControl/>
        <w:spacing w:after="195" w:line="240" w:lineRule="auto"/>
        <w:jc w:val="both"/>
        <w:outlineLvl w:val="1"/>
        <w:rPr>
          <w:rFonts w:ascii="Times" w:eastAsia="宋体" w:hAnsi="Times" w:cs="Times"/>
          <w:b/>
          <w:bCs/>
          <w:kern w:val="0"/>
          <w:sz w:val="36"/>
          <w:szCs w:val="36"/>
          <w14:ligatures w14:val="none"/>
        </w:rPr>
      </w:pPr>
      <w:r w:rsidRPr="00A954CB">
        <w:rPr>
          <w:rFonts w:ascii="Times" w:eastAsia="宋体" w:hAnsi="Times" w:cs="Times"/>
          <w:b/>
          <w:bCs/>
          <w:kern w:val="0"/>
          <w:sz w:val="36"/>
          <w:szCs w:val="36"/>
          <w14:ligatures w14:val="none"/>
        </w:rPr>
        <w:t>Categories</w:t>
      </w:r>
    </w:p>
    <w:p w14:paraId="5B1684D9" w14:textId="77777777" w:rsidR="007E1F8A" w:rsidRPr="00A954CB" w:rsidRDefault="007E1F8A" w:rsidP="00A954CB">
      <w:pPr>
        <w:widowControl/>
        <w:spacing w:after="0" w:line="240" w:lineRule="auto"/>
        <w:jc w:val="both"/>
        <w:rPr>
          <w:rFonts w:ascii="Times" w:eastAsia="宋体" w:hAnsi="Times" w:cs="Times"/>
          <w:kern w:val="0"/>
          <w:sz w:val="24"/>
          <w14:ligatures w14:val="none"/>
        </w:rPr>
      </w:pPr>
      <w:r w:rsidRPr="00A954CB">
        <w:rPr>
          <w:rFonts w:ascii="Times" w:eastAsia="宋体" w:hAnsi="Times" w:cs="Times"/>
          <w:kern w:val="0"/>
          <w:sz w:val="24"/>
          <w14:ligatures w14:val="none"/>
        </w:rPr>
        <w:t>Rheumatology, Cytokines, Chemokine, Immunity, Saliva, Sjogren's Syndrome</w:t>
      </w:r>
    </w:p>
    <w:p w14:paraId="38B9025D" w14:textId="77777777" w:rsidR="007E1F8A" w:rsidRPr="00A954CB" w:rsidRDefault="007E1F8A" w:rsidP="00A954CB">
      <w:pPr>
        <w:tabs>
          <w:tab w:val="left" w:pos="1110"/>
        </w:tabs>
        <w:jc w:val="both"/>
        <w:rPr>
          <w:rFonts w:ascii="Times" w:hAnsi="Times" w:cs="Times"/>
        </w:rPr>
      </w:pPr>
    </w:p>
    <w:sectPr w:rsidR="007E1F8A" w:rsidRPr="00A954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44"/>
    <w:rsid w:val="0005779D"/>
    <w:rsid w:val="001C0D41"/>
    <w:rsid w:val="003D5B6B"/>
    <w:rsid w:val="003F4BCA"/>
    <w:rsid w:val="00430DEF"/>
    <w:rsid w:val="005A4388"/>
    <w:rsid w:val="005E6118"/>
    <w:rsid w:val="00786444"/>
    <w:rsid w:val="007E1F8A"/>
    <w:rsid w:val="009E29F2"/>
    <w:rsid w:val="00A651C1"/>
    <w:rsid w:val="00A954CB"/>
    <w:rsid w:val="00DA0536"/>
    <w:rsid w:val="00DF6AE1"/>
    <w:rsid w:val="00E50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6BC73"/>
  <w14:defaultImageDpi w14:val="32767"/>
  <w15:chartTrackingRefBased/>
  <w15:docId w15:val="{D9761777-F822-4F6D-815D-01E497DD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64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864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64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64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64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64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64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64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64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64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864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64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6444"/>
    <w:rPr>
      <w:rFonts w:cstheme="majorBidi"/>
      <w:color w:val="0F4761" w:themeColor="accent1" w:themeShade="BF"/>
      <w:sz w:val="28"/>
      <w:szCs w:val="28"/>
    </w:rPr>
  </w:style>
  <w:style w:type="character" w:customStyle="1" w:styleId="50">
    <w:name w:val="标题 5 字符"/>
    <w:basedOn w:val="a0"/>
    <w:link w:val="5"/>
    <w:uiPriority w:val="9"/>
    <w:semiHidden/>
    <w:rsid w:val="00786444"/>
    <w:rPr>
      <w:rFonts w:cstheme="majorBidi"/>
      <w:color w:val="0F4761" w:themeColor="accent1" w:themeShade="BF"/>
      <w:sz w:val="24"/>
    </w:rPr>
  </w:style>
  <w:style w:type="character" w:customStyle="1" w:styleId="60">
    <w:name w:val="标题 6 字符"/>
    <w:basedOn w:val="a0"/>
    <w:link w:val="6"/>
    <w:uiPriority w:val="9"/>
    <w:semiHidden/>
    <w:rsid w:val="00786444"/>
    <w:rPr>
      <w:rFonts w:cstheme="majorBidi"/>
      <w:b/>
      <w:bCs/>
      <w:color w:val="0F4761" w:themeColor="accent1" w:themeShade="BF"/>
    </w:rPr>
  </w:style>
  <w:style w:type="character" w:customStyle="1" w:styleId="70">
    <w:name w:val="标题 7 字符"/>
    <w:basedOn w:val="a0"/>
    <w:link w:val="7"/>
    <w:uiPriority w:val="9"/>
    <w:semiHidden/>
    <w:rsid w:val="00786444"/>
    <w:rPr>
      <w:rFonts w:cstheme="majorBidi"/>
      <w:b/>
      <w:bCs/>
      <w:color w:val="595959" w:themeColor="text1" w:themeTint="A6"/>
    </w:rPr>
  </w:style>
  <w:style w:type="character" w:customStyle="1" w:styleId="80">
    <w:name w:val="标题 8 字符"/>
    <w:basedOn w:val="a0"/>
    <w:link w:val="8"/>
    <w:uiPriority w:val="9"/>
    <w:semiHidden/>
    <w:rsid w:val="00786444"/>
    <w:rPr>
      <w:rFonts w:cstheme="majorBidi"/>
      <w:color w:val="595959" w:themeColor="text1" w:themeTint="A6"/>
    </w:rPr>
  </w:style>
  <w:style w:type="character" w:customStyle="1" w:styleId="90">
    <w:name w:val="标题 9 字符"/>
    <w:basedOn w:val="a0"/>
    <w:link w:val="9"/>
    <w:uiPriority w:val="9"/>
    <w:semiHidden/>
    <w:rsid w:val="00786444"/>
    <w:rPr>
      <w:rFonts w:eastAsiaTheme="majorEastAsia" w:cstheme="majorBidi"/>
      <w:color w:val="595959" w:themeColor="text1" w:themeTint="A6"/>
    </w:rPr>
  </w:style>
  <w:style w:type="paragraph" w:styleId="a3">
    <w:name w:val="Title"/>
    <w:basedOn w:val="a"/>
    <w:next w:val="a"/>
    <w:link w:val="a4"/>
    <w:uiPriority w:val="10"/>
    <w:qFormat/>
    <w:rsid w:val="007864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64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64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64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6444"/>
    <w:pPr>
      <w:spacing w:before="160"/>
      <w:jc w:val="center"/>
    </w:pPr>
    <w:rPr>
      <w:i/>
      <w:iCs/>
      <w:color w:val="404040" w:themeColor="text1" w:themeTint="BF"/>
    </w:rPr>
  </w:style>
  <w:style w:type="character" w:customStyle="1" w:styleId="a8">
    <w:name w:val="引用 字符"/>
    <w:basedOn w:val="a0"/>
    <w:link w:val="a7"/>
    <w:uiPriority w:val="29"/>
    <w:rsid w:val="00786444"/>
    <w:rPr>
      <w:i/>
      <w:iCs/>
      <w:color w:val="404040" w:themeColor="text1" w:themeTint="BF"/>
    </w:rPr>
  </w:style>
  <w:style w:type="paragraph" w:styleId="a9">
    <w:name w:val="List Paragraph"/>
    <w:basedOn w:val="a"/>
    <w:uiPriority w:val="34"/>
    <w:qFormat/>
    <w:rsid w:val="00786444"/>
    <w:pPr>
      <w:ind w:left="720"/>
      <w:contextualSpacing/>
    </w:pPr>
  </w:style>
  <w:style w:type="character" w:styleId="aa">
    <w:name w:val="Intense Emphasis"/>
    <w:basedOn w:val="a0"/>
    <w:uiPriority w:val="21"/>
    <w:qFormat/>
    <w:rsid w:val="00786444"/>
    <w:rPr>
      <w:i/>
      <w:iCs/>
      <w:color w:val="0F4761" w:themeColor="accent1" w:themeShade="BF"/>
    </w:rPr>
  </w:style>
  <w:style w:type="paragraph" w:styleId="ab">
    <w:name w:val="Intense Quote"/>
    <w:basedOn w:val="a"/>
    <w:next w:val="a"/>
    <w:link w:val="ac"/>
    <w:uiPriority w:val="30"/>
    <w:qFormat/>
    <w:rsid w:val="0078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6444"/>
    <w:rPr>
      <w:i/>
      <w:iCs/>
      <w:color w:val="0F4761" w:themeColor="accent1" w:themeShade="BF"/>
    </w:rPr>
  </w:style>
  <w:style w:type="character" w:styleId="ad">
    <w:name w:val="Intense Reference"/>
    <w:basedOn w:val="a0"/>
    <w:uiPriority w:val="32"/>
    <w:qFormat/>
    <w:rsid w:val="00786444"/>
    <w:rPr>
      <w:b/>
      <w:bCs/>
      <w:smallCaps/>
      <w:color w:val="0F4761" w:themeColor="accent1" w:themeShade="BF"/>
      <w:spacing w:val="5"/>
    </w:rPr>
  </w:style>
  <w:style w:type="paragraph" w:customStyle="1" w:styleId="preserve-formatting">
    <w:name w:val="preserve-formatting"/>
    <w:basedOn w:val="a"/>
    <w:rsid w:val="005A4388"/>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8673844">
      <w:bodyDiv w:val="1"/>
      <w:marLeft w:val="0"/>
      <w:marRight w:val="0"/>
      <w:marTop w:val="0"/>
      <w:marBottom w:val="0"/>
      <w:divBdr>
        <w:top w:val="none" w:sz="0" w:space="0" w:color="auto"/>
        <w:left w:val="none" w:sz="0" w:space="0" w:color="auto"/>
        <w:bottom w:val="none" w:sz="0" w:space="0" w:color="auto"/>
        <w:right w:val="none" w:sz="0" w:space="0" w:color="auto"/>
      </w:divBdr>
    </w:div>
    <w:div w:id="1269851061">
      <w:bodyDiv w:val="1"/>
      <w:marLeft w:val="0"/>
      <w:marRight w:val="0"/>
      <w:marTop w:val="0"/>
      <w:marBottom w:val="0"/>
      <w:divBdr>
        <w:top w:val="none" w:sz="0" w:space="0" w:color="auto"/>
        <w:left w:val="none" w:sz="0" w:space="0" w:color="auto"/>
        <w:bottom w:val="none" w:sz="0" w:space="0" w:color="auto"/>
        <w:right w:val="none" w:sz="0" w:space="0" w:color="auto"/>
      </w:divBdr>
    </w:div>
    <w:div w:id="1526863964">
      <w:bodyDiv w:val="1"/>
      <w:marLeft w:val="0"/>
      <w:marRight w:val="0"/>
      <w:marTop w:val="0"/>
      <w:marBottom w:val="0"/>
      <w:divBdr>
        <w:top w:val="none" w:sz="0" w:space="0" w:color="auto"/>
        <w:left w:val="none" w:sz="0" w:space="0" w:color="auto"/>
        <w:bottom w:val="none" w:sz="0" w:space="0" w:color="auto"/>
        <w:right w:val="none" w:sz="0" w:space="0" w:color="auto"/>
      </w:divBdr>
      <w:divsChild>
        <w:div w:id="946891551">
          <w:marLeft w:val="0"/>
          <w:marRight w:val="0"/>
          <w:marTop w:val="0"/>
          <w:marBottom w:val="0"/>
          <w:divBdr>
            <w:top w:val="none" w:sz="0" w:space="0" w:color="auto"/>
            <w:left w:val="none" w:sz="0" w:space="0" w:color="auto"/>
            <w:bottom w:val="none" w:sz="0" w:space="0" w:color="auto"/>
            <w:right w:val="none" w:sz="0" w:space="0" w:color="auto"/>
          </w:divBdr>
        </w:div>
        <w:div w:id="1739596740">
          <w:marLeft w:val="0"/>
          <w:marRight w:val="0"/>
          <w:marTop w:val="0"/>
          <w:marBottom w:val="0"/>
          <w:divBdr>
            <w:top w:val="none" w:sz="0" w:space="0" w:color="auto"/>
            <w:left w:val="none" w:sz="0" w:space="0" w:color="auto"/>
            <w:bottom w:val="none" w:sz="0" w:space="0" w:color="auto"/>
            <w:right w:val="none" w:sz="0" w:space="0" w:color="auto"/>
          </w:divBdr>
          <w:divsChild>
            <w:div w:id="738986111">
              <w:marLeft w:val="0"/>
              <w:marRight w:val="0"/>
              <w:marTop w:val="0"/>
              <w:marBottom w:val="0"/>
              <w:divBdr>
                <w:top w:val="none" w:sz="0" w:space="0" w:color="auto"/>
                <w:left w:val="none" w:sz="0" w:space="0" w:color="auto"/>
                <w:bottom w:val="none" w:sz="0" w:space="0" w:color="auto"/>
                <w:right w:val="none" w:sz="0" w:space="0" w:color="auto"/>
              </w:divBdr>
            </w:div>
          </w:divsChild>
        </w:div>
        <w:div w:id="723874733">
          <w:marLeft w:val="0"/>
          <w:marRight w:val="0"/>
          <w:marTop w:val="0"/>
          <w:marBottom w:val="0"/>
          <w:divBdr>
            <w:top w:val="none" w:sz="0" w:space="0" w:color="auto"/>
            <w:left w:val="none" w:sz="0" w:space="0" w:color="auto"/>
            <w:bottom w:val="none" w:sz="0" w:space="0" w:color="auto"/>
            <w:right w:val="none" w:sz="0" w:space="0" w:color="auto"/>
          </w:divBdr>
          <w:divsChild>
            <w:div w:id="3783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5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671</Words>
  <Characters>3828</Characters>
  <Application>Microsoft Office Word</Application>
  <DocSecurity>0</DocSecurity>
  <Lines>31</Lines>
  <Paragraphs>8</Paragraphs>
  <ScaleCrop>false</ScaleCrop>
  <Company>USM</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Kun</dc:creator>
  <cp:keywords/>
  <dc:description/>
  <cp:lastModifiedBy>Zhu Kun</cp:lastModifiedBy>
  <cp:revision>5</cp:revision>
  <dcterms:created xsi:type="dcterms:W3CDTF">2024-11-16T08:08:00Z</dcterms:created>
  <dcterms:modified xsi:type="dcterms:W3CDTF">2024-11-18T05:16:00Z</dcterms:modified>
</cp:coreProperties>
</file>