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Based on my analysis of both the Priority-list.md and project-dependencies.md files, here’s an updated version of the Priority-list.md that incorporates the prioritization framework and enhanced information about dependencies, benefits, and connections:</w:t>
      </w:r>
    </w:p>
    <w:bookmarkStart w:id="23" w:name="X712f6f76f82b361e505c17db08233e95f11d281"/>
    <w:p>
      <w:pPr>
        <w:pStyle w:val="Heading1"/>
      </w:pPr>
      <w:r>
        <w:t xml:space="preserve">Enhanced Project Dependencies &amp; Benefits with Prioritization Framework</w:t>
      </w:r>
    </w:p>
    <w:bookmarkStart w:id="20" w:name="prioritization-framework"/>
    <w:p>
      <w:pPr>
        <w:pStyle w:val="Heading2"/>
      </w:pPr>
      <w:r>
        <w:t xml:space="preserve">Prioritization Framework</w:t>
      </w:r>
    </w:p>
    <w:p>
      <w:pPr>
        <w:pStyle w:val="FirstParagraph"/>
      </w:pPr>
      <w:r>
        <w:t xml:space="preserve">Each initiative is evaluated using the following criteria on a scale of 1-5 (5 being highest):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 Impact (RI)</w:t>
      </w:r>
      <w:r>
        <w:t xml:space="preserve">: Potential to generate direct revenue in the near to medium term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Value (SV)</w:t>
      </w:r>
      <w:r>
        <w:t xml:space="preserve">: Alignment with long-term vision and ecosystem development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 Requirement (RR)</w:t>
      </w:r>
      <w:r>
        <w:t xml:space="preserve">: Inverse score - lower resource needs score higher (5 = minimal resources)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to Value (TV)</w:t>
      </w:r>
      <w:r>
        <w:t xml:space="preserve">: Speed at which initiative will deliver measurable results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 Factor (DF)</w:t>
      </w:r>
      <w:r>
        <w:t xml:space="preserve">: Inverse score - fewer dependencies score higher (5 = no dependencies)</w:t>
      </w:r>
    </w:p>
    <w:p>
      <w:pPr>
        <w:pStyle w:val="FirstParagraph"/>
      </w:pPr>
      <w:r>
        <w:rPr>
          <w:b/>
          <w:bCs/>
        </w:rPr>
        <w:t xml:space="preserve">Priority Score = (RI + SV + RR + TV + DF) / 5</w:t>
      </w:r>
    </w:p>
    <w:p>
      <w:pPr>
        <w:pStyle w:val="BodyText"/>
      </w:pPr>
      <w:r>
        <w:t xml:space="preserve">Projects are then organized into implementation phases based on both their priority score and their dependencies on other initiatives, ensuring logical sequencing.</w:t>
      </w:r>
    </w:p>
    <w:bookmarkEnd w:id="20"/>
    <w:bookmarkStart w:id="21" w:name="priority-list-of-projects-ranked"/>
    <w:p>
      <w:pPr>
        <w:pStyle w:val="Heading2"/>
      </w:pPr>
      <w:r>
        <w:t xml:space="preserve">Priority List of Projects (Ranked)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Licensing Business Model</w:t>
      </w:r>
      <w:r>
        <w:t xml:space="preserve"> </w:t>
      </w:r>
      <w:r>
        <w:t xml:space="preserve">(Priority Score: 4.6)</w:t>
      </w:r>
    </w:p>
    <w:p>
      <w:pPr>
        <w:pStyle w:val="Compact"/>
        <w:numPr>
          <w:ilvl w:val="1"/>
          <w:numId w:val="1003"/>
        </w:numPr>
      </w:pPr>
      <w:r>
        <w:t xml:space="preserve">RI: 5 | SV: 5 | RR: 4 | TV: 5 | DF: 4</w:t>
      </w:r>
    </w:p>
    <w:p>
      <w:pPr>
        <w:pStyle w:val="Compact"/>
        <w:numPr>
          <w:ilvl w:val="1"/>
          <w:numId w:val="1003"/>
        </w:numPr>
      </w:pPr>
      <w:r>
        <w:t xml:space="preserve">Timeline: Q1-Q2 2025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04"/>
        </w:numPr>
      </w:pPr>
      <w:r>
        <w:t xml:space="preserve">Monetizes existing artwork portfolio (currently untapped resource)</w:t>
      </w:r>
    </w:p>
    <w:p>
      <w:pPr>
        <w:pStyle w:val="Compact"/>
        <w:numPr>
          <w:ilvl w:val="2"/>
          <w:numId w:val="1004"/>
        </w:numPr>
      </w:pPr>
      <w:r>
        <w:t xml:space="preserve">Creates passive revenue stream complementing commissioned work</w:t>
      </w:r>
    </w:p>
    <w:p>
      <w:pPr>
        <w:pStyle w:val="Compact"/>
        <w:numPr>
          <w:ilvl w:val="2"/>
          <w:numId w:val="1004"/>
        </w:numPr>
      </w:pPr>
      <w:r>
        <w:t xml:space="preserve">Reduces dependency on new production work</w:t>
      </w:r>
    </w:p>
    <w:p>
      <w:pPr>
        <w:pStyle w:val="Compact"/>
        <w:numPr>
          <w:ilvl w:val="2"/>
          <w:numId w:val="1004"/>
        </w:numPr>
      </w:pPr>
      <w:r>
        <w:t xml:space="preserve">Initial revenue potential: €50K-500K in first year</w:t>
      </w:r>
    </w:p>
    <w:p>
      <w:pPr>
        <w:pStyle w:val="Compact"/>
        <w:numPr>
          <w:ilvl w:val="2"/>
          <w:numId w:val="1004"/>
        </w:numPr>
      </w:pPr>
      <w:r>
        <w:t xml:space="preserve">Addresses €6.4B stock images market, projected to reach €12.2B by 2032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05"/>
        </w:numPr>
      </w:pPr>
      <w:r>
        <w:t xml:space="preserve">Requires new legal frameworks and artist contracts</w:t>
      </w:r>
    </w:p>
    <w:p>
      <w:pPr>
        <w:pStyle w:val="Compact"/>
        <w:numPr>
          <w:ilvl w:val="2"/>
          <w:numId w:val="1005"/>
        </w:numPr>
      </w:pPr>
      <w:r>
        <w:t xml:space="preserve">Needs digital asset management system implementation</w:t>
      </w:r>
    </w:p>
    <w:p>
      <w:pPr>
        <w:pStyle w:val="Compact"/>
        <w:numPr>
          <w:ilvl w:val="2"/>
          <w:numId w:val="1005"/>
        </w:numPr>
      </w:pPr>
      <w:r>
        <w:t xml:space="preserve">Requires marketing through gallery exhibitions and web platform</w:t>
      </w:r>
    </w:p>
    <w:p>
      <w:pPr>
        <w:pStyle w:val="Compact"/>
        <w:numPr>
          <w:ilvl w:val="2"/>
          <w:numId w:val="1005"/>
        </w:numPr>
      </w:pPr>
      <w:r>
        <w:t xml:space="preserve">Needs content tagging and metadata standards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06"/>
        </w:numPr>
      </w:pPr>
      <w:r>
        <w:t xml:space="preserve">Internal development time</w:t>
      </w:r>
    </w:p>
    <w:p>
      <w:pPr>
        <w:pStyle w:val="Compact"/>
        <w:numPr>
          <w:ilvl w:val="2"/>
          <w:numId w:val="1006"/>
        </w:numPr>
      </w:pPr>
      <w:r>
        <w:t xml:space="preserve">Legal fees €20K</w:t>
      </w:r>
    </w:p>
    <w:p>
      <w:pPr>
        <w:pStyle w:val="Compact"/>
        <w:numPr>
          <w:ilvl w:val="2"/>
          <w:numId w:val="1006"/>
        </w:numPr>
      </w:pPr>
      <w:r>
        <w:t xml:space="preserve">Web presence MVP €20K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07"/>
        </w:numPr>
      </w:pPr>
      <w:r>
        <w:t xml:space="preserve">Number of artworks onboarded to licensing platform (target: 1,000 by Q2 2025)</w:t>
      </w:r>
    </w:p>
    <w:p>
      <w:pPr>
        <w:pStyle w:val="Compact"/>
        <w:numPr>
          <w:ilvl w:val="2"/>
          <w:numId w:val="1007"/>
        </w:numPr>
      </w:pPr>
      <w:r>
        <w:t xml:space="preserve">Monthly licensing revenue (target: €15,000/month by Q3 2025)</w:t>
      </w:r>
    </w:p>
    <w:p>
      <w:pPr>
        <w:pStyle w:val="Compact"/>
        <w:numPr>
          <w:ilvl w:val="2"/>
          <w:numId w:val="1007"/>
        </w:numPr>
      </w:pPr>
      <w:r>
        <w:t xml:space="preserve">Artist participation rate (target: 80% of represented artists with at least 10 works)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Playbook Development</w:t>
      </w:r>
      <w:r>
        <w:t xml:space="preserve"> </w:t>
      </w:r>
      <w:r>
        <w:t xml:space="preserve">(Priority Score: 4.4)</w:t>
      </w:r>
    </w:p>
    <w:p>
      <w:pPr>
        <w:pStyle w:val="Compact"/>
        <w:numPr>
          <w:ilvl w:val="1"/>
          <w:numId w:val="1008"/>
        </w:numPr>
      </w:pPr>
      <w:r>
        <w:t xml:space="preserve">RI: 4 | SV: 5 | RR: 5 | TV: 4 | DF: 4</w:t>
      </w:r>
    </w:p>
    <w:p>
      <w:pPr>
        <w:pStyle w:val="Compact"/>
        <w:numPr>
          <w:ilvl w:val="1"/>
          <w:numId w:val="1008"/>
        </w:numPr>
      </w:pPr>
      <w:r>
        <w:t xml:space="preserve">Timeline: Q1 2025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09"/>
        </w:numPr>
      </w:pPr>
      <w:r>
        <w:t xml:space="preserve">Standardizes expansion process for efficiency</w:t>
      </w:r>
    </w:p>
    <w:p>
      <w:pPr>
        <w:pStyle w:val="Compact"/>
        <w:numPr>
          <w:ilvl w:val="2"/>
          <w:numId w:val="1009"/>
        </w:numPr>
      </w:pPr>
      <w:r>
        <w:t xml:space="preserve">Reduces risk in new location openings</w:t>
      </w:r>
    </w:p>
    <w:p>
      <w:pPr>
        <w:pStyle w:val="Compact"/>
        <w:numPr>
          <w:ilvl w:val="2"/>
          <w:numId w:val="1009"/>
        </w:numPr>
      </w:pPr>
      <w:r>
        <w:t xml:space="preserve">Accelerates time-to-productivity for new agents</w:t>
      </w:r>
    </w:p>
    <w:p>
      <w:pPr>
        <w:pStyle w:val="Compact"/>
        <w:numPr>
          <w:ilvl w:val="2"/>
          <w:numId w:val="1009"/>
        </w:numPr>
      </w:pPr>
      <w:r>
        <w:t xml:space="preserve">Creates scalable model for 20+ city expansion goal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10"/>
        </w:numPr>
      </w:pPr>
      <w:r>
        <w:t xml:space="preserve">Requires documentation of current best practices</w:t>
      </w:r>
    </w:p>
    <w:p>
      <w:pPr>
        <w:pStyle w:val="Compact"/>
        <w:numPr>
          <w:ilvl w:val="2"/>
          <w:numId w:val="1010"/>
        </w:numPr>
      </w:pPr>
      <w:r>
        <w:t xml:space="preserve">Needs input from successful existing locations</w:t>
      </w:r>
    </w:p>
    <w:p>
      <w:pPr>
        <w:pStyle w:val="Compact"/>
        <w:numPr>
          <w:ilvl w:val="2"/>
          <w:numId w:val="1010"/>
        </w:numPr>
      </w:pPr>
      <w:r>
        <w:t xml:space="preserve">Dependent on workflow digitalization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11"/>
        </w:numPr>
      </w:pPr>
      <w:r>
        <w:t xml:space="preserve">Initially 2 months internal work</w:t>
      </w:r>
    </w:p>
    <w:p>
      <w:pPr>
        <w:pStyle w:val="Compact"/>
        <w:numPr>
          <w:ilvl w:val="2"/>
          <w:numId w:val="1011"/>
        </w:numPr>
      </w:pPr>
      <w:r>
        <w:t xml:space="preserve">Then 1 day/week ongoing maintenance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12"/>
        </w:numPr>
      </w:pPr>
      <w:r>
        <w:t xml:space="preserve">Time-to-productivity for new agents (target: 90 days to first commission)</w:t>
      </w:r>
    </w:p>
    <w:p>
      <w:pPr>
        <w:pStyle w:val="Compact"/>
        <w:numPr>
          <w:ilvl w:val="2"/>
          <w:numId w:val="1012"/>
        </w:numPr>
      </w:pPr>
      <w:r>
        <w:t xml:space="preserve">Documentation completion percentage (target: 100% of processes documented)</w:t>
      </w:r>
    </w:p>
    <w:p>
      <w:pPr>
        <w:pStyle w:val="Compact"/>
        <w:numPr>
          <w:ilvl w:val="2"/>
          <w:numId w:val="1012"/>
        </w:numPr>
      </w:pPr>
      <w:r>
        <w:t xml:space="preserve">Standardization adoption rate (target: 95% compliance with playbook protocols)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DAM Implementation &amp; Utilization</w:t>
      </w:r>
      <w:r>
        <w:t xml:space="preserve"> </w:t>
      </w:r>
      <w:r>
        <w:t xml:space="preserve">(Priority Score: 4.2)</w:t>
      </w:r>
    </w:p>
    <w:p>
      <w:pPr>
        <w:pStyle w:val="Compact"/>
        <w:numPr>
          <w:ilvl w:val="1"/>
          <w:numId w:val="1013"/>
        </w:numPr>
      </w:pPr>
      <w:r>
        <w:t xml:space="preserve">RI: 3 | SV: 5 | RR: 4 | TV: 4 | DF: 5</w:t>
      </w:r>
    </w:p>
    <w:p>
      <w:pPr>
        <w:pStyle w:val="Compact"/>
        <w:numPr>
          <w:ilvl w:val="1"/>
          <w:numId w:val="1013"/>
        </w:numPr>
      </w:pPr>
      <w:r>
        <w:t xml:space="preserve">Timeline: Q1-Q3 2025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14"/>
        </w:numPr>
      </w:pPr>
      <w:r>
        <w:t xml:space="preserve">Centralizes digital asset management across all locations</w:t>
      </w:r>
    </w:p>
    <w:p>
      <w:pPr>
        <w:pStyle w:val="Compact"/>
        <w:numPr>
          <w:ilvl w:val="2"/>
          <w:numId w:val="1014"/>
        </w:numPr>
      </w:pPr>
      <w:r>
        <w:t xml:space="preserve">Enables efficient search and retrieval of artwork</w:t>
      </w:r>
    </w:p>
    <w:p>
      <w:pPr>
        <w:pStyle w:val="Compact"/>
        <w:numPr>
          <w:ilvl w:val="2"/>
          <w:numId w:val="1014"/>
        </w:numPr>
      </w:pPr>
      <w:r>
        <w:t xml:space="preserve">Supports metadata tagging for licensing operations</w:t>
      </w:r>
    </w:p>
    <w:p>
      <w:pPr>
        <w:pStyle w:val="Compact"/>
        <w:numPr>
          <w:ilvl w:val="2"/>
          <w:numId w:val="1014"/>
        </w:numPr>
      </w:pPr>
      <w:r>
        <w:t xml:space="preserve">Creates foundation for AI development</w:t>
      </w:r>
    </w:p>
    <w:p>
      <w:pPr>
        <w:pStyle w:val="Compact"/>
        <w:numPr>
          <w:ilvl w:val="2"/>
          <w:numId w:val="1014"/>
        </w:numPr>
      </w:pPr>
      <w:r>
        <w:t xml:space="preserve">Essential for multi-location coordination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15"/>
        </w:numPr>
      </w:pPr>
      <w:r>
        <w:t xml:space="preserve">Requires standardized tagging protocols</w:t>
      </w:r>
    </w:p>
    <w:p>
      <w:pPr>
        <w:pStyle w:val="Compact"/>
        <w:numPr>
          <w:ilvl w:val="2"/>
          <w:numId w:val="1015"/>
        </w:numPr>
      </w:pPr>
      <w:r>
        <w:t xml:space="preserve">Needs consistent implementation across offices</w:t>
      </w:r>
    </w:p>
    <w:p>
      <w:pPr>
        <w:pStyle w:val="Compact"/>
        <w:numPr>
          <w:ilvl w:val="2"/>
          <w:numId w:val="1015"/>
        </w:numPr>
      </w:pPr>
      <w:r>
        <w:t xml:space="preserve">Dependent on staff training and adoption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16"/>
        </w:numPr>
      </w:pPr>
      <w:r>
        <w:t xml:space="preserve">Internal dev time 1 month</w:t>
      </w:r>
    </w:p>
    <w:p>
      <w:pPr>
        <w:pStyle w:val="Compact"/>
        <w:numPr>
          <w:ilvl w:val="2"/>
          <w:numId w:val="1016"/>
        </w:numPr>
      </w:pPr>
      <w:r>
        <w:t xml:space="preserve">€1,000/mo license fees</w:t>
      </w:r>
    </w:p>
    <w:p>
      <w:pPr>
        <w:pStyle w:val="Compact"/>
        <w:numPr>
          <w:ilvl w:val="2"/>
          <w:numId w:val="1016"/>
        </w:numPr>
      </w:pPr>
      <w:r>
        <w:t xml:space="preserve">Onboarding of personnel 3 days/person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17"/>
        </w:numPr>
      </w:pPr>
      <w:r>
        <w:t xml:space="preserve">Asset retrieval time (target: 90% reduction compared to current process)</w:t>
      </w:r>
    </w:p>
    <w:p>
      <w:pPr>
        <w:pStyle w:val="Compact"/>
        <w:numPr>
          <w:ilvl w:val="2"/>
          <w:numId w:val="1017"/>
        </w:numPr>
      </w:pPr>
      <w:r>
        <w:t xml:space="preserve">Percentage of assets properly tagged (target: 95%)</w:t>
      </w:r>
    </w:p>
    <w:p>
      <w:pPr>
        <w:pStyle w:val="Compact"/>
        <w:numPr>
          <w:ilvl w:val="2"/>
          <w:numId w:val="1017"/>
        </w:numPr>
      </w:pPr>
      <w:r>
        <w:t xml:space="preserve">User adoption rate (target: 100% of staff using system by Q3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Locations Expansion - Paris &amp; Shanghai</w:t>
      </w:r>
      <w:r>
        <w:t xml:space="preserve"> </w:t>
      </w:r>
      <w:r>
        <w:t xml:space="preserve">(Priority Score: 4.0)</w:t>
      </w:r>
    </w:p>
    <w:p>
      <w:pPr>
        <w:pStyle w:val="Compact"/>
        <w:numPr>
          <w:ilvl w:val="1"/>
          <w:numId w:val="1018"/>
        </w:numPr>
      </w:pPr>
      <w:r>
        <w:t xml:space="preserve">RI: 5 | SV: 5 | RR: 2 | TV: 4 | DF: 4</w:t>
      </w:r>
    </w:p>
    <w:p>
      <w:pPr>
        <w:pStyle w:val="Compact"/>
        <w:numPr>
          <w:ilvl w:val="1"/>
          <w:numId w:val="1018"/>
        </w:numPr>
      </w:pPr>
      <w:r>
        <w:t xml:space="preserve">Timeline: Q2 2025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19"/>
        </w:numPr>
      </w:pPr>
      <w:r>
        <w:t xml:space="preserve">Increases revenue potential (€700K-1.2M annually per location)</w:t>
      </w:r>
    </w:p>
    <w:p>
      <w:pPr>
        <w:pStyle w:val="Compact"/>
        <w:numPr>
          <w:ilvl w:val="2"/>
          <w:numId w:val="1019"/>
        </w:numPr>
      </w:pPr>
      <w:r>
        <w:t xml:space="preserve">Provides specialized talent for backoffice functions (e.g., Roxane for IP law)</w:t>
      </w:r>
    </w:p>
    <w:p>
      <w:pPr>
        <w:pStyle w:val="Compact"/>
        <w:numPr>
          <w:ilvl w:val="2"/>
          <w:numId w:val="1019"/>
        </w:numPr>
      </w:pPr>
      <w:r>
        <w:t xml:space="preserve">Creates geographical diversity in artist roster (currently 75% European)</w:t>
      </w:r>
    </w:p>
    <w:p>
      <w:pPr>
        <w:pStyle w:val="Compact"/>
        <w:numPr>
          <w:ilvl w:val="2"/>
          <w:numId w:val="1019"/>
        </w:numPr>
      </w:pPr>
      <w:r>
        <w:t xml:space="preserve">Enhances access to local markets and client relationships</w:t>
      </w:r>
    </w:p>
    <w:p>
      <w:pPr>
        <w:pStyle w:val="Compact"/>
        <w:numPr>
          <w:ilvl w:val="2"/>
          <w:numId w:val="1019"/>
        </w:numPr>
      </w:pPr>
      <w:r>
        <w:t xml:space="preserve">Builds global brand recognition through physical presence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20"/>
        </w:numPr>
      </w:pPr>
      <w:r>
        <w:t xml:space="preserve">Requires expansion playbook completion first</w:t>
      </w:r>
    </w:p>
    <w:p>
      <w:pPr>
        <w:pStyle w:val="Compact"/>
        <w:numPr>
          <w:ilvl w:val="2"/>
          <w:numId w:val="1020"/>
        </w:numPr>
      </w:pPr>
      <w:r>
        <w:t xml:space="preserve">Needs standardized onboarding and training program</w:t>
      </w:r>
    </w:p>
    <w:p>
      <w:pPr>
        <w:pStyle w:val="Compact"/>
        <w:numPr>
          <w:ilvl w:val="2"/>
          <w:numId w:val="1020"/>
        </w:numPr>
      </w:pPr>
      <w:r>
        <w:t xml:space="preserve">Dependent on finding qualified founding agents</w:t>
      </w:r>
    </w:p>
    <w:p>
      <w:pPr>
        <w:pStyle w:val="Compact"/>
        <w:numPr>
          <w:ilvl w:val="2"/>
          <w:numId w:val="1020"/>
        </w:numPr>
      </w:pPr>
      <w:r>
        <w:t xml:space="preserve">Requires digital tools infrastructure for remote coordination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21"/>
        </w:numPr>
      </w:pPr>
      <w:r>
        <w:t xml:space="preserve">€50K-100K per location initial investment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22"/>
        </w:numPr>
      </w:pPr>
      <w:r>
        <w:t xml:space="preserve">New client acquisition rate (target: 5 new clients per location in first 6 months)</w:t>
      </w:r>
    </w:p>
    <w:p>
      <w:pPr>
        <w:pStyle w:val="Compact"/>
        <w:numPr>
          <w:ilvl w:val="2"/>
          <w:numId w:val="1022"/>
        </w:numPr>
      </w:pPr>
      <w:r>
        <w:t xml:space="preserve">Revenue per location (target: €300,000 in first 12 months)</w:t>
      </w:r>
    </w:p>
    <w:p>
      <w:pPr>
        <w:pStyle w:val="Compact"/>
        <w:numPr>
          <w:ilvl w:val="2"/>
          <w:numId w:val="1022"/>
        </w:numPr>
      </w:pPr>
      <w:r>
        <w:t xml:space="preserve">Local artist recruitment (target: 5 new represented artists per location in first year)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Workflow Digitalization and Automation</w:t>
      </w:r>
      <w:r>
        <w:t xml:space="preserve"> </w:t>
      </w:r>
      <w:r>
        <w:t xml:space="preserve">(Priority Score: 3.8)</w:t>
      </w:r>
    </w:p>
    <w:p>
      <w:pPr>
        <w:pStyle w:val="Compact"/>
        <w:numPr>
          <w:ilvl w:val="1"/>
          <w:numId w:val="1023"/>
        </w:numPr>
      </w:pPr>
      <w:r>
        <w:t xml:space="preserve">RI: 3 | SV: 4 | RR: 4 | TV: 4 | DF: 4</w:t>
      </w:r>
    </w:p>
    <w:p>
      <w:pPr>
        <w:pStyle w:val="Compact"/>
        <w:numPr>
          <w:ilvl w:val="1"/>
          <w:numId w:val="1023"/>
        </w:numPr>
      </w:pPr>
      <w:r>
        <w:t xml:space="preserve">Timeline: Q1-Q3 2025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24"/>
        </w:numPr>
      </w:pPr>
      <w:r>
        <w:t xml:space="preserve">Reduces administrative overhead</w:t>
      </w:r>
    </w:p>
    <w:p>
      <w:pPr>
        <w:pStyle w:val="Compact"/>
        <w:numPr>
          <w:ilvl w:val="2"/>
          <w:numId w:val="1024"/>
        </w:numPr>
      </w:pPr>
      <w:r>
        <w:t xml:space="preserve">Enables efficient scaling without proportional cost increase</w:t>
      </w:r>
    </w:p>
    <w:p>
      <w:pPr>
        <w:pStyle w:val="Compact"/>
        <w:numPr>
          <w:ilvl w:val="2"/>
          <w:numId w:val="1024"/>
        </w:numPr>
      </w:pPr>
      <w:r>
        <w:t xml:space="preserve">Creates consistent client experience across locations</w:t>
      </w:r>
    </w:p>
    <w:p>
      <w:pPr>
        <w:pStyle w:val="Compact"/>
        <w:numPr>
          <w:ilvl w:val="2"/>
          <w:numId w:val="1024"/>
        </w:numPr>
      </w:pPr>
      <w:r>
        <w:t xml:space="preserve">Supports remote work and global coordination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25"/>
        </w:numPr>
      </w:pPr>
      <w:r>
        <w:t xml:space="preserve">Requires process documentation and standardization</w:t>
      </w:r>
    </w:p>
    <w:p>
      <w:pPr>
        <w:pStyle w:val="Compact"/>
        <w:numPr>
          <w:ilvl w:val="2"/>
          <w:numId w:val="1025"/>
        </w:numPr>
      </w:pPr>
      <w:r>
        <w:t xml:space="preserve">Needs training and adoption across all locations</w:t>
      </w:r>
    </w:p>
    <w:p>
      <w:pPr>
        <w:pStyle w:val="Compact"/>
        <w:numPr>
          <w:ilvl w:val="2"/>
          <w:numId w:val="1025"/>
        </w:numPr>
      </w:pPr>
      <w:r>
        <w:t xml:space="preserve">May require integration with existing systems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26"/>
        </w:numPr>
      </w:pPr>
      <w:r>
        <w:t xml:space="preserve">New licenses</w:t>
      </w:r>
    </w:p>
    <w:p>
      <w:pPr>
        <w:pStyle w:val="Compact"/>
        <w:numPr>
          <w:ilvl w:val="2"/>
          <w:numId w:val="1026"/>
        </w:numPr>
      </w:pPr>
      <w:r>
        <w:t xml:space="preserve">Time for building and integrating</w:t>
      </w:r>
    </w:p>
    <w:p>
      <w:pPr>
        <w:pStyle w:val="Compact"/>
        <w:numPr>
          <w:ilvl w:val="2"/>
          <w:numId w:val="1026"/>
        </w:numPr>
      </w:pPr>
      <w:r>
        <w:t xml:space="preserve">Onboarding of personnel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27"/>
        </w:numPr>
      </w:pPr>
      <w:r>
        <w:t xml:space="preserve">Time saved on administrative tasks (target: 30% reduction)</w:t>
      </w:r>
    </w:p>
    <w:p>
      <w:pPr>
        <w:pStyle w:val="Compact"/>
        <w:numPr>
          <w:ilvl w:val="2"/>
          <w:numId w:val="1027"/>
        </w:numPr>
      </w:pPr>
      <w:r>
        <w:t xml:space="preserve">System adoption rate among staff (target: 90% active weekly users)</w:t>
      </w:r>
    </w:p>
    <w:p>
      <w:pPr>
        <w:pStyle w:val="Compact"/>
        <w:numPr>
          <w:ilvl w:val="2"/>
          <w:numId w:val="1027"/>
        </w:numPr>
      </w:pPr>
      <w:r>
        <w:t xml:space="preserve">Process standardization rate (target: 85% of workflows documented and automated)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Pekka Worlds (Game Concept Licensing)</w:t>
      </w:r>
      <w:r>
        <w:t xml:space="preserve"> </w:t>
      </w:r>
      <w:r>
        <w:t xml:space="preserve">(Priority Score: 3.6)</w:t>
      </w:r>
    </w:p>
    <w:p>
      <w:pPr>
        <w:pStyle w:val="Compact"/>
        <w:numPr>
          <w:ilvl w:val="1"/>
          <w:numId w:val="1028"/>
        </w:numPr>
      </w:pPr>
      <w:r>
        <w:t xml:space="preserve">RI: 4 | SV: 4 | RR: 3 | TV: 3 | DF: 4</w:t>
      </w:r>
    </w:p>
    <w:p>
      <w:pPr>
        <w:pStyle w:val="Compact"/>
        <w:numPr>
          <w:ilvl w:val="1"/>
          <w:numId w:val="1028"/>
        </w:numPr>
      </w:pPr>
      <w:r>
        <w:t xml:space="preserve">Timeline: Q3-Q4 2025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29"/>
        </w:numPr>
      </w:pPr>
      <w:r>
        <w:t xml:space="preserve">Taps into gaming industry’s need for unique visual IP</w:t>
      </w:r>
    </w:p>
    <w:p>
      <w:pPr>
        <w:pStyle w:val="Compact"/>
        <w:numPr>
          <w:ilvl w:val="2"/>
          <w:numId w:val="1029"/>
        </w:numPr>
      </w:pPr>
      <w:r>
        <w:t xml:space="preserve">Potential for royalty income rather than one-time fees</w:t>
      </w:r>
    </w:p>
    <w:p>
      <w:pPr>
        <w:pStyle w:val="Compact"/>
        <w:numPr>
          <w:ilvl w:val="2"/>
          <w:numId w:val="1029"/>
        </w:numPr>
      </w:pPr>
      <w:r>
        <w:t xml:space="preserve">Creates opportunity for long-term IP value development</w:t>
      </w:r>
    </w:p>
    <w:p>
      <w:pPr>
        <w:pStyle w:val="Compact"/>
        <w:numPr>
          <w:ilvl w:val="2"/>
          <w:numId w:val="1029"/>
        </w:numPr>
      </w:pPr>
      <w:r>
        <w:t xml:space="preserve">Initial revenue potential: €0-100K in first year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30"/>
        </w:numPr>
      </w:pPr>
      <w:r>
        <w:t xml:space="preserve">Requires advisory board with game industry expertise</w:t>
      </w:r>
    </w:p>
    <w:p>
      <w:pPr>
        <w:pStyle w:val="Compact"/>
        <w:numPr>
          <w:ilvl w:val="2"/>
          <w:numId w:val="1030"/>
        </w:numPr>
      </w:pPr>
      <w:r>
        <w:t xml:space="preserve">Needs specialized marketing approach for game developers</w:t>
      </w:r>
    </w:p>
    <w:p>
      <w:pPr>
        <w:pStyle w:val="Compact"/>
        <w:numPr>
          <w:ilvl w:val="2"/>
          <w:numId w:val="1030"/>
        </w:numPr>
      </w:pPr>
      <w:r>
        <w:t xml:space="preserve">Potentially dependent on AI adaptation for concept expansion</w:t>
      </w:r>
    </w:p>
    <w:p>
      <w:pPr>
        <w:pStyle w:val="Compact"/>
        <w:numPr>
          <w:ilvl w:val="2"/>
          <w:numId w:val="1030"/>
        </w:numPr>
      </w:pPr>
      <w:r>
        <w:t xml:space="preserve">Needs 10-game concept portfolio development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31"/>
        </w:numPr>
      </w:pPr>
      <w:r>
        <w:t xml:space="preserve">Internal development time 2 months</w:t>
      </w:r>
    </w:p>
    <w:p>
      <w:pPr>
        <w:pStyle w:val="Compact"/>
        <w:numPr>
          <w:ilvl w:val="2"/>
          <w:numId w:val="1031"/>
        </w:numPr>
      </w:pPr>
      <w:r>
        <w:t xml:space="preserve">New company and legal fees €10,000</w:t>
      </w:r>
    </w:p>
    <w:p>
      <w:pPr>
        <w:pStyle w:val="Compact"/>
        <w:numPr>
          <w:ilvl w:val="2"/>
          <w:numId w:val="1031"/>
        </w:numPr>
      </w:pPr>
      <w:r>
        <w:t xml:space="preserve">New producer €5,000/month</w:t>
      </w:r>
    </w:p>
    <w:p>
      <w:pPr>
        <w:pStyle w:val="Compact"/>
        <w:numPr>
          <w:ilvl w:val="2"/>
          <w:numId w:val="1031"/>
        </w:numPr>
      </w:pPr>
      <w:r>
        <w:t xml:space="preserve">Marketing and PR €25,000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32"/>
        </w:numPr>
      </w:pPr>
      <w:r>
        <w:t xml:space="preserve">Number of game art concepts developed (target: 10 by Q4 2025)</w:t>
      </w:r>
    </w:p>
    <w:p>
      <w:pPr>
        <w:pStyle w:val="Compact"/>
        <w:numPr>
          <w:ilvl w:val="2"/>
          <w:numId w:val="1032"/>
        </w:numPr>
      </w:pPr>
      <w:r>
        <w:t xml:space="preserve">Pitch-to-license conversion rate (target: 20% of pitches result in agreements)</w:t>
      </w:r>
    </w:p>
    <w:p>
      <w:pPr>
        <w:pStyle w:val="Compact"/>
        <w:numPr>
          <w:ilvl w:val="2"/>
          <w:numId w:val="1032"/>
        </w:numPr>
      </w:pPr>
      <w:r>
        <w:t xml:space="preserve">Average license value (target: €35,000 per game concept)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Gallery and Virtual Exhibitions</w:t>
      </w:r>
      <w:r>
        <w:t xml:space="preserve"> </w:t>
      </w:r>
      <w:r>
        <w:t xml:space="preserve">(Priority Score: 3.4)</w:t>
      </w:r>
    </w:p>
    <w:p>
      <w:pPr>
        <w:pStyle w:val="Compact"/>
        <w:numPr>
          <w:ilvl w:val="1"/>
          <w:numId w:val="1033"/>
        </w:numPr>
      </w:pPr>
      <w:r>
        <w:t xml:space="preserve">RI: 3 | SV: 4 | RR: 3 | TV: 3 | DF: 4</w:t>
      </w:r>
    </w:p>
    <w:p>
      <w:pPr>
        <w:pStyle w:val="Compact"/>
        <w:numPr>
          <w:ilvl w:val="1"/>
          <w:numId w:val="1033"/>
        </w:numPr>
      </w:pPr>
      <w:r>
        <w:t xml:space="preserve">Timeline: Q2-Q4 2025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34"/>
        </w:numPr>
      </w:pPr>
      <w:r>
        <w:t xml:space="preserve">Creates brand visibility and prestige</w:t>
      </w:r>
    </w:p>
    <w:p>
      <w:pPr>
        <w:pStyle w:val="Compact"/>
        <w:numPr>
          <w:ilvl w:val="2"/>
          <w:numId w:val="1034"/>
        </w:numPr>
      </w:pPr>
      <w:r>
        <w:t xml:space="preserve">Showcases artist work to potential clients</w:t>
      </w:r>
    </w:p>
    <w:p>
      <w:pPr>
        <w:pStyle w:val="Compact"/>
        <w:numPr>
          <w:ilvl w:val="2"/>
          <w:numId w:val="1034"/>
        </w:numPr>
      </w:pPr>
      <w:r>
        <w:t xml:space="preserve">Generates content for marketing materials</w:t>
      </w:r>
    </w:p>
    <w:p>
      <w:pPr>
        <w:pStyle w:val="Compact"/>
        <w:numPr>
          <w:ilvl w:val="2"/>
          <w:numId w:val="1034"/>
        </w:numPr>
      </w:pPr>
      <w:r>
        <w:t xml:space="preserve">Provides platform for artist development</w:t>
      </w:r>
    </w:p>
    <w:p>
      <w:pPr>
        <w:pStyle w:val="Compact"/>
        <w:numPr>
          <w:ilvl w:val="2"/>
          <w:numId w:val="1034"/>
        </w:numPr>
      </w:pPr>
      <w:r>
        <w:t xml:space="preserve">Potential for direct B2C revenue through print-on-demand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35"/>
        </w:numPr>
      </w:pPr>
      <w:r>
        <w:t xml:space="preserve">Requires physical or virtual exhibition space</w:t>
      </w:r>
    </w:p>
    <w:p>
      <w:pPr>
        <w:pStyle w:val="Compact"/>
        <w:numPr>
          <w:ilvl w:val="2"/>
          <w:numId w:val="1035"/>
        </w:numPr>
      </w:pPr>
      <w:r>
        <w:t xml:space="preserve">Needs curation and content development</w:t>
      </w:r>
    </w:p>
    <w:p>
      <w:pPr>
        <w:pStyle w:val="Compact"/>
        <w:numPr>
          <w:ilvl w:val="2"/>
          <w:numId w:val="1035"/>
        </w:numPr>
      </w:pPr>
      <w:r>
        <w:t xml:space="preserve">Dependent on marketing resources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36"/>
        </w:numPr>
      </w:pPr>
      <w:r>
        <w:t xml:space="preserve">Web presence MVP €20,000</w:t>
      </w:r>
    </w:p>
    <w:p>
      <w:pPr>
        <w:pStyle w:val="Compact"/>
        <w:numPr>
          <w:ilvl w:val="2"/>
          <w:numId w:val="1036"/>
        </w:numPr>
      </w:pPr>
      <w:r>
        <w:t xml:space="preserve">Continuity needed: new full-time person €5,000/month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37"/>
        </w:numPr>
      </w:pPr>
      <w:r>
        <w:t xml:space="preserve">Monthly PoD revenue (target: €8,000/month by Q4 2025)</w:t>
      </w:r>
    </w:p>
    <w:p>
      <w:pPr>
        <w:pStyle w:val="Compact"/>
        <w:numPr>
          <w:ilvl w:val="2"/>
          <w:numId w:val="1037"/>
        </w:numPr>
      </w:pPr>
      <w:r>
        <w:t xml:space="preserve">Gallery visitor-to-customer conversion rate (target: 5%)</w:t>
      </w:r>
    </w:p>
    <w:p>
      <w:pPr>
        <w:pStyle w:val="Compact"/>
        <w:numPr>
          <w:ilvl w:val="2"/>
          <w:numId w:val="1037"/>
        </w:numPr>
      </w:pPr>
      <w:r>
        <w:t xml:space="preserve">Exhibition media coverage (target: 3 major publications per exhibition)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Brand x Artist Collaboration Program</w:t>
      </w:r>
      <w:r>
        <w:t xml:space="preserve"> </w:t>
      </w:r>
      <w:r>
        <w:t xml:space="preserve">(Priority Score: 3.2)</w:t>
      </w:r>
    </w:p>
    <w:p>
      <w:pPr>
        <w:pStyle w:val="Compact"/>
        <w:numPr>
          <w:ilvl w:val="1"/>
          <w:numId w:val="1038"/>
        </w:numPr>
      </w:pPr>
      <w:r>
        <w:t xml:space="preserve">RI: 3 | SV: 4 | RR: 3 | TV: 2 | DF: 4</w:t>
      </w:r>
    </w:p>
    <w:p>
      <w:pPr>
        <w:pStyle w:val="Compact"/>
        <w:numPr>
          <w:ilvl w:val="1"/>
          <w:numId w:val="1038"/>
        </w:numPr>
      </w:pPr>
      <w:r>
        <w:t xml:space="preserve">Timeline: Q3-Q4 2025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39"/>
        </w:numPr>
      </w:pPr>
      <w:r>
        <w:t xml:space="preserve">Creates distinctive positioning between commercial and fine art</w:t>
      </w:r>
    </w:p>
    <w:p>
      <w:pPr>
        <w:pStyle w:val="Compact"/>
        <w:numPr>
          <w:ilvl w:val="2"/>
          <w:numId w:val="1039"/>
        </w:numPr>
      </w:pPr>
      <w:r>
        <w:t xml:space="preserve">Attracts higher-value clients and collaborations</w:t>
      </w:r>
    </w:p>
    <w:p>
      <w:pPr>
        <w:pStyle w:val="Compact"/>
        <w:numPr>
          <w:ilvl w:val="2"/>
          <w:numId w:val="1039"/>
        </w:numPr>
      </w:pPr>
      <w:r>
        <w:t xml:space="preserve">Enhances cultural significance of the agency</w:t>
      </w:r>
    </w:p>
    <w:p>
      <w:pPr>
        <w:pStyle w:val="Compact"/>
        <w:numPr>
          <w:ilvl w:val="2"/>
          <w:numId w:val="1039"/>
        </w:numPr>
      </w:pPr>
      <w:r>
        <w:t xml:space="preserve">Potential for cultural funding and institutional partnerships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40"/>
        </w:numPr>
      </w:pPr>
      <w:r>
        <w:t xml:space="preserve">Requires connections to fine artists beyond commercial illustrators</w:t>
      </w:r>
    </w:p>
    <w:p>
      <w:pPr>
        <w:pStyle w:val="Compact"/>
        <w:numPr>
          <w:ilvl w:val="2"/>
          <w:numId w:val="1040"/>
        </w:numPr>
      </w:pPr>
      <w:r>
        <w:t xml:space="preserve">Needs specialized marketing approach</w:t>
      </w:r>
    </w:p>
    <w:p>
      <w:pPr>
        <w:pStyle w:val="Compact"/>
        <w:numPr>
          <w:ilvl w:val="2"/>
          <w:numId w:val="1040"/>
        </w:numPr>
      </w:pPr>
      <w:r>
        <w:t xml:space="preserve">Dependent on gallery/exhibition spaces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41"/>
        </w:numPr>
      </w:pPr>
      <w:r>
        <w:t xml:space="preserve">Can be started with internal branding work of 1 month</w:t>
      </w:r>
    </w:p>
    <w:p>
      <w:pPr>
        <w:pStyle w:val="Compact"/>
        <w:numPr>
          <w:ilvl w:val="2"/>
          <w:numId w:val="1041"/>
        </w:numPr>
      </w:pPr>
      <w:r>
        <w:t xml:space="preserve">Later a full-time agent €5,000/month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42"/>
        </w:numPr>
      </w:pPr>
      <w:r>
        <w:t xml:space="preserve">Number of collaborations initiated (target: 6 in first year)</w:t>
      </w:r>
    </w:p>
    <w:p>
      <w:pPr>
        <w:pStyle w:val="Compact"/>
        <w:numPr>
          <w:ilvl w:val="2"/>
          <w:numId w:val="1042"/>
        </w:numPr>
      </w:pPr>
      <w:r>
        <w:t xml:space="preserve">Average project value (target: 30% premium over standard projects)</w:t>
      </w:r>
    </w:p>
    <w:p>
      <w:pPr>
        <w:pStyle w:val="Compact"/>
        <w:numPr>
          <w:ilvl w:val="2"/>
          <w:numId w:val="1042"/>
        </w:numPr>
      </w:pPr>
      <w:r>
        <w:t xml:space="preserve">Press coverage (target: 4 industry publications featuring the program)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Additional City Expansions (2-4 Cities)</w:t>
      </w:r>
      <w:r>
        <w:t xml:space="preserve"> </w:t>
      </w:r>
      <w:r>
        <w:t xml:space="preserve">(Priority Score: 3.2)</w:t>
      </w:r>
    </w:p>
    <w:p>
      <w:pPr>
        <w:pStyle w:val="Compact"/>
        <w:numPr>
          <w:ilvl w:val="1"/>
          <w:numId w:val="1043"/>
        </w:numPr>
      </w:pPr>
      <w:r>
        <w:t xml:space="preserve">RI: 5 | SV: 5 | RR: 1 | TV: 2 | DF: 3</w:t>
      </w:r>
    </w:p>
    <w:p>
      <w:pPr>
        <w:pStyle w:val="Compact"/>
        <w:numPr>
          <w:ilvl w:val="1"/>
          <w:numId w:val="1043"/>
        </w:numPr>
      </w:pPr>
      <w:r>
        <w:t xml:space="preserve">Timeline: Q3-Q4 2025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44"/>
        </w:numPr>
      </w:pPr>
      <w:r>
        <w:t xml:space="preserve">Further geographic expansion and market penetration</w:t>
      </w:r>
    </w:p>
    <w:p>
      <w:pPr>
        <w:pStyle w:val="Compact"/>
        <w:numPr>
          <w:ilvl w:val="2"/>
          <w:numId w:val="1044"/>
        </w:numPr>
      </w:pPr>
      <w:r>
        <w:t xml:space="preserve">Increased revenue potential across additional markets</w:t>
      </w:r>
    </w:p>
    <w:p>
      <w:pPr>
        <w:pStyle w:val="Compact"/>
        <w:numPr>
          <w:ilvl w:val="2"/>
          <w:numId w:val="1044"/>
        </w:numPr>
      </w:pPr>
      <w:r>
        <w:t xml:space="preserve">Greater artist diversity and client acquisition opportunities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45"/>
        </w:numPr>
      </w:pPr>
      <w:r>
        <w:t xml:space="preserve">Requires successful implementation of Paris and Shanghai offices</w:t>
      </w:r>
    </w:p>
    <w:p>
      <w:pPr>
        <w:pStyle w:val="Compact"/>
        <w:numPr>
          <w:ilvl w:val="2"/>
          <w:numId w:val="1045"/>
        </w:numPr>
      </w:pPr>
      <w:r>
        <w:t xml:space="preserve">Dependent on validated expansion playbook</w:t>
      </w:r>
    </w:p>
    <w:p>
      <w:pPr>
        <w:pStyle w:val="Compact"/>
        <w:numPr>
          <w:ilvl w:val="2"/>
          <w:numId w:val="1045"/>
        </w:numPr>
      </w:pPr>
      <w:r>
        <w:t xml:space="preserve">Needs DAM and digital workflow systems in place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46"/>
        </w:numPr>
      </w:pPr>
      <w:r>
        <w:t xml:space="preserve">€50K-100K per location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47"/>
        </w:numPr>
      </w:pPr>
      <w:r>
        <w:t xml:space="preserve">Agent recruitment efficiency (target: 60 days from search to signed agreement)</w:t>
      </w:r>
    </w:p>
    <w:p>
      <w:pPr>
        <w:pStyle w:val="Compact"/>
        <w:numPr>
          <w:ilvl w:val="2"/>
          <w:numId w:val="1047"/>
        </w:numPr>
      </w:pPr>
      <w:r>
        <w:t xml:space="preserve">New office setup cost (target: 15% below current average cost)</w:t>
      </w:r>
    </w:p>
    <w:p>
      <w:pPr>
        <w:pStyle w:val="Compact"/>
        <w:numPr>
          <w:ilvl w:val="2"/>
          <w:numId w:val="1047"/>
        </w:numPr>
      </w:pPr>
      <w:r>
        <w:t xml:space="preserve">Time to breakeven per location (target: 18 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Marlo &amp; Pekka Restaurant-Gallery Concept</w:t>
      </w:r>
      <w:r>
        <w:t xml:space="preserve"> </w:t>
      </w:r>
      <w:r>
        <w:t xml:space="preserve">(Priority Score: 3.0)</w:t>
      </w:r>
    </w:p>
    <w:p>
      <w:pPr>
        <w:pStyle w:val="Compact"/>
        <w:numPr>
          <w:ilvl w:val="1"/>
          <w:numId w:val="1048"/>
        </w:numPr>
      </w:pPr>
      <w:r>
        <w:t xml:space="preserve">RI: 2 | SV: 4 | RR: 2 | TV: 3 | DF: 4</w:t>
      </w:r>
    </w:p>
    <w:p>
      <w:pPr>
        <w:pStyle w:val="Compact"/>
        <w:numPr>
          <w:ilvl w:val="1"/>
          <w:numId w:val="1048"/>
        </w:numPr>
      </w:pPr>
      <w:r>
        <w:t xml:space="preserve">Timeline: Q2-Q3 2025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49"/>
        </w:numPr>
      </w:pPr>
      <w:r>
        <w:t xml:space="preserve">Creates prestigious physical presence in key market</w:t>
      </w:r>
    </w:p>
    <w:p>
      <w:pPr>
        <w:pStyle w:val="Compact"/>
        <w:numPr>
          <w:ilvl w:val="2"/>
          <w:numId w:val="1049"/>
        </w:numPr>
      </w:pPr>
      <w:r>
        <w:t xml:space="preserve">Provides space for client entertainment and relationship building</w:t>
      </w:r>
    </w:p>
    <w:p>
      <w:pPr>
        <w:pStyle w:val="Compact"/>
        <w:numPr>
          <w:ilvl w:val="2"/>
          <w:numId w:val="1049"/>
        </w:numPr>
      </w:pPr>
      <w:r>
        <w:t xml:space="preserve">Functions as cultural hub for Finnish creativity in Paris</w:t>
      </w:r>
    </w:p>
    <w:p>
      <w:pPr>
        <w:pStyle w:val="Compact"/>
        <w:numPr>
          <w:ilvl w:val="2"/>
          <w:numId w:val="1049"/>
        </w:numPr>
      </w:pPr>
      <w:r>
        <w:t xml:space="preserve">Serves as Pekka’s Paris office with additional revenue potential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50"/>
        </w:numPr>
      </w:pPr>
      <w:r>
        <w:t xml:space="preserve">Requires partnership with Marlo Snellman</w:t>
      </w:r>
    </w:p>
    <w:p>
      <w:pPr>
        <w:pStyle w:val="Compact"/>
        <w:numPr>
          <w:ilvl w:val="2"/>
          <w:numId w:val="1050"/>
        </w:numPr>
      </w:pPr>
      <w:r>
        <w:t xml:space="preserve">Initial investment: €72K for agency portion</w:t>
      </w:r>
    </w:p>
    <w:p>
      <w:pPr>
        <w:pStyle w:val="Compact"/>
        <w:numPr>
          <w:ilvl w:val="2"/>
          <w:numId w:val="1050"/>
        </w:numPr>
      </w:pPr>
      <w:r>
        <w:t xml:space="preserve">Monthly operational costs: €6.5K for agency</w:t>
      </w:r>
    </w:p>
    <w:p>
      <w:pPr>
        <w:pStyle w:val="Compact"/>
        <w:numPr>
          <w:ilvl w:val="2"/>
          <w:numId w:val="1050"/>
        </w:numPr>
      </w:pPr>
      <w:r>
        <w:t xml:space="preserve">Potential cultural foundation support (e.g., Saastamoinen)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51"/>
        </w:numPr>
      </w:pPr>
      <w:r>
        <w:t xml:space="preserve">€50,000 initial investment</w:t>
      </w:r>
    </w:p>
    <w:p>
      <w:pPr>
        <w:pStyle w:val="Compact"/>
        <w:numPr>
          <w:ilvl w:val="2"/>
          <w:numId w:val="1051"/>
        </w:numPr>
      </w:pPr>
      <w:r>
        <w:t xml:space="preserve">€5,000/month ongoing</w:t>
      </w:r>
    </w:p>
    <w:p>
      <w:pPr>
        <w:pStyle w:val="Compact"/>
        <w:numPr>
          <w:ilvl w:val="2"/>
          <w:numId w:val="1051"/>
        </w:numPr>
      </w:pPr>
      <w:r>
        <w:t xml:space="preserve">Seeking partner to cover part of the costs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52"/>
        </w:numPr>
      </w:pPr>
      <w:r>
        <w:t xml:space="preserve">Client entertaining effectiveness (target: 12 major client events in first year)</w:t>
      </w:r>
    </w:p>
    <w:p>
      <w:pPr>
        <w:pStyle w:val="Compact"/>
        <w:numPr>
          <w:ilvl w:val="2"/>
          <w:numId w:val="1052"/>
        </w:numPr>
      </w:pPr>
      <w:r>
        <w:t xml:space="preserve">Media coverage of space (target: 5 French publications in first year)</w:t>
      </w:r>
    </w:p>
    <w:p>
      <w:pPr>
        <w:pStyle w:val="Compact"/>
        <w:numPr>
          <w:ilvl w:val="2"/>
          <w:numId w:val="1052"/>
        </w:numPr>
      </w:pPr>
      <w:r>
        <w:t xml:space="preserve">Cost offset through partnership (target: 40% of costs covered by partners/grants)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Style Adaptation Project</w:t>
      </w:r>
      <w:r>
        <w:t xml:space="preserve"> </w:t>
      </w:r>
      <w:r>
        <w:t xml:space="preserve">(Priority Score: 3.0)</w:t>
      </w:r>
    </w:p>
    <w:p>
      <w:pPr>
        <w:pStyle w:val="Compact"/>
        <w:numPr>
          <w:ilvl w:val="1"/>
          <w:numId w:val="1053"/>
        </w:numPr>
      </w:pPr>
      <w:r>
        <w:t xml:space="preserve">RI: 3 | SV: 4 | RR: 2 | TV: 2 | DF: 4</w:t>
      </w:r>
    </w:p>
    <w:p>
      <w:pPr>
        <w:pStyle w:val="Compact"/>
        <w:numPr>
          <w:ilvl w:val="1"/>
          <w:numId w:val="1053"/>
        </w:numPr>
      </w:pPr>
      <w:r>
        <w:t xml:space="preserve">Timeline: Dependent on funding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54"/>
        </w:numPr>
      </w:pPr>
      <w:r>
        <w:t xml:space="preserve">Enhances visualization capabilities for clients</w:t>
      </w:r>
    </w:p>
    <w:p>
      <w:pPr>
        <w:pStyle w:val="Compact"/>
        <w:numPr>
          <w:ilvl w:val="2"/>
          <w:numId w:val="1054"/>
        </w:numPr>
      </w:pPr>
      <w:r>
        <w:t xml:space="preserve">Speeds up concept development process</w:t>
      </w:r>
    </w:p>
    <w:p>
      <w:pPr>
        <w:pStyle w:val="Compact"/>
        <w:numPr>
          <w:ilvl w:val="2"/>
          <w:numId w:val="1054"/>
        </w:numPr>
      </w:pPr>
      <w:r>
        <w:t xml:space="preserve">Creates competitive differentiation in marketplace</w:t>
      </w:r>
    </w:p>
    <w:p>
      <w:pPr>
        <w:pStyle w:val="Compact"/>
        <w:numPr>
          <w:ilvl w:val="2"/>
          <w:numId w:val="1054"/>
        </w:numPr>
      </w:pPr>
      <w:r>
        <w:t xml:space="preserve">Supports game world concept development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55"/>
        </w:numPr>
      </w:pPr>
      <w:r>
        <w:t xml:space="preserve">Contingent on external funding</w:t>
      </w:r>
    </w:p>
    <w:p>
      <w:pPr>
        <w:pStyle w:val="Compact"/>
        <w:numPr>
          <w:ilvl w:val="2"/>
          <w:numId w:val="1055"/>
        </w:numPr>
      </w:pPr>
      <w:r>
        <w:t xml:space="preserve">Requires artist approval and participation</w:t>
      </w:r>
    </w:p>
    <w:p>
      <w:pPr>
        <w:pStyle w:val="Compact"/>
        <w:numPr>
          <w:ilvl w:val="2"/>
          <w:numId w:val="1055"/>
        </w:numPr>
      </w:pPr>
      <w:r>
        <w:t xml:space="preserve">Dependent on robust DAM implementation</w:t>
      </w:r>
    </w:p>
    <w:p>
      <w:pPr>
        <w:pStyle w:val="Compact"/>
        <w:numPr>
          <w:ilvl w:val="2"/>
          <w:numId w:val="1055"/>
        </w:numPr>
      </w:pPr>
      <w:r>
        <w:t xml:space="preserve">Needs specialized AI development talent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56"/>
        </w:numPr>
      </w:pPr>
      <w:r>
        <w:t xml:space="preserve">€50,000 (our share of Business Finland grant)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57"/>
        </w:numPr>
      </w:pPr>
      <w:r>
        <w:t xml:space="preserve">Funding secured (target: €250,000 by Q2 2025)</w:t>
      </w:r>
    </w:p>
    <w:p>
      <w:pPr>
        <w:pStyle w:val="Compact"/>
        <w:numPr>
          <w:ilvl w:val="2"/>
          <w:numId w:val="1057"/>
        </w:numPr>
      </w:pPr>
      <w:r>
        <w:t xml:space="preserve">Technical accuracy of style adaptation (target: 85% artist approval rate)</w:t>
      </w:r>
    </w:p>
    <w:p>
      <w:pPr>
        <w:pStyle w:val="Compact"/>
        <w:numPr>
          <w:ilvl w:val="2"/>
          <w:numId w:val="1057"/>
        </w:numPr>
      </w:pPr>
      <w:r>
        <w:t xml:space="preserve">Integration with client workflows (target: 5 pilot clients by Q4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Licensing Platform (SaaS)</w:t>
      </w:r>
      <w:r>
        <w:t xml:space="preserve"> </w:t>
      </w:r>
      <w:r>
        <w:t xml:space="preserve">(Priority Score: 2.8)</w:t>
      </w:r>
    </w:p>
    <w:p>
      <w:pPr>
        <w:pStyle w:val="Compact"/>
        <w:numPr>
          <w:ilvl w:val="1"/>
          <w:numId w:val="1058"/>
        </w:numPr>
      </w:pPr>
      <w:r>
        <w:t xml:space="preserve">RI: 4 | SV: 5 | RR: 1 | TV: 1 | DF: 3</w:t>
      </w:r>
    </w:p>
    <w:p>
      <w:pPr>
        <w:pStyle w:val="Compact"/>
        <w:numPr>
          <w:ilvl w:val="1"/>
          <w:numId w:val="1058"/>
        </w:numPr>
      </w:pPr>
      <w:r>
        <w:t xml:space="preserve">Timeline: 2026 release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Benefits:</w:t>
      </w:r>
    </w:p>
    <w:p>
      <w:pPr>
        <w:pStyle w:val="Compact"/>
        <w:numPr>
          <w:ilvl w:val="2"/>
          <w:numId w:val="1059"/>
        </w:numPr>
      </w:pPr>
      <w:r>
        <w:t xml:space="preserve">Scales licensing beyond manual processes</w:t>
      </w:r>
    </w:p>
    <w:p>
      <w:pPr>
        <w:pStyle w:val="Compact"/>
        <w:numPr>
          <w:ilvl w:val="2"/>
          <w:numId w:val="1059"/>
        </w:numPr>
      </w:pPr>
      <w:r>
        <w:t xml:space="preserve">Opens access to broader artist base beyond current roster</w:t>
      </w:r>
    </w:p>
    <w:p>
      <w:pPr>
        <w:pStyle w:val="Compact"/>
        <w:numPr>
          <w:ilvl w:val="2"/>
          <w:numId w:val="1059"/>
        </w:numPr>
      </w:pPr>
      <w:r>
        <w:t xml:space="preserve">Creates technology-based recurring revenue stream</w:t>
      </w:r>
    </w:p>
    <w:p>
      <w:pPr>
        <w:pStyle w:val="Compact"/>
        <w:numPr>
          <w:ilvl w:val="2"/>
          <w:numId w:val="1059"/>
        </w:numPr>
      </w:pPr>
      <w:r>
        <w:t xml:space="preserve">Potential for international reach without physical expansion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2"/>
          <w:numId w:val="1060"/>
        </w:numPr>
      </w:pPr>
      <w:r>
        <w:t xml:space="preserve">Requires successful proof of concept from licensing business model</w:t>
      </w:r>
    </w:p>
    <w:p>
      <w:pPr>
        <w:pStyle w:val="Compact"/>
        <w:numPr>
          <w:ilvl w:val="2"/>
          <w:numId w:val="1060"/>
        </w:numPr>
      </w:pPr>
      <w:r>
        <w:t xml:space="preserve">Needs significant development resources</w:t>
      </w:r>
    </w:p>
    <w:p>
      <w:pPr>
        <w:pStyle w:val="Compact"/>
        <w:numPr>
          <w:ilvl w:val="2"/>
          <w:numId w:val="1060"/>
        </w:numPr>
      </w:pPr>
      <w:r>
        <w:t xml:space="preserve">Dependent on DAM infrastructure</w:t>
      </w:r>
    </w:p>
    <w:p>
      <w:pPr>
        <w:pStyle w:val="Compact"/>
        <w:numPr>
          <w:ilvl w:val="2"/>
          <w:numId w:val="1060"/>
        </w:numPr>
      </w:pPr>
      <w:r>
        <w:t xml:space="preserve">Requires UI/UX expertise for user-friendly experience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Expense:</w:t>
      </w:r>
    </w:p>
    <w:p>
      <w:pPr>
        <w:pStyle w:val="Compact"/>
        <w:numPr>
          <w:ilvl w:val="2"/>
          <w:numId w:val="1061"/>
        </w:numPr>
      </w:pPr>
      <w:r>
        <w:t xml:space="preserve">MVP €25,000</w:t>
      </w:r>
    </w:p>
    <w:p>
      <w:pPr>
        <w:pStyle w:val="Compact"/>
        <w:numPr>
          <w:ilvl w:val="2"/>
          <w:numId w:val="1061"/>
        </w:numPr>
      </w:pPr>
      <w:r>
        <w:t xml:space="preserve">Marketing €10,000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Suggested KPIs:</w:t>
      </w:r>
    </w:p>
    <w:p>
      <w:pPr>
        <w:pStyle w:val="Compact"/>
        <w:numPr>
          <w:ilvl w:val="2"/>
          <w:numId w:val="1062"/>
        </w:numPr>
      </w:pPr>
      <w:r>
        <w:t xml:space="preserve">Development milestone adherence (target: 90% of milestones met on time)</w:t>
      </w:r>
    </w:p>
    <w:p>
      <w:pPr>
        <w:pStyle w:val="Compact"/>
        <w:numPr>
          <w:ilvl w:val="2"/>
          <w:numId w:val="1062"/>
        </w:numPr>
      </w:pPr>
      <w:r>
        <w:t xml:space="preserve">Beta tester satisfaction score (target: 8/10 average rating)</w:t>
      </w:r>
    </w:p>
    <w:p>
      <w:pPr>
        <w:pStyle w:val="Compact"/>
        <w:numPr>
          <w:ilvl w:val="2"/>
          <w:numId w:val="1062"/>
        </w:numPr>
      </w:pPr>
      <w:r>
        <w:t xml:space="preserve">Pre-launch commitments (target: 20 clients registered for launch)</w:t>
      </w:r>
    </w:p>
    <w:bookmarkEnd w:id="21"/>
    <w:bookmarkStart w:id="22" w:name="implementation-approach"/>
    <w:p>
      <w:pPr>
        <w:pStyle w:val="Heading2"/>
      </w:pPr>
      <w:r>
        <w:t xml:space="preserve">Implementation Approach</w:t>
      </w:r>
    </w:p>
    <w:p>
      <w:pPr>
        <w:pStyle w:val="FirstParagraph"/>
      </w:pPr>
      <w:r>
        <w:t xml:space="preserve">Projects are organized into three implementation waves to balance resources and address dependencies:</w:t>
      </w:r>
    </w:p>
    <w:p>
      <w:pPr>
        <w:pStyle w:val="BodyText"/>
      </w:pPr>
      <w:r>
        <w:rPr>
          <w:b/>
          <w:bCs/>
        </w:rPr>
        <w:t xml:space="preserve">Wave 1 (Q1-Q2 2025) - Foundation Building:</w:t>
      </w:r>
      <w:r>
        <w:t xml:space="preserve"> </w:t>
      </w:r>
      <w:r>
        <w:t xml:space="preserve">* Licensing Business Model (Score: 4.6)</w:t>
      </w:r>
      <w:r>
        <w:t xml:space="preserve"> </w:t>
      </w:r>
      <w:r>
        <w:t xml:space="preserve">* Expansion Playbook Development (Score: 4.4)</w:t>
      </w:r>
      <w:r>
        <w:t xml:space="preserve"> </w:t>
      </w:r>
      <w:r>
        <w:t xml:space="preserve">* DAM Implementation &amp; Utilization (Score: 4.2)</w:t>
      </w:r>
      <w:r>
        <w:t xml:space="preserve"> </w:t>
      </w:r>
      <w:r>
        <w:t xml:space="preserve">* New Locations Expansion - Paris &amp; Shanghai (Score: 4.0)</w:t>
      </w:r>
      <w:r>
        <w:t xml:space="preserve"> </w:t>
      </w:r>
      <w:r>
        <w:t xml:space="preserve">* Workflow Digitalization and Automation (Score: 3.8)</w:t>
      </w:r>
    </w:p>
    <w:p>
      <w:pPr>
        <w:pStyle w:val="BodyText"/>
      </w:pPr>
      <w:r>
        <w:rPr>
          <w:b/>
          <w:bCs/>
        </w:rPr>
        <w:t xml:space="preserve">Wave 2 (Q2-Q3 2025) - Experience Enhancement:</w:t>
      </w:r>
      <w:r>
        <w:t xml:space="preserve"> </w:t>
      </w:r>
      <w:r>
        <w:t xml:space="preserve">* Pekka Worlds Game Concept Licensing (Score: 3.6)</w:t>
      </w:r>
      <w:r>
        <w:t xml:space="preserve"> </w:t>
      </w:r>
      <w:r>
        <w:t xml:space="preserve">* Gallery and Virtual Exhibitions (Score: 3.4)</w:t>
      </w:r>
      <w:r>
        <w:t xml:space="preserve"> </w:t>
      </w:r>
      <w:r>
        <w:t xml:space="preserve">* Brand x Artist Collaboration Program (Score: 3.2)</w:t>
      </w:r>
      <w:r>
        <w:t xml:space="preserve"> </w:t>
      </w:r>
      <w:r>
        <w:t xml:space="preserve">* Marlo &amp; Pekka Restaurant-Gallery Concept (Score: 3.0)</w:t>
      </w:r>
    </w:p>
    <w:p>
      <w:pPr>
        <w:pStyle w:val="BodyText"/>
      </w:pPr>
      <w:r>
        <w:rPr>
          <w:b/>
          <w:bCs/>
        </w:rPr>
        <w:t xml:space="preserve">Wave 3 (Q3 2025-Q1 2026) - Scale &amp; Innovation:</w:t>
      </w:r>
      <w:r>
        <w:t xml:space="preserve"> </w:t>
      </w:r>
      <w:r>
        <w:t xml:space="preserve">* Additional City Expansions (Score: 3.2)</w:t>
      </w:r>
      <w:r>
        <w:t xml:space="preserve"> </w:t>
      </w:r>
      <w:r>
        <w:t xml:space="preserve">* AI Style Adaptation Project (Score: 3.0)</w:t>
      </w:r>
      <w:r>
        <w:t xml:space="preserve"> </w:t>
      </w:r>
      <w:r>
        <w:t xml:space="preserve">* Licensing Platform SaaS (Score: 2.8)</w:t>
      </w:r>
    </w:p>
    <w:p>
      <w:pPr>
        <w:pStyle w:val="BodyText"/>
      </w:pPr>
      <w:r>
        <w:t xml:space="preserve">This phased implementation approach ensures proper sequencing based on both priority scores and dependencies between projects, creating a logical progression from foundational initiatives to more complex and resource-intensive endeavors.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2025-03-21T10:37:56Z</dcterms:created>
  <dcterms:modified xsi:type="dcterms:W3CDTF">2025-03-21T10:37:56Z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