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71496A3D" w:rsidR="00193B44" w:rsidRPr="00C53E7F" w:rsidRDefault="00C53E7F" w:rsidP="00C53E7F">
      <w:r>
        <w:rPr>
          <w:rFonts w:ascii="Arial" w:hAnsi="Arial" w:cs="Arial"/>
          <w:b/>
          <w:bCs/>
          <w:color w:val="333333"/>
          <w:shd w:val="clear" w:color="auto" w:fill="FFFFFF"/>
        </w:rPr>
        <w:t>Suggested SQL Server Videos</w:t>
      </w:r>
      <w:r>
        <w:rPr>
          <w:rFonts w:ascii="Arial" w:hAnsi="Arial" w:cs="Arial"/>
          <w:color w:val="333333"/>
        </w:rPr>
        <w:br/>
      </w:r>
      <w:hyperlink r:id="rId6" w:history="1">
        <w:r>
          <w:rPr>
            <w:rStyle w:val="Hyperlink"/>
            <w:rFonts w:ascii="Arial" w:hAnsi="Arial" w:cs="Arial"/>
            <w:color w:val="771100"/>
            <w:shd w:val="clear" w:color="auto" w:fill="FFFFFF"/>
          </w:rPr>
          <w:t>Part 57 - Transactions in SQL Server</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A transaction is a group of database commands that are treated as a single unit. A successful transaction must pass the "ACID" test, that is, it must be </w:t>
      </w:r>
      <w:r>
        <w:rPr>
          <w:rFonts w:ascii="Arial" w:hAnsi="Arial" w:cs="Arial"/>
          <w:color w:val="333333"/>
          <w:shd w:val="clear" w:color="auto" w:fill="FFFFFF"/>
        </w:rPr>
        <w:br/>
        <w:t>A - Atomic </w:t>
      </w:r>
      <w:r>
        <w:rPr>
          <w:rFonts w:ascii="Arial" w:hAnsi="Arial" w:cs="Arial"/>
          <w:color w:val="333333"/>
          <w:shd w:val="clear" w:color="auto" w:fill="FFFFFF"/>
        </w:rPr>
        <w:br/>
        <w:t>C - Consistent </w:t>
      </w:r>
      <w:r>
        <w:rPr>
          <w:rFonts w:ascii="Arial" w:hAnsi="Arial" w:cs="Arial"/>
          <w:color w:val="333333"/>
          <w:shd w:val="clear" w:color="auto" w:fill="FFFFFF"/>
        </w:rPr>
        <w:br/>
        <w:t>I - Isolated </w:t>
      </w:r>
      <w:r>
        <w:rPr>
          <w:rFonts w:ascii="Arial" w:hAnsi="Arial" w:cs="Arial"/>
          <w:color w:val="333333"/>
          <w:shd w:val="clear" w:color="auto" w:fill="FFFFFF"/>
        </w:rPr>
        <w:br/>
        <w:t>D - Durable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Atomic</w:t>
      </w:r>
      <w:r>
        <w:rPr>
          <w:rFonts w:ascii="Arial" w:hAnsi="Arial" w:cs="Arial"/>
          <w:color w:val="333333"/>
          <w:shd w:val="clear" w:color="auto" w:fill="FFFFFF"/>
        </w:rPr>
        <w:t> - All statements in the transaction either completed successfully or they were all rolled back. The task that the set of operations represents is either accomplished or not, but in any case not left half-done. For example, in the </w:t>
      </w:r>
      <w:r>
        <w:rPr>
          <w:rFonts w:ascii="Arial" w:hAnsi="Arial" w:cs="Arial"/>
          <w:b/>
          <w:bCs/>
          <w:color w:val="333333"/>
          <w:shd w:val="clear" w:color="auto" w:fill="FFFFFF"/>
        </w:rPr>
        <w:t>spUpdateInventory_and_Sell</w:t>
      </w:r>
      <w:r>
        <w:rPr>
          <w:rFonts w:ascii="Arial" w:hAnsi="Arial" w:cs="Arial"/>
          <w:color w:val="333333"/>
          <w:shd w:val="clear" w:color="auto" w:fill="FFFFFF"/>
        </w:rPr>
        <w:t>stored procedure, both the UPDATE statements, should succeed. If one UPDATE statement succeeds and the other UPDATE statement fails, the database should undo the change made by the first UPDATE statement, by rolling it back. In short, the transaction should be ATOMIC.</w:t>
      </w:r>
      <w:r>
        <w:rPr>
          <w:rFonts w:ascii="Arial" w:hAnsi="Arial" w:cs="Arial"/>
          <w:color w:val="333333"/>
        </w:rPr>
        <w:br/>
      </w:r>
      <w:r>
        <w:rPr>
          <w:rFonts w:ascii="Arial" w:hAnsi="Arial" w:cs="Arial"/>
          <w:color w:val="333333"/>
        </w:rPr>
        <w:br/>
      </w:r>
      <w:r>
        <w:rPr>
          <w:noProof/>
        </w:rPr>
        <w:drawing>
          <wp:inline distT="0" distB="0" distL="0" distR="0" wp14:anchorId="7519D389" wp14:editId="083195B8">
            <wp:extent cx="3476625" cy="1057275"/>
            <wp:effectExtent l="0" t="0" r="9525" b="9525"/>
            <wp:docPr id="2" name="Picture 2" descr="http://2.bp.blogspot.com/-zyFFHMFYjxE/UHHaNX3IhYI/AAAAAAAAAjo/6yErrvzCHPE/s1600/tbl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zyFFHMFYjxE/UHHaNX3IhYI/AAAAAAAAAjo/6yErrvzCHPE/s1600/tblProd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0572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noProof/>
        </w:rPr>
        <w:drawing>
          <wp:inline distT="0" distB="0" distL="0" distR="0" wp14:anchorId="7AD51AD0" wp14:editId="468EFEA2">
            <wp:extent cx="3143250" cy="1038225"/>
            <wp:effectExtent l="0" t="0" r="0" b="9525"/>
            <wp:docPr id="1" name="Picture 1" descr="http://3.bp.blogspot.com/-Tderp4WTj8o/UHHau1B5F9I/AAAAAAAAAjw/F72gT_C-dzg/s1600/tblProduct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Tderp4WTj8o/UHHau1B5F9I/AAAAAAAAAjw/F72gT_C-dzg/s1600/tblProductS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03822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spUpdateInventory_and_Sell</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0000FF"/>
          <w:shd w:val="clear" w:color="auto" w:fill="FFFFFF"/>
        </w:rPr>
        <w:t>  Begin Try</w:t>
      </w:r>
      <w:r>
        <w:rPr>
          <w:rFonts w:ascii="Arial" w:hAnsi="Arial" w:cs="Arial"/>
          <w:color w:val="333333"/>
        </w:rPr>
        <w:br/>
      </w:r>
      <w:r>
        <w:rPr>
          <w:rFonts w:ascii="Arial" w:hAnsi="Arial" w:cs="Arial"/>
          <w:color w:val="0000FF"/>
          <w:shd w:val="clear" w:color="auto" w:fill="FFFFFF"/>
        </w:rPr>
        <w:t>    Begin Transaction</w:t>
      </w:r>
      <w:r>
        <w:rPr>
          <w:rFonts w:ascii="Arial" w:hAnsi="Arial" w:cs="Arial"/>
          <w:color w:val="333333"/>
        </w:rPr>
        <w:br/>
      </w:r>
      <w:r>
        <w:rPr>
          <w:rFonts w:ascii="Arial" w:hAnsi="Arial" w:cs="Arial"/>
          <w:color w:val="0000FF"/>
          <w:shd w:val="clear" w:color="auto" w:fill="FFFFFF"/>
        </w:rPr>
        <w:t>      Update</w:t>
      </w:r>
      <w:r>
        <w:rPr>
          <w:rFonts w:ascii="Arial" w:hAnsi="Arial" w:cs="Arial"/>
          <w:color w:val="333333"/>
          <w:shd w:val="clear" w:color="auto" w:fill="FFFFFF"/>
        </w:rPr>
        <w:t> tblProduct </w:t>
      </w:r>
      <w:r>
        <w:rPr>
          <w:rFonts w:ascii="Arial" w:hAnsi="Arial" w:cs="Arial"/>
          <w:color w:val="0000FF"/>
          <w:shd w:val="clear" w:color="auto" w:fill="FFFFFF"/>
        </w:rPr>
        <w:t>set </w:t>
      </w:r>
      <w:r>
        <w:rPr>
          <w:rFonts w:ascii="Arial" w:hAnsi="Arial" w:cs="Arial"/>
          <w:color w:val="333333"/>
          <w:shd w:val="clear" w:color="auto" w:fill="FFFFFF"/>
        </w:rPr>
        <w:t>QtyAvailable = (QtyAvailable - 10)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ProductId = 1</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Insert into</w:t>
      </w:r>
      <w:r>
        <w:rPr>
          <w:rFonts w:ascii="Arial" w:hAnsi="Arial" w:cs="Arial"/>
          <w:color w:val="333333"/>
          <w:shd w:val="clear" w:color="auto" w:fill="FFFFFF"/>
        </w:rPr>
        <w:t> tblProductSales </w:t>
      </w:r>
      <w:r>
        <w:rPr>
          <w:rFonts w:ascii="Arial" w:hAnsi="Arial" w:cs="Arial"/>
          <w:color w:val="0000FF"/>
          <w:shd w:val="clear" w:color="auto" w:fill="FFFFFF"/>
        </w:rPr>
        <w:t>values</w:t>
      </w:r>
      <w:r>
        <w:rPr>
          <w:rFonts w:ascii="Arial" w:hAnsi="Arial" w:cs="Arial"/>
          <w:color w:val="333333"/>
          <w:shd w:val="clear" w:color="auto" w:fill="FFFFFF"/>
        </w:rPr>
        <w:t>(3, 1, 10)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Commit Transaction</w:t>
      </w:r>
      <w:r>
        <w:rPr>
          <w:rFonts w:ascii="Arial" w:hAnsi="Arial" w:cs="Arial"/>
          <w:color w:val="333333"/>
        </w:rPr>
        <w:br/>
      </w:r>
      <w:r>
        <w:rPr>
          <w:rFonts w:ascii="Arial" w:hAnsi="Arial" w:cs="Arial"/>
          <w:color w:val="0000FF"/>
          <w:shd w:val="clear" w:color="auto" w:fill="FFFFFF"/>
        </w:rPr>
        <w:t>  End Try</w:t>
      </w:r>
      <w:r>
        <w:rPr>
          <w:rFonts w:ascii="Arial" w:hAnsi="Arial" w:cs="Arial"/>
          <w:color w:val="333333"/>
        </w:rPr>
        <w:br/>
      </w:r>
      <w:r>
        <w:rPr>
          <w:rFonts w:ascii="Arial" w:hAnsi="Arial" w:cs="Arial"/>
          <w:color w:val="0000FF"/>
          <w:shd w:val="clear" w:color="auto" w:fill="FFFFFF"/>
        </w:rPr>
        <w:t>  Begin Catch</w:t>
      </w:r>
      <w:r>
        <w:rPr>
          <w:rStyle w:val="apple-tab-span"/>
          <w:rFonts w:ascii="Arial" w:hAnsi="Arial" w:cs="Arial"/>
          <w:color w:val="0000FF"/>
          <w:shd w:val="clear" w:color="auto" w:fill="FFFFFF"/>
        </w:rPr>
        <w:t xml:space="preserve"> </w:t>
      </w:r>
      <w:r>
        <w:rPr>
          <w:rFonts w:ascii="Arial" w:hAnsi="Arial" w:cs="Arial"/>
          <w:color w:val="333333"/>
        </w:rPr>
        <w:br/>
      </w:r>
      <w:r>
        <w:rPr>
          <w:rFonts w:ascii="Arial" w:hAnsi="Arial" w:cs="Arial"/>
          <w:color w:val="0000FF"/>
          <w:shd w:val="clear" w:color="auto" w:fill="FFFFFF"/>
        </w:rPr>
        <w:t>    Rollback Transaction</w:t>
      </w:r>
      <w:r>
        <w:rPr>
          <w:rFonts w:ascii="Arial" w:hAnsi="Arial" w:cs="Arial"/>
          <w:color w:val="333333"/>
        </w:rPr>
        <w:br/>
      </w:r>
      <w:r>
        <w:rPr>
          <w:rFonts w:ascii="Arial" w:hAnsi="Arial" w:cs="Arial"/>
          <w:color w:val="0000FF"/>
          <w:shd w:val="clear" w:color="auto" w:fill="FFFFFF"/>
        </w:rPr>
        <w:t>  End Catch</w:t>
      </w:r>
      <w:r>
        <w:rPr>
          <w:rStyle w:val="apple-tab-span"/>
          <w:rFonts w:ascii="Arial" w:hAnsi="Arial" w:cs="Arial"/>
          <w:color w:val="0000FF"/>
          <w:shd w:val="clear" w:color="auto" w:fill="FFFFFF"/>
        </w:rPr>
        <w:t xml:space="preserve"> </w:t>
      </w:r>
      <w:r>
        <w:rPr>
          <w:rFonts w:ascii="Arial" w:hAnsi="Arial" w:cs="Arial"/>
          <w:color w:val="333333"/>
        </w:rPr>
        <w:br/>
      </w:r>
      <w:r>
        <w:rPr>
          <w:rFonts w:ascii="Arial" w:hAnsi="Arial" w:cs="Arial"/>
          <w:color w:val="0000FF"/>
          <w:shd w:val="clear" w:color="auto" w:fill="FFFFFF"/>
        </w:rPr>
        <w:t>End</w:t>
      </w:r>
      <w:r>
        <w:rPr>
          <w:rFonts w:ascii="Arial" w:hAnsi="Arial" w:cs="Arial"/>
          <w:color w:val="333333"/>
          <w:shd w:val="clear" w:color="auto" w:fill="FFFFFF"/>
        </w:rPr>
        <w:t> </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Consistent</w:t>
      </w:r>
      <w:r>
        <w:rPr>
          <w:rFonts w:ascii="Arial" w:hAnsi="Arial" w:cs="Arial"/>
          <w:color w:val="333333"/>
          <w:shd w:val="clear" w:color="auto" w:fill="FFFFFF"/>
        </w:rPr>
        <w:t> - All data touched by the transaction is left in a </w:t>
      </w:r>
      <w:r>
        <w:rPr>
          <w:rFonts w:ascii="Arial" w:hAnsi="Arial" w:cs="Arial"/>
          <w:b/>
          <w:bCs/>
          <w:color w:val="333333"/>
          <w:shd w:val="clear" w:color="auto" w:fill="FFFFFF"/>
        </w:rPr>
        <w:t>logically consistent state</w:t>
      </w:r>
      <w:r>
        <w:rPr>
          <w:rFonts w:ascii="Arial" w:hAnsi="Arial" w:cs="Arial"/>
          <w:color w:val="333333"/>
          <w:shd w:val="clear" w:color="auto" w:fill="FFFFFF"/>
        </w:rPr>
        <w:t>. For example, if stock available numbers are decremented from </w:t>
      </w:r>
      <w:r>
        <w:rPr>
          <w:rFonts w:ascii="Arial" w:hAnsi="Arial" w:cs="Arial"/>
          <w:b/>
          <w:bCs/>
          <w:color w:val="333333"/>
          <w:shd w:val="clear" w:color="auto" w:fill="FFFFFF"/>
        </w:rPr>
        <w:t>tblProductTable</w:t>
      </w:r>
      <w:r>
        <w:rPr>
          <w:rFonts w:ascii="Arial" w:hAnsi="Arial" w:cs="Arial"/>
          <w:color w:val="333333"/>
          <w:shd w:val="clear" w:color="auto" w:fill="FFFFFF"/>
        </w:rPr>
        <w:t>, then, there has to be a related entry in </w:t>
      </w:r>
      <w:r>
        <w:rPr>
          <w:rFonts w:ascii="Arial" w:hAnsi="Arial" w:cs="Arial"/>
          <w:b/>
          <w:bCs/>
          <w:color w:val="333333"/>
          <w:shd w:val="clear" w:color="auto" w:fill="FFFFFF"/>
        </w:rPr>
        <w:t>tblProductSales</w:t>
      </w:r>
      <w:r>
        <w:rPr>
          <w:rFonts w:ascii="Arial" w:hAnsi="Arial" w:cs="Arial"/>
          <w:color w:val="333333"/>
          <w:shd w:val="clear" w:color="auto" w:fill="FFFFFF"/>
        </w:rPr>
        <w:t> table. The inventory can't just disappear.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Isolated</w:t>
      </w:r>
      <w:r>
        <w:rPr>
          <w:rFonts w:ascii="Arial" w:hAnsi="Arial" w:cs="Arial"/>
          <w:color w:val="333333"/>
          <w:shd w:val="clear" w:color="auto" w:fill="FFFFFF"/>
        </w:rPr>
        <w:t> - The transaction must affect data without interfering with other concurrent transactions, or being interfered with by them. This prevents transactions from making changes to data based on uncommitted information, for example changes to a record that are subsequently rolled back. </w:t>
      </w:r>
      <w:r>
        <w:rPr>
          <w:rFonts w:ascii="Arial" w:hAnsi="Arial" w:cs="Arial"/>
          <w:b/>
          <w:bCs/>
          <w:color w:val="333333"/>
          <w:shd w:val="clear" w:color="auto" w:fill="FFFFFF"/>
        </w:rPr>
        <w:t>Most databases use locking to maintain transaction isolation</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Durable</w:t>
      </w:r>
      <w:r>
        <w:rPr>
          <w:rFonts w:ascii="Arial" w:hAnsi="Arial" w:cs="Arial"/>
          <w:color w:val="333333"/>
          <w:shd w:val="clear" w:color="auto" w:fill="FFFFFF"/>
        </w:rPr>
        <w:t> - Once a change is made, it is permanent. If a system error or power failure occurs before a set of commands is complete, those commands are undone and the data is restored to its original state once the system begins running again.</w:t>
      </w:r>
      <w:bookmarkStart w:id="0" w:name="_GoBack"/>
      <w:bookmarkEnd w:id="0"/>
    </w:p>
    <w:sectPr w:rsidR="00193B44" w:rsidRPr="00C53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DA80E" w14:textId="77777777" w:rsidR="00CC2C54" w:rsidRDefault="00CC2C54" w:rsidP="00A2070E">
      <w:pPr>
        <w:spacing w:after="0" w:line="240" w:lineRule="auto"/>
      </w:pPr>
      <w:r>
        <w:separator/>
      </w:r>
    </w:p>
  </w:endnote>
  <w:endnote w:type="continuationSeparator" w:id="0">
    <w:p w14:paraId="28E9E44C" w14:textId="77777777" w:rsidR="00CC2C54" w:rsidRDefault="00CC2C54"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1900A" w14:textId="77777777" w:rsidR="00CC2C54" w:rsidRDefault="00CC2C54" w:rsidP="00A2070E">
      <w:pPr>
        <w:spacing w:after="0" w:line="240" w:lineRule="auto"/>
      </w:pPr>
      <w:r>
        <w:separator/>
      </w:r>
    </w:p>
  </w:footnote>
  <w:footnote w:type="continuationSeparator" w:id="0">
    <w:p w14:paraId="05E04B2F" w14:textId="77777777" w:rsidR="00CC2C54" w:rsidRDefault="00CC2C54"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74D6B"/>
    <w:rsid w:val="001C4C05"/>
    <w:rsid w:val="001D0662"/>
    <w:rsid w:val="001D25AC"/>
    <w:rsid w:val="001D491E"/>
    <w:rsid w:val="001F1F9E"/>
    <w:rsid w:val="00205784"/>
    <w:rsid w:val="002267DD"/>
    <w:rsid w:val="00226D0A"/>
    <w:rsid w:val="00255966"/>
    <w:rsid w:val="00267C20"/>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E3BD2"/>
    <w:rsid w:val="004F364B"/>
    <w:rsid w:val="00511D4D"/>
    <w:rsid w:val="00530CAE"/>
    <w:rsid w:val="00561B49"/>
    <w:rsid w:val="005746E0"/>
    <w:rsid w:val="00575E2D"/>
    <w:rsid w:val="005A6188"/>
    <w:rsid w:val="006074B8"/>
    <w:rsid w:val="00641AF6"/>
    <w:rsid w:val="00672BC1"/>
    <w:rsid w:val="00685EEC"/>
    <w:rsid w:val="006C210A"/>
    <w:rsid w:val="006F5E72"/>
    <w:rsid w:val="007075DF"/>
    <w:rsid w:val="00751271"/>
    <w:rsid w:val="0076313B"/>
    <w:rsid w:val="007942A4"/>
    <w:rsid w:val="007978AC"/>
    <w:rsid w:val="007B1938"/>
    <w:rsid w:val="007E402D"/>
    <w:rsid w:val="007F0B2A"/>
    <w:rsid w:val="0080472B"/>
    <w:rsid w:val="00805F25"/>
    <w:rsid w:val="00833A0B"/>
    <w:rsid w:val="00845FDC"/>
    <w:rsid w:val="008773FF"/>
    <w:rsid w:val="0088782B"/>
    <w:rsid w:val="008A5FB9"/>
    <w:rsid w:val="008B7C7F"/>
    <w:rsid w:val="008C312B"/>
    <w:rsid w:val="00903F58"/>
    <w:rsid w:val="009136A9"/>
    <w:rsid w:val="00932A27"/>
    <w:rsid w:val="00950ACC"/>
    <w:rsid w:val="00987087"/>
    <w:rsid w:val="0099136C"/>
    <w:rsid w:val="009A0F27"/>
    <w:rsid w:val="009D77FA"/>
    <w:rsid w:val="009E669C"/>
    <w:rsid w:val="00A01D41"/>
    <w:rsid w:val="00A024F4"/>
    <w:rsid w:val="00A2070E"/>
    <w:rsid w:val="00A26DDE"/>
    <w:rsid w:val="00A517C3"/>
    <w:rsid w:val="00AE6B94"/>
    <w:rsid w:val="00B31EB5"/>
    <w:rsid w:val="00B842F4"/>
    <w:rsid w:val="00BB51F5"/>
    <w:rsid w:val="00BC34D3"/>
    <w:rsid w:val="00BE0C7B"/>
    <w:rsid w:val="00C01D20"/>
    <w:rsid w:val="00C313C3"/>
    <w:rsid w:val="00C3560D"/>
    <w:rsid w:val="00C50695"/>
    <w:rsid w:val="00C51A45"/>
    <w:rsid w:val="00C53E7F"/>
    <w:rsid w:val="00C835BA"/>
    <w:rsid w:val="00CB1D18"/>
    <w:rsid w:val="00CC2C54"/>
    <w:rsid w:val="00CD545E"/>
    <w:rsid w:val="00D2671A"/>
    <w:rsid w:val="00D3668A"/>
    <w:rsid w:val="00D45976"/>
    <w:rsid w:val="00D653E1"/>
    <w:rsid w:val="00D6547A"/>
    <w:rsid w:val="00D66F14"/>
    <w:rsid w:val="00D8297E"/>
    <w:rsid w:val="00DA058A"/>
    <w:rsid w:val="00DD381F"/>
    <w:rsid w:val="00E725F9"/>
    <w:rsid w:val="00EB026D"/>
    <w:rsid w:val="00EC01CC"/>
    <w:rsid w:val="00EC1CC9"/>
    <w:rsid w:val="00EC79E3"/>
    <w:rsid w:val="00ED723C"/>
    <w:rsid w:val="00F065F7"/>
    <w:rsid w:val="00F20231"/>
    <w:rsid w:val="00F250C8"/>
    <w:rsid w:val="00F31740"/>
    <w:rsid w:val="00F52E29"/>
    <w:rsid w:val="00F531D2"/>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10/transactions-in-sql-server-part-57.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58</cp:revision>
  <dcterms:created xsi:type="dcterms:W3CDTF">2019-05-21T02:06:00Z</dcterms:created>
  <dcterms:modified xsi:type="dcterms:W3CDTF">2019-05-21T02:58:00Z</dcterms:modified>
</cp:coreProperties>
</file>