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2B4D8" w14:textId="77777777" w:rsidR="00C7305B" w:rsidRDefault="00C7305B" w:rsidP="00C7305B">
      <w:r>
        <w:rPr>
          <w:rFonts w:ascii="Arial" w:hAnsi="Arial" w:cs="Arial"/>
          <w:color w:val="333333"/>
          <w:shd w:val="clear" w:color="auto" w:fill="FFFFFF"/>
        </w:rPr>
        <w:t>In this video we will discuss the differences between snapshot isolation and read committed snapshot isolation in sql server. This is continuation to </w:t>
      </w:r>
      <w:hyperlink r:id="rId7" w:history="1">
        <w:r>
          <w:rPr>
            <w:rStyle w:val="Hyperlink"/>
            <w:rFonts w:ascii="Arial" w:hAnsi="Arial" w:cs="Arial"/>
            <w:color w:val="771100"/>
            <w:shd w:val="clear" w:color="auto" w:fill="FFFFFF"/>
          </w:rPr>
          <w:t>Parts 75</w:t>
        </w:r>
      </w:hyperlink>
      <w:r>
        <w:rPr>
          <w:rFonts w:ascii="Arial" w:hAnsi="Arial" w:cs="Arial"/>
          <w:color w:val="333333"/>
          <w:shd w:val="clear" w:color="auto" w:fill="FFFFFF"/>
        </w:rPr>
        <w:t> and </w:t>
      </w:r>
      <w:hyperlink r:id="rId8" w:history="1">
        <w:r>
          <w:rPr>
            <w:rStyle w:val="Hyperlink"/>
            <w:rFonts w:ascii="Arial" w:hAnsi="Arial" w:cs="Arial"/>
            <w:color w:val="771100"/>
            <w:shd w:val="clear" w:color="auto" w:fill="FFFFFF"/>
          </w:rPr>
          <w:t>76</w:t>
        </w:r>
      </w:hyperlink>
      <w:r>
        <w:rPr>
          <w:rFonts w:ascii="Arial" w:hAnsi="Arial" w:cs="Arial"/>
          <w:color w:val="333333"/>
          <w:shd w:val="clear" w:color="auto" w:fill="FFFFFF"/>
        </w:rPr>
        <w:t>. Please watch </w:t>
      </w:r>
      <w:hyperlink r:id="rId9" w:history="1">
        <w:r>
          <w:rPr>
            <w:rStyle w:val="Hyperlink"/>
            <w:rFonts w:ascii="Arial" w:hAnsi="Arial" w:cs="Arial"/>
            <w:color w:val="771100"/>
            <w:shd w:val="clear" w:color="auto" w:fill="FFFFFF"/>
          </w:rPr>
          <w:t>Part 75</w:t>
        </w:r>
      </w:hyperlink>
      <w:r>
        <w:rPr>
          <w:rFonts w:ascii="Arial" w:hAnsi="Arial" w:cs="Arial"/>
          <w:color w:val="333333"/>
          <w:shd w:val="clear" w:color="auto" w:fill="FFFFFF"/>
        </w:rPr>
        <w:t> and </w:t>
      </w:r>
      <w:hyperlink r:id="rId10" w:history="1">
        <w:r>
          <w:rPr>
            <w:rStyle w:val="Hyperlink"/>
            <w:rFonts w:ascii="Arial" w:hAnsi="Arial" w:cs="Arial"/>
            <w:color w:val="771100"/>
            <w:shd w:val="clear" w:color="auto" w:fill="FFFFFF"/>
          </w:rPr>
          <w:t>76</w:t>
        </w:r>
      </w:hyperlink>
      <w:r>
        <w:rPr>
          <w:rFonts w:ascii="Arial" w:hAnsi="Arial" w:cs="Arial"/>
          <w:color w:val="333333"/>
          <w:shd w:val="clear" w:color="auto" w:fill="FFFFFF"/>
        </w:rPr>
        <w:t> from </w:t>
      </w:r>
      <w:hyperlink r:id="rId11" w:history="1">
        <w:r>
          <w:rPr>
            <w:rStyle w:val="Hyperlink"/>
            <w:rFonts w:ascii="Arial" w:hAnsi="Arial" w:cs="Arial"/>
            <w:color w:val="771100"/>
            <w:shd w:val="clear" w:color="auto" w:fill="FFFFFF"/>
          </w:rPr>
          <w:t>SQL Server tutorial</w:t>
        </w:r>
      </w:hyperlink>
      <w:r>
        <w:rPr>
          <w:rFonts w:ascii="Arial" w:hAnsi="Arial" w:cs="Arial"/>
          <w:color w:val="333333"/>
          <w:shd w:val="clear" w:color="auto" w:fill="FFFFFF"/>
        </w:rPr>
        <w:t> before proceeding.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4911"/>
        <w:gridCol w:w="4433"/>
      </w:tblGrid>
      <w:tr w:rsidR="00C7305B" w14:paraId="2761CACE" w14:textId="77777777" w:rsidTr="00C7305B">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14:paraId="1EB09378" w14:textId="77777777" w:rsidR="00C7305B" w:rsidRDefault="00C7305B">
            <w:pPr>
              <w:rPr>
                <w:rFonts w:ascii="Arial" w:hAnsi="Arial" w:cs="Arial"/>
                <w:color w:val="333333"/>
              </w:rPr>
            </w:pPr>
            <w:r>
              <w:rPr>
                <w:rFonts w:ascii="Arial" w:hAnsi="Arial" w:cs="Arial"/>
                <w:b/>
                <w:bCs/>
                <w:color w:val="333333"/>
              </w:rPr>
              <w:t>Read Committed Snapshot Isolation</w:t>
            </w:r>
          </w:p>
        </w:tc>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14:paraId="771623A1" w14:textId="77777777" w:rsidR="00C7305B" w:rsidRDefault="00C7305B">
            <w:pPr>
              <w:rPr>
                <w:rFonts w:ascii="Arial" w:hAnsi="Arial" w:cs="Arial"/>
                <w:color w:val="333333"/>
              </w:rPr>
            </w:pPr>
            <w:r>
              <w:rPr>
                <w:rFonts w:ascii="Arial" w:hAnsi="Arial" w:cs="Arial"/>
                <w:b/>
                <w:bCs/>
                <w:color w:val="333333"/>
              </w:rPr>
              <w:t>Snapshot Isolation</w:t>
            </w:r>
          </w:p>
        </w:tc>
      </w:tr>
      <w:tr w:rsidR="00C7305B" w14:paraId="557C4139" w14:textId="77777777" w:rsidTr="00C73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AE094A" w14:textId="77777777" w:rsidR="00C7305B" w:rsidRDefault="00C7305B">
            <w:pPr>
              <w:rPr>
                <w:rFonts w:ascii="Arial" w:hAnsi="Arial" w:cs="Arial"/>
                <w:color w:val="333333"/>
              </w:rPr>
            </w:pPr>
            <w:r>
              <w:rPr>
                <w:rFonts w:ascii="Arial" w:hAnsi="Arial" w:cs="Arial"/>
                <w:color w:val="333333"/>
              </w:rPr>
              <w:t>No update conflicts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A74E86" w14:textId="77777777" w:rsidR="00C7305B" w:rsidRDefault="00C7305B">
            <w:pPr>
              <w:rPr>
                <w:rFonts w:ascii="Arial" w:hAnsi="Arial" w:cs="Arial"/>
                <w:color w:val="333333"/>
              </w:rPr>
            </w:pPr>
            <w:r>
              <w:rPr>
                <w:rFonts w:ascii="Arial" w:hAnsi="Arial" w:cs="Arial"/>
                <w:color w:val="333333"/>
              </w:rPr>
              <w:t>Vulnerable to update conflicts</w:t>
            </w:r>
          </w:p>
        </w:tc>
      </w:tr>
      <w:tr w:rsidR="00C7305B" w14:paraId="3BA3B147" w14:textId="77777777" w:rsidTr="00C73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DEF9AE" w14:textId="77777777" w:rsidR="00C7305B" w:rsidRDefault="00C7305B">
            <w:pPr>
              <w:rPr>
                <w:rFonts w:ascii="Arial" w:hAnsi="Arial" w:cs="Arial"/>
                <w:color w:val="333333"/>
              </w:rPr>
            </w:pPr>
            <w:r>
              <w:rPr>
                <w:rFonts w:ascii="Arial" w:hAnsi="Arial" w:cs="Arial"/>
                <w:color w:val="333333"/>
              </w:rPr>
              <w:t>Works with existing applications without requiring any change to the application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1D571B" w14:textId="77777777" w:rsidR="00C7305B" w:rsidRDefault="00C7305B">
            <w:pPr>
              <w:rPr>
                <w:rFonts w:ascii="Arial" w:hAnsi="Arial" w:cs="Arial"/>
                <w:color w:val="333333"/>
              </w:rPr>
            </w:pPr>
            <w:r>
              <w:rPr>
                <w:rFonts w:ascii="Arial" w:hAnsi="Arial" w:cs="Arial"/>
                <w:color w:val="333333"/>
              </w:rPr>
              <w:t>Application change may be required to use with an existing application</w:t>
            </w:r>
          </w:p>
        </w:tc>
      </w:tr>
      <w:tr w:rsidR="00C7305B" w14:paraId="6A29C26F" w14:textId="77777777" w:rsidTr="00C73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D4BE0C" w14:textId="77777777" w:rsidR="00C7305B" w:rsidRDefault="00C7305B">
            <w:pPr>
              <w:rPr>
                <w:rFonts w:ascii="Arial" w:hAnsi="Arial" w:cs="Arial"/>
                <w:color w:val="333333"/>
              </w:rPr>
            </w:pPr>
            <w:r>
              <w:rPr>
                <w:rFonts w:ascii="Arial" w:hAnsi="Arial" w:cs="Arial"/>
                <w:color w:val="333333"/>
              </w:rPr>
              <w:t>Can be used with distributed transactions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8B9040" w14:textId="77777777" w:rsidR="00C7305B" w:rsidRDefault="00C7305B">
            <w:pPr>
              <w:rPr>
                <w:rFonts w:ascii="Arial" w:hAnsi="Arial" w:cs="Arial"/>
                <w:color w:val="333333"/>
              </w:rPr>
            </w:pPr>
            <w:r>
              <w:rPr>
                <w:rFonts w:ascii="Arial" w:hAnsi="Arial" w:cs="Arial"/>
                <w:color w:val="333333"/>
              </w:rPr>
              <w:t>Cannot be used with distributed transactions</w:t>
            </w:r>
          </w:p>
        </w:tc>
      </w:tr>
      <w:tr w:rsidR="00C7305B" w14:paraId="7D2A9CB2" w14:textId="77777777" w:rsidTr="00C73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151EB3" w14:textId="77777777" w:rsidR="00C7305B" w:rsidRDefault="00C7305B">
            <w:pPr>
              <w:rPr>
                <w:rFonts w:ascii="Arial" w:hAnsi="Arial" w:cs="Arial"/>
                <w:color w:val="333333"/>
              </w:rPr>
            </w:pPr>
            <w:r>
              <w:rPr>
                <w:rFonts w:ascii="Arial" w:hAnsi="Arial" w:cs="Arial"/>
                <w:color w:val="333333"/>
              </w:rPr>
              <w:t>Provides statement-level read consistency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4794F7" w14:textId="77777777" w:rsidR="00C7305B" w:rsidRDefault="00C7305B">
            <w:pPr>
              <w:rPr>
                <w:rFonts w:ascii="Arial" w:hAnsi="Arial" w:cs="Arial"/>
                <w:color w:val="333333"/>
              </w:rPr>
            </w:pPr>
            <w:r>
              <w:rPr>
                <w:rFonts w:ascii="Arial" w:hAnsi="Arial" w:cs="Arial"/>
                <w:color w:val="333333"/>
              </w:rPr>
              <w:t>Provides transaction-level read consistency</w:t>
            </w:r>
          </w:p>
        </w:tc>
      </w:tr>
    </w:tbl>
    <w:p w14:paraId="66CA581D" w14:textId="1802B121" w:rsidR="00C7305B" w:rsidRDefault="00C7305B" w:rsidP="00C7305B">
      <w:pPr>
        <w:rPr>
          <w:rFonts w:ascii="Times New Roman" w:hAnsi="Times New Roman" w:cs="Times New Roman"/>
          <w:sz w:val="24"/>
          <w:szCs w:val="24"/>
        </w:rPr>
      </w:pPr>
      <w:r>
        <w:rPr>
          <w:rFonts w:ascii="Arial" w:hAnsi="Arial" w:cs="Arial"/>
          <w:color w:val="333333"/>
        </w:rPr>
        <w:br/>
      </w:r>
      <w:r>
        <w:rPr>
          <w:rFonts w:ascii="Arial" w:hAnsi="Arial" w:cs="Arial"/>
          <w:b/>
          <w:bCs/>
          <w:color w:val="333333"/>
          <w:shd w:val="clear" w:color="auto" w:fill="FFFFFF"/>
        </w:rPr>
        <w:t>Update conflicts :</w:t>
      </w:r>
      <w:r>
        <w:rPr>
          <w:rFonts w:ascii="Arial" w:hAnsi="Arial" w:cs="Arial"/>
          <w:color w:val="333333"/>
          <w:shd w:val="clear" w:color="auto" w:fill="FFFFFF"/>
        </w:rPr>
        <w:t> Snapshot isolation is vulnerable to update conflicts where as Read Committed Snapshot Isolation is not. When a transaction running under snapshot isolation triess to update data that an another transaction is already updating at the sametime, an update conflict occurs and the transaction terminates and rolls back with an error.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We will use the following table tblInventory in this demo</w:t>
      </w:r>
      <w:r>
        <w:rPr>
          <w:rFonts w:ascii="Arial" w:hAnsi="Arial" w:cs="Arial"/>
          <w:color w:val="333333"/>
          <w:shd w:val="clear" w:color="auto" w:fill="FFFFFF"/>
        </w:rPr>
        <w:t> </w:t>
      </w:r>
      <w:r>
        <w:rPr>
          <w:rFonts w:ascii="Arial" w:hAnsi="Arial" w:cs="Arial"/>
          <w:color w:val="333333"/>
        </w:rPr>
        <w:br/>
      </w:r>
      <w:r>
        <w:rPr>
          <w:noProof/>
        </w:rPr>
        <w:drawing>
          <wp:inline distT="0" distB="0" distL="0" distR="0" wp14:anchorId="13708C8F" wp14:editId="28FD49BD">
            <wp:extent cx="2162175" cy="523875"/>
            <wp:effectExtent l="0" t="0" r="9525" b="9525"/>
            <wp:docPr id="3" name="Picture 3" descr="Read committed snapshot isolation leve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committed snapshot isolation level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2175" cy="52387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Enable Snapshot Isolation for the SampleDB database using the following command</w:t>
      </w:r>
    </w:p>
    <w:p w14:paraId="7BA34FAF" w14:textId="77777777" w:rsidR="00C7305B" w:rsidRDefault="00C7305B" w:rsidP="00C7305B">
      <w:pPr>
        <w:shd w:val="clear" w:color="auto" w:fill="FFFFFF"/>
        <w:rPr>
          <w:rFonts w:ascii="Arial" w:hAnsi="Arial" w:cs="Arial"/>
          <w:color w:val="333333"/>
        </w:rPr>
      </w:pPr>
      <w:r>
        <w:rPr>
          <w:rFonts w:ascii="Arial" w:hAnsi="Arial" w:cs="Arial"/>
          <w:color w:val="0000FF"/>
        </w:rPr>
        <w:t>Alter</w:t>
      </w:r>
      <w:r>
        <w:rPr>
          <w:rFonts w:ascii="Arial" w:hAnsi="Arial" w:cs="Arial"/>
          <w:color w:val="333333"/>
        </w:rPr>
        <w:t> </w:t>
      </w:r>
      <w:r>
        <w:rPr>
          <w:rFonts w:ascii="Arial" w:hAnsi="Arial" w:cs="Arial"/>
          <w:color w:val="0000FF"/>
        </w:rPr>
        <w:t>database</w:t>
      </w:r>
      <w:r>
        <w:rPr>
          <w:rFonts w:ascii="Arial" w:hAnsi="Arial" w:cs="Arial"/>
          <w:color w:val="333333"/>
        </w:rPr>
        <w:t> SampleDB </w:t>
      </w:r>
      <w:r>
        <w:rPr>
          <w:rFonts w:ascii="Arial" w:hAnsi="Arial" w:cs="Arial"/>
          <w:color w:val="0000FF"/>
        </w:rPr>
        <w:t>SET</w:t>
      </w:r>
      <w:r>
        <w:rPr>
          <w:rFonts w:ascii="Arial" w:hAnsi="Arial" w:cs="Arial"/>
          <w:color w:val="333333"/>
        </w:rPr>
        <w:t> </w:t>
      </w:r>
      <w:r>
        <w:rPr>
          <w:rFonts w:ascii="Arial" w:hAnsi="Arial" w:cs="Arial"/>
          <w:color w:val="0000FF"/>
        </w:rPr>
        <w:t>ALLOW_SNAPSHOT_ISOLATION</w:t>
      </w:r>
      <w:r>
        <w:rPr>
          <w:rFonts w:ascii="Arial" w:hAnsi="Arial" w:cs="Arial"/>
          <w:color w:val="333333"/>
        </w:rPr>
        <w:t> </w:t>
      </w:r>
      <w:r>
        <w:rPr>
          <w:rFonts w:ascii="Arial" w:hAnsi="Arial" w:cs="Arial"/>
          <w:color w:val="0000FF"/>
        </w:rPr>
        <w:t>ON</w:t>
      </w:r>
    </w:p>
    <w:p w14:paraId="4334F625" w14:textId="77777777" w:rsidR="00C7305B" w:rsidRDefault="00C7305B" w:rsidP="00C7305B">
      <w:pPr>
        <w:rPr>
          <w:rFonts w:ascii="Times New Roman" w:hAnsi="Times New Roman" w:cs="Times New Roman"/>
          <w:sz w:val="24"/>
          <w:szCs w:val="24"/>
        </w:rPr>
      </w:pPr>
      <w:r>
        <w:rPr>
          <w:rFonts w:ascii="Arial" w:hAnsi="Arial" w:cs="Arial"/>
          <w:color w:val="333333"/>
          <w:shd w:val="clear" w:color="auto" w:fill="FFFFFF"/>
        </w:rPr>
        <w:br/>
        <w:t>Open 2 instances of SQL Server Management studio. From the first window execute Transaction 1 code and from the second window execute Transaction 2 code. Notice that Transaction 2 is blocked until Transaction 1 is completed. When Transaction 1 completes, Transaction 2 raises an update conflict and the transaction terminates and rolls back with an error. </w:t>
      </w:r>
      <w:r>
        <w:rPr>
          <w:rFonts w:ascii="Arial" w:hAnsi="Arial" w:cs="Arial"/>
          <w:color w:val="333333"/>
        </w:rPr>
        <w:br/>
      </w:r>
    </w:p>
    <w:p w14:paraId="61D3AFCC" w14:textId="77777777" w:rsidR="00C7305B" w:rsidRDefault="00C7305B" w:rsidP="00C7305B">
      <w:pPr>
        <w:shd w:val="clear" w:color="auto" w:fill="FFFFFF"/>
        <w:rPr>
          <w:rFonts w:ascii="Arial" w:hAnsi="Arial" w:cs="Arial"/>
          <w:color w:val="333333"/>
        </w:rPr>
      </w:pPr>
      <w:r>
        <w:rPr>
          <w:rFonts w:ascii="Arial" w:hAnsi="Arial" w:cs="Arial"/>
          <w:color w:val="008000"/>
        </w:rPr>
        <w:t>--Transaction 1</w:t>
      </w:r>
    </w:p>
    <w:p w14:paraId="110C1475" w14:textId="77777777" w:rsidR="00C7305B" w:rsidRDefault="00C7305B" w:rsidP="00C7305B">
      <w:pPr>
        <w:shd w:val="clear" w:color="auto" w:fill="FFFFFF"/>
        <w:rPr>
          <w:rFonts w:ascii="Arial" w:hAnsi="Arial" w:cs="Arial"/>
          <w:color w:val="333333"/>
        </w:rPr>
      </w:pPr>
      <w:r>
        <w:rPr>
          <w:rFonts w:ascii="Arial" w:hAnsi="Arial" w:cs="Arial"/>
          <w:color w:val="0000FF"/>
        </w:rPr>
        <w:t>Set</w:t>
      </w:r>
      <w:r>
        <w:rPr>
          <w:rFonts w:ascii="Arial" w:hAnsi="Arial" w:cs="Arial"/>
          <w:color w:val="333333"/>
        </w:rPr>
        <w:t> </w:t>
      </w:r>
      <w:r>
        <w:rPr>
          <w:rFonts w:ascii="Arial" w:hAnsi="Arial" w:cs="Arial"/>
          <w:color w:val="0000FF"/>
        </w:rPr>
        <w:t>transaction</w:t>
      </w:r>
      <w:r>
        <w:rPr>
          <w:rFonts w:ascii="Arial" w:hAnsi="Arial" w:cs="Arial"/>
          <w:color w:val="333333"/>
        </w:rPr>
        <w:t> </w:t>
      </w:r>
      <w:r>
        <w:rPr>
          <w:rFonts w:ascii="Arial" w:hAnsi="Arial" w:cs="Arial"/>
          <w:color w:val="0000FF"/>
        </w:rPr>
        <w:t>isolation</w:t>
      </w:r>
      <w:r>
        <w:rPr>
          <w:rFonts w:ascii="Arial" w:hAnsi="Arial" w:cs="Arial"/>
          <w:color w:val="333333"/>
        </w:rPr>
        <w:t> </w:t>
      </w:r>
      <w:r>
        <w:rPr>
          <w:rFonts w:ascii="Arial" w:hAnsi="Arial" w:cs="Arial"/>
          <w:color w:val="0000FF"/>
        </w:rPr>
        <w:t>level</w:t>
      </w:r>
      <w:r>
        <w:rPr>
          <w:rFonts w:ascii="Arial" w:hAnsi="Arial" w:cs="Arial"/>
          <w:color w:val="333333"/>
        </w:rPr>
        <w:t> </w:t>
      </w:r>
      <w:r>
        <w:rPr>
          <w:rFonts w:ascii="Arial" w:hAnsi="Arial" w:cs="Arial"/>
          <w:color w:val="0000FF"/>
        </w:rPr>
        <w:t>snapshot</w:t>
      </w:r>
    </w:p>
    <w:p w14:paraId="17797CD6" w14:textId="77777777" w:rsidR="00C7305B" w:rsidRDefault="00C7305B" w:rsidP="00C7305B">
      <w:pPr>
        <w:shd w:val="clear" w:color="auto" w:fill="FFFFFF"/>
        <w:rPr>
          <w:rFonts w:ascii="Arial" w:hAnsi="Arial" w:cs="Arial"/>
          <w:color w:val="333333"/>
        </w:rPr>
      </w:pPr>
      <w:r>
        <w:rPr>
          <w:rFonts w:ascii="Arial" w:hAnsi="Arial" w:cs="Arial"/>
          <w:color w:val="0000FF"/>
        </w:rPr>
        <w:t>Begin</w:t>
      </w:r>
      <w:r>
        <w:rPr>
          <w:rFonts w:ascii="Arial" w:hAnsi="Arial" w:cs="Arial"/>
          <w:color w:val="333333"/>
        </w:rPr>
        <w:t> </w:t>
      </w:r>
      <w:r>
        <w:rPr>
          <w:rFonts w:ascii="Arial" w:hAnsi="Arial" w:cs="Arial"/>
          <w:color w:val="0000FF"/>
        </w:rPr>
        <w:t>Transaction</w:t>
      </w:r>
    </w:p>
    <w:p w14:paraId="2AB6D74A" w14:textId="77777777" w:rsidR="00C7305B" w:rsidRDefault="00C7305B" w:rsidP="00C7305B">
      <w:pPr>
        <w:shd w:val="clear" w:color="auto" w:fill="FFFFFF"/>
        <w:rPr>
          <w:rFonts w:ascii="Arial" w:hAnsi="Arial" w:cs="Arial"/>
          <w:color w:val="333333"/>
        </w:rPr>
      </w:pPr>
      <w:r>
        <w:rPr>
          <w:rFonts w:ascii="Arial" w:hAnsi="Arial" w:cs="Arial"/>
          <w:color w:val="0000FF"/>
        </w:rPr>
        <w:t>Update</w:t>
      </w:r>
      <w:r>
        <w:rPr>
          <w:rFonts w:ascii="Arial" w:hAnsi="Arial" w:cs="Arial"/>
          <w:color w:val="333333"/>
        </w:rPr>
        <w:t> tblInventory </w:t>
      </w:r>
      <w:r>
        <w:rPr>
          <w:rFonts w:ascii="Arial" w:hAnsi="Arial" w:cs="Arial"/>
          <w:color w:val="0000FF"/>
        </w:rPr>
        <w:t>set</w:t>
      </w:r>
      <w:r>
        <w:rPr>
          <w:rFonts w:ascii="Arial" w:hAnsi="Arial" w:cs="Arial"/>
          <w:color w:val="333333"/>
        </w:rPr>
        <w:t> ItemsInStock = 8 </w:t>
      </w:r>
      <w:r>
        <w:rPr>
          <w:rFonts w:ascii="Arial" w:hAnsi="Arial" w:cs="Arial"/>
          <w:color w:val="0000FF"/>
        </w:rPr>
        <w:t>where</w:t>
      </w:r>
      <w:r>
        <w:rPr>
          <w:rFonts w:ascii="Arial" w:hAnsi="Arial" w:cs="Arial"/>
          <w:color w:val="333333"/>
        </w:rPr>
        <w:t> Id = 1</w:t>
      </w:r>
    </w:p>
    <w:p w14:paraId="436DF88A" w14:textId="77777777" w:rsidR="00C7305B" w:rsidRDefault="00C7305B" w:rsidP="00C7305B">
      <w:pPr>
        <w:shd w:val="clear" w:color="auto" w:fill="FFFFFF"/>
        <w:rPr>
          <w:rFonts w:ascii="Arial" w:hAnsi="Arial" w:cs="Arial"/>
          <w:color w:val="333333"/>
        </w:rPr>
      </w:pPr>
      <w:r>
        <w:rPr>
          <w:rFonts w:ascii="Arial" w:hAnsi="Arial" w:cs="Arial"/>
          <w:color w:val="0000FF"/>
        </w:rPr>
        <w:t>waitfor</w:t>
      </w:r>
      <w:r>
        <w:rPr>
          <w:rFonts w:ascii="Arial" w:hAnsi="Arial" w:cs="Arial"/>
          <w:color w:val="333333"/>
        </w:rPr>
        <w:t> </w:t>
      </w:r>
      <w:r>
        <w:rPr>
          <w:rFonts w:ascii="Arial" w:hAnsi="Arial" w:cs="Arial"/>
          <w:color w:val="0000FF"/>
        </w:rPr>
        <w:t>delay</w:t>
      </w:r>
      <w:r>
        <w:rPr>
          <w:rFonts w:ascii="Arial" w:hAnsi="Arial" w:cs="Arial"/>
          <w:color w:val="333333"/>
        </w:rPr>
        <w:t> </w:t>
      </w:r>
      <w:r>
        <w:rPr>
          <w:rFonts w:ascii="Arial" w:hAnsi="Arial" w:cs="Arial"/>
          <w:color w:val="FF0000"/>
        </w:rPr>
        <w:t>'00:00:10'</w:t>
      </w:r>
    </w:p>
    <w:p w14:paraId="6CE4AAFC" w14:textId="77777777" w:rsidR="00C7305B" w:rsidRDefault="00C7305B" w:rsidP="00C7305B">
      <w:pPr>
        <w:shd w:val="clear" w:color="auto" w:fill="FFFFFF"/>
        <w:rPr>
          <w:rFonts w:ascii="Arial" w:hAnsi="Arial" w:cs="Arial"/>
          <w:color w:val="333333"/>
        </w:rPr>
      </w:pPr>
      <w:r>
        <w:rPr>
          <w:rFonts w:ascii="Arial" w:hAnsi="Arial" w:cs="Arial"/>
          <w:color w:val="0000FF"/>
        </w:rPr>
        <w:lastRenderedPageBreak/>
        <w:t>Commit</w:t>
      </w:r>
      <w:r>
        <w:rPr>
          <w:rFonts w:ascii="Arial" w:hAnsi="Arial" w:cs="Arial"/>
          <w:color w:val="333333"/>
        </w:rPr>
        <w:t> </w:t>
      </w:r>
      <w:r>
        <w:rPr>
          <w:rFonts w:ascii="Arial" w:hAnsi="Arial" w:cs="Arial"/>
          <w:color w:val="0000FF"/>
        </w:rPr>
        <w:t>Transaction</w:t>
      </w:r>
    </w:p>
    <w:p w14:paraId="1B80721F" w14:textId="77777777" w:rsidR="00C7305B" w:rsidRDefault="00C7305B" w:rsidP="00C7305B">
      <w:pPr>
        <w:shd w:val="clear" w:color="auto" w:fill="FFFFFF"/>
        <w:rPr>
          <w:rFonts w:ascii="Arial" w:hAnsi="Arial" w:cs="Arial"/>
          <w:color w:val="333333"/>
        </w:rPr>
      </w:pPr>
    </w:p>
    <w:p w14:paraId="29A6CA62" w14:textId="77777777" w:rsidR="00C7305B" w:rsidRDefault="00C7305B" w:rsidP="00C7305B">
      <w:pPr>
        <w:shd w:val="clear" w:color="auto" w:fill="FFFFFF"/>
        <w:rPr>
          <w:rFonts w:ascii="Arial" w:hAnsi="Arial" w:cs="Arial"/>
          <w:color w:val="333333"/>
        </w:rPr>
      </w:pPr>
      <w:r>
        <w:rPr>
          <w:rFonts w:ascii="Arial" w:hAnsi="Arial" w:cs="Arial"/>
          <w:color w:val="008000"/>
        </w:rPr>
        <w:t>-- Transaction 2</w:t>
      </w:r>
    </w:p>
    <w:p w14:paraId="7EAED123" w14:textId="77777777" w:rsidR="00C7305B" w:rsidRDefault="00C7305B" w:rsidP="00C7305B">
      <w:pPr>
        <w:shd w:val="clear" w:color="auto" w:fill="FFFFFF"/>
        <w:rPr>
          <w:rFonts w:ascii="Arial" w:hAnsi="Arial" w:cs="Arial"/>
          <w:color w:val="333333"/>
        </w:rPr>
      </w:pPr>
      <w:r>
        <w:rPr>
          <w:rFonts w:ascii="Arial" w:hAnsi="Arial" w:cs="Arial"/>
          <w:color w:val="0000FF"/>
        </w:rPr>
        <w:t>Set</w:t>
      </w:r>
      <w:r>
        <w:rPr>
          <w:rFonts w:ascii="Arial" w:hAnsi="Arial" w:cs="Arial"/>
          <w:color w:val="333333"/>
        </w:rPr>
        <w:t> </w:t>
      </w:r>
      <w:r>
        <w:rPr>
          <w:rFonts w:ascii="Arial" w:hAnsi="Arial" w:cs="Arial"/>
          <w:color w:val="0000FF"/>
        </w:rPr>
        <w:t>transaction</w:t>
      </w:r>
      <w:r>
        <w:rPr>
          <w:rFonts w:ascii="Arial" w:hAnsi="Arial" w:cs="Arial"/>
          <w:color w:val="333333"/>
        </w:rPr>
        <w:t> </w:t>
      </w:r>
      <w:r>
        <w:rPr>
          <w:rFonts w:ascii="Arial" w:hAnsi="Arial" w:cs="Arial"/>
          <w:color w:val="0000FF"/>
        </w:rPr>
        <w:t>isolation</w:t>
      </w:r>
      <w:r>
        <w:rPr>
          <w:rFonts w:ascii="Arial" w:hAnsi="Arial" w:cs="Arial"/>
          <w:color w:val="333333"/>
        </w:rPr>
        <w:t> </w:t>
      </w:r>
      <w:r>
        <w:rPr>
          <w:rFonts w:ascii="Arial" w:hAnsi="Arial" w:cs="Arial"/>
          <w:color w:val="0000FF"/>
        </w:rPr>
        <w:t>level</w:t>
      </w:r>
      <w:r>
        <w:rPr>
          <w:rFonts w:ascii="Arial" w:hAnsi="Arial" w:cs="Arial"/>
          <w:color w:val="333333"/>
        </w:rPr>
        <w:t> </w:t>
      </w:r>
      <w:r>
        <w:rPr>
          <w:rFonts w:ascii="Arial" w:hAnsi="Arial" w:cs="Arial"/>
          <w:color w:val="0000FF"/>
        </w:rPr>
        <w:t>snapshot</w:t>
      </w:r>
    </w:p>
    <w:p w14:paraId="139A2D1E" w14:textId="77777777" w:rsidR="00C7305B" w:rsidRDefault="00C7305B" w:rsidP="00C7305B">
      <w:pPr>
        <w:shd w:val="clear" w:color="auto" w:fill="FFFFFF"/>
        <w:rPr>
          <w:rFonts w:ascii="Arial" w:hAnsi="Arial" w:cs="Arial"/>
          <w:color w:val="333333"/>
        </w:rPr>
      </w:pPr>
      <w:r>
        <w:rPr>
          <w:rFonts w:ascii="Arial" w:hAnsi="Arial" w:cs="Arial"/>
          <w:color w:val="0000FF"/>
        </w:rPr>
        <w:t>Begin</w:t>
      </w:r>
      <w:r>
        <w:rPr>
          <w:rFonts w:ascii="Arial" w:hAnsi="Arial" w:cs="Arial"/>
          <w:color w:val="333333"/>
        </w:rPr>
        <w:t> </w:t>
      </w:r>
      <w:r>
        <w:rPr>
          <w:rFonts w:ascii="Arial" w:hAnsi="Arial" w:cs="Arial"/>
          <w:color w:val="0000FF"/>
        </w:rPr>
        <w:t>Transaction</w:t>
      </w:r>
    </w:p>
    <w:p w14:paraId="1CC1A60D" w14:textId="77777777" w:rsidR="00C7305B" w:rsidRDefault="00C7305B" w:rsidP="00C7305B">
      <w:pPr>
        <w:shd w:val="clear" w:color="auto" w:fill="FFFFFF"/>
        <w:rPr>
          <w:rFonts w:ascii="Arial" w:hAnsi="Arial" w:cs="Arial"/>
          <w:color w:val="333333"/>
        </w:rPr>
      </w:pPr>
      <w:r>
        <w:rPr>
          <w:rFonts w:ascii="Arial" w:hAnsi="Arial" w:cs="Arial"/>
          <w:color w:val="0000FF"/>
        </w:rPr>
        <w:t>Update</w:t>
      </w:r>
      <w:r>
        <w:rPr>
          <w:rFonts w:ascii="Arial" w:hAnsi="Arial" w:cs="Arial"/>
          <w:color w:val="333333"/>
        </w:rPr>
        <w:t> tblInventory </w:t>
      </w:r>
      <w:r>
        <w:rPr>
          <w:rFonts w:ascii="Arial" w:hAnsi="Arial" w:cs="Arial"/>
          <w:color w:val="0000FF"/>
        </w:rPr>
        <w:t>set</w:t>
      </w:r>
      <w:r>
        <w:rPr>
          <w:rFonts w:ascii="Arial" w:hAnsi="Arial" w:cs="Arial"/>
          <w:color w:val="333333"/>
        </w:rPr>
        <w:t> ItemsInStock = 5 </w:t>
      </w:r>
      <w:r>
        <w:rPr>
          <w:rFonts w:ascii="Arial" w:hAnsi="Arial" w:cs="Arial"/>
          <w:color w:val="0000FF"/>
        </w:rPr>
        <w:t>where</w:t>
      </w:r>
      <w:r>
        <w:rPr>
          <w:rFonts w:ascii="Arial" w:hAnsi="Arial" w:cs="Arial"/>
          <w:color w:val="333333"/>
        </w:rPr>
        <w:t> Id = 1</w:t>
      </w:r>
    </w:p>
    <w:p w14:paraId="4C0C0582" w14:textId="77777777" w:rsidR="00C7305B" w:rsidRDefault="00C7305B" w:rsidP="00C7305B">
      <w:pPr>
        <w:shd w:val="clear" w:color="auto" w:fill="FFFFFF"/>
        <w:rPr>
          <w:rFonts w:ascii="Arial" w:hAnsi="Arial" w:cs="Arial"/>
          <w:color w:val="333333"/>
        </w:rPr>
      </w:pPr>
      <w:r>
        <w:rPr>
          <w:rFonts w:ascii="Arial" w:hAnsi="Arial" w:cs="Arial"/>
          <w:color w:val="0000FF"/>
        </w:rPr>
        <w:t>Commit</w:t>
      </w:r>
      <w:r>
        <w:rPr>
          <w:rFonts w:ascii="Arial" w:hAnsi="Arial" w:cs="Arial"/>
          <w:color w:val="333333"/>
        </w:rPr>
        <w:t> </w:t>
      </w:r>
      <w:r>
        <w:rPr>
          <w:rFonts w:ascii="Arial" w:hAnsi="Arial" w:cs="Arial"/>
          <w:color w:val="0000FF"/>
        </w:rPr>
        <w:t>Transaction</w:t>
      </w:r>
    </w:p>
    <w:p w14:paraId="043C1C54" w14:textId="77777777" w:rsidR="00C7305B" w:rsidRDefault="00C7305B" w:rsidP="00C7305B">
      <w:pPr>
        <w:rPr>
          <w:rFonts w:ascii="Times New Roman" w:hAnsi="Times New Roman" w:cs="Times New Roman"/>
          <w:sz w:val="24"/>
          <w:szCs w:val="24"/>
        </w:rPr>
      </w:pPr>
      <w:r>
        <w:rPr>
          <w:rFonts w:ascii="Arial" w:hAnsi="Arial" w:cs="Arial"/>
          <w:color w:val="333333"/>
          <w:shd w:val="clear" w:color="auto" w:fill="FFFFFF"/>
        </w:rPr>
        <w:br/>
        <w:t>Now let's try the same thing using </w:t>
      </w:r>
      <w:r>
        <w:rPr>
          <w:rFonts w:ascii="Arial" w:hAnsi="Arial" w:cs="Arial"/>
          <w:b/>
          <w:bCs/>
          <w:color w:val="333333"/>
          <w:shd w:val="clear" w:color="auto" w:fill="FFFFFF"/>
        </w:rPr>
        <w:t>Read Committed Sanpshot Isolation</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1 :</w:t>
      </w:r>
      <w:r>
        <w:rPr>
          <w:rFonts w:ascii="Arial" w:hAnsi="Arial" w:cs="Arial"/>
          <w:color w:val="333333"/>
          <w:shd w:val="clear" w:color="auto" w:fill="FFFFFF"/>
        </w:rPr>
        <w:t> Disable Snapshot Isolation for the SampleDB database using the following command</w:t>
      </w:r>
    </w:p>
    <w:p w14:paraId="11177CAA" w14:textId="77777777" w:rsidR="00C7305B" w:rsidRDefault="00C7305B" w:rsidP="00C7305B">
      <w:pPr>
        <w:shd w:val="clear" w:color="auto" w:fill="FFFFFF"/>
        <w:rPr>
          <w:rFonts w:ascii="Arial" w:hAnsi="Arial" w:cs="Arial"/>
          <w:color w:val="333333"/>
        </w:rPr>
      </w:pPr>
      <w:r>
        <w:rPr>
          <w:rFonts w:ascii="Arial" w:hAnsi="Arial" w:cs="Arial"/>
          <w:color w:val="0000FF"/>
        </w:rPr>
        <w:t>Alter</w:t>
      </w:r>
      <w:r>
        <w:rPr>
          <w:rFonts w:ascii="Arial" w:hAnsi="Arial" w:cs="Arial"/>
          <w:color w:val="333333"/>
        </w:rPr>
        <w:t> </w:t>
      </w:r>
      <w:r>
        <w:rPr>
          <w:rFonts w:ascii="Arial" w:hAnsi="Arial" w:cs="Arial"/>
          <w:color w:val="0000FF"/>
        </w:rPr>
        <w:t>database</w:t>
      </w:r>
      <w:r>
        <w:rPr>
          <w:rFonts w:ascii="Arial" w:hAnsi="Arial" w:cs="Arial"/>
          <w:color w:val="333333"/>
        </w:rPr>
        <w:t> SampleDB </w:t>
      </w:r>
      <w:r>
        <w:rPr>
          <w:rFonts w:ascii="Arial" w:hAnsi="Arial" w:cs="Arial"/>
          <w:color w:val="0000FF"/>
        </w:rPr>
        <w:t>SET</w:t>
      </w:r>
      <w:r>
        <w:rPr>
          <w:rFonts w:ascii="Arial" w:hAnsi="Arial" w:cs="Arial"/>
          <w:color w:val="333333"/>
        </w:rPr>
        <w:t> </w:t>
      </w:r>
      <w:r>
        <w:rPr>
          <w:rFonts w:ascii="Arial" w:hAnsi="Arial" w:cs="Arial"/>
          <w:color w:val="0000FF"/>
        </w:rPr>
        <w:t>ALLOW_SNAPSHOT_ISOLATION</w:t>
      </w:r>
      <w:r>
        <w:rPr>
          <w:rFonts w:ascii="Arial" w:hAnsi="Arial" w:cs="Arial"/>
          <w:color w:val="333333"/>
        </w:rPr>
        <w:t> </w:t>
      </w:r>
      <w:r>
        <w:rPr>
          <w:rFonts w:ascii="Arial" w:hAnsi="Arial" w:cs="Arial"/>
          <w:color w:val="0000FF"/>
        </w:rPr>
        <w:t>OFF</w:t>
      </w:r>
    </w:p>
    <w:p w14:paraId="4D16376F" w14:textId="77777777" w:rsidR="00C7305B" w:rsidRDefault="00C7305B" w:rsidP="00C7305B">
      <w:pPr>
        <w:rPr>
          <w:rFonts w:ascii="Times New Roman" w:hAnsi="Times New Roman" w:cs="Times New Roman"/>
          <w:sz w:val="24"/>
          <w:szCs w:val="24"/>
        </w:rPr>
      </w:pPr>
      <w:r>
        <w:rPr>
          <w:rFonts w:ascii="Arial" w:hAnsi="Arial" w:cs="Arial"/>
          <w:color w:val="333333"/>
          <w:shd w:val="clear" w:color="auto" w:fill="FFFFFF"/>
        </w:rPr>
        <w:br/>
      </w:r>
      <w:r>
        <w:rPr>
          <w:rFonts w:ascii="Arial" w:hAnsi="Arial" w:cs="Arial"/>
          <w:b/>
          <w:bCs/>
          <w:color w:val="333333"/>
          <w:shd w:val="clear" w:color="auto" w:fill="FFFFFF"/>
        </w:rPr>
        <w:t>Step 2 : </w:t>
      </w:r>
      <w:r>
        <w:rPr>
          <w:rFonts w:ascii="Arial" w:hAnsi="Arial" w:cs="Arial"/>
          <w:color w:val="333333"/>
          <w:shd w:val="clear" w:color="auto" w:fill="FFFFFF"/>
        </w:rPr>
        <w:t>Enable Read Committed Sanpshot Isolation at the database level using the following command</w:t>
      </w:r>
    </w:p>
    <w:p w14:paraId="68598792" w14:textId="77777777" w:rsidR="00C7305B" w:rsidRDefault="00C7305B" w:rsidP="00C7305B">
      <w:pPr>
        <w:shd w:val="clear" w:color="auto" w:fill="FFFFFF"/>
        <w:rPr>
          <w:rFonts w:ascii="Arial" w:hAnsi="Arial" w:cs="Arial"/>
          <w:color w:val="333333"/>
        </w:rPr>
      </w:pPr>
      <w:r>
        <w:rPr>
          <w:rFonts w:ascii="Arial" w:hAnsi="Arial" w:cs="Arial"/>
          <w:color w:val="0000FF"/>
        </w:rPr>
        <w:t>Alter</w:t>
      </w:r>
      <w:r>
        <w:rPr>
          <w:rFonts w:ascii="Arial" w:hAnsi="Arial" w:cs="Arial"/>
          <w:color w:val="333333"/>
        </w:rPr>
        <w:t> </w:t>
      </w:r>
      <w:r>
        <w:rPr>
          <w:rFonts w:ascii="Arial" w:hAnsi="Arial" w:cs="Arial"/>
          <w:color w:val="0000FF"/>
        </w:rPr>
        <w:t>database</w:t>
      </w:r>
      <w:r>
        <w:rPr>
          <w:rFonts w:ascii="Arial" w:hAnsi="Arial" w:cs="Arial"/>
          <w:color w:val="333333"/>
        </w:rPr>
        <w:t> SampleDB </w:t>
      </w:r>
      <w:r>
        <w:rPr>
          <w:rFonts w:ascii="Arial" w:hAnsi="Arial" w:cs="Arial"/>
          <w:color w:val="0000FF"/>
        </w:rPr>
        <w:t>SET</w:t>
      </w:r>
      <w:r>
        <w:rPr>
          <w:rFonts w:ascii="Arial" w:hAnsi="Arial" w:cs="Arial"/>
          <w:color w:val="333333"/>
        </w:rPr>
        <w:t> </w:t>
      </w:r>
      <w:r>
        <w:rPr>
          <w:rFonts w:ascii="Arial" w:hAnsi="Arial" w:cs="Arial"/>
          <w:color w:val="0000FF"/>
        </w:rPr>
        <w:t>READ_COMMITTED_SNAPSHOT</w:t>
      </w:r>
      <w:r>
        <w:rPr>
          <w:rFonts w:ascii="Arial" w:hAnsi="Arial" w:cs="Arial"/>
          <w:color w:val="333333"/>
        </w:rPr>
        <w:t> </w:t>
      </w:r>
      <w:r>
        <w:rPr>
          <w:rFonts w:ascii="Arial" w:hAnsi="Arial" w:cs="Arial"/>
          <w:color w:val="0000FF"/>
        </w:rPr>
        <w:t>ON</w:t>
      </w:r>
    </w:p>
    <w:p w14:paraId="4DB2DB9B" w14:textId="77777777" w:rsidR="00C7305B" w:rsidRDefault="00C7305B" w:rsidP="00C7305B">
      <w:pPr>
        <w:rPr>
          <w:rFonts w:ascii="Times New Roman" w:hAnsi="Times New Roman" w:cs="Times New Roman"/>
          <w:sz w:val="24"/>
          <w:szCs w:val="24"/>
        </w:rPr>
      </w:pPr>
      <w:r>
        <w:rPr>
          <w:rFonts w:ascii="Arial" w:hAnsi="Arial" w:cs="Arial"/>
          <w:color w:val="333333"/>
          <w:shd w:val="clear" w:color="auto" w:fill="FFFFFF"/>
        </w:rPr>
        <w:br/>
      </w:r>
      <w:r>
        <w:rPr>
          <w:rFonts w:ascii="Arial" w:hAnsi="Arial" w:cs="Arial"/>
          <w:b/>
          <w:bCs/>
          <w:color w:val="333333"/>
          <w:shd w:val="clear" w:color="auto" w:fill="FFFFFF"/>
        </w:rPr>
        <w:t>Step 3 : </w:t>
      </w:r>
      <w:r>
        <w:rPr>
          <w:rFonts w:ascii="Arial" w:hAnsi="Arial" w:cs="Arial"/>
          <w:color w:val="333333"/>
          <w:shd w:val="clear" w:color="auto" w:fill="FFFFFF"/>
        </w:rPr>
        <w:t>Open 2 instances of SQL Server Management studio. From the first window execute Transaction 1 code and from the second window execute Transaction 2 code. Notice that Transaction 2 is blocked until Transaction 1 is completed. When Transaction 1 completes, Transaction 2 also completes successfully without any update conflict. </w:t>
      </w:r>
      <w:r>
        <w:rPr>
          <w:rFonts w:ascii="Arial" w:hAnsi="Arial" w:cs="Arial"/>
          <w:color w:val="333333"/>
        </w:rPr>
        <w:br/>
      </w:r>
    </w:p>
    <w:p w14:paraId="619FB4E7" w14:textId="77777777" w:rsidR="00C7305B" w:rsidRDefault="00C7305B" w:rsidP="00C7305B">
      <w:pPr>
        <w:shd w:val="clear" w:color="auto" w:fill="FFFFFF"/>
        <w:rPr>
          <w:rFonts w:ascii="Arial" w:hAnsi="Arial" w:cs="Arial"/>
          <w:color w:val="333333"/>
        </w:rPr>
      </w:pPr>
      <w:r>
        <w:rPr>
          <w:rFonts w:ascii="Arial" w:hAnsi="Arial" w:cs="Arial"/>
          <w:color w:val="008000"/>
        </w:rPr>
        <w:t>--Transaction 1</w:t>
      </w:r>
    </w:p>
    <w:p w14:paraId="46EBFBD4" w14:textId="77777777" w:rsidR="00C7305B" w:rsidRDefault="00C7305B" w:rsidP="00C7305B">
      <w:pPr>
        <w:shd w:val="clear" w:color="auto" w:fill="FFFFFF"/>
        <w:rPr>
          <w:rFonts w:ascii="Arial" w:hAnsi="Arial" w:cs="Arial"/>
          <w:color w:val="333333"/>
        </w:rPr>
      </w:pPr>
      <w:r>
        <w:rPr>
          <w:rFonts w:ascii="Arial" w:hAnsi="Arial" w:cs="Arial"/>
          <w:color w:val="0000FF"/>
        </w:rPr>
        <w:t>Set</w:t>
      </w:r>
      <w:r>
        <w:rPr>
          <w:rFonts w:ascii="Arial" w:hAnsi="Arial" w:cs="Arial"/>
          <w:color w:val="333333"/>
        </w:rPr>
        <w:t> </w:t>
      </w:r>
      <w:r>
        <w:rPr>
          <w:rFonts w:ascii="Arial" w:hAnsi="Arial" w:cs="Arial"/>
          <w:color w:val="0000FF"/>
        </w:rPr>
        <w:t>transaction</w:t>
      </w:r>
      <w:r>
        <w:rPr>
          <w:rFonts w:ascii="Arial" w:hAnsi="Arial" w:cs="Arial"/>
          <w:color w:val="333333"/>
        </w:rPr>
        <w:t> </w:t>
      </w:r>
      <w:r>
        <w:rPr>
          <w:rFonts w:ascii="Arial" w:hAnsi="Arial" w:cs="Arial"/>
          <w:color w:val="0000FF"/>
        </w:rPr>
        <w:t>isolation</w:t>
      </w:r>
      <w:r>
        <w:rPr>
          <w:rFonts w:ascii="Arial" w:hAnsi="Arial" w:cs="Arial"/>
          <w:color w:val="333333"/>
        </w:rPr>
        <w:t> </w:t>
      </w:r>
      <w:r>
        <w:rPr>
          <w:rFonts w:ascii="Arial" w:hAnsi="Arial" w:cs="Arial"/>
          <w:color w:val="0000FF"/>
        </w:rPr>
        <w:t>level</w:t>
      </w:r>
      <w:r>
        <w:rPr>
          <w:rFonts w:ascii="Arial" w:hAnsi="Arial" w:cs="Arial"/>
          <w:color w:val="333333"/>
        </w:rPr>
        <w:t> </w:t>
      </w:r>
      <w:r>
        <w:rPr>
          <w:rFonts w:ascii="Arial" w:hAnsi="Arial" w:cs="Arial"/>
          <w:color w:val="0000FF"/>
        </w:rPr>
        <w:t>read</w:t>
      </w:r>
      <w:r>
        <w:rPr>
          <w:rFonts w:ascii="Arial" w:hAnsi="Arial" w:cs="Arial"/>
          <w:color w:val="333333"/>
        </w:rPr>
        <w:t> </w:t>
      </w:r>
      <w:r>
        <w:rPr>
          <w:rFonts w:ascii="Arial" w:hAnsi="Arial" w:cs="Arial"/>
          <w:color w:val="0000FF"/>
        </w:rPr>
        <w:t>committed</w:t>
      </w:r>
    </w:p>
    <w:p w14:paraId="6628BBCC" w14:textId="77777777" w:rsidR="00C7305B" w:rsidRDefault="00C7305B" w:rsidP="00C7305B">
      <w:pPr>
        <w:shd w:val="clear" w:color="auto" w:fill="FFFFFF"/>
        <w:rPr>
          <w:rFonts w:ascii="Arial" w:hAnsi="Arial" w:cs="Arial"/>
          <w:color w:val="333333"/>
        </w:rPr>
      </w:pPr>
      <w:r>
        <w:rPr>
          <w:rFonts w:ascii="Arial" w:hAnsi="Arial" w:cs="Arial"/>
          <w:color w:val="0000FF"/>
        </w:rPr>
        <w:t>Begin</w:t>
      </w:r>
      <w:r>
        <w:rPr>
          <w:rFonts w:ascii="Arial" w:hAnsi="Arial" w:cs="Arial"/>
          <w:color w:val="333333"/>
        </w:rPr>
        <w:t> </w:t>
      </w:r>
      <w:r>
        <w:rPr>
          <w:rFonts w:ascii="Arial" w:hAnsi="Arial" w:cs="Arial"/>
          <w:color w:val="0000FF"/>
        </w:rPr>
        <w:t>Transaction</w:t>
      </w:r>
    </w:p>
    <w:p w14:paraId="43B95B66" w14:textId="77777777" w:rsidR="00C7305B" w:rsidRDefault="00C7305B" w:rsidP="00C7305B">
      <w:pPr>
        <w:shd w:val="clear" w:color="auto" w:fill="FFFFFF"/>
        <w:rPr>
          <w:rFonts w:ascii="Arial" w:hAnsi="Arial" w:cs="Arial"/>
          <w:color w:val="333333"/>
        </w:rPr>
      </w:pPr>
      <w:r>
        <w:rPr>
          <w:rFonts w:ascii="Arial" w:hAnsi="Arial" w:cs="Arial"/>
          <w:color w:val="0000FF"/>
        </w:rPr>
        <w:t>Update</w:t>
      </w:r>
      <w:r>
        <w:rPr>
          <w:rFonts w:ascii="Arial" w:hAnsi="Arial" w:cs="Arial"/>
          <w:color w:val="333333"/>
        </w:rPr>
        <w:t> tblInventory </w:t>
      </w:r>
      <w:r>
        <w:rPr>
          <w:rFonts w:ascii="Arial" w:hAnsi="Arial" w:cs="Arial"/>
          <w:color w:val="0000FF"/>
        </w:rPr>
        <w:t>set</w:t>
      </w:r>
      <w:r>
        <w:rPr>
          <w:rFonts w:ascii="Arial" w:hAnsi="Arial" w:cs="Arial"/>
          <w:color w:val="333333"/>
        </w:rPr>
        <w:t> ItemsInStock = 8 </w:t>
      </w:r>
      <w:r>
        <w:rPr>
          <w:rFonts w:ascii="Arial" w:hAnsi="Arial" w:cs="Arial"/>
          <w:color w:val="0000FF"/>
        </w:rPr>
        <w:t>where</w:t>
      </w:r>
      <w:r>
        <w:rPr>
          <w:rFonts w:ascii="Arial" w:hAnsi="Arial" w:cs="Arial"/>
          <w:color w:val="333333"/>
        </w:rPr>
        <w:t> Id = 1</w:t>
      </w:r>
    </w:p>
    <w:p w14:paraId="38F42D2D" w14:textId="77777777" w:rsidR="00C7305B" w:rsidRDefault="00C7305B" w:rsidP="00C7305B">
      <w:pPr>
        <w:shd w:val="clear" w:color="auto" w:fill="FFFFFF"/>
        <w:rPr>
          <w:rFonts w:ascii="Arial" w:hAnsi="Arial" w:cs="Arial"/>
          <w:color w:val="333333"/>
        </w:rPr>
      </w:pPr>
      <w:r>
        <w:rPr>
          <w:rFonts w:ascii="Arial" w:hAnsi="Arial" w:cs="Arial"/>
          <w:color w:val="0000FF"/>
        </w:rPr>
        <w:t>waitfor</w:t>
      </w:r>
      <w:r>
        <w:rPr>
          <w:rFonts w:ascii="Arial" w:hAnsi="Arial" w:cs="Arial"/>
          <w:color w:val="333333"/>
        </w:rPr>
        <w:t> </w:t>
      </w:r>
      <w:r>
        <w:rPr>
          <w:rFonts w:ascii="Arial" w:hAnsi="Arial" w:cs="Arial"/>
          <w:color w:val="0000FF"/>
        </w:rPr>
        <w:t>delay</w:t>
      </w:r>
      <w:r>
        <w:rPr>
          <w:rFonts w:ascii="Arial" w:hAnsi="Arial" w:cs="Arial"/>
          <w:color w:val="333333"/>
        </w:rPr>
        <w:t> </w:t>
      </w:r>
      <w:r>
        <w:rPr>
          <w:rFonts w:ascii="Arial" w:hAnsi="Arial" w:cs="Arial"/>
          <w:color w:val="FF0000"/>
        </w:rPr>
        <w:t>'00:00:10'</w:t>
      </w:r>
    </w:p>
    <w:p w14:paraId="0A75D804" w14:textId="77777777" w:rsidR="00C7305B" w:rsidRDefault="00C7305B" w:rsidP="00C7305B">
      <w:pPr>
        <w:shd w:val="clear" w:color="auto" w:fill="FFFFFF"/>
        <w:rPr>
          <w:rFonts w:ascii="Arial" w:hAnsi="Arial" w:cs="Arial"/>
          <w:color w:val="333333"/>
        </w:rPr>
      </w:pPr>
      <w:r>
        <w:rPr>
          <w:rFonts w:ascii="Arial" w:hAnsi="Arial" w:cs="Arial"/>
          <w:color w:val="0000FF"/>
        </w:rPr>
        <w:t>Commit</w:t>
      </w:r>
      <w:r>
        <w:rPr>
          <w:rFonts w:ascii="Arial" w:hAnsi="Arial" w:cs="Arial"/>
          <w:color w:val="333333"/>
        </w:rPr>
        <w:t> </w:t>
      </w:r>
      <w:r>
        <w:rPr>
          <w:rFonts w:ascii="Arial" w:hAnsi="Arial" w:cs="Arial"/>
          <w:color w:val="0000FF"/>
        </w:rPr>
        <w:t>Transaction</w:t>
      </w:r>
    </w:p>
    <w:p w14:paraId="65ECBB90" w14:textId="77777777" w:rsidR="00C7305B" w:rsidRDefault="00C7305B" w:rsidP="00C7305B">
      <w:pPr>
        <w:shd w:val="clear" w:color="auto" w:fill="FFFFFF"/>
        <w:rPr>
          <w:rFonts w:ascii="Arial" w:hAnsi="Arial" w:cs="Arial"/>
          <w:color w:val="333333"/>
        </w:rPr>
      </w:pPr>
    </w:p>
    <w:p w14:paraId="45E4604C" w14:textId="77777777" w:rsidR="00C7305B" w:rsidRDefault="00C7305B" w:rsidP="00C7305B">
      <w:pPr>
        <w:shd w:val="clear" w:color="auto" w:fill="FFFFFF"/>
        <w:rPr>
          <w:rFonts w:ascii="Arial" w:hAnsi="Arial" w:cs="Arial"/>
          <w:color w:val="333333"/>
        </w:rPr>
      </w:pPr>
      <w:r>
        <w:rPr>
          <w:rFonts w:ascii="Arial" w:hAnsi="Arial" w:cs="Arial"/>
          <w:color w:val="008000"/>
        </w:rPr>
        <w:t>-- Transaction 2</w:t>
      </w:r>
    </w:p>
    <w:p w14:paraId="654F2D68" w14:textId="77777777" w:rsidR="00C7305B" w:rsidRDefault="00C7305B" w:rsidP="00C7305B">
      <w:pPr>
        <w:shd w:val="clear" w:color="auto" w:fill="FFFFFF"/>
        <w:rPr>
          <w:rFonts w:ascii="Arial" w:hAnsi="Arial" w:cs="Arial"/>
          <w:color w:val="333333"/>
        </w:rPr>
      </w:pPr>
      <w:r>
        <w:rPr>
          <w:rFonts w:ascii="Arial" w:hAnsi="Arial" w:cs="Arial"/>
          <w:color w:val="0000FF"/>
        </w:rPr>
        <w:t>Set</w:t>
      </w:r>
      <w:r>
        <w:rPr>
          <w:rFonts w:ascii="Arial" w:hAnsi="Arial" w:cs="Arial"/>
          <w:color w:val="333333"/>
        </w:rPr>
        <w:t> </w:t>
      </w:r>
      <w:r>
        <w:rPr>
          <w:rFonts w:ascii="Arial" w:hAnsi="Arial" w:cs="Arial"/>
          <w:color w:val="0000FF"/>
        </w:rPr>
        <w:t>transaction</w:t>
      </w:r>
      <w:r>
        <w:rPr>
          <w:rFonts w:ascii="Arial" w:hAnsi="Arial" w:cs="Arial"/>
          <w:color w:val="333333"/>
        </w:rPr>
        <w:t> </w:t>
      </w:r>
      <w:r>
        <w:rPr>
          <w:rFonts w:ascii="Arial" w:hAnsi="Arial" w:cs="Arial"/>
          <w:color w:val="0000FF"/>
        </w:rPr>
        <w:t>isolation</w:t>
      </w:r>
      <w:r>
        <w:rPr>
          <w:rFonts w:ascii="Arial" w:hAnsi="Arial" w:cs="Arial"/>
          <w:color w:val="333333"/>
        </w:rPr>
        <w:t> </w:t>
      </w:r>
      <w:r>
        <w:rPr>
          <w:rFonts w:ascii="Arial" w:hAnsi="Arial" w:cs="Arial"/>
          <w:color w:val="0000FF"/>
        </w:rPr>
        <w:t>level</w:t>
      </w:r>
      <w:r>
        <w:rPr>
          <w:rFonts w:ascii="Arial" w:hAnsi="Arial" w:cs="Arial"/>
          <w:color w:val="333333"/>
        </w:rPr>
        <w:t> </w:t>
      </w:r>
      <w:r>
        <w:rPr>
          <w:rFonts w:ascii="Arial" w:hAnsi="Arial" w:cs="Arial"/>
          <w:color w:val="0000FF"/>
        </w:rPr>
        <w:t>read</w:t>
      </w:r>
      <w:r>
        <w:rPr>
          <w:rFonts w:ascii="Arial" w:hAnsi="Arial" w:cs="Arial"/>
          <w:color w:val="333333"/>
        </w:rPr>
        <w:t> </w:t>
      </w:r>
      <w:r>
        <w:rPr>
          <w:rFonts w:ascii="Arial" w:hAnsi="Arial" w:cs="Arial"/>
          <w:color w:val="0000FF"/>
        </w:rPr>
        <w:t>committed</w:t>
      </w:r>
    </w:p>
    <w:p w14:paraId="298DDAE8" w14:textId="77777777" w:rsidR="00C7305B" w:rsidRDefault="00C7305B" w:rsidP="00C7305B">
      <w:pPr>
        <w:shd w:val="clear" w:color="auto" w:fill="FFFFFF"/>
        <w:rPr>
          <w:rFonts w:ascii="Arial" w:hAnsi="Arial" w:cs="Arial"/>
          <w:color w:val="333333"/>
        </w:rPr>
      </w:pPr>
      <w:r>
        <w:rPr>
          <w:rFonts w:ascii="Arial" w:hAnsi="Arial" w:cs="Arial"/>
          <w:color w:val="0000FF"/>
        </w:rPr>
        <w:t>Begin</w:t>
      </w:r>
      <w:r>
        <w:rPr>
          <w:rFonts w:ascii="Arial" w:hAnsi="Arial" w:cs="Arial"/>
          <w:color w:val="333333"/>
        </w:rPr>
        <w:t> </w:t>
      </w:r>
      <w:r>
        <w:rPr>
          <w:rFonts w:ascii="Arial" w:hAnsi="Arial" w:cs="Arial"/>
          <w:color w:val="0000FF"/>
        </w:rPr>
        <w:t>Transaction</w:t>
      </w:r>
    </w:p>
    <w:p w14:paraId="4213ADE1" w14:textId="77777777" w:rsidR="00C7305B" w:rsidRDefault="00C7305B" w:rsidP="00C7305B">
      <w:pPr>
        <w:shd w:val="clear" w:color="auto" w:fill="FFFFFF"/>
        <w:rPr>
          <w:rFonts w:ascii="Arial" w:hAnsi="Arial" w:cs="Arial"/>
          <w:color w:val="333333"/>
        </w:rPr>
      </w:pPr>
      <w:r>
        <w:rPr>
          <w:rFonts w:ascii="Arial" w:hAnsi="Arial" w:cs="Arial"/>
          <w:color w:val="0000FF"/>
        </w:rPr>
        <w:t>Update</w:t>
      </w:r>
      <w:r>
        <w:rPr>
          <w:rFonts w:ascii="Arial" w:hAnsi="Arial" w:cs="Arial"/>
          <w:color w:val="333333"/>
        </w:rPr>
        <w:t> tblInventory </w:t>
      </w:r>
      <w:r>
        <w:rPr>
          <w:rFonts w:ascii="Arial" w:hAnsi="Arial" w:cs="Arial"/>
          <w:color w:val="0000FF"/>
        </w:rPr>
        <w:t>set</w:t>
      </w:r>
      <w:r>
        <w:rPr>
          <w:rFonts w:ascii="Arial" w:hAnsi="Arial" w:cs="Arial"/>
          <w:color w:val="333333"/>
        </w:rPr>
        <w:t> ItemsInStock = 5 </w:t>
      </w:r>
      <w:r>
        <w:rPr>
          <w:rFonts w:ascii="Arial" w:hAnsi="Arial" w:cs="Arial"/>
          <w:color w:val="0000FF"/>
        </w:rPr>
        <w:t>where</w:t>
      </w:r>
      <w:r>
        <w:rPr>
          <w:rFonts w:ascii="Arial" w:hAnsi="Arial" w:cs="Arial"/>
          <w:color w:val="333333"/>
        </w:rPr>
        <w:t> Id = 1</w:t>
      </w:r>
    </w:p>
    <w:p w14:paraId="0802620A" w14:textId="77777777" w:rsidR="00C7305B" w:rsidRDefault="00C7305B" w:rsidP="00C7305B">
      <w:pPr>
        <w:shd w:val="clear" w:color="auto" w:fill="FFFFFF"/>
        <w:rPr>
          <w:rFonts w:ascii="Arial" w:hAnsi="Arial" w:cs="Arial"/>
          <w:color w:val="333333"/>
        </w:rPr>
      </w:pPr>
      <w:r>
        <w:rPr>
          <w:rFonts w:ascii="Arial" w:hAnsi="Arial" w:cs="Arial"/>
          <w:color w:val="0000FF"/>
        </w:rPr>
        <w:lastRenderedPageBreak/>
        <w:t>Commit</w:t>
      </w:r>
      <w:r>
        <w:rPr>
          <w:rFonts w:ascii="Arial" w:hAnsi="Arial" w:cs="Arial"/>
          <w:color w:val="333333"/>
        </w:rPr>
        <w:t> </w:t>
      </w:r>
      <w:r>
        <w:rPr>
          <w:rFonts w:ascii="Arial" w:hAnsi="Arial" w:cs="Arial"/>
          <w:color w:val="0000FF"/>
        </w:rPr>
        <w:t>Transaction</w:t>
      </w:r>
    </w:p>
    <w:p w14:paraId="22BCC810" w14:textId="67514092" w:rsidR="00193B44" w:rsidRPr="00C7305B" w:rsidRDefault="00C7305B" w:rsidP="00C7305B">
      <w:r>
        <w:rPr>
          <w:rFonts w:ascii="Arial" w:hAnsi="Arial" w:cs="Arial"/>
          <w:color w:val="333333"/>
          <w:shd w:val="clear" w:color="auto" w:fill="FFFFFF"/>
        </w:rPr>
        <w:br/>
      </w:r>
      <w:r>
        <w:rPr>
          <w:rFonts w:ascii="Arial" w:hAnsi="Arial" w:cs="Arial"/>
          <w:b/>
          <w:bCs/>
          <w:color w:val="333333"/>
          <w:shd w:val="clear" w:color="auto" w:fill="FFFFFF"/>
        </w:rPr>
        <w:t>Existing application :</w:t>
      </w:r>
      <w:r>
        <w:rPr>
          <w:rFonts w:ascii="Arial" w:hAnsi="Arial" w:cs="Arial"/>
          <w:color w:val="333333"/>
          <w:shd w:val="clear" w:color="auto" w:fill="FFFFFF"/>
        </w:rPr>
        <w:t> If your application is using the default Read Committed isolation level, you can very easily make the application to use Read Committed Snapshot Isolation without requiring any change to the application at all. All you need to do is turn on READ_COMMITTED_SNAPSHOT option in the database, which will change read committed isolation to use row versioning when reading the committed data.</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Distributed transactions :</w:t>
      </w:r>
      <w:r>
        <w:rPr>
          <w:rFonts w:ascii="Arial" w:hAnsi="Arial" w:cs="Arial"/>
          <w:color w:val="333333"/>
          <w:shd w:val="clear" w:color="auto" w:fill="FFFFFF"/>
        </w:rPr>
        <w:t> Read Committed Snapshot Isolation works with distributed transactions, whereas snapshot isolation does not.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Read consistency : </w:t>
      </w:r>
      <w:r>
        <w:rPr>
          <w:rFonts w:ascii="Arial" w:hAnsi="Arial" w:cs="Arial"/>
          <w:color w:val="333333"/>
          <w:shd w:val="clear" w:color="auto" w:fill="FFFFFF"/>
        </w:rPr>
        <w:t>Read Committed Snapshot Isolation provides statement-level read consistency where as Snapshot Isolation provides transaction-level read consistency. The following diagrams explain this.</w:t>
      </w:r>
      <w:r>
        <w:rPr>
          <w:rFonts w:ascii="Arial" w:hAnsi="Arial" w:cs="Arial"/>
          <w:color w:val="333333"/>
        </w:rPr>
        <w:br/>
      </w:r>
      <w:r>
        <w:rPr>
          <w:rFonts w:ascii="Arial" w:hAnsi="Arial" w:cs="Arial"/>
          <w:color w:val="333333"/>
        </w:rPr>
        <w:br/>
      </w:r>
      <w:r>
        <w:rPr>
          <w:rFonts w:ascii="Arial" w:hAnsi="Arial" w:cs="Arial"/>
          <w:color w:val="333333"/>
          <w:shd w:val="clear" w:color="auto" w:fill="FFFFFF"/>
        </w:rPr>
        <w:t>Transaction 2 has 2 select statements. Notice that both of these select statements return different data. This is because Read Committed Snapshot Isolation returns the last committed data before the select statement began and not the last committed data before the transaction began. </w:t>
      </w:r>
      <w:r>
        <w:rPr>
          <w:rFonts w:ascii="Arial" w:hAnsi="Arial" w:cs="Arial"/>
          <w:color w:val="333333"/>
        </w:rPr>
        <w:br/>
      </w:r>
      <w:r>
        <w:rPr>
          <w:noProof/>
        </w:rPr>
        <w:lastRenderedPageBreak/>
        <w:drawing>
          <wp:inline distT="0" distB="0" distL="0" distR="0" wp14:anchorId="5FCCF64E" wp14:editId="0FCDDAD8">
            <wp:extent cx="5172075" cy="7477125"/>
            <wp:effectExtent l="0" t="0" r="9525" b="9525"/>
            <wp:docPr id="2" name="Picture 2" descr="difference between snapshot isolation and read committed 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snapshot isolation and read committed snap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747712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In the following example, both the select statements of Transaction 2 return same data. This is because Snapshot Isolation returns the last committed data before the transaction began and </w:t>
      </w:r>
      <w:r>
        <w:rPr>
          <w:rFonts w:ascii="Arial" w:hAnsi="Arial" w:cs="Arial"/>
          <w:color w:val="333333"/>
          <w:shd w:val="clear" w:color="auto" w:fill="FFFFFF"/>
        </w:rPr>
        <w:lastRenderedPageBreak/>
        <w:t>not the last committed data before the select statement began. </w:t>
      </w:r>
      <w:r>
        <w:rPr>
          <w:rFonts w:ascii="Arial" w:hAnsi="Arial" w:cs="Arial"/>
          <w:color w:val="333333"/>
        </w:rPr>
        <w:br/>
      </w:r>
      <w:r>
        <w:rPr>
          <w:noProof/>
        </w:rPr>
        <w:drawing>
          <wp:inline distT="0" distB="0" distL="0" distR="0" wp14:anchorId="5511FC8E" wp14:editId="54EB84AF">
            <wp:extent cx="5219700" cy="7467600"/>
            <wp:effectExtent l="0" t="0" r="0" b="0"/>
            <wp:docPr id="1" name="Picture 1" descr="difference between read committed snapshot and snapshot isolation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read committed snapshot and snapshot isolation leve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7467600"/>
                    </a:xfrm>
                    <a:prstGeom prst="rect">
                      <a:avLst/>
                    </a:prstGeom>
                    <a:noFill/>
                    <a:ln>
                      <a:noFill/>
                    </a:ln>
                  </pic:spPr>
                </pic:pic>
              </a:graphicData>
            </a:graphic>
          </wp:inline>
        </w:drawing>
      </w:r>
      <w:bookmarkStart w:id="0" w:name="_GoBack"/>
      <w:bookmarkEnd w:id="0"/>
    </w:p>
    <w:sectPr w:rsidR="00193B44" w:rsidRPr="00C730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53B14" w14:textId="77777777" w:rsidR="003772AC" w:rsidRDefault="003772AC" w:rsidP="00A2070E">
      <w:pPr>
        <w:spacing w:after="0" w:line="240" w:lineRule="auto"/>
      </w:pPr>
      <w:r>
        <w:separator/>
      </w:r>
    </w:p>
  </w:endnote>
  <w:endnote w:type="continuationSeparator" w:id="0">
    <w:p w14:paraId="471A65DE" w14:textId="77777777" w:rsidR="003772AC" w:rsidRDefault="003772AC"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D2C7E" w14:textId="77777777" w:rsidR="003772AC" w:rsidRDefault="003772AC" w:rsidP="00A2070E">
      <w:pPr>
        <w:spacing w:after="0" w:line="240" w:lineRule="auto"/>
      </w:pPr>
      <w:r>
        <w:separator/>
      </w:r>
    </w:p>
  </w:footnote>
  <w:footnote w:type="continuationSeparator" w:id="0">
    <w:p w14:paraId="566E44C7" w14:textId="77777777" w:rsidR="003772AC" w:rsidRDefault="003772AC" w:rsidP="00A2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D32B8"/>
    <w:multiLevelType w:val="multilevel"/>
    <w:tmpl w:val="D77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3C3DF8"/>
    <w:multiLevelType w:val="multilevel"/>
    <w:tmpl w:val="484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4ED4"/>
    <w:rsid w:val="0002547D"/>
    <w:rsid w:val="000760E7"/>
    <w:rsid w:val="00097C60"/>
    <w:rsid w:val="000C3BAF"/>
    <w:rsid w:val="000C763A"/>
    <w:rsid w:val="000D04FC"/>
    <w:rsid w:val="000F4712"/>
    <w:rsid w:val="0010539F"/>
    <w:rsid w:val="00117658"/>
    <w:rsid w:val="00126D02"/>
    <w:rsid w:val="00126DFB"/>
    <w:rsid w:val="00133EE8"/>
    <w:rsid w:val="00153C88"/>
    <w:rsid w:val="001744FD"/>
    <w:rsid w:val="00174D6B"/>
    <w:rsid w:val="001C4C05"/>
    <w:rsid w:val="001C502B"/>
    <w:rsid w:val="001D0662"/>
    <w:rsid w:val="001D25AC"/>
    <w:rsid w:val="001D491E"/>
    <w:rsid w:val="001F1F9E"/>
    <w:rsid w:val="00205784"/>
    <w:rsid w:val="002267DD"/>
    <w:rsid w:val="00226D0A"/>
    <w:rsid w:val="00244B41"/>
    <w:rsid w:val="00255966"/>
    <w:rsid w:val="00267C20"/>
    <w:rsid w:val="00283F7B"/>
    <w:rsid w:val="002868D7"/>
    <w:rsid w:val="002C3029"/>
    <w:rsid w:val="002E0FC5"/>
    <w:rsid w:val="002E72E8"/>
    <w:rsid w:val="002F0E05"/>
    <w:rsid w:val="003144F3"/>
    <w:rsid w:val="003772AC"/>
    <w:rsid w:val="003B0030"/>
    <w:rsid w:val="003B79A3"/>
    <w:rsid w:val="003E02E1"/>
    <w:rsid w:val="003E5FC0"/>
    <w:rsid w:val="003F2C6A"/>
    <w:rsid w:val="0041653B"/>
    <w:rsid w:val="00423EB0"/>
    <w:rsid w:val="00427CCE"/>
    <w:rsid w:val="00452E3E"/>
    <w:rsid w:val="004559DA"/>
    <w:rsid w:val="004E3BD2"/>
    <w:rsid w:val="004E4457"/>
    <w:rsid w:val="004F364B"/>
    <w:rsid w:val="00501264"/>
    <w:rsid w:val="00511D4D"/>
    <w:rsid w:val="00530CAE"/>
    <w:rsid w:val="00561B49"/>
    <w:rsid w:val="005746E0"/>
    <w:rsid w:val="00574A9F"/>
    <w:rsid w:val="00575E2D"/>
    <w:rsid w:val="00595154"/>
    <w:rsid w:val="005A6188"/>
    <w:rsid w:val="005D783C"/>
    <w:rsid w:val="006074B8"/>
    <w:rsid w:val="006403FE"/>
    <w:rsid w:val="00641AF6"/>
    <w:rsid w:val="00672BC1"/>
    <w:rsid w:val="00685EEC"/>
    <w:rsid w:val="006C210A"/>
    <w:rsid w:val="006F5E72"/>
    <w:rsid w:val="007075DF"/>
    <w:rsid w:val="00751271"/>
    <w:rsid w:val="0076313B"/>
    <w:rsid w:val="007942A4"/>
    <w:rsid w:val="007978AC"/>
    <w:rsid w:val="007B1938"/>
    <w:rsid w:val="007E402D"/>
    <w:rsid w:val="007E7125"/>
    <w:rsid w:val="007F0B2A"/>
    <w:rsid w:val="0080472B"/>
    <w:rsid w:val="00805F25"/>
    <w:rsid w:val="00833A0B"/>
    <w:rsid w:val="00845FDC"/>
    <w:rsid w:val="008773FF"/>
    <w:rsid w:val="0088782B"/>
    <w:rsid w:val="008A5FB9"/>
    <w:rsid w:val="008B7C7F"/>
    <w:rsid w:val="008C312B"/>
    <w:rsid w:val="00903F58"/>
    <w:rsid w:val="009136A9"/>
    <w:rsid w:val="009171DA"/>
    <w:rsid w:val="00927A45"/>
    <w:rsid w:val="00932A27"/>
    <w:rsid w:val="00950ACC"/>
    <w:rsid w:val="00970D28"/>
    <w:rsid w:val="00987087"/>
    <w:rsid w:val="0099136C"/>
    <w:rsid w:val="009A0F27"/>
    <w:rsid w:val="009B0DB9"/>
    <w:rsid w:val="009C4976"/>
    <w:rsid w:val="009D77FA"/>
    <w:rsid w:val="009E669C"/>
    <w:rsid w:val="00A01D41"/>
    <w:rsid w:val="00A024F4"/>
    <w:rsid w:val="00A2070E"/>
    <w:rsid w:val="00A26DDE"/>
    <w:rsid w:val="00A27989"/>
    <w:rsid w:val="00A517C3"/>
    <w:rsid w:val="00AE6B94"/>
    <w:rsid w:val="00B21E01"/>
    <w:rsid w:val="00B31EB5"/>
    <w:rsid w:val="00B422BA"/>
    <w:rsid w:val="00B80A07"/>
    <w:rsid w:val="00B842F4"/>
    <w:rsid w:val="00BA7FF5"/>
    <w:rsid w:val="00BB51F5"/>
    <w:rsid w:val="00BC34D3"/>
    <w:rsid w:val="00BE091C"/>
    <w:rsid w:val="00BE0C7B"/>
    <w:rsid w:val="00C01D20"/>
    <w:rsid w:val="00C313C3"/>
    <w:rsid w:val="00C3560D"/>
    <w:rsid w:val="00C50695"/>
    <w:rsid w:val="00C51A45"/>
    <w:rsid w:val="00C53E7F"/>
    <w:rsid w:val="00C70C6B"/>
    <w:rsid w:val="00C7305B"/>
    <w:rsid w:val="00C835BA"/>
    <w:rsid w:val="00C83E5D"/>
    <w:rsid w:val="00C87864"/>
    <w:rsid w:val="00CB1D18"/>
    <w:rsid w:val="00CC2C54"/>
    <w:rsid w:val="00CD545E"/>
    <w:rsid w:val="00D2671A"/>
    <w:rsid w:val="00D3668A"/>
    <w:rsid w:val="00D45976"/>
    <w:rsid w:val="00D653E1"/>
    <w:rsid w:val="00D6547A"/>
    <w:rsid w:val="00D66F14"/>
    <w:rsid w:val="00D8297E"/>
    <w:rsid w:val="00DA058A"/>
    <w:rsid w:val="00DD381F"/>
    <w:rsid w:val="00E725F9"/>
    <w:rsid w:val="00E94D7F"/>
    <w:rsid w:val="00EB026D"/>
    <w:rsid w:val="00EC01CC"/>
    <w:rsid w:val="00EC1CC9"/>
    <w:rsid w:val="00EC79E3"/>
    <w:rsid w:val="00ED723C"/>
    <w:rsid w:val="00F065F7"/>
    <w:rsid w:val="00F20231"/>
    <w:rsid w:val="00F250C8"/>
    <w:rsid w:val="00F31740"/>
    <w:rsid w:val="00F33B96"/>
    <w:rsid w:val="00F52E29"/>
    <w:rsid w:val="00F531D2"/>
    <w:rsid w:val="00F66840"/>
    <w:rsid w:val="00F9685B"/>
    <w:rsid w:val="00FC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751776317">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202133410">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49143435">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848905958">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 w:id="2094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5/08/read-committed-snapshot-isolation-level.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csharp-video-tutorials.blogspot.com/2015/08/snapshot-isolation-level-in-sql-server.html"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playlist?list=PL08903FB7ACA1C2F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sharp-video-tutorials.blogspot.com/2015/08/read-committed-snapshot-isolation-level.html" TargetMode="External"/><Relationship Id="rId4" Type="http://schemas.openxmlformats.org/officeDocument/2006/relationships/webSettings" Target="webSettings.xml"/><Relationship Id="rId9" Type="http://schemas.openxmlformats.org/officeDocument/2006/relationships/hyperlink" Target="http://csharp-video-tutorials.blogspot.com/2015/08/snapshot-isolation-level-in-sql-server.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76</cp:revision>
  <dcterms:created xsi:type="dcterms:W3CDTF">2019-05-21T02:06:00Z</dcterms:created>
  <dcterms:modified xsi:type="dcterms:W3CDTF">2019-05-22T12:23:00Z</dcterms:modified>
</cp:coreProperties>
</file>