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Seventeen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4.7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right-sidebar, flexible-header, accessibility-ready, custom-colors, custom-header, custom-menu, custom-logo, editor-style, featured-images, footer-widgets, post-formats, rtl-language-support, sticky-post, theme-options, threaded-comments, translation-ready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brings your site to life with header video and immersive featured images. With a focus on business sites, it features multiple sections on the front page as well as widgets, navigation and social menus, a logo, and more. Personalize its asymmetrical grid with a custom color scheme and showcase your multimedia content with post formats. Our default theme for 2017 works great in many languages, for any abilities, and on any device.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Seventeen please go to https://codex.wordpress.org/Twenty_Seventeen.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Seventeen in the search form and press the 'Enter' key on your keyboard.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https://codex.wordpress.org/Twenty_Seventeen for a guide on how to customize this theme.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taste.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WordPress Theme, Copyright 2016 WordPress.org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bundles the following third-party resources: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Shiv, Copyright 2014 Alexander Farkas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scrollTo, Copyright 2007-2015 Ariel Flesler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https://github.com/flesler/jquery.scrollTo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normalize.css, Copyright 2012-2016 Nicolas Gallagher and Jonathan Neal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https://necolas.github.io/normalize.css/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icons, Copyright Dave Gandy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version 1.1.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http://fontawesome.io/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header image, Copyright Alvin Engler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CC0 1.0 Universal (CC0 1.0)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https://unsplash.com/@englr?photo=bIhpiQA009k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18, 2017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6, 2017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