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8926CF"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8926CF"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8926CF"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8926CF"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8926CF"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8926CF"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8926CF"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8926CF"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8926CF"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8926CF"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8926CF"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8926CF"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8926CF"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8926CF"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8926CF"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8926CF"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8926CF"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8926CF"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8926CF"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8926CF"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8926CF"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8926CF"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8926CF"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8926CF"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8926CF"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8926CF"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8926CF"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8926CF"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8926CF"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8926CF" w:rsidP="00C56697">
            <w:hyperlink w:anchor="_Adding_Some_Real_2" w:history="1">
              <w:r w:rsidR="00BF4E19" w:rsidRPr="00256563">
                <w:rPr>
                  <w:rStyle w:val="Hyperlink"/>
                </w:rPr>
                <w:t>Adding Some Real World Logic to the Model</w:t>
              </w:r>
            </w:hyperlink>
          </w:p>
        </w:tc>
      </w:tr>
    </w:tbl>
    <w:bookmarkStart w:id="0" w:name="_Overview_-_Introduction"/>
    <w:bookmarkEnd w:id="0"/>
    <w:p w14:paraId="045EDF72" w14:textId="4B28B15F" w:rsidR="004D6BB6" w:rsidRPr="00256563" w:rsidRDefault="00256563" w:rsidP="004D6BB6">
      <w:pPr>
        <w:spacing w:before="200"/>
        <w:rPr>
          <w:rStyle w:val="Hyperlink"/>
        </w:rPr>
      </w:pPr>
      <w:r>
        <w:fldChar w:fldCharType="begin"/>
      </w:r>
      <w:r>
        <w:instrText xml:space="preserve"> HYPERLINK  \l "_Appendix_I:_Program.cs_5" </w:instrText>
      </w:r>
      <w:r>
        <w:fldChar w:fldCharType="separate"/>
      </w:r>
      <w:r w:rsidR="004D6BB6" w:rsidRPr="00256563">
        <w:rPr>
          <w:rStyle w:val="Hyperlink"/>
        </w:rPr>
        <w:t>Appendix I: Program.cs – Contains EF Methods for Interacting with Data</w:t>
      </w:r>
    </w:p>
    <w:bookmarkStart w:id="1" w:name="_Overview_-_Introduction_1"/>
    <w:bookmarkEnd w:id="1"/>
    <w:p w14:paraId="6A26D448" w14:textId="7D42B830" w:rsidR="2232D1EA" w:rsidRDefault="00256563" w:rsidP="004D6BB6">
      <w:pPr>
        <w:pStyle w:val="Heading2"/>
        <w:rPr>
          <w:rStyle w:val="Hyperlink"/>
        </w:rPr>
      </w:pPr>
      <w:r>
        <w:rPr>
          <w:rFonts w:asciiTheme="minorHAnsi" w:eastAsiaTheme="minorHAnsi" w:hAnsiTheme="minorHAnsi" w:cstheme="minorBidi"/>
          <w:b w:val="0"/>
          <w:bCs w:val="0"/>
          <w:color w:val="auto"/>
          <w:sz w:val="22"/>
          <w:szCs w:val="22"/>
        </w:rPr>
        <w:fldChar w:fldCharType="end"/>
      </w:r>
      <w:r w:rsidR="2232D1EA">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xml:space="preserve">.  By contrast, he </w:t>
      </w:r>
      <w:r w:rsidRPr="2232D1EA">
        <w:rPr>
          <w:rFonts w:ascii="Calibri" w:eastAsia="Calibri" w:hAnsi="Calibri" w:cs="Calibri"/>
          <w:color w:val="000000" w:themeColor="text1"/>
        </w:rPr>
        <w:lastRenderedPageBreak/>
        <w:t>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lastRenderedPageBreak/>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lastRenderedPageBreak/>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lastRenderedPageBreak/>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lastRenderedPageBreak/>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w:t>
      </w:r>
      <w:r w:rsidRPr="3317EA1B">
        <w:lastRenderedPageBreak/>
        <w:t xml:space="preserve">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lastRenderedPageBreak/>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lastRenderedPageBreak/>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77777777" w:rsidR="00DE4720" w:rsidRDefault="00DE4720" w:rsidP="00DE4720">
      <w:r>
        <w:t xml:space="preserve">Examine – in the domain classes (Classes.cs) - the properties that link Clan with Ninja and Ninja with Ninja Equipment.  If you look closely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lastRenderedPageBreak/>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7777777" w:rsidR="00053BDC" w:rsidRDefault="00053BDC" w:rsidP="00053BDC">
      <w:r>
        <w:lastRenderedPageBreak/>
        <w:t>This Pluralsight course will demonstrate (1) enable Migrations,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r w:rsidRPr="416A4E45">
        <w:t>.</w:t>
      </w:r>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575606AB" w14:textId="77777777" w:rsidR="0014107F" w:rsidRDefault="0014107F" w:rsidP="0042684D">
      <w:pPr>
        <w:pStyle w:val="ListParagraph"/>
        <w:numPr>
          <w:ilvl w:val="0"/>
          <w:numId w:val="77"/>
        </w:numPr>
        <w:spacing w:after="0"/>
      </w:pPr>
      <w:r>
        <w:t xml:space="preserve">Type the following commands at the </w:t>
      </w:r>
      <w:r w:rsidRPr="53F90D97">
        <w:rPr>
          <w:b/>
          <w:bCs/>
        </w:rPr>
        <w:t>NuGet Package Manager</w:t>
      </w:r>
      <w:r>
        <w:t xml:space="preserve"> prompt.</w:t>
      </w:r>
    </w:p>
    <w:p w14:paraId="1A4AA74A" w14:textId="77777777" w:rsidR="0014107F" w:rsidRDefault="0014107F" w:rsidP="0014107F">
      <w:pPr>
        <w:spacing w:after="0"/>
        <w:ind w:left="720"/>
      </w:pPr>
      <w:r w:rsidRPr="53F90D97">
        <w:rPr>
          <w:b/>
          <w:bCs/>
        </w:rPr>
        <w:t xml:space="preserve">PM&gt; </w:t>
      </w:r>
      <w:r>
        <w:t>add-migration Initial –Force</w:t>
      </w:r>
    </w:p>
    <w:p w14:paraId="3D007B34" w14:textId="77777777" w:rsidR="0014107F" w:rsidRDefault="0014107F" w:rsidP="0014107F">
      <w:pPr>
        <w:spacing w:after="0"/>
        <w:ind w:left="1440"/>
      </w:pPr>
      <w:r>
        <w:t>Note the “-Force” parameter,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t>public System.DateTime DateOfBirth { get; set; }</w:t>
      </w:r>
    </w:p>
    <w:p w14:paraId="74B022DD" w14:textId="0AFAFC8E" w:rsidR="00520B7F" w:rsidRDefault="00520B7F" w:rsidP="00520B7F">
      <w:pPr>
        <w:pStyle w:val="ListParagraph"/>
        <w:numPr>
          <w:ilvl w:val="0"/>
          <w:numId w:val="58"/>
        </w:numPr>
        <w:rPr>
          <w:color w:val="0000FF"/>
        </w:rPr>
      </w:pPr>
      <w:r>
        <w:lastRenderedPageBreak/>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form of 6 sections of text.  Each section contains T-SQL code; 3 of these create 3 tables; the other 3 </w:t>
      </w:r>
      <w:r>
        <w:lastRenderedPageBreak/>
        <w:t xml:space="preserve">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lastRenderedPageBreak/>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lastRenderedPageBreak/>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lastRenderedPageBreak/>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&gt;Tools.DiffFiles  ConsoleApplication\App.config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“c:”.)</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lastRenderedPageBreak/>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end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lastRenderedPageBreak/>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t>
      </w:r>
      <w:r w:rsidRPr="74641740">
        <w:lastRenderedPageBreak/>
        <w:t>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lastRenderedPageBreak/>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lastRenderedPageBreak/>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lastRenderedPageBreak/>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lastRenderedPageBreak/>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lastRenderedPageBreak/>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lastRenderedPageBreak/>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lastRenderedPageBreak/>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 xml:space="preserve">THE PLURALSIGHT INSTRUCTOR RECOMMENDS AGAINST THE USE OF LAZY LOADING, BECAUSE IT CAN ACCIDENTALLY </w:t>
      </w:r>
      <w:r w:rsidRPr="4E253B7A">
        <w:rPr>
          <w:b/>
          <w:bCs/>
        </w:rPr>
        <w:lastRenderedPageBreak/>
        <w:t>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NinjaEquipment.cs does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r>
        <w:t>public int NinjaId { get; set; }</w:t>
      </w:r>
    </w:p>
    <w:p w14:paraId="471F939B" w14:textId="77777777" w:rsidR="005F13E4" w:rsidRDefault="005F13E4" w:rsidP="009C48C0">
      <w:pPr>
        <w:spacing w:line="240" w:lineRule="auto"/>
      </w:pPr>
      <w:r>
        <w:t>to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lastRenderedPageBreak/>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window,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Insert the following XML into App.Config, immediately before &lt;entityFramework&gt;.  This XML is identical to what we 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&lt;connectionStrings&gt;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connectionString=</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Catalog=NinjaModule4Data;Integrated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MVCAppNinjaOnly, MVCAppRepository, and  WebAPI.</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lastRenderedPageBreak/>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r w:rsidRPr="01D28359">
        <w:rPr>
          <w:rFonts w:ascii="Calibri" w:hAnsi="Calibri"/>
        </w:rPr>
        <w:t xml:space="preserve">In the Solution Explorer right-click </w:t>
      </w:r>
      <w:r w:rsidRPr="01D28359">
        <w:rPr>
          <w:i/>
          <w:iCs/>
        </w:rPr>
        <w:t>AppProject</w:t>
      </w:r>
      <w:r w:rsidRPr="01D28359">
        <w:rPr>
          <w:rFonts w:ascii="Calibri" w:hAnsi="Calibri"/>
        </w:rPr>
        <w:t>.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&lt;connectionStrings&gt;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connectionString=</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Catalog=NinjaModule4Data;Integrated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r>
        <w:t>public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lastRenderedPageBreak/>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section </w:t>
      </w:r>
      <w:hyperlink w:anchor="_Adding_Some_Real_1">
        <w:hyperlink w:anchor="_Adding_Some_Real_2" w:history="1">
          <w:r w:rsidRPr="00256563">
            <w:rPr>
              <w:rStyle w:val="Hyperlink"/>
            </w:rPr>
            <w:t>Adding Some Real World Logic to the Model</w:t>
          </w:r>
        </w:hyperlink>
        <w:r w:rsidRPr="4D05939D">
          <w:rPr>
            <w:rStyle w:val="Hyperlink"/>
            <w:u w:val="none"/>
          </w:rPr>
          <w:t>.</w:t>
        </w:r>
      </w:hyperlink>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NewDbWithSeed()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t xml:space="preserve">If you have been using </w:t>
      </w:r>
      <w:r w:rsidRPr="543EF789">
        <w:rPr>
          <w:b/>
          <w:bCs/>
        </w:rPr>
        <w:t>SQL Server Object Explorer</w:t>
      </w:r>
      <w:r>
        <w:t xml:space="preserve"> before running NewDbWithSeed() - e.g. to examine the database - NewDbWithSeed() will often crash with a message such as</w:t>
      </w:r>
    </w:p>
    <w:p w14:paraId="2E61D1AF" w14:textId="77777777" w:rsidR="003E4A9F" w:rsidRDefault="003E4A9F" w:rsidP="003E4A9F">
      <w:pPr>
        <w:ind w:left="720"/>
      </w:pPr>
      <w:r>
        <w:t>Cannot drop database "NinjaModule4Data" because it is currently in use.</w:t>
      </w:r>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End w:id="38"/>
      <w:r>
        <w:t>Adding Some Real World Logic to the Model</w:t>
      </w:r>
    </w:p>
    <w:p w14:paraId="1C19F061" w14:textId="4DAFE621" w:rsidR="001D4C40" w:rsidRDefault="009C48C0" w:rsidP="001D4C40">
      <w:r>
        <w:t>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isDirty on the client side, but isDirty will not be persisted into the database</w:t>
      </w:r>
      <w:bookmarkStart w:id="39" w:name="_Appendix_I:_Program.cs_5"/>
      <w:bookmarkEnd w:id="39"/>
      <w:r w:rsidR="001D4C40">
        <w:t>.</w:t>
      </w:r>
    </w:p>
    <w:p w14:paraId="2A2771A9" w14:textId="77777777" w:rsidR="001D4C40" w:rsidRDefault="001D4C40" w:rsidP="001D4C40">
      <w:r>
        <w:lastRenderedPageBreak/>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r w:rsidRPr="5F4EF667">
        <w:rPr>
          <w:b/>
          <w:bCs/>
        </w:rPr>
        <w:t>protected override void OnModelCreating ( DbModelBuilder modelBuilder )</w:t>
      </w:r>
    </w:p>
    <w:p w14:paraId="37193774" w14:textId="77777777" w:rsidR="001D4C40" w:rsidRDefault="001D4C40" w:rsidP="001D4C40">
      <w:pPr>
        <w:spacing w:after="20"/>
        <w:ind w:left="1440"/>
        <w:rPr>
          <w:b/>
          <w:bCs/>
        </w:rPr>
      </w:pPr>
      <w:r w:rsidRPr="26C1940E">
        <w:rPr>
          <w:b/>
          <w:bCs/>
        </w:rPr>
        <w:t xml:space="preserve">{ </w:t>
      </w:r>
      <w:r w:rsidRPr="26C1940E">
        <w:rPr>
          <w:b/>
          <w:bCs/>
          <w:i/>
          <w:iCs/>
        </w:rPr>
        <w:t xml:space="preserve">body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r w:rsidRPr="5F4EF667">
        <w:rPr>
          <w:b/>
          <w:bCs/>
        </w:rPr>
        <w:t>public override int SaveChanges ()</w:t>
      </w:r>
    </w:p>
    <w:p w14:paraId="6C89903B" w14:textId="77777777" w:rsidR="001D4C40" w:rsidRDefault="001D4C40" w:rsidP="001D4C40">
      <w:pPr>
        <w:ind w:left="1440"/>
        <w:rPr>
          <w:b/>
          <w:bCs/>
        </w:rPr>
      </w:pPr>
      <w:r w:rsidRPr="26C1940E">
        <w:rPr>
          <w:b/>
          <w:bCs/>
        </w:rPr>
        <w:t xml:space="preserve">{ </w:t>
      </w:r>
      <w:r w:rsidRPr="26C1940E">
        <w:rPr>
          <w:b/>
          <w:bCs/>
          <w:i/>
          <w:iCs/>
        </w:rPr>
        <w:t xml:space="preserve">body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r>
        <w:t>modelBuilder . Types() . Configure ( c =&gt; c . Ignore ( “IsDirty” ) );</w:t>
      </w:r>
    </w:p>
    <w:p w14:paraId="5775998C" w14:textId="77777777" w:rsidR="001D4C40" w:rsidRDefault="001D4C40" w:rsidP="001D4C40">
      <w:pPr>
        <w:rPr>
          <w:b/>
          <w:bCs/>
        </w:rPr>
      </w:pPr>
      <w:r>
        <w:t xml:space="preserve">in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29BD02CD"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r w:rsidRPr="5F4EF667">
        <w:rPr>
          <w:b/>
          <w:bCs/>
        </w:rPr>
        <w:t>EntityState . Added</w:t>
      </w:r>
      <w:r>
        <w:t xml:space="preserve"> or </w:t>
      </w:r>
      <w:r w:rsidRPr="5F4EF667">
        <w:rPr>
          <w:b/>
          <w:bCs/>
        </w:rPr>
        <w:t>EntityState . Modified</w:t>
      </w:r>
      <w:r>
        <w:t xml:space="preserve">; and </w:t>
      </w:r>
      <w:r>
        <w:t>the body contains</w:t>
      </w:r>
      <w:bookmarkStart w:id="40" w:name="_GoBack"/>
      <w:bookmarkEnd w:id="40"/>
      <w:r>
        <w:t xml:space="preserve"> additional statements to 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lastRenderedPageBreak/>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lastRenderedPageBreak/>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lastRenderedPageBreak/>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var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lastRenderedPageBreak/>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lastRenderedPageBreak/>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lastRenderedPageBreak/>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Pr="00DE4720" w:rsidRDefault="007E3D4F" w:rsidP="007E3D4F">
      <w:pPr>
        <w:spacing w:after="0" w:line="240" w:lineRule="auto"/>
      </w:pPr>
      <w:r>
        <w:t>}</w:t>
      </w:r>
    </w:p>
    <w:sectPr w:rsidR="005034BC" w:rsidRPr="00DE4720">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85E48" w14:textId="77777777" w:rsidR="008926CF" w:rsidRDefault="008926CF">
      <w:pPr>
        <w:spacing w:after="0" w:line="240" w:lineRule="auto"/>
      </w:pPr>
      <w:r>
        <w:separator/>
      </w:r>
    </w:p>
  </w:endnote>
  <w:endnote w:type="continuationSeparator" w:id="0">
    <w:p w14:paraId="62393D33" w14:textId="77777777" w:rsidR="008926CF" w:rsidRDefault="008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A713BB" w:rsidRDefault="00A713BB">
    <w:pPr>
      <w:pStyle w:val="Footer"/>
      <w:jc w:val="center"/>
    </w:pPr>
    <w:r>
      <w:fldChar w:fldCharType="begin"/>
    </w:r>
    <w:r>
      <w:instrText xml:space="preserve"> PAGE </w:instrText>
    </w:r>
    <w:r>
      <w:fldChar w:fldCharType="separate"/>
    </w:r>
    <w:r w:rsidR="001D4C40">
      <w:rPr>
        <w:noProof/>
      </w:rPr>
      <w:t>34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3B96F" w14:textId="77777777" w:rsidR="008926CF" w:rsidRDefault="008926CF">
      <w:pPr>
        <w:spacing w:after="0" w:line="240" w:lineRule="auto"/>
      </w:pPr>
      <w:r>
        <w:separator/>
      </w:r>
    </w:p>
  </w:footnote>
  <w:footnote w:type="continuationSeparator" w:id="0">
    <w:p w14:paraId="6804002C" w14:textId="77777777" w:rsidR="008926CF" w:rsidRDefault="00892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2">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4">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5">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7">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8">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9">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0">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4">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1">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4">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4"/>
  </w:num>
  <w:num w:numId="3">
    <w:abstractNumId w:val="76"/>
  </w:num>
  <w:num w:numId="4">
    <w:abstractNumId w:val="18"/>
  </w:num>
  <w:num w:numId="5">
    <w:abstractNumId w:val="59"/>
  </w:num>
  <w:num w:numId="6">
    <w:abstractNumId w:val="65"/>
  </w:num>
  <w:num w:numId="7">
    <w:abstractNumId w:val="15"/>
  </w:num>
  <w:num w:numId="8">
    <w:abstractNumId w:val="54"/>
  </w:num>
  <w:num w:numId="9">
    <w:abstractNumId w:val="60"/>
  </w:num>
  <w:num w:numId="10">
    <w:abstractNumId w:val="27"/>
  </w:num>
  <w:num w:numId="11">
    <w:abstractNumId w:val="70"/>
  </w:num>
  <w:num w:numId="12">
    <w:abstractNumId w:val="24"/>
  </w:num>
  <w:num w:numId="13">
    <w:abstractNumId w:val="62"/>
  </w:num>
  <w:num w:numId="14">
    <w:abstractNumId w:val="22"/>
  </w:num>
  <w:num w:numId="15">
    <w:abstractNumId w:val="85"/>
  </w:num>
  <w:num w:numId="16">
    <w:abstractNumId w:val="8"/>
  </w:num>
  <w:num w:numId="17">
    <w:abstractNumId w:val="63"/>
  </w:num>
  <w:num w:numId="18">
    <w:abstractNumId w:val="6"/>
  </w:num>
  <w:num w:numId="19">
    <w:abstractNumId w:val="49"/>
  </w:num>
  <w:num w:numId="20">
    <w:abstractNumId w:val="19"/>
  </w:num>
  <w:num w:numId="21">
    <w:abstractNumId w:val="58"/>
  </w:num>
  <w:num w:numId="22">
    <w:abstractNumId w:val="82"/>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6"/>
  </w:num>
  <w:num w:numId="30">
    <w:abstractNumId w:val="79"/>
  </w:num>
  <w:num w:numId="31">
    <w:abstractNumId w:val="31"/>
  </w:num>
  <w:num w:numId="32">
    <w:abstractNumId w:val="1"/>
  </w:num>
  <w:num w:numId="33">
    <w:abstractNumId w:val="52"/>
  </w:num>
  <w:num w:numId="34">
    <w:abstractNumId w:val="77"/>
  </w:num>
  <w:num w:numId="35">
    <w:abstractNumId w:val="64"/>
  </w:num>
  <w:num w:numId="36">
    <w:abstractNumId w:val="50"/>
  </w:num>
  <w:num w:numId="37">
    <w:abstractNumId w:val="10"/>
  </w:num>
  <w:num w:numId="38">
    <w:abstractNumId w:val="75"/>
  </w:num>
  <w:num w:numId="39">
    <w:abstractNumId w:val="12"/>
  </w:num>
  <w:num w:numId="40">
    <w:abstractNumId w:val="5"/>
  </w:num>
  <w:num w:numId="41">
    <w:abstractNumId w:val="46"/>
  </w:num>
  <w:num w:numId="42">
    <w:abstractNumId w:val="34"/>
  </w:num>
  <w:num w:numId="43">
    <w:abstractNumId w:val="51"/>
  </w:num>
  <w:num w:numId="44">
    <w:abstractNumId w:val="9"/>
  </w:num>
  <w:num w:numId="45">
    <w:abstractNumId w:val="32"/>
  </w:num>
  <w:num w:numId="46">
    <w:abstractNumId w:val="43"/>
  </w:num>
  <w:num w:numId="47">
    <w:abstractNumId w:val="40"/>
  </w:num>
  <w:num w:numId="48">
    <w:abstractNumId w:val="2"/>
  </w:num>
  <w:num w:numId="49">
    <w:abstractNumId w:val="41"/>
  </w:num>
  <w:num w:numId="50">
    <w:abstractNumId w:val="48"/>
  </w:num>
  <w:num w:numId="51">
    <w:abstractNumId w:val="68"/>
  </w:num>
  <w:num w:numId="52">
    <w:abstractNumId w:val="53"/>
  </w:num>
  <w:num w:numId="53">
    <w:abstractNumId w:val="72"/>
  </w:num>
  <w:num w:numId="54">
    <w:abstractNumId w:val="25"/>
  </w:num>
  <w:num w:numId="55">
    <w:abstractNumId w:val="11"/>
  </w:num>
  <w:num w:numId="56">
    <w:abstractNumId w:val="45"/>
  </w:num>
  <w:num w:numId="57">
    <w:abstractNumId w:val="66"/>
  </w:num>
  <w:num w:numId="58">
    <w:abstractNumId w:val="78"/>
  </w:num>
  <w:num w:numId="59">
    <w:abstractNumId w:val="4"/>
  </w:num>
  <w:num w:numId="60">
    <w:abstractNumId w:val="67"/>
  </w:num>
  <w:num w:numId="61">
    <w:abstractNumId w:val="23"/>
  </w:num>
  <w:num w:numId="62">
    <w:abstractNumId w:val="69"/>
  </w:num>
  <w:num w:numId="63">
    <w:abstractNumId w:val="7"/>
  </w:num>
  <w:num w:numId="64">
    <w:abstractNumId w:val="14"/>
  </w:num>
  <w:num w:numId="65">
    <w:abstractNumId w:val="38"/>
  </w:num>
  <w:num w:numId="66">
    <w:abstractNumId w:val="42"/>
  </w:num>
  <w:num w:numId="67">
    <w:abstractNumId w:val="73"/>
  </w:num>
  <w:num w:numId="68">
    <w:abstractNumId w:val="84"/>
  </w:num>
  <w:num w:numId="69">
    <w:abstractNumId w:val="61"/>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7"/>
  </w:num>
  <w:num w:numId="77">
    <w:abstractNumId w:val="86"/>
  </w:num>
  <w:num w:numId="78">
    <w:abstractNumId w:val="57"/>
  </w:num>
  <w:num w:numId="79">
    <w:abstractNumId w:val="80"/>
  </w:num>
  <w:num w:numId="80">
    <w:abstractNumId w:val="81"/>
  </w:num>
  <w:num w:numId="81">
    <w:abstractNumId w:val="74"/>
  </w:num>
  <w:num w:numId="82">
    <w:abstractNumId w:val="83"/>
  </w:num>
  <w:num w:numId="83">
    <w:abstractNumId w:val="55"/>
  </w:num>
  <w:num w:numId="84">
    <w:abstractNumId w:val="71"/>
  </w:num>
  <w:num w:numId="85">
    <w:abstractNumId w:val="3"/>
  </w:num>
  <w:num w:numId="86">
    <w:abstractNumId w:val="20"/>
  </w:num>
  <w:num w:numId="87">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8CC"/>
    <w:rsid w:val="00255EA8"/>
    <w:rsid w:val="00256563"/>
    <w:rsid w:val="002565F8"/>
    <w:rsid w:val="002817BA"/>
    <w:rsid w:val="00295CA7"/>
    <w:rsid w:val="002B4B54"/>
    <w:rsid w:val="002C3850"/>
    <w:rsid w:val="002E799F"/>
    <w:rsid w:val="00302843"/>
    <w:rsid w:val="003061BC"/>
    <w:rsid w:val="003114D6"/>
    <w:rsid w:val="00331A7E"/>
    <w:rsid w:val="00360617"/>
    <w:rsid w:val="00390556"/>
    <w:rsid w:val="003B7119"/>
    <w:rsid w:val="003E4A9F"/>
    <w:rsid w:val="0042684D"/>
    <w:rsid w:val="004321BB"/>
    <w:rsid w:val="00433F00"/>
    <w:rsid w:val="00484426"/>
    <w:rsid w:val="004B2F35"/>
    <w:rsid w:val="004D6BB6"/>
    <w:rsid w:val="004D7843"/>
    <w:rsid w:val="005034BC"/>
    <w:rsid w:val="0051756F"/>
    <w:rsid w:val="00520B7F"/>
    <w:rsid w:val="00523EB4"/>
    <w:rsid w:val="00533785"/>
    <w:rsid w:val="005641B5"/>
    <w:rsid w:val="005B48A4"/>
    <w:rsid w:val="005C0C56"/>
    <w:rsid w:val="005C7AD1"/>
    <w:rsid w:val="005F13E4"/>
    <w:rsid w:val="005F32B0"/>
    <w:rsid w:val="00623221"/>
    <w:rsid w:val="00631DFC"/>
    <w:rsid w:val="00633B47"/>
    <w:rsid w:val="00677340"/>
    <w:rsid w:val="006A3D67"/>
    <w:rsid w:val="006F059A"/>
    <w:rsid w:val="0070644B"/>
    <w:rsid w:val="007078AB"/>
    <w:rsid w:val="00713B50"/>
    <w:rsid w:val="007259B1"/>
    <w:rsid w:val="0074557C"/>
    <w:rsid w:val="00752E60"/>
    <w:rsid w:val="00765830"/>
    <w:rsid w:val="0078267E"/>
    <w:rsid w:val="00796F38"/>
    <w:rsid w:val="007B77F7"/>
    <w:rsid w:val="007D6BD9"/>
    <w:rsid w:val="007E3D4F"/>
    <w:rsid w:val="0081787D"/>
    <w:rsid w:val="008664DC"/>
    <w:rsid w:val="00884C2E"/>
    <w:rsid w:val="008926CF"/>
    <w:rsid w:val="00895245"/>
    <w:rsid w:val="008C720E"/>
    <w:rsid w:val="009350F1"/>
    <w:rsid w:val="00936987"/>
    <w:rsid w:val="00943F19"/>
    <w:rsid w:val="00944014"/>
    <w:rsid w:val="009720CA"/>
    <w:rsid w:val="009A4D6E"/>
    <w:rsid w:val="009B18E3"/>
    <w:rsid w:val="009B1DB1"/>
    <w:rsid w:val="009C48C0"/>
    <w:rsid w:val="00A12AA6"/>
    <w:rsid w:val="00A1496F"/>
    <w:rsid w:val="00A1729E"/>
    <w:rsid w:val="00A247A3"/>
    <w:rsid w:val="00A713BB"/>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32794"/>
    <w:rsid w:val="00C412E9"/>
    <w:rsid w:val="00C44C32"/>
    <w:rsid w:val="00C514F8"/>
    <w:rsid w:val="00C5320A"/>
    <w:rsid w:val="00C5375B"/>
    <w:rsid w:val="00C56697"/>
    <w:rsid w:val="00C57217"/>
    <w:rsid w:val="00C7455F"/>
    <w:rsid w:val="00C75D66"/>
    <w:rsid w:val="00CA3DFB"/>
    <w:rsid w:val="00CB1EFB"/>
    <w:rsid w:val="00CE7D5E"/>
    <w:rsid w:val="00CF70FC"/>
    <w:rsid w:val="00D154A9"/>
    <w:rsid w:val="00D16C80"/>
    <w:rsid w:val="00D41859"/>
    <w:rsid w:val="00D72F3E"/>
    <w:rsid w:val="00D82E79"/>
    <w:rsid w:val="00DE4720"/>
    <w:rsid w:val="00E27B3C"/>
    <w:rsid w:val="00E575A6"/>
    <w:rsid w:val="00EB01FF"/>
    <w:rsid w:val="00EC43FB"/>
    <w:rsid w:val="00ED1F47"/>
    <w:rsid w:val="00EF4CC7"/>
    <w:rsid w:val="00F038FB"/>
    <w:rsid w:val="00F046B7"/>
    <w:rsid w:val="00F174DE"/>
    <w:rsid w:val="00F35AA1"/>
    <w:rsid w:val="00F375B9"/>
    <w:rsid w:val="00F624AA"/>
    <w:rsid w:val="00F64C4E"/>
    <w:rsid w:val="00F64C84"/>
    <w:rsid w:val="00F84940"/>
    <w:rsid w:val="00FB621E"/>
    <w:rsid w:val="00FE1292"/>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C0E9F-4612-4612-B57E-F70834A2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42</Pages>
  <Words>16089</Words>
  <Characters>91709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61</cp:revision>
  <cp:lastPrinted>2020-11-23T22:48:00Z</cp:lastPrinted>
  <dcterms:created xsi:type="dcterms:W3CDTF">2020-10-28T18:40:00Z</dcterms:created>
  <dcterms:modified xsi:type="dcterms:W3CDTF">2021-05-20T21:31:00Z</dcterms:modified>
</cp:coreProperties>
</file>