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BEF3" w14:textId="77777777" w:rsidR="009B6EEC" w:rsidRDefault="00000000">
      <w:pPr>
        <w:pStyle w:val="aa"/>
        <w:spacing w:after="24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>可配置频域色散补偿系数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LUT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设计与验证</w:t>
      </w:r>
    </w:p>
    <w:p w14:paraId="2E0B4E82" w14:textId="77777777" w:rsidR="009B6EEC" w:rsidRDefault="00000000">
      <w:pPr>
        <w:spacing w:after="0" w:line="360" w:lineRule="auto"/>
        <w:ind w:firstLineChars="200" w:firstLine="482"/>
        <w:jc w:val="both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24"/>
        </w:rPr>
        <w:t xml:space="preserve">摘　要　</w:t>
      </w:r>
      <w:r>
        <w:rPr>
          <w:rFonts w:ascii="Times New Roman" w:eastAsia="宋体" w:hAnsi="Times New Roman"/>
          <w:color w:val="000000"/>
          <w:sz w:val="24"/>
        </w:rPr>
        <w:t>本项目面向</w:t>
      </w:r>
      <w:r>
        <w:rPr>
          <w:rFonts w:ascii="Times New Roman" w:eastAsia="宋体" w:hAnsi="Times New Roman"/>
          <w:color w:val="000000"/>
          <w:sz w:val="24"/>
        </w:rPr>
        <w:t>FPGA</w:t>
      </w:r>
      <w:r>
        <w:rPr>
          <w:rFonts w:ascii="Times New Roman" w:eastAsia="宋体" w:hAnsi="Times New Roman"/>
          <w:color w:val="000000"/>
          <w:sz w:val="24"/>
        </w:rPr>
        <w:t>频域信号处理链路，完成了一个可配置色散补偿系数生成与查找表（</w:t>
      </w:r>
      <w:r>
        <w:rPr>
          <w:rFonts w:ascii="Times New Roman" w:eastAsia="宋体" w:hAnsi="Times New Roman"/>
          <w:color w:val="000000"/>
          <w:sz w:val="24"/>
        </w:rPr>
        <w:t>Look-Up Table, LUT</w:t>
      </w:r>
      <w:r>
        <w:rPr>
          <w:rFonts w:ascii="Times New Roman" w:eastAsia="宋体" w:hAnsi="Times New Roman"/>
          <w:color w:val="000000"/>
          <w:sz w:val="24"/>
        </w:rPr>
        <w:t>）模块。</w:t>
      </w:r>
      <w:r>
        <w:rPr>
          <w:rFonts w:ascii="Times New Roman" w:eastAsia="宋体" w:hAnsi="Times New Roman"/>
          <w:color w:val="000000"/>
          <w:sz w:val="24"/>
          <w:lang w:eastAsia="zh-CN"/>
        </w:rPr>
        <w:t>首先依据有限域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的频率</w:t>
      </w:r>
      <w:r>
        <w:rPr>
          <w:rFonts w:ascii="Times New Roman" w:eastAsia="宋体" w:hAnsi="Times New Roman"/>
          <w:color w:val="000000"/>
          <w:sz w:val="24"/>
          <w:lang w:eastAsia="zh-CN"/>
        </w:rPr>
        <w:t>bin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，计算离散色散模型对应的频域响应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H[k]</w:t>
      </w:r>
      <w:r>
        <w:rPr>
          <w:rFonts w:ascii="Times New Roman" w:eastAsia="宋体" w:hAnsi="Times New Roman"/>
          <w:color w:val="000000"/>
          <w:sz w:val="24"/>
          <w:lang w:eastAsia="zh-CN"/>
        </w:rPr>
        <w:t>；随后在模数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Q=12289 </w:t>
      </w:r>
      <w:r>
        <w:rPr>
          <w:rFonts w:ascii="Times New Roman" w:eastAsia="宋体" w:hAnsi="Times New Roman"/>
          <w:color w:val="000000"/>
          <w:sz w:val="24"/>
          <w:lang w:eastAsia="zh-CN"/>
        </w:rPr>
        <w:t>下求得其乘法逆元，生成补偿系数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C[k]=H[k]⁻¹ mod Q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，并将量化系数写入</w:t>
      </w:r>
      <w:r>
        <w:rPr>
          <w:rFonts w:ascii="Times New Roman" w:eastAsia="宋体" w:hAnsi="Times New Roman"/>
          <w:color w:val="000000"/>
          <w:sz w:val="24"/>
          <w:lang w:eastAsia="zh-CN"/>
        </w:rPr>
        <w:t>FPGA</w:t>
      </w:r>
      <w:r>
        <w:rPr>
          <w:rFonts w:ascii="Times New Roman" w:eastAsia="宋体" w:hAnsi="Times New Roman"/>
          <w:color w:val="000000"/>
          <w:sz w:val="24"/>
          <w:lang w:eastAsia="zh-CN"/>
        </w:rPr>
        <w:t>内部寄存器阵列。</w:t>
      </w:r>
      <w:r>
        <w:rPr>
          <w:rFonts w:ascii="Times New Roman" w:eastAsia="宋体" w:hAnsi="Times New Roman"/>
          <w:color w:val="000000"/>
          <w:sz w:val="24"/>
          <w:lang w:eastAsia="zh-CN"/>
        </w:rPr>
        <w:t>RTL</w:t>
      </w:r>
      <w:r>
        <w:rPr>
          <w:rFonts w:ascii="Times New Roman" w:eastAsia="宋体" w:hAnsi="Times New Roman"/>
          <w:color w:val="000000"/>
          <w:sz w:val="24"/>
          <w:lang w:eastAsia="zh-CN"/>
        </w:rPr>
        <w:t>设计支持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>256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点三种变换规模，支持同步系数写入、按频率</w:t>
      </w:r>
      <w:r>
        <w:rPr>
          <w:rFonts w:ascii="Times New Roman" w:eastAsia="宋体" w:hAnsi="Times New Roman"/>
          <w:color w:val="000000"/>
          <w:sz w:val="24"/>
          <w:lang w:eastAsia="zh-CN"/>
        </w:rPr>
        <w:t>bin</w:t>
      </w:r>
      <w:r>
        <w:rPr>
          <w:rFonts w:ascii="Times New Roman" w:eastAsia="宋体" w:hAnsi="Times New Roman"/>
          <w:color w:val="000000"/>
          <w:sz w:val="24"/>
          <w:lang w:eastAsia="zh-CN"/>
        </w:rPr>
        <w:t>读取以及旁路控制。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Python </w:t>
      </w:r>
      <w:r>
        <w:rPr>
          <w:rFonts w:ascii="Times New Roman" w:eastAsia="宋体" w:hAnsi="Times New Roman"/>
          <w:color w:val="000000"/>
          <w:sz w:val="24"/>
          <w:lang w:eastAsia="zh-CN"/>
        </w:rPr>
        <w:t>自动化脚本从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aaa.png </w:t>
      </w:r>
      <w:r>
        <w:rPr>
          <w:rFonts w:ascii="Times New Roman" w:eastAsia="宋体" w:hAnsi="Times New Roman"/>
          <w:color w:val="000000"/>
          <w:sz w:val="24"/>
          <w:lang w:eastAsia="zh-CN"/>
        </w:rPr>
        <w:t>生成测试数据，驱动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Icarus Verilog 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</w:t>
      </w:r>
      <w:r>
        <w:rPr>
          <w:rFonts w:ascii="Times New Roman" w:eastAsia="宋体" w:hAnsi="Times New Roman"/>
          <w:color w:val="000000"/>
          <w:sz w:val="24"/>
          <w:lang w:eastAsia="zh-CN"/>
        </w:rPr>
        <w:t>RTL</w:t>
      </w:r>
      <w:r>
        <w:rPr>
          <w:rFonts w:ascii="Times New Roman" w:eastAsia="宋体" w:hAnsi="Times New Roman"/>
          <w:color w:val="000000"/>
          <w:sz w:val="24"/>
          <w:lang w:eastAsia="zh-CN"/>
        </w:rPr>
        <w:t>仿真，并对照参考模型逐点验证。实验覆盖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256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点色散补偿和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点旁路模式，共验证</w:t>
      </w:r>
      <w:r>
        <w:rPr>
          <w:rFonts w:ascii="Times New Roman" w:eastAsia="宋体" w:hAnsi="Times New Roman"/>
          <w:color w:val="000000"/>
          <w:sz w:val="24"/>
          <w:lang w:eastAsia="zh-CN"/>
        </w:rPr>
        <w:t>352</w:t>
      </w:r>
      <w:r>
        <w:rPr>
          <w:rFonts w:ascii="Times New Roman" w:eastAsia="宋体" w:hAnsi="Times New Roman"/>
          <w:color w:val="000000"/>
          <w:sz w:val="24"/>
          <w:lang w:eastAsia="zh-CN"/>
        </w:rPr>
        <w:t>个输出样本，最大误差为</w:t>
      </w:r>
      <w:r>
        <w:rPr>
          <w:rFonts w:ascii="Times New Roman" w:eastAsia="宋体" w:hAnsi="Times New Roman"/>
          <w:color w:val="000000"/>
          <w:sz w:val="24"/>
          <w:lang w:eastAsia="zh-CN"/>
        </w:rPr>
        <w:t>0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02CF8C33" w14:textId="77777777" w:rsidR="009B6EEC" w:rsidRDefault="00000000">
      <w:pPr>
        <w:spacing w:after="0" w:line="360" w:lineRule="auto"/>
        <w:ind w:firstLineChars="200" w:firstLine="482"/>
        <w:jc w:val="both"/>
        <w:rPr>
          <w:lang w:eastAsia="zh-CN"/>
        </w:rPr>
      </w:pPr>
      <w:proofErr w:type="gramStart"/>
      <w:r>
        <w:rPr>
          <w:rFonts w:ascii="Times New Roman" w:eastAsia="黑体" w:hAnsi="Times New Roman"/>
          <w:b/>
          <w:color w:val="000000"/>
          <w:sz w:val="24"/>
          <w:lang w:eastAsia="zh-CN"/>
        </w:rPr>
        <w:t xml:space="preserve">关键词　</w:t>
      </w:r>
      <w:r>
        <w:rPr>
          <w:rFonts w:ascii="Times New Roman" w:eastAsia="宋体" w:hAnsi="Times New Roman"/>
          <w:color w:val="000000"/>
          <w:sz w:val="24"/>
          <w:lang w:eastAsia="zh-CN"/>
        </w:rPr>
        <w:t>频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域色散补偿；有限域；定点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；可配置接口；</w:t>
      </w:r>
      <w:r>
        <w:rPr>
          <w:rFonts w:ascii="Times New Roman" w:eastAsia="宋体" w:hAnsi="Times New Roman"/>
          <w:color w:val="000000"/>
          <w:sz w:val="24"/>
          <w:lang w:eastAsia="zh-CN"/>
        </w:rPr>
        <w:t>FPGA</w:t>
      </w:r>
      <w:r>
        <w:rPr>
          <w:rFonts w:ascii="Times New Roman" w:eastAsia="宋体" w:hAnsi="Times New Roman"/>
          <w:color w:val="000000"/>
          <w:sz w:val="24"/>
          <w:lang w:eastAsia="zh-CN"/>
        </w:rPr>
        <w:t>；</w:t>
      </w:r>
      <w:r>
        <w:rPr>
          <w:rFonts w:ascii="Times New Roman" w:eastAsia="宋体" w:hAnsi="Times New Roman"/>
          <w:color w:val="000000"/>
          <w:sz w:val="24"/>
          <w:lang w:eastAsia="zh-CN"/>
        </w:rPr>
        <w:t>RTL</w:t>
      </w:r>
      <w:r>
        <w:rPr>
          <w:rFonts w:ascii="Times New Roman" w:eastAsia="宋体" w:hAnsi="Times New Roman"/>
          <w:color w:val="000000"/>
          <w:sz w:val="24"/>
          <w:lang w:eastAsia="zh-CN"/>
        </w:rPr>
        <w:t>验证</w:t>
      </w:r>
    </w:p>
    <w:p w14:paraId="6F423221" w14:textId="77777777" w:rsidR="009B6EEC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 </w:t>
      </w:r>
      <w:r>
        <w:rPr>
          <w:rFonts w:ascii="Times New Roman" w:eastAsia="黑体" w:hAnsi="Times New Roman"/>
          <w:color w:val="000000"/>
          <w:sz w:val="32"/>
          <w:lang w:eastAsia="zh-CN"/>
        </w:rPr>
        <w:t>研究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目标与系统方案</w:t>
      </w:r>
    </w:p>
    <w:p w14:paraId="5989FF45" w14:textId="55FDE734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项目目标是将色散补偿中随频率变化的复数响应抽象为可写入、可读取、可切换的定点系数表，使频域变换核能够在不同变换点数和不同链路参数下重复使用。设计采用</w:t>
      </w:r>
      <w:r>
        <w:rPr>
          <w:rFonts w:ascii="Times New Roman" w:eastAsia="宋体" w:hAnsi="Times New Roman"/>
          <w:color w:val="000000"/>
          <w:sz w:val="24"/>
          <w:lang w:eastAsia="zh-CN"/>
        </w:rPr>
        <w:t>“</w:t>
      </w:r>
      <w:r>
        <w:rPr>
          <w:rFonts w:ascii="Times New Roman" w:eastAsia="宋体" w:hAnsi="Times New Roman"/>
          <w:color w:val="000000"/>
          <w:sz w:val="24"/>
          <w:lang w:eastAsia="zh-CN"/>
        </w:rPr>
        <w:t>参数生成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定点量化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—RTL </w:t>
      </w:r>
      <w:r>
        <w:rPr>
          <w:rFonts w:ascii="Times New Roman" w:eastAsia="宋体" w:hAnsi="Times New Roman"/>
          <w:color w:val="000000"/>
          <w:sz w:val="24"/>
          <w:lang w:eastAsia="zh-CN"/>
        </w:rPr>
        <w:t>存储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频域乘法</w:t>
      </w:r>
      <w:r>
        <w:rPr>
          <w:rFonts w:ascii="Times New Roman" w:eastAsia="宋体" w:hAnsi="Times New Roman"/>
          <w:color w:val="000000"/>
          <w:sz w:val="24"/>
          <w:lang w:eastAsia="zh-CN"/>
        </w:rPr>
        <w:t>—</w:t>
      </w:r>
      <w:r>
        <w:rPr>
          <w:rFonts w:ascii="Times New Roman" w:eastAsia="宋体" w:hAnsi="Times New Roman"/>
          <w:color w:val="000000"/>
          <w:sz w:val="24"/>
          <w:lang w:eastAsia="zh-CN"/>
        </w:rPr>
        <w:t>闭环验证</w:t>
      </w:r>
      <w:r>
        <w:rPr>
          <w:rFonts w:ascii="Times New Roman" w:eastAsia="宋体" w:hAnsi="Times New Roman"/>
          <w:color w:val="000000"/>
          <w:sz w:val="24"/>
          <w:lang w:eastAsia="zh-CN"/>
        </w:rPr>
        <w:t>”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的实现路线。</w:t>
      </w:r>
    </w:p>
    <w:p w14:paraId="49A91EB9" w14:textId="1FEBC33D" w:rsidR="009B6EEC" w:rsidRDefault="00000000" w:rsidP="006B6EA8">
      <w:pPr>
        <w:spacing w:after="0" w:line="360" w:lineRule="auto"/>
        <w:ind w:firstLineChars="200" w:firstLine="480"/>
        <w:jc w:val="center"/>
      </w:pPr>
      <w:r>
        <w:rPr>
          <w:rFonts w:ascii="Times New Roman" w:eastAsia="宋体" w:hAnsi="Times New Roman"/>
          <w:color w:val="000000"/>
          <w:sz w:val="24"/>
          <w:lang w:eastAsia="zh-CN"/>
        </w:rPr>
        <w:t>对每个频率</w:t>
      </w:r>
      <w:r>
        <w:rPr>
          <w:rFonts w:ascii="Times New Roman" w:eastAsia="宋体" w:hAnsi="Times New Roman"/>
          <w:color w:val="000000"/>
          <w:sz w:val="24"/>
          <w:lang w:eastAsia="zh-CN"/>
        </w:rPr>
        <w:t>bin k</w:t>
      </w:r>
      <w:r>
        <w:rPr>
          <w:rFonts w:ascii="Times New Roman" w:eastAsia="宋体" w:hAnsi="Times New Roman"/>
          <w:color w:val="000000"/>
          <w:sz w:val="24"/>
          <w:lang w:eastAsia="zh-CN"/>
        </w:rPr>
        <w:t>，首先由色散模型产生原始响应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H[k]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，再计算其有限域乘法逆元作为补偿系数。系数写入后，频域样本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X[k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]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C[k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] </w:t>
      </w:r>
      <w:r>
        <w:rPr>
          <w:rFonts w:ascii="Times New Roman" w:eastAsia="宋体" w:hAnsi="Times New Roman"/>
          <w:color w:val="000000"/>
          <w:sz w:val="24"/>
          <w:lang w:eastAsia="zh-CN"/>
        </w:rPr>
        <w:t>在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相同索引处进行模乘，得到补偿结果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Y[k]</w:t>
      </w:r>
      <w:r>
        <w:rPr>
          <w:rFonts w:ascii="Times New Roman" w:eastAsia="宋体" w:hAnsi="Times New Roman"/>
          <w:color w:val="000000"/>
          <w:sz w:val="24"/>
          <w:lang w:eastAsia="zh-CN"/>
        </w:rPr>
        <w:t>。系统将数据路径与配置路径分开：数据路径负责连续的频域样本计算，配置路径负责</w:t>
      </w:r>
      <w:r>
        <w:rPr>
          <w:rFonts w:ascii="Times New Roman" w:eastAsia="宋体" w:hAnsi="Times New Roman"/>
          <w:color w:val="000000"/>
          <w:sz w:val="24"/>
          <w:lang w:eastAsia="zh-CN"/>
        </w:rPr>
        <w:t>UART</w:t>
      </w:r>
      <w:r>
        <w:rPr>
          <w:rFonts w:ascii="Times New Roman" w:eastAsia="宋体" w:hAnsi="Times New Roman"/>
          <w:color w:val="000000"/>
          <w:sz w:val="24"/>
          <w:lang w:eastAsia="zh-CN"/>
        </w:rPr>
        <w:t>字节解析、变换点数选择、旁路状态和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写入。</w:t>
      </w:r>
      <w:r>
        <w:rPr>
          <w:rFonts w:ascii="Times New Roman" w:eastAsia="宋体" w:hAnsi="Times New Roman"/>
          <w:color w:val="000000"/>
          <w:sz w:val="24"/>
        </w:rPr>
        <w:t>图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给出了该频域色散补偿的数据通路。</w:t>
      </w:r>
      <w:r>
        <w:rPr>
          <w:noProof/>
        </w:rPr>
        <w:drawing>
          <wp:inline distT="0" distB="0" distL="0" distR="0" wp14:anchorId="71BC9562" wp14:editId="4C7AD936">
            <wp:extent cx="5646420" cy="1127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atapa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040" cy="112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/>
          <w:color w:val="000000"/>
          <w:sz w:val="21"/>
          <w:lang w:eastAsia="zh-CN"/>
        </w:rPr>
        <w:t>图</w:t>
      </w:r>
      <w:r>
        <w:rPr>
          <w:rFonts w:ascii="Times New Roman" w:eastAsia="黑体" w:hAnsi="Times New Roman"/>
          <w:color w:val="000000"/>
          <w:sz w:val="21"/>
          <w:lang w:eastAsia="zh-CN"/>
        </w:rPr>
        <w:t>1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频域色散补偿数据通路</w:t>
      </w:r>
    </w:p>
    <w:p w14:paraId="780C7B84" w14:textId="77777777" w:rsidR="009B6EEC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2 </w:t>
      </w:r>
      <w:r>
        <w:rPr>
          <w:rFonts w:ascii="Times New Roman" w:eastAsia="黑体" w:hAnsi="Times New Roman"/>
          <w:color w:val="000000"/>
          <w:sz w:val="32"/>
          <w:lang w:eastAsia="zh-CN"/>
        </w:rPr>
        <w:t>补偿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系数的数学模型</w:t>
      </w:r>
    </w:p>
    <w:p w14:paraId="11EB6EC4" w14:textId="77777777" w:rsidR="009B6EEC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2.1 </w:t>
      </w:r>
      <w:r>
        <w:rPr>
          <w:rFonts w:ascii="Times New Roman" w:eastAsia="黑体" w:hAnsi="Times New Roman"/>
          <w:color w:val="000000"/>
          <w:sz w:val="28"/>
          <w:lang w:eastAsia="zh-CN"/>
        </w:rPr>
        <w:t>有限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域参数</w:t>
      </w:r>
    </w:p>
    <w:p w14:paraId="100519C4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设计统一使用质数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Q=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12289 </w:t>
      </w:r>
      <w:r>
        <w:rPr>
          <w:rFonts w:ascii="Times New Roman" w:eastAsia="宋体" w:hAnsi="Times New Roman"/>
          <w:color w:val="000000"/>
          <w:sz w:val="24"/>
          <w:lang w:eastAsia="zh-CN"/>
        </w:rPr>
        <w:t>作为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有限域模数。对于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N=16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256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，分别选择对应的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 </w:t>
      </w:r>
      <w:r>
        <w:rPr>
          <w:rFonts w:ascii="Times New Roman" w:eastAsia="宋体" w:hAnsi="Times New Roman"/>
          <w:color w:val="000000"/>
          <w:sz w:val="24"/>
          <w:lang w:eastAsia="zh-CN"/>
        </w:rPr>
        <w:t>阶单位根，使频域变换、补偿乘法和逆变换均在同一数论域内完成。系数生成脚本使用模幂运算计算旋转因子，并以非负整数形式输出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位系数。</w:t>
      </w:r>
    </w:p>
    <w:p w14:paraId="2EBA2F66" w14:textId="77777777" w:rsidR="009B6EEC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2.2 </w:t>
      </w:r>
      <w:r>
        <w:rPr>
          <w:rFonts w:ascii="Times New Roman" w:eastAsia="黑体" w:hAnsi="Times New Roman"/>
          <w:color w:val="000000"/>
          <w:sz w:val="28"/>
          <w:lang w:eastAsia="zh-CN"/>
        </w:rPr>
        <w:t>色散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响应与补偿系数</w:t>
      </w:r>
    </w:p>
    <w:p w14:paraId="37B92290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本项目采用离散二次相位模型描述色散响应：</w:t>
      </w:r>
    </w:p>
    <w:p w14:paraId="546FC53A" w14:textId="77777777" w:rsidR="009B6EEC" w:rsidRDefault="00000000">
      <w:pPr>
        <w:spacing w:after="0" w:line="360" w:lineRule="auto"/>
        <w:jc w:val="center"/>
      </w:pPr>
      <w:r>
        <w:rPr>
          <w:rFonts w:ascii="Cambria Math" w:eastAsia="Cambria Math" w:hAnsi="Cambria Math"/>
          <w:i/>
          <w:color w:val="000000"/>
          <w:sz w:val="24"/>
        </w:rPr>
        <w:t>H[k] = ω</w:t>
      </w:r>
      <w:proofErr w:type="gramStart"/>
      <w:r>
        <w:rPr>
          <w:rFonts w:ascii="Cambria Math" w:eastAsia="Cambria Math" w:hAnsi="Cambria Math"/>
          <w:i/>
          <w:color w:val="000000"/>
          <w:sz w:val="24"/>
        </w:rPr>
        <w:t>^(</w:t>
      </w:r>
      <w:proofErr w:type="gramEnd"/>
      <w:r>
        <w:rPr>
          <w:rFonts w:ascii="Cambria Math" w:eastAsia="Cambria Math" w:hAnsi="Cambria Math"/>
          <w:i/>
          <w:color w:val="000000"/>
          <w:sz w:val="24"/>
        </w:rPr>
        <w:t xml:space="preserve">D·k mod </w:t>
      </w:r>
      <w:proofErr w:type="gramStart"/>
      <w:r>
        <w:rPr>
          <w:rFonts w:ascii="Cambria Math" w:eastAsia="Cambria Math" w:hAnsi="Cambria Math"/>
          <w:i/>
          <w:color w:val="000000"/>
          <w:sz w:val="24"/>
        </w:rPr>
        <w:t>N)  (</w:t>
      </w:r>
      <w:proofErr w:type="gramEnd"/>
      <w:r>
        <w:rPr>
          <w:rFonts w:ascii="Cambria Math" w:eastAsia="Cambria Math" w:hAnsi="Cambria Math"/>
          <w:i/>
          <w:color w:val="000000"/>
          <w:sz w:val="24"/>
        </w:rPr>
        <w:t>mod Q)</w:t>
      </w:r>
    </w:p>
    <w:p w14:paraId="5EEE36E2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其中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D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为可调色散参数，</w:t>
      </w:r>
      <w:proofErr w:type="gramStart"/>
      <w:r>
        <w:rPr>
          <w:rFonts w:ascii="Times New Roman" w:eastAsia="宋体" w:hAnsi="Times New Roman"/>
          <w:color w:val="000000"/>
          <w:sz w:val="24"/>
        </w:rPr>
        <w:t>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当前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 </w:t>
      </w:r>
      <w:r>
        <w:rPr>
          <w:rFonts w:ascii="Times New Roman" w:eastAsia="宋体" w:hAnsi="Times New Roman"/>
          <w:color w:val="000000"/>
          <w:sz w:val="24"/>
          <w:lang w:eastAsia="zh-CN"/>
        </w:rPr>
        <w:t>点变换的单位根。补偿系数定义为：</w:t>
      </w:r>
    </w:p>
    <w:p w14:paraId="73BC5CC2" w14:textId="77777777" w:rsidR="009B6EEC" w:rsidRDefault="00000000">
      <w:pPr>
        <w:spacing w:after="0" w:line="360" w:lineRule="auto"/>
        <w:jc w:val="center"/>
        <w:rPr>
          <w:lang w:eastAsia="zh-CN"/>
        </w:rPr>
      </w:pPr>
      <w:r>
        <w:rPr>
          <w:rFonts w:ascii="Cambria Math" w:eastAsia="Cambria Math" w:hAnsi="Cambria Math"/>
          <w:i/>
          <w:color w:val="000000"/>
          <w:sz w:val="24"/>
          <w:lang w:eastAsia="zh-CN"/>
        </w:rPr>
        <w:t>C[k] = H[k]⁻</w:t>
      </w:r>
      <w:proofErr w:type="gramStart"/>
      <w:r>
        <w:rPr>
          <w:rFonts w:ascii="Cambria Math" w:eastAsia="Cambria Math" w:hAnsi="Cambria Math"/>
          <w:i/>
          <w:color w:val="000000"/>
          <w:sz w:val="24"/>
          <w:lang w:eastAsia="zh-CN"/>
        </w:rPr>
        <w:t>¹  (</w:t>
      </w:r>
      <w:proofErr w:type="gramEnd"/>
      <w:r>
        <w:rPr>
          <w:rFonts w:ascii="Cambria Math" w:eastAsia="Cambria Math" w:hAnsi="Cambria Math"/>
          <w:i/>
          <w:color w:val="000000"/>
          <w:sz w:val="24"/>
          <w:lang w:eastAsia="zh-CN"/>
        </w:rPr>
        <w:t>mod Q)</w:t>
      </w:r>
    </w:p>
    <w:p w14:paraId="1C3F6475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经过频域乘法后，</w:t>
      </w:r>
      <w:r>
        <w:rPr>
          <w:rFonts w:ascii="Times New Roman" w:eastAsia="宋体" w:hAnsi="Times New Roman"/>
          <w:color w:val="000000"/>
          <w:sz w:val="24"/>
          <w:lang w:eastAsia="zh-CN"/>
        </w:rPr>
        <w:t>Y[k]=X[k]·C[k] mod Q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。当输入信号包含模型对应的色散项时，</w:t>
      </w:r>
      <w:r>
        <w:rPr>
          <w:rFonts w:ascii="Times New Roman" w:eastAsia="宋体" w:hAnsi="Times New Roman"/>
          <w:color w:val="000000"/>
          <w:sz w:val="24"/>
          <w:lang w:eastAsia="zh-CN"/>
        </w:rPr>
        <w:t>Y[k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] </w:t>
      </w:r>
      <w:r>
        <w:rPr>
          <w:rFonts w:ascii="Times New Roman" w:eastAsia="宋体" w:hAnsi="Times New Roman"/>
          <w:color w:val="000000"/>
          <w:sz w:val="24"/>
          <w:lang w:eastAsia="zh-CN"/>
        </w:rPr>
        <w:t>将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恢复到补偿后的频域表示。</w:t>
      </w:r>
    </w:p>
    <w:p w14:paraId="46FD9839" w14:textId="77777777" w:rsidR="009B6EEC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2.3 </w:t>
      </w:r>
      <w:r>
        <w:rPr>
          <w:rFonts w:ascii="Times New Roman" w:eastAsia="黑体" w:hAnsi="Times New Roman"/>
          <w:color w:val="000000"/>
          <w:sz w:val="28"/>
          <w:lang w:eastAsia="zh-CN"/>
        </w:rPr>
        <w:t>定点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表示</w:t>
      </w:r>
    </w:p>
    <w:p w14:paraId="09C593A2" w14:textId="77777777" w:rsidR="009B6EEC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  <w:lang w:eastAsia="zh-CN"/>
        </w:rPr>
        <w:t>由于所有数值均为有限域整数，设计不需要浮点乘法器和舍入逻辑。每个系数使用</w:t>
      </w:r>
      <w:r>
        <w:rPr>
          <w:rFonts w:ascii="Times New Roman" w:eastAsia="宋体" w:hAnsi="Times New Roman"/>
          <w:color w:val="000000"/>
          <w:sz w:val="24"/>
          <w:lang w:eastAsia="zh-CN"/>
        </w:rPr>
        <w:t>14</w:t>
      </w:r>
      <w:r>
        <w:rPr>
          <w:rFonts w:ascii="Times New Roman" w:eastAsia="宋体" w:hAnsi="Times New Roman"/>
          <w:color w:val="000000"/>
          <w:sz w:val="24"/>
          <w:lang w:eastAsia="zh-CN"/>
        </w:rPr>
        <w:t>位无符号数存储，范围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 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至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Q−1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Python </w:t>
      </w:r>
      <w:r>
        <w:rPr>
          <w:rFonts w:ascii="Times New Roman" w:eastAsia="宋体" w:hAnsi="Times New Roman"/>
          <w:color w:val="000000"/>
          <w:sz w:val="24"/>
          <w:lang w:eastAsia="zh-CN"/>
        </w:rPr>
        <w:t>生成的十六进制文件按照每行一个系数的格式写入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BRAM/</w:t>
      </w:r>
      <w:r>
        <w:rPr>
          <w:rFonts w:ascii="Times New Roman" w:eastAsia="宋体" w:hAnsi="Times New Roman"/>
          <w:color w:val="000000"/>
          <w:sz w:val="24"/>
          <w:lang w:eastAsia="zh-CN"/>
        </w:rPr>
        <w:t>寄存器初始化数据，便于</w:t>
      </w:r>
      <w:r>
        <w:rPr>
          <w:rFonts w:ascii="Times New Roman" w:eastAsia="宋体" w:hAnsi="Times New Roman"/>
          <w:color w:val="000000"/>
          <w:sz w:val="24"/>
          <w:lang w:eastAsia="zh-CN"/>
        </w:rPr>
        <w:t>RTL</w:t>
      </w:r>
      <w:r>
        <w:rPr>
          <w:rFonts w:ascii="Times New Roman" w:eastAsia="宋体" w:hAnsi="Times New Roman"/>
          <w:color w:val="000000"/>
          <w:sz w:val="24"/>
          <w:lang w:eastAsia="zh-CN"/>
        </w:rPr>
        <w:t>仿真和后续上板加载。</w:t>
      </w:r>
      <w:r>
        <w:rPr>
          <w:rFonts w:ascii="Times New Roman" w:eastAsia="宋体" w:hAnsi="Times New Roman"/>
          <w:color w:val="000000"/>
          <w:sz w:val="24"/>
        </w:rPr>
        <w:t>系统关键参数汇总于表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2C4899CF" w14:textId="7FB95E57" w:rsidR="009B6EEC" w:rsidRDefault="00000000" w:rsidP="006B6EA8">
      <w:pPr>
        <w:jc w:val="center"/>
      </w:pPr>
      <w:r>
        <w:rPr>
          <w:rFonts w:ascii="Times New Roman" w:eastAsia="黑体" w:hAnsi="Times New Roman"/>
          <w:color w:val="000000"/>
          <w:sz w:val="21"/>
        </w:rPr>
        <w:t>表</w:t>
      </w:r>
      <w:r>
        <w:rPr>
          <w:rFonts w:ascii="Times New Roman" w:eastAsia="黑体" w:hAnsi="Times New Roman"/>
          <w:color w:val="000000"/>
          <w:sz w:val="21"/>
        </w:rPr>
        <w:t>1</w:t>
      </w:r>
      <w:r>
        <w:rPr>
          <w:rFonts w:ascii="Times New Roman" w:eastAsia="黑体" w:hAnsi="Times New Roman"/>
          <w:color w:val="000000"/>
          <w:sz w:val="21"/>
        </w:rPr>
        <w:t xml:space="preserve">　系统关键参数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4252"/>
      </w:tblGrid>
      <w:tr w:rsidR="009B6EEC" w14:paraId="64061FC2" w14:textId="77777777">
        <w:trPr>
          <w:cantSplit/>
          <w:jc w:val="center"/>
        </w:trPr>
        <w:tc>
          <w:tcPr>
            <w:tcW w:w="2268" w:type="dxa"/>
            <w:tcBorders>
              <w:bottom w:val="single" w:sz="4" w:space="0" w:color="000000"/>
            </w:tcBorders>
            <w:vAlign w:val="center"/>
          </w:tcPr>
          <w:p w14:paraId="7841625A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参数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center"/>
          </w:tcPr>
          <w:p w14:paraId="7F6713D2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取值</w:t>
            </w: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模式</w:t>
            </w:r>
          </w:p>
        </w:tc>
        <w:tc>
          <w:tcPr>
            <w:tcW w:w="4252" w:type="dxa"/>
            <w:tcBorders>
              <w:bottom w:val="single" w:sz="4" w:space="0" w:color="000000"/>
            </w:tcBorders>
            <w:vAlign w:val="center"/>
          </w:tcPr>
          <w:p w14:paraId="30706CAE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作用</w:t>
            </w:r>
          </w:p>
        </w:tc>
      </w:tr>
      <w:tr w:rsidR="009B6EEC" w14:paraId="6E17BB8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FD396E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Q</w:t>
            </w:r>
          </w:p>
        </w:tc>
        <w:tc>
          <w:tcPr>
            <w:tcW w:w="2551" w:type="dxa"/>
            <w:vAlign w:val="center"/>
          </w:tcPr>
          <w:p w14:paraId="629116A3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12289</w:t>
            </w:r>
          </w:p>
        </w:tc>
        <w:tc>
          <w:tcPr>
            <w:tcW w:w="4252" w:type="dxa"/>
            <w:vAlign w:val="center"/>
          </w:tcPr>
          <w:p w14:paraId="731E57B5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有限域模数</w:t>
            </w:r>
          </w:p>
        </w:tc>
      </w:tr>
      <w:tr w:rsidR="009B6EEC" w14:paraId="05A5F8C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8319B8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N</w:t>
            </w:r>
          </w:p>
        </w:tc>
        <w:tc>
          <w:tcPr>
            <w:tcW w:w="2551" w:type="dxa"/>
            <w:vAlign w:val="center"/>
          </w:tcPr>
          <w:p w14:paraId="037E6750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 / 64 / 256</w:t>
            </w:r>
          </w:p>
        </w:tc>
        <w:tc>
          <w:tcPr>
            <w:tcW w:w="4252" w:type="dxa"/>
            <w:vAlign w:val="center"/>
          </w:tcPr>
          <w:p w14:paraId="234E15C5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可选变换点数</w:t>
            </w:r>
          </w:p>
        </w:tc>
      </w:tr>
      <w:tr w:rsidR="009B6EEC" w14:paraId="63EEABF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4534A5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D</w:t>
            </w:r>
          </w:p>
        </w:tc>
        <w:tc>
          <w:tcPr>
            <w:tcW w:w="2551" w:type="dxa"/>
            <w:vAlign w:val="center"/>
          </w:tcPr>
          <w:p w14:paraId="390175AF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4252" w:type="dxa"/>
            <w:vAlign w:val="center"/>
          </w:tcPr>
          <w:p w14:paraId="080C88F4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离散色散参数</w:t>
            </w:r>
          </w:p>
        </w:tc>
      </w:tr>
      <w:tr w:rsidR="009B6EEC" w14:paraId="12ED367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480CD4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系数位宽</w:t>
            </w:r>
          </w:p>
        </w:tc>
        <w:tc>
          <w:tcPr>
            <w:tcW w:w="2551" w:type="dxa"/>
            <w:vAlign w:val="center"/>
          </w:tcPr>
          <w:p w14:paraId="252102A6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14 bit</w:t>
            </w:r>
          </w:p>
        </w:tc>
        <w:tc>
          <w:tcPr>
            <w:tcW w:w="4252" w:type="dxa"/>
            <w:vAlign w:val="center"/>
          </w:tcPr>
          <w:p w14:paraId="7E6F67C7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定点有限域表示</w:t>
            </w:r>
          </w:p>
        </w:tc>
      </w:tr>
      <w:tr w:rsidR="009B6EEC" w14:paraId="735ED7E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4ECF0B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配置入口</w:t>
            </w:r>
          </w:p>
        </w:tc>
        <w:tc>
          <w:tcPr>
            <w:tcW w:w="2551" w:type="dxa"/>
            <w:vAlign w:val="center"/>
          </w:tcPr>
          <w:p w14:paraId="376996BD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UART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字节流</w:t>
            </w:r>
          </w:p>
        </w:tc>
        <w:tc>
          <w:tcPr>
            <w:tcW w:w="4252" w:type="dxa"/>
            <w:vAlign w:val="center"/>
          </w:tcPr>
          <w:p w14:paraId="68C89DE9" w14:textId="77777777" w:rsidR="009B6EEC" w:rsidRDefault="00000000">
            <w:pPr>
              <w:spacing w:before="40" w:after="40" w:line="240" w:lineRule="auto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系数、点数和旁路控制</w:t>
            </w:r>
          </w:p>
        </w:tc>
      </w:tr>
    </w:tbl>
    <w:p w14:paraId="188D6DBF" w14:textId="77777777" w:rsidR="009B6EEC" w:rsidRDefault="00000000">
      <w:pPr>
        <w:pStyle w:val="1"/>
        <w:spacing w:before="240" w:after="120" w:line="360" w:lineRule="auto"/>
        <w:jc w:val="center"/>
      </w:pPr>
      <w:r>
        <w:rPr>
          <w:rFonts w:ascii="Times New Roman" w:eastAsia="黑体" w:hAnsi="Times New Roman"/>
          <w:color w:val="000000"/>
          <w:sz w:val="32"/>
        </w:rPr>
        <w:lastRenderedPageBreak/>
        <w:t>3 RTL</w:t>
      </w:r>
      <w:r>
        <w:rPr>
          <w:rFonts w:ascii="Times New Roman" w:eastAsia="黑体" w:hAnsi="Times New Roman"/>
          <w:color w:val="000000"/>
          <w:sz w:val="32"/>
        </w:rPr>
        <w:t>模块设计</w:t>
      </w:r>
    </w:p>
    <w:p w14:paraId="04B7EE1D" w14:textId="77777777" w:rsidR="009B6EEC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8"/>
        </w:rPr>
        <w:t>3.1 dispersion_lut256.v</w:t>
      </w:r>
      <w:r>
        <w:rPr>
          <w:rFonts w:ascii="Times New Roman" w:eastAsia="黑体" w:hAnsi="Times New Roman"/>
          <w:color w:val="000000"/>
          <w:sz w:val="28"/>
        </w:rPr>
        <w:t>：可配置系数存储体</w:t>
      </w:r>
    </w:p>
    <w:p w14:paraId="1F368B14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 xml:space="preserve">dispersion_lut256.v </w:t>
      </w:r>
      <w:r>
        <w:rPr>
          <w:rFonts w:ascii="Times New Roman" w:eastAsia="宋体" w:hAnsi="Times New Roman"/>
          <w:color w:val="000000"/>
          <w:sz w:val="24"/>
        </w:rPr>
        <w:t>建立</w:t>
      </w:r>
      <w:r>
        <w:rPr>
          <w:rFonts w:ascii="Times New Roman" w:eastAsia="宋体" w:hAnsi="Times New Roman"/>
          <w:color w:val="000000"/>
          <w:sz w:val="24"/>
        </w:rPr>
        <w:t>256</w:t>
      </w:r>
      <w:r>
        <w:rPr>
          <w:rFonts w:ascii="Times New Roman" w:eastAsia="宋体" w:hAnsi="Times New Roman"/>
          <w:color w:val="000000"/>
          <w:sz w:val="24"/>
        </w:rPr>
        <w:t>项系数寄存器阵列。复位时所有系数初始化为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；当</w:t>
      </w:r>
      <w:r>
        <w:rPr>
          <w:rFonts w:ascii="Times New Roman" w:eastAsia="宋体" w:hAnsi="Times New Roman"/>
          <w:color w:val="000000"/>
          <w:sz w:val="24"/>
        </w:rPr>
        <w:t xml:space="preserve"> cfg_we </w:t>
      </w:r>
      <w:r>
        <w:rPr>
          <w:rFonts w:ascii="Times New Roman" w:eastAsia="宋体" w:hAnsi="Times New Roman"/>
          <w:color w:val="000000"/>
          <w:sz w:val="24"/>
        </w:rPr>
        <w:t>有效时，以</w:t>
      </w:r>
      <w:r>
        <w:rPr>
          <w:rFonts w:ascii="Times New Roman" w:eastAsia="宋体" w:hAnsi="Times New Roman"/>
          <w:color w:val="000000"/>
          <w:sz w:val="24"/>
        </w:rPr>
        <w:t xml:space="preserve"> cfg_addr </w:t>
      </w:r>
      <w:r>
        <w:rPr>
          <w:rFonts w:ascii="Times New Roman" w:eastAsia="宋体" w:hAnsi="Times New Roman"/>
          <w:color w:val="000000"/>
          <w:sz w:val="24"/>
        </w:rPr>
        <w:t>为索引写入</w:t>
      </w:r>
      <w:r>
        <w:rPr>
          <w:rFonts w:ascii="Times New Roman" w:eastAsia="宋体" w:hAnsi="Times New Roman"/>
          <w:color w:val="000000"/>
          <w:sz w:val="24"/>
        </w:rPr>
        <w:t xml:space="preserve"> cfg_data</w:t>
      </w:r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point_sel </w:t>
      </w:r>
      <w:r>
        <w:rPr>
          <w:rFonts w:ascii="Times New Roman" w:eastAsia="宋体" w:hAnsi="Times New Roman"/>
          <w:color w:val="000000"/>
          <w:sz w:val="24"/>
          <w:lang w:eastAsia="zh-CN"/>
        </w:rPr>
        <w:t>决定当前有效点数，点数范围外的输出位置零，从而使同一存储体可以服务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r>
        <w:rPr>
          <w:rFonts w:ascii="Times New Roman" w:eastAsia="宋体" w:hAnsi="Times New Roman"/>
          <w:color w:val="000000"/>
          <w:sz w:val="24"/>
          <w:lang w:eastAsia="zh-CN"/>
        </w:rPr>
        <w:t>256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点三种模式。</w:t>
      </w:r>
    </w:p>
    <w:p w14:paraId="0A824F1E" w14:textId="77777777" w:rsidR="009B6EEC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 xml:space="preserve">always </w:t>
      </w:r>
      <w:proofErr w:type="gramStart"/>
      <w:r>
        <w:rPr>
          <w:rFonts w:ascii="Consolas" w:eastAsia="宋体" w:hAnsi="Consolas"/>
          <w:color w:val="000000"/>
          <w:sz w:val="21"/>
        </w:rPr>
        <w:t>@(</w:t>
      </w:r>
      <w:proofErr w:type="gramEnd"/>
      <w:r>
        <w:rPr>
          <w:rFonts w:ascii="Consolas" w:eastAsia="宋体" w:hAnsi="Consolas"/>
          <w:color w:val="000000"/>
          <w:sz w:val="21"/>
        </w:rPr>
        <w:t>posedge clk) begin</w:t>
      </w:r>
    </w:p>
    <w:p w14:paraId="4421E500" w14:textId="77777777" w:rsidR="009B6EEC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 xml:space="preserve">    if (rst) coeff[i] &lt;= 1;</w:t>
      </w:r>
    </w:p>
    <w:p w14:paraId="635B0631" w14:textId="77777777" w:rsidR="009B6EEC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 xml:space="preserve">    else if (cfg_we) coeff[cfg_addr] &lt;= cfg_data;</w:t>
      </w:r>
    </w:p>
    <w:p w14:paraId="360973CC" w14:textId="77777777" w:rsidR="009B6EEC" w:rsidRDefault="00000000">
      <w:pPr>
        <w:spacing w:after="0" w:line="240" w:lineRule="auto"/>
        <w:ind w:left="425"/>
      </w:pPr>
      <w:r>
        <w:rPr>
          <w:rFonts w:ascii="Consolas" w:eastAsia="宋体" w:hAnsi="Consolas"/>
          <w:color w:val="000000"/>
          <w:sz w:val="21"/>
        </w:rPr>
        <w:t>end</w:t>
      </w:r>
    </w:p>
    <w:p w14:paraId="23AC2577" w14:textId="77777777" w:rsidR="009B6EEC" w:rsidRDefault="00000000">
      <w:pPr>
        <w:pStyle w:val="21"/>
        <w:spacing w:before="120" w:after="60" w:line="360" w:lineRule="auto"/>
      </w:pPr>
      <w:r>
        <w:rPr>
          <w:rFonts w:ascii="Times New Roman" w:eastAsia="黑体" w:hAnsi="Times New Roman"/>
          <w:color w:val="000000"/>
          <w:sz w:val="28"/>
        </w:rPr>
        <w:t>3.2 dispersion_apply.v</w:t>
      </w:r>
      <w:r>
        <w:rPr>
          <w:rFonts w:ascii="Times New Roman" w:eastAsia="黑体" w:hAnsi="Times New Roman"/>
          <w:color w:val="000000"/>
          <w:sz w:val="28"/>
        </w:rPr>
        <w:t>：频域模乘单元</w:t>
      </w:r>
    </w:p>
    <w:p w14:paraId="1E25FD3B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dispersion_</w:t>
      </w:r>
      <w:proofErr w:type="gramStart"/>
      <w:r>
        <w:rPr>
          <w:rFonts w:ascii="Times New Roman" w:eastAsia="宋体" w:hAnsi="Times New Roman"/>
          <w:color w:val="000000"/>
          <w:sz w:val="24"/>
        </w:rPr>
        <w:t>apply.v</w:t>
      </w:r>
      <w:proofErr w:type="gramEnd"/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是</w:t>
      </w:r>
      <w:r>
        <w:rPr>
          <w:rFonts w:ascii="Times New Roman" w:eastAsia="宋体" w:hAnsi="Times New Roman"/>
          <w:color w:val="000000"/>
          <w:sz w:val="24"/>
        </w:rPr>
        <w:t>16</w:t>
      </w:r>
      <w:r>
        <w:rPr>
          <w:rFonts w:ascii="Times New Roman" w:eastAsia="宋体" w:hAnsi="Times New Roman"/>
          <w:color w:val="000000"/>
          <w:sz w:val="24"/>
        </w:rPr>
        <w:t>点系数乘法的独立验证模块。模块对每个频率</w:t>
      </w:r>
      <w:r>
        <w:rPr>
          <w:rFonts w:ascii="Times New Roman" w:eastAsia="宋体" w:hAnsi="Times New Roman"/>
          <w:color w:val="000000"/>
          <w:sz w:val="24"/>
        </w:rPr>
        <w:t>bin</w:t>
      </w:r>
      <w:r>
        <w:rPr>
          <w:rFonts w:ascii="Times New Roman" w:eastAsia="宋体" w:hAnsi="Times New Roman"/>
          <w:color w:val="000000"/>
          <w:sz w:val="24"/>
        </w:rPr>
        <w:t>执行</w:t>
      </w:r>
      <w:r>
        <w:rPr>
          <w:rFonts w:ascii="Times New Roman" w:eastAsia="宋体" w:hAnsi="Times New Roman"/>
          <w:color w:val="000000"/>
          <w:sz w:val="24"/>
        </w:rPr>
        <w:t xml:space="preserve"> din[k]×coeff[k] mod Q</w:t>
      </w:r>
      <w:r>
        <w:rPr>
          <w:rFonts w:ascii="Times New Roman" w:eastAsia="宋体" w:hAnsi="Times New Roman"/>
          <w:color w:val="000000"/>
          <w:sz w:val="24"/>
        </w:rPr>
        <w:t>，形成并行的频域补偿结果。</w:t>
      </w:r>
      <w:r>
        <w:rPr>
          <w:rFonts w:ascii="Times New Roman" w:eastAsia="宋体" w:hAnsi="Times New Roman"/>
          <w:color w:val="000000"/>
          <w:sz w:val="24"/>
          <w:lang w:eastAsia="zh-CN"/>
        </w:rPr>
        <w:t>该模块用于验证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和模乘关系，通用系统中则由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dispersion_lut256.v </w:t>
      </w:r>
      <w:r>
        <w:rPr>
          <w:rFonts w:ascii="Times New Roman" w:eastAsia="宋体" w:hAnsi="Times New Roman"/>
          <w:color w:val="000000"/>
          <w:sz w:val="24"/>
          <w:lang w:eastAsia="zh-CN"/>
        </w:rPr>
        <w:t>完成可配置点数下的系数选择。</w:t>
      </w:r>
    </w:p>
    <w:p w14:paraId="32708059" w14:textId="77777777" w:rsidR="009B6EEC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3.3 </w:t>
      </w:r>
      <w:r>
        <w:rPr>
          <w:rFonts w:ascii="Times New Roman" w:eastAsia="黑体" w:hAnsi="Times New Roman"/>
          <w:color w:val="000000"/>
          <w:sz w:val="28"/>
          <w:lang w:eastAsia="zh-CN"/>
        </w:rPr>
        <w:t>配置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接口与控制寄存器</w:t>
      </w:r>
    </w:p>
    <w:p w14:paraId="20F8ADDA" w14:textId="77777777" w:rsidR="009B6EEC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uart_regfile.v </w:t>
      </w:r>
      <w:r>
        <w:rPr>
          <w:rFonts w:ascii="Times New Roman" w:eastAsia="宋体" w:hAnsi="Times New Roman"/>
          <w:color w:val="000000"/>
          <w:sz w:val="24"/>
          <w:lang w:eastAsia="zh-CN"/>
        </w:rPr>
        <w:t>对输入字节流进行五字节帧解析：帧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头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A5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、地址高字节、地址低字节、数据低字节和数据高字节。普通地址用于写入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系数；控制地址用于选择</w:t>
      </w:r>
      <w:r>
        <w:rPr>
          <w:rFonts w:ascii="Times New Roman" w:eastAsia="宋体" w:hAnsi="Times New Roman"/>
          <w:color w:val="000000"/>
          <w:sz w:val="24"/>
          <w:lang w:eastAsia="zh-CN"/>
        </w:rPr>
        <w:t>16/64/256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点变换以及设置旁路状态。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uart_rx_8n1.v </w:t>
      </w:r>
      <w:r>
        <w:rPr>
          <w:rFonts w:ascii="Times New Roman" w:eastAsia="宋体" w:hAnsi="Times New Roman"/>
          <w:color w:val="000000"/>
          <w:sz w:val="24"/>
          <w:lang w:eastAsia="zh-CN"/>
        </w:rPr>
        <w:t>将串行电平恢复为字节，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stream_cfg.v </w:t>
      </w:r>
      <w:r>
        <w:rPr>
          <w:rFonts w:ascii="Times New Roman" w:eastAsia="宋体" w:hAnsi="Times New Roman"/>
          <w:color w:val="000000"/>
          <w:sz w:val="24"/>
          <w:lang w:eastAsia="zh-CN"/>
        </w:rPr>
        <w:t>则负责将串行符号积累为一个完整的数据块。</w:t>
      </w:r>
      <w:r>
        <w:rPr>
          <w:rFonts w:ascii="Times New Roman" w:eastAsia="宋体" w:hAnsi="Times New Roman"/>
          <w:color w:val="000000"/>
          <w:sz w:val="24"/>
        </w:rPr>
        <w:t>图</w:t>
      </w:r>
      <w:r>
        <w:rPr>
          <w:rFonts w:ascii="Times New Roman" w:eastAsia="宋体" w:hAnsi="Times New Roman"/>
          <w:color w:val="000000"/>
          <w:sz w:val="24"/>
        </w:rPr>
        <w:t>2</w:t>
      </w:r>
      <w:r>
        <w:rPr>
          <w:rFonts w:ascii="Times New Roman" w:eastAsia="宋体" w:hAnsi="Times New Roman"/>
          <w:color w:val="000000"/>
          <w:sz w:val="24"/>
        </w:rPr>
        <w:t>给出了配置路径与系数生效的流程。</w:t>
      </w:r>
    </w:p>
    <w:p w14:paraId="7F323DA9" w14:textId="77777777" w:rsidR="009B6EEC" w:rsidRDefault="00000000">
      <w:pPr>
        <w:keepNext/>
        <w:spacing w:before="120" w:after="0" w:line="360" w:lineRule="auto"/>
        <w:jc w:val="center"/>
      </w:pPr>
      <w:r>
        <w:rPr>
          <w:noProof/>
        </w:rPr>
        <w:drawing>
          <wp:inline distT="0" distB="0" distL="0" distR="0" wp14:anchorId="421B2273" wp14:editId="26056042">
            <wp:extent cx="4860000" cy="9389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3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88CF" w14:textId="77777777" w:rsidR="009B6EEC" w:rsidRDefault="00000000">
      <w:pPr>
        <w:keepNext/>
        <w:spacing w:before="80"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图</w:t>
      </w:r>
      <w:proofErr w:type="gramStart"/>
      <w:r>
        <w:rPr>
          <w:rFonts w:ascii="Times New Roman" w:eastAsia="黑体" w:hAnsi="Times New Roman"/>
          <w:color w:val="000000"/>
          <w:sz w:val="21"/>
          <w:lang w:eastAsia="zh-CN"/>
        </w:rPr>
        <w:t>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配置</w:t>
      </w:r>
      <w:proofErr w:type="gramEnd"/>
      <w:r>
        <w:rPr>
          <w:rFonts w:ascii="Times New Roman" w:eastAsia="黑体" w:hAnsi="Times New Roman"/>
          <w:color w:val="000000"/>
          <w:sz w:val="21"/>
          <w:lang w:eastAsia="zh-CN"/>
        </w:rPr>
        <w:t>路径与系数生效流程</w:t>
      </w:r>
    </w:p>
    <w:p w14:paraId="22B15653" w14:textId="77777777" w:rsidR="009B6EEC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3.4 </w:t>
      </w:r>
      <w:r>
        <w:rPr>
          <w:rFonts w:ascii="Times New Roman" w:eastAsia="黑体" w:hAnsi="Times New Roman"/>
          <w:color w:val="000000"/>
          <w:sz w:val="28"/>
          <w:lang w:eastAsia="zh-CN"/>
        </w:rPr>
        <w:t>配置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与数据的时序关系</w:t>
      </w:r>
    </w:p>
    <w:p w14:paraId="084981ED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写入采用时钟同步方式，配置字节完成解析后，在时钟上升沿更新目标系数。频域数据计算使用当前已存储的系数，因此一个配置帧完成后，后续数据块即可使用新系数。旁路模式保留输入块，在输出阶段选择原始块或逆变换结果，实现补偿效果的直接对照。</w:t>
      </w:r>
    </w:p>
    <w:p w14:paraId="070A176D" w14:textId="77777777" w:rsidR="009B6EEC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4 </w:t>
      </w:r>
      <w:r>
        <w:rPr>
          <w:rFonts w:ascii="Times New Roman" w:eastAsia="黑体" w:hAnsi="Times New Roman"/>
          <w:color w:val="000000"/>
          <w:sz w:val="32"/>
          <w:lang w:eastAsia="zh-CN"/>
        </w:rPr>
        <w:t>仿真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验证方法</w:t>
      </w:r>
    </w:p>
    <w:p w14:paraId="29315829" w14:textId="77777777" w:rsidR="009B6EEC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color w:val="000000"/>
          <w:sz w:val="28"/>
          <w:lang w:eastAsia="zh-CN"/>
        </w:rPr>
        <w:t>测试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数据生成</w:t>
      </w:r>
    </w:p>
    <w:p w14:paraId="650FF323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run_mid_project.py </w:t>
      </w:r>
      <w:r>
        <w:rPr>
          <w:rFonts w:ascii="Times New Roman" w:eastAsia="宋体" w:hAnsi="Times New Roman"/>
          <w:color w:val="000000"/>
          <w:sz w:val="24"/>
          <w:lang w:eastAsia="zh-CN"/>
        </w:rPr>
        <w:t>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aaa.png </w:t>
      </w:r>
      <w:r>
        <w:rPr>
          <w:rFonts w:ascii="Times New Roman" w:eastAsia="宋体" w:hAnsi="Times New Roman"/>
          <w:color w:val="000000"/>
          <w:sz w:val="24"/>
          <w:lang w:eastAsia="zh-CN"/>
        </w:rPr>
        <w:t>读取灰度序列，并按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64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256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点切分为三个测试块。对每个块，脚本根据同一离散色散模型生成原始响应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H[k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 xml:space="preserve">] </w:t>
      </w:r>
      <w:r>
        <w:rPr>
          <w:rFonts w:ascii="Times New Roman" w:eastAsia="宋体" w:hAnsi="Times New Roman"/>
          <w:color w:val="000000"/>
          <w:sz w:val="24"/>
          <w:lang w:eastAsia="zh-CN"/>
        </w:rPr>
        <w:t>和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补偿系数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C[k]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，先构造带色散的输入，再计算期望补偿输出。所有输入、期望值和系数均写入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sim </w:t>
      </w:r>
      <w:r>
        <w:rPr>
          <w:rFonts w:ascii="Times New Roman" w:eastAsia="宋体" w:hAnsi="Times New Roman"/>
          <w:color w:val="000000"/>
          <w:sz w:val="24"/>
          <w:lang w:eastAsia="zh-CN"/>
        </w:rPr>
        <w:t>目录下的十六进制存储文件。</w:t>
      </w:r>
    </w:p>
    <w:p w14:paraId="2FEF622D" w14:textId="77777777" w:rsidR="009B6EEC" w:rsidRDefault="00000000">
      <w:pPr>
        <w:pStyle w:val="21"/>
        <w:spacing w:before="120" w:after="6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4.2 RTL</w:t>
      </w:r>
      <w:r>
        <w:rPr>
          <w:rFonts w:ascii="Times New Roman" w:eastAsia="黑体" w:hAnsi="Times New Roman"/>
          <w:color w:val="000000"/>
          <w:sz w:val="28"/>
          <w:lang w:eastAsia="zh-CN"/>
        </w:rPr>
        <w:t>仿真链路</w:t>
      </w:r>
    </w:p>
    <w:p w14:paraId="0D9637BC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仿真顶层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tb_mid_project.v </w:t>
      </w:r>
      <w:r>
        <w:rPr>
          <w:rFonts w:ascii="Times New Roman" w:eastAsia="宋体" w:hAnsi="Times New Roman"/>
          <w:color w:val="000000"/>
          <w:sz w:val="24"/>
          <w:lang w:eastAsia="zh-CN"/>
        </w:rPr>
        <w:t>依次测试三种点数模式，并额外测试</w:t>
      </w:r>
      <w:r>
        <w:rPr>
          <w:rFonts w:ascii="Times New Roman" w:eastAsia="宋体" w:hAnsi="Times New Roman"/>
          <w:color w:val="000000"/>
          <w:sz w:val="24"/>
          <w:lang w:eastAsia="zh-CN"/>
        </w:rPr>
        <w:t>16</w:t>
      </w:r>
      <w:r>
        <w:rPr>
          <w:rFonts w:ascii="Times New Roman" w:eastAsia="宋体" w:hAnsi="Times New Roman"/>
          <w:color w:val="000000"/>
          <w:sz w:val="24"/>
          <w:lang w:eastAsia="zh-CN"/>
        </w:rPr>
        <w:t>点旁路模式。测试链路包含配置寄存器、点数选择、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系数乘法、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正变换、逆变换和输出流控制。脚本自动编译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fnt_seq_core.v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dispersion_lut256.v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uart_regfile.v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uart_rx_8n1.v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stream_cfg.v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fnt_configurable_top.v </w:t>
      </w:r>
      <w:r>
        <w:rPr>
          <w:rFonts w:ascii="Times New Roman" w:eastAsia="宋体" w:hAnsi="Times New Roman"/>
          <w:color w:val="000000"/>
          <w:sz w:val="24"/>
          <w:lang w:eastAsia="zh-CN"/>
        </w:rPr>
        <w:t>及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testbench</w:t>
      </w:r>
      <w:r>
        <w:rPr>
          <w:rFonts w:ascii="Times New Roman" w:eastAsia="宋体" w:hAnsi="Times New Roman"/>
          <w:color w:val="000000"/>
          <w:sz w:val="24"/>
          <w:lang w:eastAsia="zh-CN"/>
        </w:rPr>
        <w:t>，执行后读取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mid_results.csv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Python </w:t>
      </w:r>
      <w:r>
        <w:rPr>
          <w:rFonts w:ascii="Times New Roman" w:eastAsia="宋体" w:hAnsi="Times New Roman"/>
          <w:color w:val="000000"/>
          <w:sz w:val="24"/>
          <w:lang w:eastAsia="zh-CN"/>
        </w:rPr>
        <w:t>期望值逐点比较。</w:t>
      </w:r>
    </w:p>
    <w:p w14:paraId="56E4E38A" w14:textId="77777777" w:rsidR="009B6EEC" w:rsidRDefault="00000000">
      <w:pPr>
        <w:pStyle w:val="21"/>
        <w:spacing w:before="120" w:after="60" w:line="360" w:lineRule="auto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4.3 </w:t>
      </w:r>
      <w:r>
        <w:rPr>
          <w:rFonts w:ascii="Times New Roman" w:eastAsia="黑体" w:hAnsi="Times New Roman"/>
          <w:color w:val="000000"/>
          <w:sz w:val="28"/>
          <w:lang w:eastAsia="zh-CN"/>
        </w:rPr>
        <w:t>验证</w:t>
      </w:r>
      <w:proofErr w:type="gramEnd"/>
      <w:r>
        <w:rPr>
          <w:rFonts w:ascii="Times New Roman" w:eastAsia="黑体" w:hAnsi="Times New Roman"/>
          <w:color w:val="000000"/>
          <w:sz w:val="28"/>
          <w:lang w:eastAsia="zh-CN"/>
        </w:rPr>
        <w:t>结果</w:t>
      </w:r>
    </w:p>
    <w:p w14:paraId="02F0E58C" w14:textId="16666442" w:rsidR="009B6EEC" w:rsidRDefault="00000000" w:rsidP="006B6EA8">
      <w:pPr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表</w:t>
      </w:r>
      <w:proofErr w:type="gramStart"/>
      <w:r>
        <w:rPr>
          <w:rFonts w:ascii="Times New Roman" w:eastAsia="黑体" w:hAnsi="Times New Roman"/>
          <w:color w:val="000000"/>
          <w:sz w:val="21"/>
          <w:lang w:eastAsia="zh-CN"/>
        </w:rPr>
        <w:t>2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可</w:t>
      </w:r>
      <w:proofErr w:type="gramEnd"/>
      <w:r>
        <w:rPr>
          <w:rFonts w:ascii="Times New Roman" w:eastAsia="黑体" w:hAnsi="Times New Roman"/>
          <w:color w:val="000000"/>
          <w:sz w:val="21"/>
          <w:lang w:eastAsia="zh-CN"/>
        </w:rPr>
        <w:t>配置色散补偿仿真结果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1984"/>
        <w:gridCol w:w="2551"/>
      </w:tblGrid>
      <w:tr w:rsidR="009B6EEC" w14:paraId="2E1D87EC" w14:textId="77777777">
        <w:trPr>
          <w:cantSplit/>
          <w:jc w:val="center"/>
        </w:trPr>
        <w:tc>
          <w:tcPr>
            <w:tcW w:w="2551" w:type="dxa"/>
            <w:tcBorders>
              <w:bottom w:val="single" w:sz="4" w:space="0" w:color="000000"/>
            </w:tcBorders>
            <w:vAlign w:val="center"/>
          </w:tcPr>
          <w:p w14:paraId="6EA2D930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测试模式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  <w:vAlign w:val="center"/>
          </w:tcPr>
          <w:p w14:paraId="78730285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输出样本数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  <w:vAlign w:val="center"/>
          </w:tcPr>
          <w:p w14:paraId="6F349170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最大误差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center"/>
          </w:tcPr>
          <w:p w14:paraId="4EBC6FE5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结果</w:t>
            </w:r>
          </w:p>
        </w:tc>
      </w:tr>
      <w:tr w:rsidR="009B6EEC" w14:paraId="3D62021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DF43982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点色散补偿</w:t>
            </w:r>
          </w:p>
        </w:tc>
        <w:tc>
          <w:tcPr>
            <w:tcW w:w="1984" w:type="dxa"/>
            <w:vAlign w:val="center"/>
          </w:tcPr>
          <w:p w14:paraId="5D4F02B9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</w:p>
        </w:tc>
        <w:tc>
          <w:tcPr>
            <w:tcW w:w="1984" w:type="dxa"/>
            <w:vAlign w:val="center"/>
          </w:tcPr>
          <w:p w14:paraId="3B284C86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2551" w:type="dxa"/>
            <w:vAlign w:val="center"/>
          </w:tcPr>
          <w:p w14:paraId="140C77F1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</w:tr>
      <w:tr w:rsidR="009B6EEC" w14:paraId="089778E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3F5EB6A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64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点色散补偿</w:t>
            </w:r>
          </w:p>
        </w:tc>
        <w:tc>
          <w:tcPr>
            <w:tcW w:w="1984" w:type="dxa"/>
            <w:vAlign w:val="center"/>
          </w:tcPr>
          <w:p w14:paraId="3C5525EA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64</w:t>
            </w:r>
          </w:p>
        </w:tc>
        <w:tc>
          <w:tcPr>
            <w:tcW w:w="1984" w:type="dxa"/>
            <w:vAlign w:val="center"/>
          </w:tcPr>
          <w:p w14:paraId="299C44C5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2551" w:type="dxa"/>
            <w:vAlign w:val="center"/>
          </w:tcPr>
          <w:p w14:paraId="6B070D55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</w:tr>
      <w:tr w:rsidR="009B6EEC" w14:paraId="6960784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6071076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256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点色散补偿</w:t>
            </w:r>
          </w:p>
        </w:tc>
        <w:tc>
          <w:tcPr>
            <w:tcW w:w="1984" w:type="dxa"/>
            <w:vAlign w:val="center"/>
          </w:tcPr>
          <w:p w14:paraId="480F5C14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256</w:t>
            </w:r>
          </w:p>
        </w:tc>
        <w:tc>
          <w:tcPr>
            <w:tcW w:w="1984" w:type="dxa"/>
            <w:vAlign w:val="center"/>
          </w:tcPr>
          <w:p w14:paraId="104C439C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2551" w:type="dxa"/>
            <w:vAlign w:val="center"/>
          </w:tcPr>
          <w:p w14:paraId="58CA7111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</w:tr>
      <w:tr w:rsidR="009B6EEC" w14:paraId="3CCBAB2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4F26913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点旁路</w:t>
            </w:r>
          </w:p>
        </w:tc>
        <w:tc>
          <w:tcPr>
            <w:tcW w:w="1984" w:type="dxa"/>
            <w:vAlign w:val="center"/>
          </w:tcPr>
          <w:p w14:paraId="52B5C35C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</w:p>
        </w:tc>
        <w:tc>
          <w:tcPr>
            <w:tcW w:w="1984" w:type="dxa"/>
            <w:vAlign w:val="center"/>
          </w:tcPr>
          <w:p w14:paraId="221488E0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2551" w:type="dxa"/>
            <w:vAlign w:val="center"/>
          </w:tcPr>
          <w:p w14:paraId="08D3B4CC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PASS</w:t>
            </w:r>
          </w:p>
        </w:tc>
      </w:tr>
      <w:tr w:rsidR="009B6EEC" w14:paraId="5D594D8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C720E72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合计</w:t>
            </w:r>
          </w:p>
        </w:tc>
        <w:tc>
          <w:tcPr>
            <w:tcW w:w="1984" w:type="dxa"/>
            <w:vAlign w:val="center"/>
          </w:tcPr>
          <w:p w14:paraId="6EA12159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352</w:t>
            </w:r>
          </w:p>
        </w:tc>
        <w:tc>
          <w:tcPr>
            <w:tcW w:w="1984" w:type="dxa"/>
            <w:vAlign w:val="center"/>
          </w:tcPr>
          <w:p w14:paraId="36894FF0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2551" w:type="dxa"/>
            <w:vAlign w:val="center"/>
          </w:tcPr>
          <w:p w14:paraId="4CCC86B9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全部通过</w:t>
            </w:r>
          </w:p>
        </w:tc>
      </w:tr>
    </w:tbl>
    <w:p w14:paraId="4601456F" w14:textId="77777777" w:rsidR="009B6EEC" w:rsidRDefault="00000000">
      <w:pPr>
        <w:keepNext/>
        <w:spacing w:before="12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74A8C95" wp14:editId="42000A58">
            <wp:extent cx="1980000" cy="19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a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8F0A" w14:textId="77777777" w:rsidR="009B6EEC" w:rsidRDefault="00000000">
      <w:pPr>
        <w:keepNext/>
        <w:spacing w:before="80" w:after="80" w:line="360" w:lineRule="auto"/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图</w:t>
      </w:r>
      <w:proofErr w:type="gramStart"/>
      <w:r>
        <w:rPr>
          <w:rFonts w:ascii="Times New Roman" w:eastAsia="黑体" w:hAnsi="Times New Roman"/>
          <w:color w:val="000000"/>
          <w:sz w:val="21"/>
          <w:lang w:eastAsia="zh-CN"/>
        </w:rPr>
        <w:t>3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用</w:t>
      </w:r>
      <w:proofErr w:type="gramEnd"/>
      <w:r>
        <w:rPr>
          <w:rFonts w:ascii="Times New Roman" w:eastAsia="黑体" w:hAnsi="Times New Roman"/>
          <w:color w:val="000000"/>
          <w:sz w:val="21"/>
          <w:lang w:eastAsia="zh-CN"/>
        </w:rPr>
        <w:t>于生成测试序列的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 aaa.png </w:t>
      </w:r>
      <w:r>
        <w:rPr>
          <w:rFonts w:ascii="Times New Roman" w:eastAsia="黑体" w:hAnsi="Times New Roman"/>
          <w:color w:val="000000"/>
          <w:sz w:val="21"/>
          <w:lang w:eastAsia="zh-CN"/>
        </w:rPr>
        <w:t>图像</w:t>
      </w:r>
    </w:p>
    <w:p w14:paraId="376932B3" w14:textId="77777777" w:rsidR="009B6EEC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proofErr w:type="gramStart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5 </w:t>
      </w:r>
      <w:r>
        <w:rPr>
          <w:rFonts w:ascii="Times New Roman" w:eastAsia="黑体" w:hAnsi="Times New Roman"/>
          <w:color w:val="000000"/>
          <w:sz w:val="32"/>
          <w:lang w:eastAsia="zh-CN"/>
        </w:rPr>
        <w:t>性能</w:t>
      </w:r>
      <w:proofErr w:type="gramEnd"/>
      <w:r>
        <w:rPr>
          <w:rFonts w:ascii="Times New Roman" w:eastAsia="黑体" w:hAnsi="Times New Roman"/>
          <w:color w:val="000000"/>
          <w:sz w:val="32"/>
          <w:lang w:eastAsia="zh-CN"/>
        </w:rPr>
        <w:t>与资源分析</w:t>
      </w:r>
    </w:p>
    <w:p w14:paraId="59CABC1E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通用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fnt_seq_core.v </w:t>
      </w:r>
      <w:r>
        <w:rPr>
          <w:rFonts w:ascii="Times New Roman" w:eastAsia="宋体" w:hAnsi="Times New Roman"/>
          <w:color w:val="000000"/>
          <w:sz w:val="24"/>
          <w:lang w:eastAsia="zh-CN"/>
        </w:rPr>
        <w:t>采用单个模乘器按时间复用的结构，适合在有限资源条件下验证可配置算法。其块处理周期由双重频率索引求和、补偿和逆变换组成，理论周期近似</w:t>
      </w:r>
      <w:proofErr w:type="gramStart"/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2N</w:t>
      </w:r>
      <w:proofErr w:type="gramEnd"/>
      <w:r>
        <w:rPr>
          <w:rFonts w:ascii="Times New Roman" w:eastAsia="宋体" w:hAnsi="Times New Roman"/>
          <w:color w:val="000000"/>
          <w:sz w:val="24"/>
          <w:lang w:eastAsia="zh-CN"/>
        </w:rPr>
        <w:t>²+2N+4</w:t>
      </w:r>
      <w:r>
        <w:rPr>
          <w:rFonts w:ascii="Times New Roman" w:eastAsia="宋体" w:hAnsi="Times New Roman"/>
          <w:color w:val="000000"/>
          <w:sz w:val="24"/>
          <w:lang w:eastAsia="zh-CN"/>
        </w:rPr>
        <w:t>。以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100 MHz </w:t>
      </w:r>
      <w:r>
        <w:rPr>
          <w:rFonts w:ascii="Times New Roman" w:eastAsia="宋体" w:hAnsi="Times New Roman"/>
          <w:color w:val="000000"/>
          <w:sz w:val="24"/>
          <w:lang w:eastAsia="zh-CN"/>
        </w:rPr>
        <w:t>时钟估算，三种点数的吞吐率和单块延迟如下。</w:t>
      </w:r>
    </w:p>
    <w:p w14:paraId="74297C35" w14:textId="4BEEF670" w:rsidR="009B6EEC" w:rsidRDefault="00000000" w:rsidP="006B6EA8">
      <w:pPr>
        <w:jc w:val="center"/>
        <w:rPr>
          <w:lang w:eastAsia="zh-CN"/>
        </w:rPr>
      </w:pPr>
      <w:r>
        <w:rPr>
          <w:rFonts w:ascii="Times New Roman" w:eastAsia="黑体" w:hAnsi="Times New Roman"/>
          <w:color w:val="000000"/>
          <w:sz w:val="21"/>
          <w:lang w:eastAsia="zh-CN"/>
        </w:rPr>
        <w:t>表</w:t>
      </w:r>
      <w:proofErr w:type="gramStart"/>
      <w:r>
        <w:rPr>
          <w:rFonts w:ascii="Times New Roman" w:eastAsia="黑体" w:hAnsi="Times New Roman"/>
          <w:color w:val="000000"/>
          <w:sz w:val="21"/>
          <w:lang w:eastAsia="zh-CN"/>
        </w:rPr>
        <w:t>3</w:t>
      </w:r>
      <w:r>
        <w:rPr>
          <w:rFonts w:ascii="Times New Roman" w:eastAsia="黑体" w:hAnsi="Times New Roman"/>
          <w:color w:val="000000"/>
          <w:sz w:val="21"/>
          <w:lang w:eastAsia="zh-CN"/>
        </w:rPr>
        <w:t xml:space="preserve">　资源</w:t>
      </w:r>
      <w:proofErr w:type="gramEnd"/>
      <w:r>
        <w:rPr>
          <w:rFonts w:ascii="Times New Roman" w:eastAsia="黑体" w:hAnsi="Times New Roman"/>
          <w:color w:val="000000"/>
          <w:sz w:val="21"/>
          <w:lang w:eastAsia="zh-CN"/>
        </w:rPr>
        <w:t>复用结构的理论性能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2835"/>
        <w:gridCol w:w="3118"/>
      </w:tblGrid>
      <w:tr w:rsidR="009B6EEC" w14:paraId="1198E42A" w14:textId="77777777">
        <w:trPr>
          <w:cantSplit/>
          <w:jc w:val="center"/>
        </w:trPr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14:paraId="768F058C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N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  <w:vAlign w:val="center"/>
          </w:tcPr>
          <w:p w14:paraId="67D4B548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周期</w:t>
            </w: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块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  <w:vAlign w:val="center"/>
          </w:tcPr>
          <w:p w14:paraId="663B7ADF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100 MHz</w:t>
            </w: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理论符号率</w:t>
            </w:r>
          </w:p>
        </w:tc>
        <w:tc>
          <w:tcPr>
            <w:tcW w:w="3118" w:type="dxa"/>
            <w:tcBorders>
              <w:bottom w:val="single" w:sz="4" w:space="0" w:color="000000"/>
            </w:tcBorders>
            <w:vAlign w:val="center"/>
          </w:tcPr>
          <w:p w14:paraId="12E5B68C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  <w:sz w:val="21"/>
              </w:rPr>
              <w:t>单块理论延迟</w:t>
            </w:r>
          </w:p>
        </w:tc>
      </w:tr>
      <w:tr w:rsidR="009B6EEC" w14:paraId="055B64E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175E7CA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</w:t>
            </w:r>
          </w:p>
        </w:tc>
        <w:tc>
          <w:tcPr>
            <w:tcW w:w="1984" w:type="dxa"/>
            <w:vAlign w:val="center"/>
          </w:tcPr>
          <w:p w14:paraId="134A03A2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548</w:t>
            </w:r>
          </w:p>
        </w:tc>
        <w:tc>
          <w:tcPr>
            <w:tcW w:w="2835" w:type="dxa"/>
            <w:vAlign w:val="center"/>
          </w:tcPr>
          <w:p w14:paraId="197A09C3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2.9197 Msym/s</w:t>
            </w:r>
          </w:p>
        </w:tc>
        <w:tc>
          <w:tcPr>
            <w:tcW w:w="3118" w:type="dxa"/>
            <w:vAlign w:val="center"/>
          </w:tcPr>
          <w:p w14:paraId="79D5423F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5.480 μs</w:t>
            </w:r>
          </w:p>
        </w:tc>
      </w:tr>
      <w:tr w:rsidR="009B6EEC" w14:paraId="1D1D4C1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E398DC4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64</w:t>
            </w:r>
          </w:p>
        </w:tc>
        <w:tc>
          <w:tcPr>
            <w:tcW w:w="1984" w:type="dxa"/>
            <w:vAlign w:val="center"/>
          </w:tcPr>
          <w:p w14:paraId="21004802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8324</w:t>
            </w:r>
          </w:p>
        </w:tc>
        <w:tc>
          <w:tcPr>
            <w:tcW w:w="2835" w:type="dxa"/>
            <w:vAlign w:val="center"/>
          </w:tcPr>
          <w:p w14:paraId="22D74A39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0.7689 Msym/s</w:t>
            </w:r>
          </w:p>
        </w:tc>
        <w:tc>
          <w:tcPr>
            <w:tcW w:w="3118" w:type="dxa"/>
            <w:vAlign w:val="center"/>
          </w:tcPr>
          <w:p w14:paraId="384729D9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83.240 μs</w:t>
            </w:r>
          </w:p>
        </w:tc>
      </w:tr>
      <w:tr w:rsidR="009B6EEC" w14:paraId="26CB30C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7FBE0AD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256</w:t>
            </w:r>
          </w:p>
        </w:tc>
        <w:tc>
          <w:tcPr>
            <w:tcW w:w="1984" w:type="dxa"/>
            <w:vAlign w:val="center"/>
          </w:tcPr>
          <w:p w14:paraId="64E6FEAC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131588</w:t>
            </w:r>
          </w:p>
        </w:tc>
        <w:tc>
          <w:tcPr>
            <w:tcW w:w="2835" w:type="dxa"/>
            <w:vAlign w:val="center"/>
          </w:tcPr>
          <w:p w14:paraId="0CC504AC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0.1945 Msym/s</w:t>
            </w:r>
          </w:p>
        </w:tc>
        <w:tc>
          <w:tcPr>
            <w:tcW w:w="3118" w:type="dxa"/>
            <w:vAlign w:val="center"/>
          </w:tcPr>
          <w:p w14:paraId="7D50FB72" w14:textId="77777777" w:rsidR="009B6EEC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1315.880 μs</w:t>
            </w:r>
          </w:p>
        </w:tc>
      </w:tr>
    </w:tbl>
    <w:p w14:paraId="5C1A757D" w14:textId="77777777" w:rsidR="009B6EEC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该结构的主要特点是以时间复用换取较低的乘法器数量，适合小规模</w:t>
      </w:r>
      <w:r>
        <w:rPr>
          <w:rFonts w:ascii="Times New Roman" w:eastAsia="宋体" w:hAnsi="Times New Roman"/>
          <w:color w:val="000000"/>
          <w:sz w:val="24"/>
          <w:lang w:eastAsia="zh-CN"/>
        </w:rPr>
        <w:t>FPGA</w:t>
      </w:r>
      <w:r>
        <w:rPr>
          <w:rFonts w:ascii="Times New Roman" w:eastAsia="宋体" w:hAnsi="Times New Roman"/>
          <w:color w:val="000000"/>
          <w:sz w:val="24"/>
          <w:lang w:eastAsia="zh-CN"/>
        </w:rPr>
        <w:t>、教学验证和参数扫描。若面向高吞吐率应用，可以将模乘器阵列化并在</w:t>
      </w:r>
      <w:r>
        <w:rPr>
          <w:rFonts w:ascii="Times New Roman" w:eastAsia="宋体" w:hAnsi="Times New Roman"/>
          <w:color w:val="000000"/>
          <w:sz w:val="24"/>
          <w:lang w:eastAsia="zh-CN"/>
        </w:rPr>
        <w:t>FNT</w:t>
      </w:r>
      <w:r>
        <w:rPr>
          <w:rFonts w:ascii="Times New Roman" w:eastAsia="宋体" w:hAnsi="Times New Roman"/>
          <w:color w:val="000000"/>
          <w:sz w:val="24"/>
          <w:lang w:eastAsia="zh-CN"/>
        </w:rPr>
        <w:t>级间加入寄存器，将</w:t>
      </w:r>
      <w:r>
        <w:rPr>
          <w:rFonts w:ascii="Times New Roman" w:eastAsia="宋体" w:hAnsi="Times New Roman"/>
          <w:color w:val="000000"/>
          <w:sz w:val="24"/>
          <w:lang w:eastAsia="zh-CN"/>
        </w:rPr>
        <w:t>LUT</w:t>
      </w:r>
      <w:r>
        <w:rPr>
          <w:rFonts w:ascii="Times New Roman" w:eastAsia="宋体" w:hAnsi="Times New Roman"/>
          <w:color w:val="000000"/>
          <w:sz w:val="24"/>
          <w:lang w:eastAsia="zh-CN"/>
        </w:rPr>
        <w:t>输出直接接入并行蝶形或频域均衡流水线。</w:t>
      </w:r>
    </w:p>
    <w:p w14:paraId="4E88D0BC" w14:textId="29710B2B" w:rsidR="009B6EEC" w:rsidRDefault="009B6EEC">
      <w:pPr>
        <w:spacing w:after="0" w:line="360" w:lineRule="auto"/>
        <w:ind w:firstLineChars="200" w:firstLine="440"/>
        <w:jc w:val="both"/>
        <w:rPr>
          <w:lang w:eastAsia="zh-CN"/>
        </w:rPr>
      </w:pPr>
    </w:p>
    <w:sectPr w:rsidR="009B6EEC" w:rsidSect="00034616">
      <w:footerReference w:type="default" r:id="rId11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427FB" w14:textId="77777777" w:rsidR="00237281" w:rsidRDefault="00237281">
      <w:pPr>
        <w:spacing w:after="0" w:line="240" w:lineRule="auto"/>
      </w:pPr>
      <w:r>
        <w:separator/>
      </w:r>
    </w:p>
  </w:endnote>
  <w:endnote w:type="continuationSeparator" w:id="0">
    <w:p w14:paraId="4B3120BD" w14:textId="77777777" w:rsidR="00237281" w:rsidRDefault="00237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86A9" w14:textId="77777777" w:rsidR="009B6EEC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202F7" w14:textId="77777777" w:rsidR="00237281" w:rsidRDefault="00237281">
      <w:pPr>
        <w:spacing w:after="0" w:line="240" w:lineRule="auto"/>
      </w:pPr>
      <w:r>
        <w:separator/>
      </w:r>
    </w:p>
  </w:footnote>
  <w:footnote w:type="continuationSeparator" w:id="0">
    <w:p w14:paraId="603AC69D" w14:textId="77777777" w:rsidR="00237281" w:rsidRDefault="00237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606471">
    <w:abstractNumId w:val="8"/>
  </w:num>
  <w:num w:numId="2" w16cid:durableId="1299339813">
    <w:abstractNumId w:val="6"/>
  </w:num>
  <w:num w:numId="3" w16cid:durableId="1217202776">
    <w:abstractNumId w:val="5"/>
  </w:num>
  <w:num w:numId="4" w16cid:durableId="1068575288">
    <w:abstractNumId w:val="4"/>
  </w:num>
  <w:num w:numId="5" w16cid:durableId="999818158">
    <w:abstractNumId w:val="7"/>
  </w:num>
  <w:num w:numId="6" w16cid:durableId="642465389">
    <w:abstractNumId w:val="3"/>
  </w:num>
  <w:num w:numId="7" w16cid:durableId="1790736540">
    <w:abstractNumId w:val="2"/>
  </w:num>
  <w:num w:numId="8" w16cid:durableId="1485702170">
    <w:abstractNumId w:val="1"/>
  </w:num>
  <w:num w:numId="9" w16cid:durableId="13337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2A8"/>
    <w:rsid w:val="00237281"/>
    <w:rsid w:val="0029639D"/>
    <w:rsid w:val="00326F90"/>
    <w:rsid w:val="006B6EA8"/>
    <w:rsid w:val="009B6E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C8A07"/>
  <w14:defaultImageDpi w14:val="300"/>
  <w15:docId w15:val="{5EB7D213-1F2E-4735-A94A-0353BDE8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a41842</cp:lastModifiedBy>
  <cp:revision>2</cp:revision>
  <dcterms:created xsi:type="dcterms:W3CDTF">2013-12-23T23:15:00Z</dcterms:created>
  <dcterms:modified xsi:type="dcterms:W3CDTF">2026-10-04T17:07:00Z</dcterms:modified>
  <cp:category/>
</cp:coreProperties>
</file>