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Samenvatting</w:t>
      </w:r>
      <w:r>
        <w:t xml:space="preserve"> </w:t>
      </w:r>
      <w:r>
        <w:t xml:space="preserve">syllabus</w:t>
      </w:r>
    </w:p>
    <w:p>
      <w:pPr>
        <w:pStyle w:val="Author"/>
      </w:pPr>
      <w:r>
        <w:t xml:space="preserve">SN</w:t>
      </w:r>
      <w:r>
        <w:t xml:space="preserve"> </w:t>
      </w:r>
      <w:r>
        <w:t xml:space="preserve">de</w:t>
      </w:r>
      <w:r>
        <w:t xml:space="preserve"> </w:t>
      </w:r>
      <w:r>
        <w:t xml:space="preserve">Koning</w:t>
      </w:r>
    </w:p>
    <w:p>
      <w:pPr>
        <w:pStyle w:val="Date"/>
      </w:pPr>
      <w:r>
        <w:t xml:space="preserve">17</w:t>
      </w:r>
      <w:r>
        <w:t xml:space="preserve"> </w:t>
      </w:r>
      <w:r>
        <w:t xml:space="preserve">november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de-hypotheekmarkt"/>
      <w:bookmarkEnd w:id="21"/>
      <w:r>
        <w:t xml:space="preserve">1. De Hypotheekmarkt</w:t>
      </w:r>
    </w:p>
    <w:p>
      <w:pPr>
        <w:pStyle w:val="FirstParagraph"/>
      </w:pPr>
      <w:r>
        <w:rPr>
          <w:i/>
        </w:rPr>
        <w:t xml:space="preserve">(pg 3 - 21)</w:t>
      </w:r>
    </w:p>
    <w:p>
      <w:pPr>
        <w:pStyle w:val="Heading4"/>
      </w:pPr>
      <w:bookmarkStart w:id="22" w:name="woonuitgaven."/>
      <w:bookmarkEnd w:id="22"/>
      <w:r>
        <w:t xml:space="preserve">1.1 Woonuitgaven.</w:t>
      </w:r>
    </w:p>
    <w:p>
      <w:pPr>
        <w:pStyle w:val="Compact"/>
        <w:numPr>
          <w:numId w:val="1001"/>
          <w:ilvl w:val="0"/>
        </w:numPr>
      </w:pPr>
      <w:r>
        <w:t xml:space="preserve">Huursector:</w:t>
      </w:r>
    </w:p>
    <w:p>
      <w:pPr>
        <w:pStyle w:val="Compact"/>
        <w:numPr>
          <w:numId w:val="1002"/>
          <w:ilvl w:val="1"/>
        </w:numPr>
      </w:pPr>
      <w:r>
        <w:t xml:space="preserve">woonconsumptie = basishuur.</w:t>
      </w:r>
    </w:p>
    <w:p>
      <w:pPr>
        <w:pStyle w:val="Compact"/>
        <w:numPr>
          <w:numId w:val="1003"/>
          <w:ilvl w:val="2"/>
        </w:numPr>
      </w:pPr>
      <w:r>
        <w:t xml:space="preserve">bestaat uit kale huur + servicekosten.</w:t>
      </w:r>
    </w:p>
    <w:p>
      <w:pPr>
        <w:pStyle w:val="Compact"/>
        <w:numPr>
          <w:numId w:val="1003"/>
          <w:ilvl w:val="2"/>
        </w:numPr>
      </w:pPr>
      <w:r>
        <w:t xml:space="preserve">uitgesloten: nutsvoorzieningen.</w:t>
      </w:r>
    </w:p>
    <w:p>
      <w:pPr>
        <w:pStyle w:val="Compact"/>
        <w:numPr>
          <w:numId w:val="1003"/>
          <w:ilvl w:val="2"/>
        </w:numPr>
      </w:pPr>
      <w:r>
        <w:t xml:space="preserve">basishuur - huurtoeslag = netto huur.</w:t>
      </w:r>
    </w:p>
    <w:p>
      <w:pPr>
        <w:pStyle w:val="Compact"/>
        <w:numPr>
          <w:numId w:val="1001"/>
          <w:ilvl w:val="0"/>
        </w:numPr>
      </w:pPr>
      <w:r>
        <w:t xml:space="preserve">Koopsector:</w:t>
      </w:r>
    </w:p>
    <w:p>
      <w:pPr>
        <w:pStyle w:val="Compact"/>
        <w:numPr>
          <w:numId w:val="1004"/>
          <w:ilvl w:val="1"/>
        </w:numPr>
      </w:pPr>
      <w:r>
        <w:t xml:space="preserve">hypotheeklasten</w:t>
      </w:r>
    </w:p>
    <w:p>
      <w:pPr>
        <w:pStyle w:val="Compact"/>
        <w:numPr>
          <w:numId w:val="1004"/>
          <w:ilvl w:val="1"/>
        </w:numPr>
      </w:pPr>
      <w:r>
        <w:t xml:space="preserve">Opstalverzekering + bijdrage Vereniging van Eigenaren + evt. erfpacht.</w:t>
      </w:r>
    </w:p>
    <w:p>
      <w:pPr>
        <w:pStyle w:val="Compact"/>
        <w:numPr>
          <w:numId w:val="1004"/>
          <w:ilvl w:val="1"/>
        </w:numPr>
      </w:pPr>
      <w:r>
        <w:t xml:space="preserve">verschil netto en bruto woonlasten door fiscale effecten.</w:t>
      </w:r>
    </w:p>
    <w:p>
      <w:pPr>
        <w:pStyle w:val="Compact"/>
        <w:numPr>
          <w:numId w:val="1004"/>
          <w:ilvl w:val="1"/>
        </w:numPr>
      </w:pPr>
      <w:r>
        <w:t xml:space="preserve">bijkoende woonuitgaven: rioolrechten, onroerende zaakbelasting en nutsvoorzieningen.</w:t>
      </w:r>
    </w:p>
    <w:p>
      <w:pPr>
        <w:pStyle w:val="Compact"/>
        <w:numPr>
          <w:numId w:val="1001"/>
          <w:ilvl w:val="0"/>
        </w:numPr>
      </w:pPr>
      <w:r>
        <w:t xml:space="preserve">De markt voor woningen:</w:t>
      </w:r>
    </w:p>
    <w:p>
      <w:pPr>
        <w:pStyle w:val="Compact"/>
        <w:numPr>
          <w:numId w:val="1005"/>
          <w:ilvl w:val="1"/>
        </w:numPr>
      </w:pPr>
      <w:r>
        <w:t xml:space="preserve">Prijs van koopwoning komt tot stand door:</w:t>
      </w:r>
    </w:p>
    <w:p>
      <w:pPr>
        <w:pStyle w:val="Compact"/>
        <w:numPr>
          <w:numId w:val="1006"/>
          <w:ilvl w:val="2"/>
        </w:numPr>
      </w:pPr>
      <w:r>
        <w:t xml:space="preserve">vraag</w:t>
      </w:r>
    </w:p>
    <w:p>
      <w:pPr>
        <w:pStyle w:val="Compact"/>
        <w:numPr>
          <w:numId w:val="1006"/>
          <w:ilvl w:val="2"/>
        </w:numPr>
      </w:pPr>
      <w:r>
        <w:t xml:space="preserve">aanbod</w:t>
      </w:r>
    </w:p>
    <w:p>
      <w:pPr>
        <w:pStyle w:val="Compact"/>
        <w:numPr>
          <w:numId w:val="1006"/>
          <w:ilvl w:val="2"/>
        </w:numPr>
      </w:pPr>
      <w:r>
        <w:t xml:space="preserve">hypotheekrente -&gt; Meeste kunnen zonder hypotheek geen huis kopen.</w:t>
      </w:r>
    </w:p>
    <w:p>
      <w:pPr>
        <w:pStyle w:val="Compact"/>
        <w:numPr>
          <w:numId w:val="1007"/>
          <w:ilvl w:val="3"/>
        </w:numPr>
      </w:pPr>
      <w:r>
        <w:t xml:space="preserve">Lagere rente = lagere lasten = meer mensen kunnen/gaan lenen.</w:t>
      </w:r>
    </w:p>
    <w:p>
      <w:pPr>
        <w:pStyle w:val="Compact"/>
        <w:numPr>
          <w:numId w:val="1006"/>
          <w:ilvl w:val="2"/>
        </w:numPr>
      </w:pPr>
      <w:r>
        <w:t xml:space="preserve">Politiek als externe beïnvloeder.</w:t>
      </w:r>
    </w:p>
    <w:p>
      <w:pPr>
        <w:pStyle w:val="Compact"/>
        <w:numPr>
          <w:numId w:val="1008"/>
          <w:ilvl w:val="3"/>
        </w:numPr>
      </w:pPr>
      <w:r>
        <w:t xml:space="preserve">Afschaffing renteaftrek, huren aantrekkelijker maken. Drukkend effect op waarde van woning.</w:t>
      </w:r>
    </w:p>
    <w:p>
      <w:pPr>
        <w:pStyle w:val="Compact"/>
        <w:numPr>
          <w:numId w:val="1008"/>
          <w:ilvl w:val="3"/>
        </w:numPr>
      </w:pPr>
      <w:r>
        <w:t xml:space="preserve">Bepaling maximale hoogte van hypotheek. Strenger wordende normen = drukkend effect op vraag naar woningen.</w:t>
      </w:r>
    </w:p>
    <w:p>
      <w:pPr>
        <w:pStyle w:val="Compact"/>
        <w:numPr>
          <w:numId w:val="1005"/>
          <w:ilvl w:val="1"/>
        </w:numPr>
      </w:pPr>
      <w:r>
        <w:rPr>
          <w:i/>
        </w:rPr>
        <w:t xml:space="preserve">Kopersmarkt</w:t>
      </w:r>
      <w:r>
        <w:t xml:space="preserve"> </w:t>
      </w:r>
      <w:r>
        <w:t xml:space="preserve">= Groot aanbod woningen &amp; kleine vraag -&gt; Eerst oude woning verkopen, dan nieuwe woning aankopen.</w:t>
      </w:r>
      <w:r>
        <w:t xml:space="preserve"> </w:t>
      </w:r>
      <w:r>
        <w:rPr>
          <w:b/>
        </w:rPr>
        <w:t xml:space="preserve">Kopers hebben het voor het zeggen</w:t>
      </w:r>
    </w:p>
    <w:p>
      <w:pPr>
        <w:pStyle w:val="Compact"/>
        <w:numPr>
          <w:numId w:val="1009"/>
          <w:ilvl w:val="2"/>
        </w:numPr>
      </w:pPr>
      <w:r>
        <w:t xml:space="preserve">Lage woningprijs</w:t>
      </w:r>
    </w:p>
    <w:p>
      <w:pPr>
        <w:pStyle w:val="Compact"/>
        <w:numPr>
          <w:numId w:val="1005"/>
          <w:ilvl w:val="1"/>
        </w:numPr>
      </w:pPr>
      <w:r>
        <w:rPr>
          <w:i/>
        </w:rPr>
        <w:t xml:space="preserve">Verkopersmarkt</w:t>
      </w:r>
      <w:r>
        <w:t xml:space="preserve"> </w:t>
      </w:r>
      <w:r>
        <w:t xml:space="preserve">= Klein aanbod woningen &amp; grote vraag -&gt; Eerst nieuwe woning kopen, dan oude woning verkopen.</w:t>
      </w:r>
      <w:r>
        <w:t xml:space="preserve"> </w:t>
      </w:r>
      <w:r>
        <w:rPr>
          <w:b/>
        </w:rPr>
        <w:t xml:space="preserve">verkopers hebben het voor het zeggen</w:t>
      </w:r>
    </w:p>
    <w:p>
      <w:pPr>
        <w:pStyle w:val="Compact"/>
        <w:numPr>
          <w:numId w:val="1010"/>
          <w:ilvl w:val="2"/>
        </w:numPr>
      </w:pPr>
      <w:r>
        <w:t xml:space="preserve">Hoge woningprijs.</w:t>
      </w:r>
    </w:p>
    <w:p>
      <w:pPr>
        <w:pStyle w:val="Heading4"/>
      </w:pPr>
      <w:bookmarkStart w:id="23" w:name="overwegingen-bij-het-aankopen-of-huren-van-een-woning."/>
      <w:bookmarkEnd w:id="23"/>
      <w:r>
        <w:t xml:space="preserve">1.2 overwegingen bij het aankopen of huren van een woning.</w:t>
      </w:r>
    </w:p>
    <w:p>
      <w:pPr>
        <w:pStyle w:val="Compact"/>
        <w:numPr>
          <w:numId w:val="1011"/>
          <w:ilvl w:val="0"/>
        </w:numPr>
      </w:pPr>
      <w:r>
        <w:t xml:space="preserve">Eerste plaats emotie-aspect.</w:t>
      </w:r>
    </w:p>
    <w:p>
      <w:pPr>
        <w:pStyle w:val="Compact"/>
        <w:numPr>
          <w:numId w:val="1011"/>
          <w:ilvl w:val="0"/>
        </w:numPr>
      </w:pPr>
      <w:r>
        <w:t xml:space="preserve">Rationele risico's:</w:t>
      </w:r>
    </w:p>
    <w:p>
      <w:pPr>
        <w:pStyle w:val="Compact"/>
        <w:numPr>
          <w:numId w:val="1012"/>
          <w:ilvl w:val="1"/>
        </w:numPr>
      </w:pPr>
      <w:r>
        <w:rPr>
          <w:i/>
        </w:rPr>
        <w:t xml:space="preserve">Lastenrisico</w:t>
      </w:r>
    </w:p>
    <w:p>
      <w:pPr>
        <w:pStyle w:val="Compact"/>
        <w:numPr>
          <w:numId w:val="1013"/>
          <w:ilvl w:val="2"/>
        </w:numPr>
      </w:pPr>
      <w:r>
        <w:t xml:space="preserve">Koper: Grillig, rentewijzigingen, wijzigingen in het fiscare regime, overige belastingen t.b.v. de woning, premiewijzigingen.</w:t>
      </w:r>
    </w:p>
    <w:p>
      <w:pPr>
        <w:pStyle w:val="Compact"/>
        <w:numPr>
          <w:numId w:val="1013"/>
          <w:ilvl w:val="2"/>
        </w:numPr>
      </w:pPr>
      <w:r>
        <w:t xml:space="preserve">Huurder: Voorspelbaar. Periodieke huurverhogingen.</w:t>
      </w:r>
    </w:p>
    <w:p>
      <w:pPr>
        <w:pStyle w:val="Compact"/>
        <w:numPr>
          <w:numId w:val="1012"/>
          <w:ilvl w:val="1"/>
        </w:numPr>
      </w:pPr>
      <w:r>
        <w:rPr>
          <w:i/>
        </w:rPr>
        <w:t xml:space="preserve">Kosten van verhuizing</w:t>
      </w:r>
    </w:p>
    <w:p>
      <w:pPr>
        <w:pStyle w:val="Compact"/>
        <w:numPr>
          <w:numId w:val="1014"/>
          <w:ilvl w:val="2"/>
        </w:numPr>
      </w:pPr>
      <w:r>
        <w:t xml:space="preserve">Koper: Hoog, kosten koper, financieringskosten, advieskosten, makelaarskosten.</w:t>
      </w:r>
    </w:p>
    <w:p>
      <w:pPr>
        <w:pStyle w:val="Compact"/>
        <w:numPr>
          <w:numId w:val="1014"/>
          <w:ilvl w:val="2"/>
        </w:numPr>
      </w:pPr>
      <w:r>
        <w:t xml:space="preserve">Huurder: Spul in dozen, en gaan met die banaan.</w:t>
      </w:r>
    </w:p>
    <w:p>
      <w:pPr>
        <w:pStyle w:val="Compact"/>
        <w:numPr>
          <w:numId w:val="1012"/>
          <w:ilvl w:val="1"/>
        </w:numPr>
      </w:pPr>
      <w:r>
        <w:rPr>
          <w:i/>
        </w:rPr>
        <w:t xml:space="preserve">vermogensrisico</w:t>
      </w:r>
    </w:p>
    <w:p>
      <w:pPr>
        <w:pStyle w:val="Compact"/>
        <w:numPr>
          <w:numId w:val="1015"/>
          <w:ilvl w:val="2"/>
        </w:numPr>
      </w:pPr>
      <w:r>
        <w:t xml:space="preserve">Koper: Wisselingen in de waarde van de woning, mogelijkheid tot restschuld.</w:t>
      </w:r>
    </w:p>
    <w:p>
      <w:pPr>
        <w:pStyle w:val="Compact"/>
        <w:numPr>
          <w:numId w:val="1015"/>
          <w:ilvl w:val="2"/>
        </w:numPr>
      </w:pPr>
      <w:r>
        <w:t xml:space="preserve">Huurder: bouwt geen vermogen op in steen, dus niet van toepassing.</w:t>
      </w:r>
    </w:p>
    <w:p>
      <w:pPr>
        <w:pStyle w:val="Compact"/>
        <w:numPr>
          <w:numId w:val="1012"/>
          <w:ilvl w:val="1"/>
        </w:numPr>
      </w:pPr>
      <w:r>
        <w:rPr>
          <w:i/>
        </w:rPr>
        <w:t xml:space="preserve">volgorderisico</w:t>
      </w:r>
    </w:p>
    <w:p>
      <w:pPr>
        <w:pStyle w:val="Compact"/>
        <w:numPr>
          <w:numId w:val="1016"/>
          <w:ilvl w:val="2"/>
        </w:numPr>
      </w:pPr>
      <w:r>
        <w:t xml:space="preserve">Koper: Extra lasten bij verkoop. Lasten oude woning + nieuwe lasten. OF: oude woning verkocht, nog geen nieuwe woning beschikbaar: tijdelijke opvang en opslag</w:t>
      </w:r>
    </w:p>
    <w:p>
      <w:pPr>
        <w:pStyle w:val="Compact"/>
        <w:numPr>
          <w:numId w:val="1016"/>
          <w:ilvl w:val="2"/>
        </w:numPr>
      </w:pPr>
      <w:r>
        <w:t xml:space="preserve">Huurder: n.v.t.</w:t>
      </w:r>
    </w:p>
    <w:p>
      <w:pPr>
        <w:pStyle w:val="Compact"/>
        <w:numPr>
          <w:numId w:val="1012"/>
          <w:ilvl w:val="1"/>
        </w:numPr>
      </w:pPr>
      <w:r>
        <w:rPr>
          <w:i/>
        </w:rPr>
        <w:t xml:space="preserve">bezitvorming</w:t>
      </w:r>
    </w:p>
    <w:p>
      <w:pPr>
        <w:pStyle w:val="Compact"/>
        <w:numPr>
          <w:numId w:val="1017"/>
          <w:ilvl w:val="2"/>
        </w:numPr>
      </w:pPr>
      <w:r>
        <w:t xml:space="preserve">Koper: bouwt bezit op in steen.</w:t>
      </w:r>
    </w:p>
    <w:p>
      <w:pPr>
        <w:pStyle w:val="Compact"/>
        <w:numPr>
          <w:numId w:val="1017"/>
          <w:ilvl w:val="2"/>
        </w:numPr>
      </w:pPr>
      <w:r>
        <w:t xml:space="preserve">Huurder: nope</w:t>
      </w:r>
    </w:p>
    <w:p>
      <w:pPr>
        <w:pStyle w:val="Compact"/>
        <w:numPr>
          <w:numId w:val="1012"/>
          <w:ilvl w:val="1"/>
        </w:numPr>
      </w:pPr>
      <w:r>
        <w:rPr>
          <w:i/>
        </w:rPr>
        <w:t xml:space="preserve">woongenot</w:t>
      </w:r>
    </w:p>
    <w:p>
      <w:pPr>
        <w:pStyle w:val="Compact"/>
        <w:numPr>
          <w:numId w:val="1018"/>
          <w:ilvl w:val="2"/>
        </w:numPr>
      </w:pPr>
      <w:r>
        <w:t xml:space="preserve">Koper: Heeft meer aanpassingsvrijheid m.b.t. de woning.</w:t>
      </w:r>
    </w:p>
    <w:p>
      <w:pPr>
        <w:pStyle w:val="Compact"/>
        <w:numPr>
          <w:numId w:val="1018"/>
          <w:ilvl w:val="2"/>
        </w:numPr>
      </w:pPr>
      <w:r>
        <w:t xml:space="preserve">Huurder: is hierin beperkt door verhuurder.</w:t>
      </w:r>
    </w:p>
    <w:p>
      <w:pPr>
        <w:pStyle w:val="Heading4"/>
      </w:pPr>
      <w:bookmarkStart w:id="24" w:name="de-hypotheekmarkt."/>
      <w:bookmarkEnd w:id="24"/>
      <w:r>
        <w:t xml:space="preserve">1.3 De Hypotheekmarkt.</w:t>
      </w:r>
    </w:p>
    <w:p>
      <w:pPr>
        <w:pStyle w:val="Compact"/>
        <w:numPr>
          <w:numId w:val="1019"/>
          <w:ilvl w:val="0"/>
        </w:numPr>
      </w:pPr>
      <w:r>
        <w:t xml:space="preserve">Vraagkant van de hypotheekmarkt:</w:t>
      </w:r>
    </w:p>
    <w:p>
      <w:pPr>
        <w:pStyle w:val="Compact"/>
        <w:numPr>
          <w:numId w:val="1020"/>
          <w:ilvl w:val="1"/>
        </w:numPr>
      </w:pPr>
      <w:r>
        <w:rPr>
          <w:i/>
        </w:rPr>
        <w:t xml:space="preserve">Starters</w:t>
      </w:r>
      <w:r>
        <w:t xml:space="preserve">: Kopen voor het eerst in hun leven een woning, en sluiten hiervoor een hypothecaire lening af.</w:t>
      </w:r>
    </w:p>
    <w:p>
      <w:pPr>
        <w:pStyle w:val="Compact"/>
        <w:numPr>
          <w:numId w:val="1020"/>
          <w:ilvl w:val="1"/>
        </w:numPr>
      </w:pPr>
      <w:r>
        <w:rPr>
          <w:i/>
        </w:rPr>
        <w:t xml:space="preserve">Doorstromers</w:t>
      </w:r>
      <w:r>
        <w:t xml:space="preserve">: Hebben al een volgende woning, maar willen deze vervangen.</w:t>
      </w:r>
    </w:p>
    <w:p>
      <w:pPr>
        <w:pStyle w:val="Compact"/>
        <w:numPr>
          <w:numId w:val="1020"/>
          <w:ilvl w:val="1"/>
        </w:numPr>
      </w:pPr>
      <w:r>
        <w:rPr>
          <w:i/>
        </w:rPr>
        <w:t xml:space="preserve">Oversluiters</w:t>
      </w:r>
      <w:r>
        <w:t xml:space="preserve">: Huidige woning blijft onderpand, veranderen van verstrekker, vorm hypotheek, rentepercentage, tweede hypotheek.</w:t>
      </w:r>
    </w:p>
    <w:p>
      <w:pPr>
        <w:pStyle w:val="Compact"/>
        <w:numPr>
          <w:numId w:val="1020"/>
          <w:ilvl w:val="1"/>
        </w:numPr>
      </w:pPr>
      <w:r>
        <w:rPr>
          <w:i/>
        </w:rPr>
        <w:t xml:space="preserve">Verhogers</w:t>
      </w:r>
      <w:r>
        <w:t xml:space="preserve">: Spreekt voor zicht, bijvoorbeeld voor een verbouwing.</w:t>
      </w:r>
    </w:p>
    <w:p>
      <w:pPr>
        <w:pStyle w:val="Compact"/>
        <w:numPr>
          <w:numId w:val="1019"/>
          <w:ilvl w:val="0"/>
        </w:numPr>
      </w:pPr>
      <w:r>
        <w:t xml:space="preserve">Aanbodkant:</w:t>
      </w:r>
    </w:p>
    <w:p>
      <w:pPr>
        <w:pStyle w:val="Compact"/>
        <w:numPr>
          <w:numId w:val="1021"/>
          <w:ilvl w:val="1"/>
        </w:numPr>
      </w:pPr>
      <w:r>
        <w:t xml:space="preserve">Hypotheekbanken en bouwfondsen</w:t>
      </w:r>
    </w:p>
    <w:p>
      <w:pPr>
        <w:pStyle w:val="Compact"/>
        <w:numPr>
          <w:numId w:val="1022"/>
          <w:ilvl w:val="2"/>
        </w:numPr>
      </w:pPr>
      <w:r>
        <w:t xml:space="preserve">Plaatsen pandbrieven en trekken onderhandse leningen aan.</w:t>
      </w:r>
    </w:p>
    <w:p>
      <w:pPr>
        <w:pStyle w:val="Compact"/>
        <w:numPr>
          <w:numId w:val="1022"/>
          <w:ilvl w:val="2"/>
        </w:numPr>
      </w:pPr>
      <w:r>
        <w:t xml:space="preserve">Rentes worden gematched aan uitstaande leningen.</w:t>
      </w:r>
    </w:p>
    <w:p>
      <w:pPr>
        <w:pStyle w:val="Compact"/>
        <w:numPr>
          <w:numId w:val="1022"/>
          <w:ilvl w:val="2"/>
        </w:numPr>
      </w:pPr>
      <w:r>
        <w:t xml:space="preserve">Bouwfondsen idem, maar ontwikkelen en bouwen woningen zelf.</w:t>
      </w:r>
    </w:p>
    <w:p>
      <w:pPr>
        <w:pStyle w:val="Compact"/>
        <w:numPr>
          <w:numId w:val="1023"/>
          <w:ilvl w:val="3"/>
        </w:numPr>
      </w:pPr>
      <w:r>
        <w:t xml:space="preserve">Grote financier = Bank voor Nederlandse Gemeenten (BNG).</w:t>
      </w:r>
    </w:p>
    <w:p>
      <w:pPr>
        <w:pStyle w:val="Compact"/>
        <w:numPr>
          <w:numId w:val="1023"/>
          <w:ilvl w:val="3"/>
        </w:numPr>
      </w:pPr>
      <w:r>
        <w:t xml:space="preserve">Voordeel bouwfondsen is langere rentefixatietermijn. Reden = zijn actief op kapitaalmarkt in aantrekken gelden.</w:t>
      </w:r>
    </w:p>
    <w:p>
      <w:pPr>
        <w:pStyle w:val="Compact"/>
        <w:numPr>
          <w:numId w:val="1021"/>
          <w:ilvl w:val="1"/>
        </w:numPr>
      </w:pPr>
      <w:r>
        <w:t xml:space="preserve">Verzekeraars, pensioenfondsen en spaarkassen</w:t>
      </w:r>
    </w:p>
    <w:p>
      <w:pPr>
        <w:pStyle w:val="Compact"/>
        <w:numPr>
          <w:numId w:val="1024"/>
          <w:ilvl w:val="2"/>
        </w:numPr>
      </w:pPr>
      <w:r>
        <w:t xml:space="preserve">Verzekeringen kunnen direct aan hypothecair krediet worden gekoppeld.</w:t>
      </w:r>
    </w:p>
    <w:p>
      <w:pPr>
        <w:pStyle w:val="Compact"/>
        <w:numPr>
          <w:numId w:val="1024"/>
          <w:ilvl w:val="2"/>
        </w:numPr>
      </w:pPr>
      <w:r>
        <w:t xml:space="preserve">Premiereserve wordt belegd.</w:t>
      </w:r>
    </w:p>
    <w:p>
      <w:pPr>
        <w:pStyle w:val="Compact"/>
        <w:numPr>
          <w:numId w:val="1024"/>
          <w:ilvl w:val="2"/>
        </w:numPr>
      </w:pPr>
      <w:r>
        <w:t xml:space="preserve">Met verzekering aantrekkelijkere tarievering voor klant dan zonder.</w:t>
      </w:r>
    </w:p>
    <w:p>
      <w:pPr>
        <w:pStyle w:val="Compact"/>
        <w:numPr>
          <w:numId w:val="1024"/>
          <w:ilvl w:val="2"/>
        </w:numPr>
      </w:pPr>
      <w:r>
        <w:t xml:space="preserve">Pensioenfondsen verstrekt hypotheken om aan zijn eigen beleggingsdoel te voldoen.</w:t>
      </w:r>
    </w:p>
    <w:p>
      <w:pPr>
        <w:pStyle w:val="Compact"/>
        <w:numPr>
          <w:numId w:val="1025"/>
          <w:ilvl w:val="3"/>
        </w:numPr>
      </w:pPr>
      <w:r>
        <w:t xml:space="preserve">Strictere acceptatienormen, fonds wenst lager risico om aan beleggingsdoel te voldoen.</w:t>
      </w:r>
    </w:p>
    <w:p>
      <w:pPr>
        <w:pStyle w:val="Compact"/>
        <w:numPr>
          <w:numId w:val="1021"/>
          <w:ilvl w:val="1"/>
        </w:numPr>
      </w:pPr>
      <w:r>
        <w:t xml:space="preserve">Algemene banken en spaarbanken</w:t>
      </w:r>
    </w:p>
    <w:p>
      <w:pPr>
        <w:pStyle w:val="Compact"/>
        <w:numPr>
          <w:numId w:val="1026"/>
          <w:ilvl w:val="2"/>
        </w:numPr>
      </w:pPr>
      <w:r>
        <w:t xml:space="preserve">Grootste partij (~75% van de markt)</w:t>
      </w:r>
    </w:p>
    <w:p>
      <w:pPr>
        <w:pStyle w:val="Compact"/>
        <w:numPr>
          <w:numId w:val="1026"/>
          <w:ilvl w:val="2"/>
        </w:numPr>
      </w:pPr>
      <w:r>
        <w:t xml:space="preserve">Weinig onderlinge verschillen.</w:t>
      </w:r>
    </w:p>
    <w:p>
      <w:pPr>
        <w:pStyle w:val="Compact"/>
        <w:numPr>
          <w:numId w:val="1026"/>
          <w:ilvl w:val="2"/>
        </w:numPr>
      </w:pPr>
      <w:r>
        <w:t xml:space="preserve">Doel rentemarge behalen + nieuwe bankklanten aantrekken.</w:t>
      </w:r>
    </w:p>
    <w:p>
      <w:pPr>
        <w:pStyle w:val="Compact"/>
        <w:numPr>
          <w:numId w:val="1021"/>
          <w:ilvl w:val="1"/>
        </w:numPr>
      </w:pPr>
      <w:r>
        <w:t xml:space="preserve">Rechtspersonen die hypotheken verstrekken</w:t>
      </w:r>
    </w:p>
    <w:p>
      <w:pPr>
        <w:pStyle w:val="Compact"/>
        <w:numPr>
          <w:numId w:val="1027"/>
          <w:ilvl w:val="2"/>
        </w:numPr>
      </w:pPr>
      <w:r>
        <w:t xml:space="preserve">Doorgaans gunstige condities vanwege geen winstoogmerk.</w:t>
      </w:r>
    </w:p>
    <w:p>
      <w:pPr>
        <w:pStyle w:val="Compact"/>
        <w:numPr>
          <w:numId w:val="1027"/>
          <w:ilvl w:val="2"/>
        </w:numPr>
      </w:pPr>
      <w:r>
        <w:t xml:space="preserve">Vaak aan hun eigen leden of werknemers.</w:t>
      </w:r>
    </w:p>
    <w:p>
      <w:pPr>
        <w:pStyle w:val="Compact"/>
        <w:numPr>
          <w:numId w:val="1021"/>
          <w:ilvl w:val="1"/>
        </w:numPr>
      </w:pPr>
      <w:r>
        <w:t xml:space="preserve">Particulieren</w:t>
      </w:r>
    </w:p>
    <w:p>
      <w:pPr>
        <w:pStyle w:val="Compact"/>
        <w:numPr>
          <w:numId w:val="1028"/>
          <w:ilvl w:val="2"/>
        </w:numPr>
      </w:pPr>
      <w:r>
        <w:t xml:space="preserve">Denk aan familie of vrienden.</w:t>
      </w:r>
    </w:p>
    <w:p>
      <w:pPr>
        <w:pStyle w:val="Heading5"/>
      </w:pPr>
      <w:bookmarkStart w:id="25" w:name="keuzefactoren-hypothecaire-lening."/>
      <w:bookmarkEnd w:id="25"/>
      <w:r>
        <w:t xml:space="preserve">Keuzefactoren hypothecaire lening.</w:t>
      </w:r>
    </w:p>
    <w:p>
      <w:pPr>
        <w:pStyle w:val="Compact"/>
        <w:numPr>
          <w:numId w:val="1029"/>
          <w:ilvl w:val="0"/>
        </w:numPr>
      </w:pPr>
      <w:r>
        <w:t xml:space="preserve">Rentepercentage</w:t>
      </w:r>
    </w:p>
    <w:p>
      <w:pPr>
        <w:pStyle w:val="Compact"/>
        <w:numPr>
          <w:numId w:val="1029"/>
          <w:ilvl w:val="0"/>
        </w:numPr>
      </w:pPr>
      <w:r>
        <w:t xml:space="preserve">Mogelijke hoogte van financiering, gelet op inkomen en onderpand.</w:t>
      </w:r>
    </w:p>
    <w:p>
      <w:pPr>
        <w:pStyle w:val="Compact"/>
        <w:numPr>
          <w:numId w:val="1029"/>
          <w:ilvl w:val="0"/>
        </w:numPr>
      </w:pPr>
      <w:r>
        <w:t xml:space="preserve">hoogte van de advies- en overige afsluitkosten</w:t>
      </w:r>
    </w:p>
    <w:p>
      <w:pPr>
        <w:pStyle w:val="Compact"/>
        <w:numPr>
          <w:numId w:val="1029"/>
          <w:ilvl w:val="0"/>
        </w:numPr>
      </w:pPr>
      <w:r>
        <w:t xml:space="preserve">mogelijkheid inbrengen kapitaalverzekering</w:t>
      </w:r>
    </w:p>
    <w:p>
      <w:pPr>
        <w:pStyle w:val="Compact"/>
        <w:numPr>
          <w:numId w:val="1029"/>
          <w:ilvl w:val="0"/>
        </w:numPr>
      </w:pPr>
      <w:r>
        <w:t xml:space="preserve">verscheidenheid aan producten</w:t>
      </w:r>
    </w:p>
    <w:p>
      <w:pPr>
        <w:pStyle w:val="Compact"/>
        <w:numPr>
          <w:numId w:val="1029"/>
          <w:ilvl w:val="0"/>
        </w:numPr>
      </w:pPr>
      <w:r>
        <w:t xml:space="preserve">keuzemogelijkheden voor rentevasteperioden.</w:t>
      </w:r>
    </w:p>
    <w:p>
      <w:pPr>
        <w:pStyle w:val="FirstParagraph"/>
      </w:pPr>
      <w:r>
        <w:t xml:space="preserve">Tot aan 2013 grote toename verschillende producten. Fiscale maatregelen hebben hier een stokje voorgestoken, trent zet niet door. Verplichting klantbelang te toetsen alvorens een product op de markt te brengen.</w:t>
      </w:r>
    </w:p>
    <w:p>
      <w:pPr>
        <w:pStyle w:val="BodyText"/>
      </w:pPr>
      <w:r>
        <w:t xml:space="preserve">Eerste keuze klant: Direct (verstrekker) of indirect (tussenpersoon).</w:t>
      </w:r>
    </w:p>
    <w:p>
      <w:pPr>
        <w:pStyle w:val="Heading4"/>
      </w:pPr>
      <w:bookmarkStart w:id="26" w:name="koop-van-de-eigen-woning."/>
      <w:bookmarkEnd w:id="26"/>
      <w:r>
        <w:t xml:space="preserve">1.4 Koop van de eigen woning.</w:t>
      </w:r>
    </w:p>
    <w:p>
      <w:pPr>
        <w:pStyle w:val="Compact"/>
        <w:numPr>
          <w:numId w:val="1030"/>
          <w:ilvl w:val="0"/>
        </w:numPr>
      </w:pPr>
      <w:r>
        <w:rPr>
          <w:i/>
        </w:rPr>
        <w:t xml:space="preserve">De makelaar</w:t>
      </w:r>
    </w:p>
    <w:p>
      <w:pPr>
        <w:pStyle w:val="Compact"/>
        <w:numPr>
          <w:numId w:val="1031"/>
          <w:ilvl w:val="1"/>
        </w:numPr>
      </w:pPr>
      <w:r>
        <w:t xml:space="preserve">Optionele partij bij de koop. Niet inschakelen kan kosten besparen.</w:t>
      </w:r>
    </w:p>
    <w:p>
      <w:pPr>
        <w:pStyle w:val="Compact"/>
        <w:numPr>
          <w:numId w:val="1031"/>
          <w:ilvl w:val="1"/>
        </w:numPr>
      </w:pPr>
      <w:r>
        <w:t xml:space="preserve">bemiddelt bij aan- en verkoop (ook verhuur) van onroerende zaken.</w:t>
      </w:r>
    </w:p>
    <w:p>
      <w:pPr>
        <w:pStyle w:val="Compact"/>
        <w:numPr>
          <w:numId w:val="1031"/>
          <w:ilvl w:val="1"/>
        </w:numPr>
      </w:pPr>
      <w:r>
        <w:t xml:space="preserve">Taxateur</w:t>
      </w:r>
    </w:p>
    <w:p>
      <w:pPr>
        <w:pStyle w:val="Compact"/>
        <w:numPr>
          <w:numId w:val="1031"/>
          <w:ilvl w:val="1"/>
        </w:numPr>
      </w:pPr>
      <w:r>
        <w:t xml:space="preserve">Bemiddelaar bij hypotheken.</w:t>
      </w:r>
    </w:p>
    <w:p>
      <w:pPr>
        <w:pStyle w:val="Compact"/>
        <w:numPr>
          <w:numId w:val="1031"/>
          <w:ilvl w:val="1"/>
        </w:numPr>
      </w:pPr>
      <w:r>
        <w:t xml:space="preserve">Geen beschermde term.</w:t>
      </w:r>
    </w:p>
    <w:p>
      <w:pPr>
        <w:pStyle w:val="Compact"/>
        <w:numPr>
          <w:numId w:val="1032"/>
          <w:ilvl w:val="2"/>
        </w:numPr>
      </w:pPr>
      <w:r>
        <w:t xml:space="preserve">Erkende makelaar, Register Makelaar-Taxateur (RMT) dient te voldoen aan de certificeringsregeling vastgestelde eisen omtrent kwaliteits- en opleidingsniveau.</w:t>
      </w:r>
    </w:p>
    <w:p>
      <w:pPr>
        <w:pStyle w:val="Compact"/>
        <w:numPr>
          <w:numId w:val="1033"/>
          <w:ilvl w:val="3"/>
        </w:numPr>
      </w:pPr>
      <w:r>
        <w:t xml:space="preserve">Jaar praktijkervaring</w:t>
      </w:r>
    </w:p>
    <w:p>
      <w:pPr>
        <w:pStyle w:val="Compact"/>
        <w:numPr>
          <w:numId w:val="1033"/>
          <w:ilvl w:val="3"/>
        </w:numPr>
      </w:pPr>
      <w:r>
        <w:t xml:space="preserve">Onderschrijving van de geschillenregeling van het Nederlands Instituut Certificatie en Registratie Makelaar-Taxateurs onroerende zaken.</w:t>
      </w:r>
    </w:p>
    <w:p>
      <w:pPr>
        <w:pStyle w:val="Compact"/>
        <w:numPr>
          <w:numId w:val="1032"/>
          <w:ilvl w:val="2"/>
        </w:numPr>
      </w:pPr>
      <w:r>
        <w:t xml:space="preserve">Brancheorganisaties:</w:t>
      </w:r>
    </w:p>
    <w:p>
      <w:pPr>
        <w:pStyle w:val="Compact"/>
        <w:numPr>
          <w:numId w:val="1034"/>
          <w:ilvl w:val="3"/>
        </w:numPr>
      </w:pPr>
      <w:r>
        <w:rPr>
          <w:b/>
        </w:rPr>
        <w:t xml:space="preserve">NVM</w:t>
      </w:r>
      <w:r>
        <w:t xml:space="preserve">: Nederlandse Vereniging van Makelaars.</w:t>
      </w:r>
    </w:p>
    <w:p>
      <w:pPr>
        <w:pStyle w:val="Compact"/>
        <w:numPr>
          <w:numId w:val="1034"/>
          <w:ilvl w:val="3"/>
        </w:numPr>
      </w:pPr>
      <w:r>
        <w:rPr>
          <w:b/>
        </w:rPr>
        <w:t xml:space="preserve">VBO</w:t>
      </w:r>
      <w:r>
        <w:t xml:space="preserve">: Vereniging bemiddeling Onroerend goed.</w:t>
      </w:r>
    </w:p>
    <w:p>
      <w:pPr>
        <w:pStyle w:val="Compact"/>
        <w:numPr>
          <w:numId w:val="1034"/>
          <w:ilvl w:val="3"/>
        </w:numPr>
      </w:pPr>
      <w:r>
        <w:rPr>
          <w:b/>
        </w:rPr>
        <w:t xml:space="preserve">VastgoedPro</w:t>
      </w:r>
      <w:r>
        <w:t xml:space="preserve">: Fusie van Landelijke Makelaars Vereniging (LMV) en het Register van Vastgoed Taxateurs (RVT)</w:t>
      </w:r>
    </w:p>
    <w:p>
      <w:pPr>
        <w:pStyle w:val="FirstParagraph"/>
      </w:pPr>
      <w:r>
        <w:t xml:space="preserve">Stappen:</w:t>
      </w:r>
    </w:p>
    <w:p>
      <w:pPr>
        <w:pStyle w:val="Compact"/>
        <w:numPr>
          <w:numId w:val="1035"/>
          <w:ilvl w:val="0"/>
        </w:numPr>
      </w:pPr>
      <w:r>
        <w:t xml:space="preserve">Bij inschakeling van de makelaar bij verkoop wordt een</w:t>
      </w:r>
      <w:r>
        <w:t xml:space="preserve"> </w:t>
      </w:r>
      <w:r>
        <w:rPr>
          <w:i/>
        </w:rPr>
        <w:t xml:space="preserve">vaste opdracht</w:t>
      </w:r>
      <w:r>
        <w:t xml:space="preserve"> </w:t>
      </w:r>
      <w:r>
        <w:t xml:space="preserve">opgemaakt: + Gegevens van verkoper + Gegevens het te verkopen goed + Bevoegdheden van makelaar vastgesteld + Minimumprijs van woning, advertentiekosten, etc.</w:t>
      </w:r>
    </w:p>
    <w:p>
      <w:pPr>
        <w:pStyle w:val="Compact"/>
        <w:numPr>
          <w:numId w:val="1035"/>
          <w:ilvl w:val="0"/>
        </w:numPr>
      </w:pPr>
      <w:r>
        <w:t xml:space="preserve">Makelaar start een onderzoek:</w:t>
      </w:r>
    </w:p>
    <w:p>
      <w:pPr>
        <w:pStyle w:val="Compact"/>
        <w:numPr>
          <w:numId w:val="1036"/>
          <w:ilvl w:val="1"/>
        </w:numPr>
      </w:pPr>
      <w:r>
        <w:t xml:space="preserve">Is verkoper handelingsbekwaam en bevoegd?</w:t>
      </w:r>
    </w:p>
    <w:p>
      <w:pPr>
        <w:pStyle w:val="Compact"/>
        <w:numPr>
          <w:numId w:val="1036"/>
          <w:ilvl w:val="1"/>
        </w:numPr>
      </w:pPr>
      <w:r>
        <w:t xml:space="preserve">Is de verkoper eigenaar van het goed?</w:t>
      </w:r>
    </w:p>
    <w:p>
      <w:pPr>
        <w:pStyle w:val="Compact"/>
        <w:numPr>
          <w:numId w:val="1036"/>
          <w:ilvl w:val="1"/>
        </w:numPr>
      </w:pPr>
      <w:r>
        <w:t xml:space="preserve">Valt het goed in faillissement, of in overdeelde boedel?</w:t>
      </w:r>
    </w:p>
    <w:p>
      <w:pPr>
        <w:pStyle w:val="Compact"/>
        <w:numPr>
          <w:numId w:val="1036"/>
          <w:ilvl w:val="1"/>
        </w:numPr>
      </w:pPr>
      <w:r>
        <w:t xml:space="preserve">Komen economisch eigendom en juridisch eigendom overeen?</w:t>
      </w:r>
    </w:p>
    <w:p>
      <w:pPr>
        <w:pStyle w:val="Compact"/>
        <w:numPr>
          <w:numId w:val="1036"/>
          <w:ilvl w:val="1"/>
        </w:numPr>
      </w:pPr>
      <w:r>
        <w:t xml:space="preserve">Gegevens die hiervoor opgevraagd kunnen worden:</w:t>
      </w:r>
    </w:p>
    <w:p>
      <w:pPr>
        <w:pStyle w:val="Compact"/>
        <w:numPr>
          <w:numId w:val="1037"/>
          <w:ilvl w:val="2"/>
        </w:numPr>
      </w:pPr>
      <w:r>
        <w:rPr>
          <w:i/>
        </w:rPr>
        <w:t xml:space="preserve">Kadastraal uittreksel</w:t>
      </w:r>
    </w:p>
    <w:p>
      <w:pPr>
        <w:pStyle w:val="Compact"/>
        <w:numPr>
          <w:numId w:val="1038"/>
          <w:ilvl w:val="3"/>
        </w:numPr>
      </w:pPr>
      <w:r>
        <w:t xml:space="preserve">Basisgegevens van het registerobject.</w:t>
      </w:r>
    </w:p>
    <w:p>
      <w:pPr>
        <w:pStyle w:val="Compact"/>
        <w:numPr>
          <w:numId w:val="1038"/>
          <w:ilvl w:val="3"/>
        </w:numPr>
      </w:pPr>
      <w:r>
        <w:t xml:space="preserve">naam, adres, geslacht en geboortedatum van kadastrale eigenaar</w:t>
      </w:r>
    </w:p>
    <w:p>
      <w:pPr>
        <w:pStyle w:val="Compact"/>
        <w:numPr>
          <w:numId w:val="1038"/>
          <w:ilvl w:val="3"/>
        </w:numPr>
      </w:pPr>
      <w:r>
        <w:t xml:space="preserve">kadastrale aanduiding</w:t>
      </w:r>
    </w:p>
    <w:p>
      <w:pPr>
        <w:pStyle w:val="Compact"/>
        <w:numPr>
          <w:numId w:val="1038"/>
          <w:ilvl w:val="3"/>
        </w:numPr>
      </w:pPr>
      <w:r>
        <w:t xml:space="preserve">oppervlakte</w:t>
      </w:r>
    </w:p>
    <w:p>
      <w:pPr>
        <w:pStyle w:val="Compact"/>
        <w:numPr>
          <w:numId w:val="1038"/>
          <w:ilvl w:val="3"/>
        </w:numPr>
      </w:pPr>
      <w:r>
        <w:t xml:space="preserve">zakelijke rechten</w:t>
      </w:r>
    </w:p>
    <w:p>
      <w:pPr>
        <w:pStyle w:val="Compact"/>
        <w:numPr>
          <w:numId w:val="1038"/>
          <w:ilvl w:val="3"/>
        </w:numPr>
      </w:pPr>
      <w:r>
        <w:t xml:space="preserve">belemmeringen (Aanduidingen monumentenwet, belemmeringenwet, Wet Bodembescherming)</w:t>
      </w:r>
    </w:p>
    <w:p>
      <w:pPr>
        <w:pStyle w:val="Compact"/>
        <w:numPr>
          <w:numId w:val="1038"/>
          <w:ilvl w:val="3"/>
        </w:numPr>
      </w:pPr>
      <w:r>
        <w:t xml:space="preserve">Verklaringen van erfrecth, wijzigingen in hypotheken en afkoop van erfpachtcanons.</w:t>
      </w:r>
    </w:p>
    <w:p>
      <w:pPr>
        <w:pStyle w:val="Compact"/>
        <w:numPr>
          <w:numId w:val="1037"/>
          <w:ilvl w:val="2"/>
        </w:numPr>
      </w:pPr>
      <w:r>
        <w:rPr>
          <w:i/>
        </w:rPr>
        <w:t xml:space="preserve">Hypothecair uittreksel</w:t>
      </w:r>
    </w:p>
    <w:p>
      <w:pPr>
        <w:pStyle w:val="Compact"/>
        <w:numPr>
          <w:numId w:val="1039"/>
          <w:ilvl w:val="3"/>
        </w:numPr>
      </w:pPr>
      <w:r>
        <w:t xml:space="preserve">Vermeldt eventuele hypotheken of beslagen op een kadastergoed.</w:t>
      </w:r>
    </w:p>
    <w:p>
      <w:pPr>
        <w:pStyle w:val="Compact"/>
        <w:numPr>
          <w:numId w:val="1039"/>
          <w:ilvl w:val="3"/>
        </w:numPr>
      </w:pPr>
      <w:r>
        <w:t xml:space="preserve">Naam en adres van schuldeisers of beslagleggers</w:t>
      </w:r>
    </w:p>
    <w:p>
      <w:pPr>
        <w:pStyle w:val="Compact"/>
        <w:numPr>
          <w:numId w:val="1039"/>
          <w:ilvl w:val="3"/>
        </w:numPr>
      </w:pPr>
      <w:r>
        <w:t xml:space="preserve">naam van de schuldenaar</w:t>
      </w:r>
    </w:p>
    <w:p>
      <w:pPr>
        <w:pStyle w:val="Compact"/>
        <w:numPr>
          <w:numId w:val="1039"/>
          <w:ilvl w:val="3"/>
        </w:numPr>
      </w:pPr>
      <w:r>
        <w:t xml:space="preserve">Hoofdsom of bedrag van beslaglegging</w:t>
      </w:r>
    </w:p>
    <w:p>
      <w:pPr>
        <w:pStyle w:val="Compact"/>
        <w:numPr>
          <w:numId w:val="1039"/>
          <w:ilvl w:val="3"/>
        </w:numPr>
      </w:pPr>
      <w:r>
        <w:t xml:space="preserve">Rentevoet</w:t>
      </w:r>
    </w:p>
    <w:p>
      <w:pPr>
        <w:pStyle w:val="Compact"/>
        <w:numPr>
          <w:numId w:val="1037"/>
          <w:ilvl w:val="2"/>
        </w:numPr>
      </w:pPr>
      <w:r>
        <w:t xml:space="preserve">Onderzoeken erfdienstbaarheden (rechten gebruik te maken van een stuk grond, zonder juridisch of economisch eigendom):</w:t>
      </w:r>
    </w:p>
    <w:p>
      <w:pPr>
        <w:pStyle w:val="Compact"/>
        <w:numPr>
          <w:numId w:val="1040"/>
          <w:ilvl w:val="3"/>
        </w:numPr>
      </w:pPr>
      <w:r>
        <w:t xml:space="preserve">Recht van overpad.</w:t>
      </w:r>
    </w:p>
    <w:p>
      <w:pPr>
        <w:pStyle w:val="Compact"/>
        <w:numPr>
          <w:numId w:val="1037"/>
          <w:ilvl w:val="2"/>
        </w:numPr>
      </w:pPr>
      <w:r>
        <w:t xml:space="preserve">onderzoek naar gemeentelijk bestemmingsplan.</w:t>
      </w:r>
    </w:p>
    <w:p>
      <w:pPr>
        <w:pStyle w:val="Compact"/>
        <w:numPr>
          <w:numId w:val="1037"/>
          <w:ilvl w:val="2"/>
        </w:numPr>
      </w:pPr>
      <w:r>
        <w:t xml:space="preserve">onderzoek naar hoogte van vaste lasten die op de zaak liggen.</w:t>
      </w:r>
    </w:p>
    <w:p>
      <w:pPr>
        <w:pStyle w:val="Compact"/>
        <w:numPr>
          <w:numId w:val="1041"/>
          <w:ilvl w:val="3"/>
        </w:numPr>
      </w:pPr>
      <w:r>
        <w:t xml:space="preserve">Onroerend goed belasting</w:t>
      </w:r>
    </w:p>
    <w:p>
      <w:pPr>
        <w:pStyle w:val="Compact"/>
        <w:numPr>
          <w:numId w:val="1041"/>
          <w:ilvl w:val="3"/>
        </w:numPr>
      </w:pPr>
      <w:r>
        <w:t xml:space="preserve">waterschaplasten.</w:t>
      </w:r>
    </w:p>
    <w:p>
      <w:pPr>
        <w:pStyle w:val="Compact"/>
        <w:numPr>
          <w:numId w:val="1041"/>
          <w:ilvl w:val="3"/>
        </w:numPr>
      </w:pPr>
      <w:r>
        <w:t xml:space="preserve">erfpacht.</w:t>
      </w:r>
    </w:p>
    <w:p>
      <w:pPr>
        <w:pStyle w:val="Compact"/>
        <w:numPr>
          <w:numId w:val="1041"/>
          <w:ilvl w:val="3"/>
        </w:numPr>
      </w:pPr>
      <w:r>
        <w:t xml:space="preserve">herstelwerkzaamheden.</w:t>
      </w:r>
    </w:p>
    <w:p>
      <w:pPr>
        <w:pStyle w:val="Compact"/>
        <w:numPr>
          <w:numId w:val="1041"/>
          <w:ilvl w:val="3"/>
        </w:numPr>
      </w:pPr>
      <w:r>
        <w:t xml:space="preserve">bodemonderzoek.</w:t>
      </w:r>
    </w:p>
    <w:p>
      <w:pPr>
        <w:pStyle w:val="Compact"/>
        <w:numPr>
          <w:numId w:val="1035"/>
          <w:ilvl w:val="0"/>
        </w:numPr>
      </w:pPr>
      <w:r>
        <w:t xml:space="preserve">Bij succesvol afronden onderzoek, vaststellen vraagprijs.</w:t>
      </w:r>
    </w:p>
    <w:p>
      <w:pPr>
        <w:pStyle w:val="Compact"/>
        <w:numPr>
          <w:numId w:val="1035"/>
          <w:ilvl w:val="0"/>
        </w:numPr>
      </w:pPr>
      <w:r>
        <w:t xml:space="preserve">Adverteren woning:</w:t>
      </w:r>
    </w:p>
    <w:p>
      <w:pPr>
        <w:pStyle w:val="Compact"/>
        <w:numPr>
          <w:numId w:val="1042"/>
          <w:ilvl w:val="1"/>
        </w:numPr>
      </w:pPr>
      <w:r>
        <w:t xml:space="preserve">Verkoopbord.</w:t>
      </w:r>
    </w:p>
    <w:p>
      <w:pPr>
        <w:pStyle w:val="Compact"/>
        <w:numPr>
          <w:numId w:val="1042"/>
          <w:ilvl w:val="1"/>
        </w:numPr>
      </w:pPr>
      <w:r>
        <w:t xml:space="preserve">Advertenties krant + internet.</w:t>
      </w:r>
    </w:p>
    <w:p>
      <w:pPr>
        <w:pStyle w:val="Compact"/>
        <w:numPr>
          <w:numId w:val="1042"/>
          <w:ilvl w:val="1"/>
        </w:numPr>
      </w:pPr>
      <w:r>
        <w:t xml:space="preserve">Inschrijving register NVM aangeboden onroerende zaken. Uitsluitend voor NVM aangesloten makelaars. DIMO heeft een register voor ook niet aangesloten makelaars.</w:t>
      </w:r>
    </w:p>
    <w:p>
      <w:pPr>
        <w:pStyle w:val="Compact"/>
        <w:numPr>
          <w:numId w:val="1035"/>
          <w:ilvl w:val="0"/>
        </w:numPr>
      </w:pPr>
      <w:r>
        <w:t xml:space="preserve">Potentiële kopers gaan eerst in gesprek met makelaar. Vervolgens bezichtiging.</w:t>
      </w:r>
    </w:p>
    <w:p>
      <w:pPr>
        <w:pStyle w:val="Compact"/>
        <w:numPr>
          <w:numId w:val="1035"/>
          <w:ilvl w:val="0"/>
        </w:numPr>
      </w:pPr>
      <w:r>
        <w:t xml:space="preserve">Uitbrengen bod.</w:t>
      </w:r>
    </w:p>
    <w:p>
      <w:pPr>
        <w:pStyle w:val="Compact"/>
        <w:numPr>
          <w:numId w:val="1043"/>
          <w:ilvl w:val="1"/>
        </w:numPr>
      </w:pPr>
      <w:r>
        <w:t xml:space="preserve">Tijdens onderhandelingen met potentiële koper mag er geen onderhandelingen met andere kopers gevoerd worden.</w:t>
      </w:r>
    </w:p>
    <w:p>
      <w:pPr>
        <w:pStyle w:val="Compact"/>
        <w:numPr>
          <w:numId w:val="1043"/>
          <w:ilvl w:val="1"/>
        </w:numPr>
      </w:pPr>
      <w:r>
        <w:t xml:space="preserve">Koper krijgt gelegenheid een eigen bouwkundig onderzoek uit te (laten) voeren.</w:t>
      </w:r>
    </w:p>
    <w:p>
      <w:pPr>
        <w:pStyle w:val="Compact"/>
        <w:numPr>
          <w:numId w:val="1043"/>
          <w:ilvl w:val="1"/>
        </w:numPr>
      </w:pPr>
      <w:r>
        <w:t xml:space="preserve">Koper kan een offerte voor financiering op laten maken.</w:t>
      </w:r>
    </w:p>
    <w:p>
      <w:pPr>
        <w:pStyle w:val="Compact"/>
        <w:numPr>
          <w:numId w:val="1044"/>
          <w:ilvl w:val="2"/>
        </w:numPr>
      </w:pPr>
      <w:r>
        <w:t xml:space="preserve">Optieperiode is doorgaans een week.</w:t>
      </w:r>
    </w:p>
    <w:p>
      <w:pPr>
        <w:pStyle w:val="Compact"/>
        <w:numPr>
          <w:numId w:val="1044"/>
          <w:ilvl w:val="2"/>
        </w:numPr>
      </w:pPr>
      <w:r>
        <w:t xml:space="preserve">Dient schriftelijk te worden vastgelegd.</w:t>
      </w:r>
    </w:p>
    <w:p>
      <w:pPr>
        <w:pStyle w:val="Compact"/>
        <w:numPr>
          <w:numId w:val="1044"/>
          <w:ilvl w:val="2"/>
        </w:numPr>
      </w:pPr>
      <w:r>
        <w:t xml:space="preserve">Langere optieperiodes gaan samen met vergoeding aan verkoper.</w:t>
      </w:r>
    </w:p>
    <w:p>
      <w:pPr>
        <w:pStyle w:val="Compact"/>
        <w:numPr>
          <w:numId w:val="1044"/>
          <w:ilvl w:val="2"/>
        </w:numPr>
      </w:pPr>
      <w:r>
        <w:t xml:space="preserve">Mag niet tijdens de optieperiode worden verkocht aan ander.</w:t>
      </w:r>
    </w:p>
    <w:p>
      <w:pPr>
        <w:pStyle w:val="Compact"/>
        <w:numPr>
          <w:numId w:val="1035"/>
          <w:ilvl w:val="0"/>
        </w:numPr>
      </w:pPr>
      <w:r>
        <w:t xml:space="preserve">Kopers kunnen ook makelaar inschakelen.</w:t>
      </w:r>
    </w:p>
    <w:p>
      <w:pPr>
        <w:pStyle w:val="Compact"/>
        <w:numPr>
          <w:numId w:val="1045"/>
          <w:ilvl w:val="1"/>
        </w:numPr>
      </w:pPr>
      <w:r>
        <w:t xml:space="preserve">Dient als agent in voorgaande stappen van koper.</w:t>
      </w:r>
    </w:p>
    <w:p>
      <w:pPr>
        <w:pStyle w:val="Heading2"/>
      </w:pPr>
      <w:bookmarkStart w:id="27" w:name="het-aangaan-van-een-hypothecair-krediet"/>
      <w:bookmarkEnd w:id="27"/>
      <w:r>
        <w:t xml:space="preserve">2. het aangaan van een hypothecair krediet</w:t>
      </w:r>
    </w:p>
    <w:p>
      <w:pPr>
        <w:pStyle w:val="FirstParagraph"/>
      </w:pPr>
      <w:r>
        <w:rPr>
          <w:i/>
        </w:rPr>
        <w:t xml:space="preserve">(pg 23 - 77)</w:t>
      </w:r>
    </w:p>
    <w:p>
      <w:pPr>
        <w:pStyle w:val="Heading2"/>
      </w:pPr>
      <w:bookmarkStart w:id="28" w:name="verzekeren-en-wonen"/>
      <w:bookmarkEnd w:id="28"/>
      <w:r>
        <w:t xml:space="preserve">3.Verzekeren en Wonen</w:t>
      </w:r>
    </w:p>
    <w:p>
      <w:pPr>
        <w:pStyle w:val="FirstParagraph"/>
      </w:pPr>
      <w:r>
        <w:rPr>
          <w:i/>
        </w:rPr>
        <w:t xml:space="preserve">(pg 83 - 93)</w:t>
      </w:r>
    </w:p>
    <w:p>
      <w:pPr>
        <w:pStyle w:val="Heading2"/>
      </w:pPr>
      <w:bookmarkStart w:id="29" w:name="mutaties-en-beheer"/>
      <w:bookmarkEnd w:id="29"/>
      <w:r>
        <w:t xml:space="preserve">4. Mutaties en Beheer</w:t>
      </w:r>
    </w:p>
    <w:p>
      <w:pPr>
        <w:pStyle w:val="FirstParagraph"/>
      </w:pPr>
      <w:r>
        <w:rPr>
          <w:i/>
        </w:rPr>
        <w:t xml:space="preserve">(pg 95 - 110)</w:t>
      </w:r>
    </w:p>
    <w:p>
      <w:pPr>
        <w:pStyle w:val="Heading2"/>
      </w:pPr>
      <w:bookmarkStart w:id="30" w:name="juridische-aspecten"/>
      <w:bookmarkEnd w:id="30"/>
      <w:r>
        <w:t xml:space="preserve">5. Juridische Aspecten</w:t>
      </w:r>
    </w:p>
    <w:p>
      <w:pPr>
        <w:pStyle w:val="FirstParagraph"/>
      </w:pPr>
      <w:r>
        <w:rPr>
          <w:i/>
        </w:rPr>
        <w:t xml:space="preserve">(pg 115 - 144)</w:t>
      </w:r>
    </w:p>
    <w:p>
      <w:pPr>
        <w:pStyle w:val="Heading2"/>
      </w:pPr>
      <w:bookmarkStart w:id="31" w:name="fiscale-aspected-rondom-de-eigen-woning"/>
      <w:bookmarkEnd w:id="31"/>
      <w:r>
        <w:t xml:space="preserve">6. Fiscale Aspected Rondom de Eigen Woning</w:t>
      </w:r>
    </w:p>
    <w:p>
      <w:pPr>
        <w:pStyle w:val="FirstParagraph"/>
      </w:pPr>
      <w:r>
        <w:rPr>
          <w:i/>
        </w:rPr>
        <w:t xml:space="preserve">(pg 147 - 214)</w:t>
      </w:r>
    </w:p>
    <w:p>
      <w:pPr>
        <w:pStyle w:val="Heading2"/>
      </w:pPr>
      <w:bookmarkStart w:id="32" w:name="bestaande-kapitaalverzekeringen-en-bankspaarproducten"/>
      <w:bookmarkEnd w:id="32"/>
      <w:r>
        <w:t xml:space="preserve">7. Bestaande Kapitaalverzekeringen en Bankspaarproducten</w:t>
      </w:r>
    </w:p>
    <w:p>
      <w:pPr>
        <w:pStyle w:val="FirstParagraph"/>
      </w:pPr>
      <w:r>
        <w:rPr>
          <w:i/>
        </w:rPr>
        <w:t xml:space="preserve">(pg 217- 241)</w:t>
      </w:r>
    </w:p>
    <w:p>
      <w:pPr>
        <w:pStyle w:val="Heading2"/>
      </w:pPr>
      <w:bookmarkStart w:id="33" w:name="het-adviesproces-en-zorgplicht"/>
      <w:bookmarkEnd w:id="33"/>
      <w:r>
        <w:t xml:space="preserve">8. Het adviesproces en Zorgplicht</w:t>
      </w:r>
    </w:p>
    <w:p>
      <w:pPr>
        <w:pStyle w:val="FirstParagraph"/>
      </w:pPr>
      <w:r>
        <w:rPr>
          <w:i/>
        </w:rPr>
        <w:t xml:space="preserve">(pg 245 - 306)</w:t>
      </w:r>
    </w:p>
    <w:p>
      <w:pPr>
        <w:pStyle w:val="Heading2"/>
      </w:pPr>
      <w:bookmarkStart w:id="34" w:name="professioneel-gedrag"/>
      <w:bookmarkEnd w:id="34"/>
      <w:r>
        <w:t xml:space="preserve">9. Professioneel Gedrag</w:t>
      </w:r>
    </w:p>
    <w:p>
      <w:pPr>
        <w:pStyle w:val="FirstParagraph"/>
      </w:pPr>
      <w:r>
        <w:rPr>
          <w:i/>
        </w:rPr>
        <w:t xml:space="preserve">(pg 309 - 329)</w:t>
      </w:r>
    </w:p>
    <w:p>
      <w:pPr>
        <w:pStyle w:val="Heading2"/>
      </w:pPr>
      <w:bookmarkStart w:id="35" w:name="integriteit"/>
      <w:bookmarkEnd w:id="35"/>
      <w:r>
        <w:t xml:space="preserve">10. Integriteit</w:t>
      </w:r>
    </w:p>
    <w:p>
      <w:pPr>
        <w:pStyle w:val="FirstParagraph"/>
      </w:pPr>
      <w:r>
        <w:rPr>
          <w:i/>
        </w:rPr>
        <w:t xml:space="preserve">(pg 331 - 352)</w:t>
      </w:r>
    </w:p>
    <w:p>
      <w:pPr>
        <w:pStyle w:val="Heading2"/>
      </w:pPr>
      <w:bookmarkStart w:id="36" w:name="adviesvaardigheden"/>
      <w:bookmarkEnd w:id="36"/>
      <w:r>
        <w:t xml:space="preserve">11. Adviesvaardigheden</w:t>
      </w:r>
    </w:p>
    <w:p>
      <w:pPr>
        <w:pStyle w:val="FirstParagraph"/>
      </w:pPr>
      <w:r>
        <w:rPr>
          <w:i/>
        </w:rPr>
        <w:t xml:space="preserve">(pg 353 - 358)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2b4c0b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10ed5e1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759a0d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Samenvatting syllabus</dc:title>
  <dc:creator>SN de Koning</dc:creator>
  <dcterms:created xsi:type="dcterms:W3CDTF">2016-11-17</dcterms:created>
  <dcterms:modified xsi:type="dcterms:W3CDTF">2016-11-17</dcterms:modified>
</cp:coreProperties>
</file>