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5"/>
          <w:ilvl w:val="1"/>
        </w:numPr>
      </w:pPr>
      <w:r>
        <w:t xml:space="preserve">de verzekeraar bepaalt het risico a.d.h.v. sterftekansen, welke gehaald worden uit het door het CBS 5-jaarlijkse geplubliceerde sterfte- of overlevingstafel.</w:t>
      </w:r>
    </w:p>
    <w:p>
      <w:pPr>
        <w:pStyle w:val="Compact"/>
        <w:numPr>
          <w:numId w:val="1096"/>
          <w:ilvl w:val="2"/>
        </w:numPr>
      </w:pPr>
      <w:r>
        <w:t xml:space="preserve">verzekeraars met de meest recente sterftetafels hanteren doorgaans lagere premies, dit vanwege de toenemende gemiddelde leeftijd.</w:t>
      </w:r>
    </w:p>
    <w:p>
      <w:pPr>
        <w:pStyle w:val="Compact"/>
        <w:numPr>
          <w:numId w:val="1095"/>
          <w:ilvl w:val="1"/>
        </w:numPr>
      </w:pPr>
      <w:r>
        <w:t xml:space="preserve">de invloed van de sterftekans op de hoogte van de premie of koopsom is afhankelijk van het soort verzekering.</w:t>
      </w:r>
    </w:p>
    <w:p>
      <w:pPr>
        <w:pStyle w:val="Compact"/>
        <w:numPr>
          <w:numId w:val="1097"/>
          <w:ilvl w:val="2"/>
        </w:numPr>
      </w:pPr>
      <w:r>
        <w:t xml:space="preserve">uitkering bij leven. Hoe jonger de verzekeringsnemer, hoe groter de kans voor de verzekeraar dat zij moet uitkeren. Dus hogere premie voor jongere mensen.</w:t>
      </w:r>
    </w:p>
    <w:p>
      <w:pPr>
        <w:pStyle w:val="Compact"/>
        <w:numPr>
          <w:numId w:val="1097"/>
          <w:ilvl w:val="2"/>
        </w:numPr>
      </w:pPr>
      <w:r>
        <w:t xml:space="preserve">uitkering bij sterfte. Hoe ouder de verzekeringsnemer, des te hoger de sterftekans, dus hoe hoger de kans dat de verzekeraar moet uitkeren. Dus hogere premie voor oudere mensen.</w:t>
      </w:r>
    </w:p>
    <w:p>
      <w:pPr>
        <w:pStyle w:val="Compact"/>
        <w:numPr>
          <w:numId w:val="1095"/>
          <w:ilvl w:val="1"/>
        </w:numPr>
      </w:pPr>
      <w:r>
        <w:t xml:space="preserve">soort premie.</w:t>
      </w:r>
    </w:p>
    <w:p>
      <w:pPr>
        <w:pStyle w:val="Compact"/>
        <w:numPr>
          <w:numId w:val="1098"/>
          <w:ilvl w:val="2"/>
        </w:numPr>
      </w:pPr>
      <w:r>
        <w:t xml:space="preserve">eenjarige risicopremie.</w:t>
      </w:r>
    </w:p>
    <w:p>
      <w:pPr>
        <w:pStyle w:val="Compact"/>
        <w:numPr>
          <w:numId w:val="1099"/>
          <w:ilvl w:val="3"/>
        </w:numPr>
      </w:pPr>
      <w:r>
        <w:t xml:space="preserve">de premie stijgt hierbij jaarlijks, doordat de premie elk jaar opnieuw wordt bepaald a.d.h.v. de leeftijd van de verzekerde.</w:t>
      </w:r>
    </w:p>
    <w:p>
      <w:pPr>
        <w:pStyle w:val="Compact"/>
        <w:numPr>
          <w:numId w:val="1098"/>
          <w:ilvl w:val="2"/>
        </w:numPr>
      </w:pPr>
      <w:r>
        <w:t xml:space="preserve">doorsnederisicopremie.</w:t>
      </w:r>
    </w:p>
    <w:p>
      <w:pPr>
        <w:pStyle w:val="Compact"/>
        <w:numPr>
          <w:numId w:val="1100"/>
          <w:ilvl w:val="3"/>
        </w:numPr>
      </w:pPr>
      <w:r>
        <w:t xml:space="preserve">de premie blijft over de looptijd gelijk, er wordt een gemiddelde premie berekend.</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5"/>
          <w:ilvl w:val="1"/>
        </w:numPr>
      </w:pPr>
      <w:r>
        <w:t xml:space="preserve">winst of verliesrisicopremie.</w:t>
      </w:r>
    </w:p>
    <w:p>
      <w:r>
        <w:pict>
          <v:rect style="width:0;height:1.5pt" o:hralign="center" o:hrstd="t" o:hr="t"/>
        </w:pict>
      </w:r>
    </w:p>
    <w:p>
      <w:pPr>
        <w:pStyle w:val="Heading2"/>
      </w:pPr>
      <w:bookmarkStart w:id="43" w:name="appendix"/>
      <w:bookmarkEnd w:id="43"/>
      <w:r>
        <w:t xml:space="preserve">Appendix</w:t>
      </w:r>
    </w:p>
    <w:p>
      <w:pPr>
        <w:pStyle w:val="Heading4"/>
      </w:pPr>
      <w:bookmarkStart w:id="44" w:name="begrippen"/>
      <w:bookmarkEnd w:id="44"/>
      <w:r>
        <w:t xml:space="preserve">Begrippen</w:t>
      </w:r>
    </w:p>
    <w:p>
      <w:pPr>
        <w:pStyle w:val="Compact"/>
        <w:numPr>
          <w:numId w:val="1101"/>
          <w:ilvl w:val="0"/>
        </w:numPr>
      </w:pPr>
      <w:r>
        <w:t xml:space="preserve">Anw = Algemene Nabestaande Wet</w:t>
      </w:r>
    </w:p>
    <w:p>
      <w:pPr>
        <w:pStyle w:val="Compact"/>
        <w:numPr>
          <w:numId w:val="1101"/>
          <w:ilvl w:val="0"/>
        </w:numPr>
      </w:pPr>
      <w:r>
        <w:t xml:space="preserve">AOW = Algemene Ouderdoms Wet</w:t>
      </w:r>
    </w:p>
    <w:p>
      <w:pPr>
        <w:pStyle w:val="Compact"/>
        <w:numPr>
          <w:numId w:val="1101"/>
          <w:ilvl w:val="0"/>
        </w:numPr>
      </w:pPr>
      <w:r>
        <w:t xml:space="preserve">DGA = Directeur Groot-Aandeelhouder</w:t>
      </w:r>
    </w:p>
    <w:p>
      <w:pPr>
        <w:pStyle w:val="Compact"/>
        <w:numPr>
          <w:numId w:val="1101"/>
          <w:ilvl w:val="0"/>
        </w:numPr>
      </w:pPr>
      <w:r>
        <w:t xml:space="preserve">KEW = Kapitaalverzekering Eigen Woning</w:t>
      </w:r>
    </w:p>
    <w:p>
      <w:pPr>
        <w:pStyle w:val="Compact"/>
        <w:numPr>
          <w:numId w:val="1101"/>
          <w:ilvl w:val="0"/>
        </w:numPr>
      </w:pPr>
      <w:r>
        <w:t xml:space="preserve">WIA = Wet werk en inkomen naar arbeidsvermogen</w:t>
      </w:r>
    </w:p>
    <w:p>
      <w:pPr>
        <w:pStyle w:val="Compact"/>
        <w:numPr>
          <w:numId w:val="1101"/>
          <w:ilvl w:val="0"/>
        </w:numPr>
      </w:pPr>
      <w:r>
        <w:t xml:space="preserve">Wlz = Wet Langdurige Zorg</w:t>
      </w:r>
    </w:p>
    <w:p>
      <w:pPr>
        <w:pStyle w:val="Compact"/>
        <w:numPr>
          <w:numId w:val="1101"/>
          <w:ilvl w:val="0"/>
        </w:numPr>
      </w:pPr>
      <w:r>
        <w:t xml:space="preserve">WMK = Wet Medische Keuring</w:t>
      </w:r>
    </w:p>
    <w:p>
      <w:pPr>
        <w:pStyle w:val="Compact"/>
        <w:numPr>
          <w:numId w:val="1101"/>
          <w:ilvl w:val="0"/>
        </w:numPr>
      </w:pPr>
      <w:r>
        <w:t xml:space="preserve">WGBO = Wet op de Geneeskundige Behandelingsovereenkomst</w:t>
      </w:r>
    </w:p>
    <w:p>
      <w:pPr>
        <w:pStyle w:val="Compact"/>
        <w:numPr>
          <w:numId w:val="1101"/>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96d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2b60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8a2f0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42" Target="media/rId4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