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42.jpg" ContentType="image/jpeg"/>
  <Override PartName="/word/media/rId43.jpg" ContentType="image/jpeg"/>
  <Override PartName="/word/media/rId45.jpg" ContentType="image/jpeg"/>
  <Override PartName="/word/media/rId49.jpg" ContentType="image/jpeg"/>
  <Override PartName="/word/media/rId50.jpg" ContentType="image/jpeg"/>
  <Override PartName="/word/media/rId51.jpg" ContentType="image/jpeg"/>
  <Override PartName="/word/media/rId52.jpg" ContentType="image/jpe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pPr>
        <w:pStyle w:val="Heading2"/>
      </w:pPr>
      <w:bookmarkStart w:id="47" w:name="soorten-levensverzekeringen"/>
      <w:bookmarkEnd w:id="47"/>
      <w:r>
        <w:t xml:space="preserve">5 Soorten levensverzekeringen</w:t>
      </w:r>
    </w:p>
    <w:p>
      <w:pPr>
        <w:pStyle w:val="FirstParagraph"/>
      </w:pPr>
      <w:r>
        <w:rPr>
          <w:i/>
        </w:rPr>
        <w:t xml:space="preserve">(pg 35-53)</w:t>
      </w:r>
    </w:p>
    <w:p>
      <w:pPr>
        <w:pStyle w:val="Heading4"/>
      </w:pPr>
      <w:bookmarkStart w:id="48" w:name="indeling-van-levensverzekeringen"/>
      <w:bookmarkEnd w:id="48"/>
      <w:r>
        <w:t xml:space="preserve">5.1 Indeling van levensverzekeringen</w:t>
      </w:r>
    </w:p>
    <w:p>
      <w:pPr>
        <w:pStyle w:val="Compact"/>
        <w:numPr>
          <w:numId w:val="1112"/>
          <w:ilvl w:val="0"/>
        </w:numPr>
      </w:pPr>
      <w:r>
        <w:t xml:space="preserve">de wijze van uitkeren</w:t>
      </w:r>
    </w:p>
    <w:p>
      <w:pPr>
        <w:pStyle w:val="Compact"/>
        <w:numPr>
          <w:numId w:val="1113"/>
          <w:ilvl w:val="1"/>
        </w:numPr>
      </w:pPr>
      <w:r>
        <w:rPr>
          <w:i/>
        </w:rPr>
        <w:t xml:space="preserve">kapitaalverzekering</w:t>
      </w:r>
      <w:r>
        <w:t xml:space="preserve">. Deze keren een bedrag ineens uit</w:t>
      </w:r>
    </w:p>
    <w:p>
      <w:pPr>
        <w:pStyle w:val="Compact"/>
        <w:numPr>
          <w:numId w:val="1113"/>
          <w:ilvl w:val="1"/>
        </w:numPr>
      </w:pPr>
      <w:r>
        <w:rPr>
          <w:i/>
        </w:rPr>
        <w:t xml:space="preserve">renteverzekeringen</w:t>
      </w:r>
      <w:r>
        <w:t xml:space="preserve">. Deze keren periodiek een bedrag uit.</w:t>
      </w:r>
    </w:p>
    <w:p>
      <w:pPr>
        <w:pStyle w:val="Compact"/>
        <w:numPr>
          <w:numId w:val="1112"/>
          <w:ilvl w:val="0"/>
        </w:numPr>
      </w:pPr>
      <w:r>
        <w:t xml:space="preserve">het moment van uitkeren</w:t>
      </w:r>
    </w:p>
    <w:p>
      <w:pPr>
        <w:pStyle w:val="Compact"/>
        <w:numPr>
          <w:numId w:val="1114"/>
          <w:ilvl w:val="1"/>
        </w:numPr>
      </w:pPr>
      <w:r>
        <w:rPr>
          <w:i/>
        </w:rPr>
        <w:t xml:space="preserve">risicoverzekeringen</w:t>
      </w:r>
      <w:r>
        <w:t xml:space="preserve">. Keren uit na overlijden van een persoon.</w:t>
      </w:r>
    </w:p>
    <w:p>
      <w:pPr>
        <w:pStyle w:val="Compact"/>
        <w:numPr>
          <w:numId w:val="1114"/>
          <w:ilvl w:val="1"/>
        </w:numPr>
      </w:pPr>
      <w:r>
        <w:rPr>
          <w:i/>
        </w:rPr>
        <w:t xml:space="preserve">spaarverzekeringen</w:t>
      </w:r>
      <w:r>
        <w:t xml:space="preserve">. Keren uit na het bereiken van een bepaalde leeftijd.</w:t>
      </w:r>
    </w:p>
    <w:p>
      <w:pPr>
        <w:pStyle w:val="Compact"/>
        <w:numPr>
          <w:numId w:val="1114"/>
          <w:ilvl w:val="1"/>
        </w:numPr>
      </w:pPr>
      <w:r>
        <w:rPr>
          <w:i/>
        </w:rPr>
        <w:t xml:space="preserve">mengverzekeringen</w:t>
      </w:r>
      <w:r>
        <w:t xml:space="preserve">. Keren uit zowel bij overlijden als op een bepaalde datum.</w:t>
      </w:r>
    </w:p>
    <w:p>
      <w:pPr>
        <w:pStyle w:val="FirstParagraph"/>
      </w:pPr>
      <w:r>
        <w:t xml:space="preserve">Op basis van de bovenstaande indeling kan hieronder in de tabel een overzicht van verschillende verzekeringen gevonden worden.</w:t>
      </w:r>
    </w:p>
    <w:p>
      <w:pPr>
        <w:pStyle w:val="BodyText"/>
      </w:pPr>
      <w:r>
        <w:drawing>
          <wp:inline>
            <wp:extent cx="4762500" cy="2171700"/>
            <wp:effectExtent b="0" l="0" r="0" t="0"/>
            <wp:docPr descr="" id="1" name="Picture"/>
            <a:graphic>
              <a:graphicData uri="http://schemas.openxmlformats.org/drawingml/2006/picture">
                <pic:pic>
                  <pic:nvPicPr>
                    <pic:cNvPr descr="C:\Users\sylve\OneDrive\Talent%20&amp;%20Pro\Course%20Material\WFT\samenvattingen-wft\Vermogen\img\image5.jpg" id="0" name="Picture"/>
                    <pic:cNvPicPr>
                      <a:picLocks noChangeArrowheads="1" noChangeAspect="1"/>
                    </pic:cNvPicPr>
                  </pic:nvPicPr>
                  <pic:blipFill>
                    <a:blip r:embed="rId49"/>
                    <a:stretch>
                      <a:fillRect/>
                    </a:stretch>
                  </pic:blipFill>
                  <pic:spPr bwMode="auto">
                    <a:xfrm>
                      <a:off x="0" y="0"/>
                      <a:ext cx="4762500" cy="2171700"/>
                    </a:xfrm>
                    <a:prstGeom prst="rect">
                      <a:avLst/>
                    </a:prstGeom>
                    <a:noFill/>
                    <a:ln w="9525">
                      <a:noFill/>
                      <a:headEnd/>
                      <a:tailEnd/>
                    </a:ln>
                  </pic:spPr>
                </pic:pic>
              </a:graphicData>
            </a:graphic>
          </wp:inline>
        </w:drawing>
      </w:r>
    </w:p>
    <w:p>
      <w:pPr>
        <w:pStyle w:val="Compact"/>
        <w:numPr>
          <w:numId w:val="1115"/>
          <w:ilvl w:val="0"/>
        </w:numPr>
      </w:pPr>
      <w:r>
        <w:t xml:space="preserve">kapitaalverzekering bij leven.</w:t>
      </w:r>
      <w:r>
        <w:br w:type="textWrapping"/>
      </w:r>
      <w:r>
        <w:drawing>
          <wp:inline>
            <wp:extent cx="4559300" cy="1498600"/>
            <wp:effectExtent b="0" l="0" r="0" t="0"/>
            <wp:docPr descr="" id="1" name="Picture"/>
            <a:graphic>
              <a:graphicData uri="http://schemas.openxmlformats.org/drawingml/2006/picture">
                <pic:pic>
                  <pic:nvPicPr>
                    <pic:cNvPr descr="C:\Users\sylve\OneDrive\Talent%20&amp;%20Pro\Course%20Material\WFT\samenvattingen-wft\Vermogen\img\image6.jpg" id="0" name="Picture"/>
                    <pic:cNvPicPr>
                      <a:picLocks noChangeArrowheads="1" noChangeAspect="1"/>
                    </pic:cNvPicPr>
                  </pic:nvPicPr>
                  <pic:blipFill>
                    <a:blip r:embed="rId50"/>
                    <a:stretch>
                      <a:fillRect/>
                    </a:stretch>
                  </pic:blipFill>
                  <pic:spPr bwMode="auto">
                    <a:xfrm>
                      <a:off x="0" y="0"/>
                      <a:ext cx="4559300" cy="1498600"/>
                    </a:xfrm>
                    <a:prstGeom prst="rect">
                      <a:avLst/>
                    </a:prstGeom>
                    <a:noFill/>
                    <a:ln w="9525">
                      <a:noFill/>
                      <a:headEnd/>
                      <a:tailEnd/>
                    </a:ln>
                  </pic:spPr>
                </pic:pic>
              </a:graphicData>
            </a:graphic>
          </wp:inline>
        </w:drawing>
      </w:r>
    </w:p>
    <w:p>
      <w:pPr>
        <w:pStyle w:val="Compact"/>
        <w:numPr>
          <w:numId w:val="1116"/>
          <w:ilvl w:val="1"/>
        </w:numPr>
      </w:pPr>
      <w:r>
        <w:t xml:space="preserve">premie wordt doorbetaald tot de einddatum of tot het overlijden van de verzekerde.</w:t>
      </w:r>
    </w:p>
    <w:p>
      <w:pPr>
        <w:pStyle w:val="Compact"/>
        <w:numPr>
          <w:numId w:val="1116"/>
          <w:ilvl w:val="1"/>
        </w:numPr>
      </w:pPr>
      <w:r>
        <w:t xml:space="preserve">betaling door middel van koopsom is ook mogelijk.</w:t>
      </w:r>
    </w:p>
    <w:p>
      <w:pPr>
        <w:pStyle w:val="Compact"/>
        <w:numPr>
          <w:numId w:val="1115"/>
          <w:ilvl w:val="0"/>
        </w:numPr>
      </w:pPr>
      <w:r>
        <w:t xml:space="preserve">levenslange kapitaalverzekering bij overlijden.</w:t>
      </w:r>
      <w:r>
        <w:t xml:space="preserve"> </w:t>
      </w:r>
      <w:r>
        <w:drawing>
          <wp:inline>
            <wp:extent cx="4610100" cy="1460500"/>
            <wp:effectExtent b="0" l="0" r="0" t="0"/>
            <wp:docPr descr="" id="1" name="Picture"/>
            <a:graphic>
              <a:graphicData uri="http://schemas.openxmlformats.org/drawingml/2006/picture">
                <pic:pic>
                  <pic:nvPicPr>
                    <pic:cNvPr descr="C:\Users\sylve\OneDrive\Talent%20&amp;%20Pro\Course%20Material\WFT\samenvattingen-wft\Vermogen\img\image7.jpg" id="0" name="Picture"/>
                    <pic:cNvPicPr>
                      <a:picLocks noChangeArrowheads="1" noChangeAspect="1"/>
                    </pic:cNvPicPr>
                  </pic:nvPicPr>
                  <pic:blipFill>
                    <a:blip r:embed="rId51"/>
                    <a:stretch>
                      <a:fillRect/>
                    </a:stretch>
                  </pic:blipFill>
                  <pic:spPr bwMode="auto">
                    <a:xfrm>
                      <a:off x="0" y="0"/>
                      <a:ext cx="4610100" cy="1460500"/>
                    </a:xfrm>
                    <a:prstGeom prst="rect">
                      <a:avLst/>
                    </a:prstGeom>
                    <a:noFill/>
                    <a:ln w="9525">
                      <a:noFill/>
                      <a:headEnd/>
                      <a:tailEnd/>
                    </a:ln>
                  </pic:spPr>
                </pic:pic>
              </a:graphicData>
            </a:graphic>
          </wp:inline>
        </w:drawing>
      </w:r>
    </w:p>
    <w:p>
      <w:pPr>
        <w:pStyle w:val="Compact"/>
        <w:numPr>
          <w:numId w:val="1117"/>
          <w:ilvl w:val="1"/>
        </w:numPr>
      </w:pPr>
      <w:r>
        <w:t xml:space="preserve">premiebetaling kan zowel levenslang zijn als tot een afgesproken einddatum.</w:t>
      </w:r>
    </w:p>
    <w:p>
      <w:pPr>
        <w:pStyle w:val="Compact"/>
        <w:numPr>
          <w:numId w:val="1117"/>
          <w:ilvl w:val="1"/>
        </w:numPr>
      </w:pPr>
      <w:r>
        <w:t xml:space="preserve">betaling door middel van koopsom is ook mogelijk.</w:t>
      </w:r>
    </w:p>
    <w:p>
      <w:pPr>
        <w:pStyle w:val="Compact"/>
        <w:numPr>
          <w:numId w:val="1115"/>
          <w:ilvl w:val="0"/>
        </w:numPr>
      </w:pPr>
      <w:r>
        <w:t xml:space="preserve">tijdelijke kapitaalverzekering bij overlijden.</w:t>
      </w:r>
      <w:r>
        <w:br w:type="textWrapping"/>
      </w:r>
      <w:r>
        <w:drawing>
          <wp:inline>
            <wp:extent cx="4546600" cy="1651000"/>
            <wp:effectExtent b="0" l="0" r="0" t="0"/>
            <wp:docPr descr="" id="1" name="Picture"/>
            <a:graphic>
              <a:graphicData uri="http://schemas.openxmlformats.org/drawingml/2006/picture">
                <pic:pic>
                  <pic:nvPicPr>
                    <pic:cNvPr descr="C:\Users\sylve\OneDrive\Talent%20&amp;%20Pro\Course%20Material\WFT\samenvattingen-wft\Vermogen\img\image8.jpg" id="0" name="Picture"/>
                    <pic:cNvPicPr>
                      <a:picLocks noChangeArrowheads="1" noChangeAspect="1"/>
                    </pic:cNvPicPr>
                  </pic:nvPicPr>
                  <pic:blipFill>
                    <a:blip r:embed="rId52"/>
                    <a:stretch>
                      <a:fillRect/>
                    </a:stretch>
                  </pic:blipFill>
                  <pic:spPr bwMode="auto">
                    <a:xfrm>
                      <a:off x="0" y="0"/>
                      <a:ext cx="4546600" cy="1651000"/>
                    </a:xfrm>
                    <a:prstGeom prst="rect">
                      <a:avLst/>
                    </a:prstGeom>
                    <a:noFill/>
                    <a:ln w="9525">
                      <a:noFill/>
                      <a:headEnd/>
                      <a:tailEnd/>
                    </a:ln>
                  </pic:spPr>
                </pic:pic>
              </a:graphicData>
            </a:graphic>
          </wp:inline>
        </w:drawing>
      </w:r>
    </w:p>
    <w:p>
      <w:pPr>
        <w:pStyle w:val="Compact"/>
        <w:numPr>
          <w:numId w:val="1118"/>
          <w:ilvl w:val="1"/>
        </w:numPr>
      </w:pPr>
      <w:r>
        <w:t xml:space="preserve">premiebetaling vind plaats tot de einddatum van de verzekering, of tot het overlijden van de verzekerde.</w:t>
      </w:r>
    </w:p>
    <w:p>
      <w:pPr>
        <w:pStyle w:val="Compact"/>
        <w:numPr>
          <w:numId w:val="1118"/>
          <w:ilvl w:val="1"/>
        </w:numPr>
      </w:pPr>
      <w:r>
        <w:t xml:space="preserve">koopsom is mogelijk, maar ongebruikelijk.</w:t>
      </w:r>
    </w:p>
    <w:p>
      <w:pPr>
        <w:pStyle w:val="FirstParagraph"/>
      </w:pPr>
      <w:r>
        <w:t xml:space="preserve">Naast de standaard tijdelijke overlijdensrisicoverzekering (ORV) zijn er twee varianten:</w:t>
      </w:r>
    </w:p>
    <w:p>
      <w:pPr>
        <w:pStyle w:val="Compact"/>
        <w:numPr>
          <w:numId w:val="1119"/>
          <w:ilvl w:val="0"/>
        </w:numPr>
      </w:pPr>
      <w:r>
        <w:t xml:space="preserve">lineair dalend.</w:t>
      </w:r>
    </w:p>
    <w:p>
      <w:pPr>
        <w:pStyle w:val="Compact"/>
        <w:numPr>
          <w:numId w:val="1120"/>
          <w:ilvl w:val="1"/>
        </w:numPr>
      </w:pPr>
      <w:r>
        <w:t xml:space="preserve">elk jaar is de daling even veel.</w:t>
      </w:r>
    </w:p>
    <w:p>
      <w:pPr>
        <w:pStyle w:val="Compact"/>
        <w:numPr>
          <w:numId w:val="1120"/>
          <w:ilvl w:val="1"/>
        </w:numPr>
      </w:pPr>
      <w:r>
        <w:t xml:space="preserve">afhankelijk van de looptijd en het oorspronklijk verzekerde bedrag.</w:t>
      </w:r>
    </w:p>
    <w:p>
      <w:pPr>
        <w:pStyle w:val="Compact"/>
        <w:numPr>
          <w:numId w:val="1119"/>
          <w:ilvl w:val="0"/>
        </w:numPr>
      </w:pPr>
      <w:r>
        <w:t xml:space="preserve">annuïtair dalend.</w:t>
      </w:r>
    </w:p>
    <w:p>
      <w:pPr>
        <w:pStyle w:val="Compact"/>
        <w:numPr>
          <w:numId w:val="1121"/>
          <w:ilvl w:val="1"/>
        </w:numPr>
      </w:pPr>
      <w:r>
        <w:t xml:space="preserve">de daling van het verzekerde bedrag loopt toe naarmate meer tijd is verstreken.</w:t>
      </w:r>
    </w:p>
    <w:p>
      <w:pPr>
        <w:pStyle w:val="Compact"/>
        <w:numPr>
          <w:numId w:val="1121"/>
          <w:ilvl w:val="1"/>
        </w:numPr>
      </w:pPr>
      <w:r>
        <w:t xml:space="preserve">wordt vaak in combinatie met een hypothecair crediet afgesloten.</w:t>
      </w:r>
    </w:p>
    <w:p>
      <w:pPr>
        <w:pStyle w:val="FirstParagraph"/>
      </w:pPr>
      <w:r>
        <w:t xml:space="preserve">Een schematische illustratie van de meng-verzekeringsvorm is hieronder te vinden.</w:t>
      </w:r>
      <w:r>
        <w:t xml:space="preserve"> </w:t>
      </w:r>
      <w:r>
        <w:drawing>
          <wp:inline>
            <wp:extent cx="4445000" cy="1562100"/>
            <wp:effectExtent b="0" l="0" r="0" t="0"/>
            <wp:docPr descr="" id="1" name="Picture"/>
            <a:graphic>
              <a:graphicData uri="http://schemas.openxmlformats.org/drawingml/2006/picture">
                <pic:pic>
                  <pic:nvPicPr>
                    <pic:cNvPr descr="C:\Users\sylve\OneDrive\Talent%20&amp;%20Pro\Course%20Material\WFT\samenvattingen-wft\Vermogen\img\image9.jpg" id="0" name="Picture"/>
                    <pic:cNvPicPr>
                      <a:picLocks noChangeArrowheads="1" noChangeAspect="1"/>
                    </pic:cNvPicPr>
                  </pic:nvPicPr>
                  <pic:blipFill>
                    <a:blip r:embed="rId53"/>
                    <a:stretch>
                      <a:fillRect/>
                    </a:stretch>
                  </pic:blipFill>
                  <pic:spPr bwMode="auto">
                    <a:xfrm>
                      <a:off x="0" y="0"/>
                      <a:ext cx="4445000" cy="1562100"/>
                    </a:xfrm>
                    <a:prstGeom prst="rect">
                      <a:avLst/>
                    </a:prstGeom>
                    <a:noFill/>
                    <a:ln w="9525">
                      <a:noFill/>
                      <a:headEnd/>
                      <a:tailEnd/>
                    </a:ln>
                  </pic:spPr>
                </pic:pic>
              </a:graphicData>
            </a:graphic>
          </wp:inline>
        </w:drawing>
      </w:r>
    </w:p>
    <w:p>
      <w:pPr>
        <w:pStyle w:val="BodyText"/>
      </w:pPr>
      <w:r>
        <w:t xml:space="preserve">Bij de kapitaalverzekering bij leven met restitutie is er uitkering als:</w:t>
      </w:r>
    </w:p>
    <w:p>
      <w:pPr>
        <w:pStyle w:val="Compact"/>
        <w:numPr>
          <w:numId w:val="1122"/>
          <w:ilvl w:val="0"/>
        </w:numPr>
      </w:pPr>
      <w:r>
        <w:t xml:space="preserve">de verzekerde op de einddatum in leven is.</w:t>
      </w:r>
    </w:p>
    <w:p>
      <w:pPr>
        <w:pStyle w:val="Compact"/>
        <w:numPr>
          <w:numId w:val="1122"/>
          <w:ilvl w:val="0"/>
        </w:numPr>
      </w:pPr>
      <w:r>
        <w:t xml:space="preserve">bij overlijden voor de einddatum wordt de som van de betaalde premies of de opgebouwde waarde uitbetaald met 90%, 100% of 110% restitutie.</w:t>
      </w:r>
    </w:p>
    <w:p>
      <w:pPr>
        <w:pStyle w:val="Heading4"/>
      </w:pPr>
      <w:bookmarkStart w:id="54" w:name="kapitaalverzekeringen-en-belasting."/>
      <w:bookmarkEnd w:id="54"/>
      <w:r>
        <w:t xml:space="preserve">5.5 Kapitaalverzekeringen en belasting.</w:t>
      </w:r>
    </w:p>
    <w:p>
      <w:pPr>
        <w:pStyle w:val="Compact"/>
        <w:numPr>
          <w:numId w:val="1123"/>
          <w:ilvl w:val="0"/>
        </w:numPr>
      </w:pPr>
      <w:r>
        <w:rPr>
          <w:i/>
        </w:rPr>
        <w:t xml:space="preserve">Wet IB 2001</w:t>
      </w:r>
      <w:r>
        <w:t xml:space="preserve">, geldt voor polissen gesloten na 14-09-1999.</w:t>
      </w:r>
    </w:p>
    <w:p>
      <w:pPr>
        <w:pStyle w:val="Compact"/>
        <w:numPr>
          <w:numId w:val="1124"/>
          <w:ilvl w:val="1"/>
        </w:numPr>
      </w:pPr>
      <w:r>
        <w:t xml:space="preserve">polissen vallende onder deze wet vallen in beginsel onder de vermogensrendementsheffing box 3.</w:t>
      </w:r>
    </w:p>
    <w:p>
      <w:pPr>
        <w:pStyle w:val="Compact"/>
        <w:numPr>
          <w:numId w:val="1124"/>
          <w:ilvl w:val="1"/>
        </w:numPr>
      </w:pPr>
      <w:r>
        <w:t xml:space="preserve">met betrekking tot de voorwaarden voor de</w:t>
      </w:r>
      <w:r>
        <w:t xml:space="preserve"> </w:t>
      </w:r>
      <w:r>
        <w:rPr>
          <w:rStyle w:val="VerbatimChar"/>
        </w:rPr>
        <w:t xml:space="preserve">KEW</w:t>
      </w:r>
      <w:r>
        <w:t xml:space="preserve">, spaarrekening eigen woning,</w:t>
      </w:r>
      <w:r>
        <w:t xml:space="preserve"> </w:t>
      </w:r>
      <w:r>
        <w:rPr>
          <w:rStyle w:val="VerbatimChar"/>
        </w:rPr>
        <w:t xml:space="preserve">SEW</w:t>
      </w:r>
      <w:r>
        <w:t xml:space="preserve"> </w:t>
      </w:r>
      <w:r>
        <w:t xml:space="preserve">en de beleggersrecht eigen woning,</w:t>
      </w:r>
      <w:r>
        <w:t xml:space="preserve"> </w:t>
      </w:r>
      <w:r>
        <w:rPr>
          <w:rStyle w:val="VerbatimChar"/>
        </w:rPr>
        <w:t xml:space="preserve">BEW</w:t>
      </w:r>
      <w:r>
        <w:t xml:space="preserve">, gelden de volgende:</w:t>
      </w:r>
    </w:p>
    <w:p>
      <w:pPr>
        <w:pStyle w:val="Compact"/>
        <w:numPr>
          <w:numId w:val="1125"/>
          <w:ilvl w:val="2"/>
        </w:numPr>
      </w:pPr>
      <w:r>
        <w:t xml:space="preserve">bandbreedte-eis van 1:10</w:t>
      </w:r>
    </w:p>
    <w:p>
      <w:pPr>
        <w:pStyle w:val="Compact"/>
        <w:numPr>
          <w:numId w:val="1125"/>
          <w:ilvl w:val="2"/>
        </w:numPr>
      </w:pPr>
      <w:r>
        <w:t xml:space="preserve">minimale looptijd 15 jaar, of tot het overlijdenv an de verzekerde/rekeninghouder.</w:t>
      </w:r>
    </w:p>
    <w:p>
      <w:pPr>
        <w:pStyle w:val="Compact"/>
        <w:numPr>
          <w:numId w:val="1125"/>
          <w:ilvl w:val="2"/>
        </w:numPr>
      </w:pPr>
      <w:r>
        <w:t xml:space="preserve">maximale looptijd 30 jaar.</w:t>
      </w:r>
    </w:p>
    <w:p>
      <w:pPr>
        <w:pStyle w:val="Compact"/>
        <w:numPr>
          <w:numId w:val="1125"/>
          <w:ilvl w:val="2"/>
        </w:numPr>
      </w:pPr>
      <w:r>
        <w:t xml:space="preserve">eenmalige uitkering ter aflossing van de eigenwoningschuld van de belastingsplichtige of diens partner.</w:t>
      </w:r>
    </w:p>
    <w:p>
      <w:pPr>
        <w:pStyle w:val="Compact"/>
        <w:numPr>
          <w:numId w:val="1125"/>
          <w:ilvl w:val="2"/>
        </w:numPr>
      </w:pPr>
      <w:r>
        <w:t xml:space="preserve">professionele bank of verzekeraar.</w:t>
      </w:r>
    </w:p>
    <w:p>
      <w:pPr>
        <w:pStyle w:val="Compact"/>
        <w:numPr>
          <w:numId w:val="1125"/>
          <w:ilvl w:val="2"/>
        </w:numPr>
      </w:pPr>
      <w:r>
        <w:t xml:space="preserve">belastingvrije uitkeringen (vrijstellingen).</w:t>
      </w:r>
    </w:p>
    <w:p>
      <w:pPr>
        <w:pStyle w:val="Compact"/>
        <w:numPr>
          <w:numId w:val="1126"/>
          <w:ilvl w:val="3"/>
        </w:numPr>
      </w:pPr>
      <w:r>
        <w:t xml:space="preserve">bij 15 jaar premiebetaling een vrijstelling van ongeveer EUR 37.500</w:t>
      </w:r>
    </w:p>
    <w:p>
      <w:pPr>
        <w:pStyle w:val="Compact"/>
        <w:numPr>
          <w:numId w:val="1126"/>
          <w:ilvl w:val="3"/>
        </w:numPr>
      </w:pPr>
      <w:r>
        <w:t xml:space="preserve">bij 20 jaar premiebetaling een vrijstelling van ongeveer EUR 163.000</w:t>
      </w:r>
    </w:p>
    <w:p>
      <w:pPr>
        <w:pStyle w:val="Compact"/>
        <w:numPr>
          <w:numId w:val="1125"/>
          <w:ilvl w:val="2"/>
        </w:numPr>
      </w:pPr>
      <w:r>
        <w:t xml:space="preserve">afhankelijk van de vorm kan er gespaard en/of belegd worden.</w:t>
      </w:r>
    </w:p>
    <w:p>
      <w:pPr>
        <w:pStyle w:val="Compact"/>
        <w:numPr>
          <w:numId w:val="1125"/>
          <w:ilvl w:val="2"/>
        </w:numPr>
      </w:pPr>
      <w:r>
        <w:t xml:space="preserve">de verhuisregeling geld voor 3 jaar.</w:t>
      </w:r>
    </w:p>
    <w:p>
      <w:pPr>
        <w:pStyle w:val="Compact"/>
        <w:numPr>
          <w:numId w:val="1127"/>
          <w:ilvl w:val="3"/>
        </w:numPr>
      </w:pPr>
      <w:r>
        <w:t xml:space="preserve">= de verzekerde verkoopt diens woning, gaat tijdelijk huren en vervolgens weer een woning koopt.</w:t>
      </w:r>
    </w:p>
    <w:p>
      <w:r>
        <w:pict>
          <v:rect style="width:0;height:1.5pt" o:hralign="center" o:hrstd="t" o:hr="t"/>
        </w:pict>
      </w:r>
    </w:p>
    <w:p>
      <w:pPr>
        <w:pStyle w:val="Heading2"/>
      </w:pPr>
      <w:bookmarkStart w:id="55" w:name="appendix"/>
      <w:bookmarkEnd w:id="55"/>
      <w:r>
        <w:t xml:space="preserve">Appendix</w:t>
      </w:r>
    </w:p>
    <w:p>
      <w:pPr>
        <w:pStyle w:val="Heading4"/>
      </w:pPr>
      <w:bookmarkStart w:id="56" w:name="begrippen"/>
      <w:bookmarkEnd w:id="56"/>
      <w:r>
        <w:t xml:space="preserve">Begrippen</w:t>
      </w:r>
    </w:p>
    <w:p>
      <w:pPr>
        <w:pStyle w:val="Compact"/>
        <w:numPr>
          <w:numId w:val="1128"/>
          <w:ilvl w:val="0"/>
        </w:numPr>
      </w:pPr>
      <w:r>
        <w:t xml:space="preserve">Anw = Algemene Nabestaande Wet</w:t>
      </w:r>
    </w:p>
    <w:p>
      <w:pPr>
        <w:pStyle w:val="Compact"/>
        <w:numPr>
          <w:numId w:val="1128"/>
          <w:ilvl w:val="0"/>
        </w:numPr>
      </w:pPr>
      <w:r>
        <w:t xml:space="preserve">AOW = Algemene Ouderdoms Wet</w:t>
      </w:r>
    </w:p>
    <w:p>
      <w:pPr>
        <w:pStyle w:val="Compact"/>
        <w:numPr>
          <w:numId w:val="1128"/>
          <w:ilvl w:val="0"/>
        </w:numPr>
      </w:pPr>
      <w:r>
        <w:t xml:space="preserve">BEW = Beleggersrecht Eigen Woning</w:t>
      </w:r>
    </w:p>
    <w:p>
      <w:pPr>
        <w:pStyle w:val="Compact"/>
        <w:numPr>
          <w:numId w:val="1128"/>
          <w:ilvl w:val="0"/>
        </w:numPr>
      </w:pPr>
      <w:r>
        <w:t xml:space="preserve">DGA = Directeur Groot-Aandeelhouder</w:t>
      </w:r>
    </w:p>
    <w:p>
      <w:pPr>
        <w:pStyle w:val="Compact"/>
        <w:numPr>
          <w:numId w:val="1128"/>
          <w:ilvl w:val="0"/>
        </w:numPr>
      </w:pPr>
      <w:r>
        <w:t xml:space="preserve">KEW = Kapitaalverzekering Eigen Woning</w:t>
      </w:r>
    </w:p>
    <w:p>
      <w:pPr>
        <w:pStyle w:val="Compact"/>
        <w:numPr>
          <w:numId w:val="1128"/>
          <w:ilvl w:val="0"/>
        </w:numPr>
      </w:pPr>
      <w:r>
        <w:t xml:space="preserve">SEW = Spaarrekening Eigen Woning</w:t>
      </w:r>
    </w:p>
    <w:p>
      <w:pPr>
        <w:pStyle w:val="Compact"/>
        <w:numPr>
          <w:numId w:val="1128"/>
          <w:ilvl w:val="0"/>
        </w:numPr>
      </w:pPr>
      <w:r>
        <w:t xml:space="preserve">WIA = Wet werk en inkomen naar arbeidsvermogen</w:t>
      </w:r>
    </w:p>
    <w:p>
      <w:pPr>
        <w:pStyle w:val="Compact"/>
        <w:numPr>
          <w:numId w:val="1128"/>
          <w:ilvl w:val="0"/>
        </w:numPr>
      </w:pPr>
      <w:r>
        <w:t xml:space="preserve">Wlz = Wet Langdurige Zorg</w:t>
      </w:r>
    </w:p>
    <w:p>
      <w:pPr>
        <w:pStyle w:val="Compact"/>
        <w:numPr>
          <w:numId w:val="1128"/>
          <w:ilvl w:val="0"/>
        </w:numPr>
      </w:pPr>
      <w:r>
        <w:t xml:space="preserve">WMK = Wet Medische Keuring</w:t>
      </w:r>
    </w:p>
    <w:p>
      <w:pPr>
        <w:pStyle w:val="Compact"/>
        <w:numPr>
          <w:numId w:val="1128"/>
          <w:ilvl w:val="0"/>
        </w:numPr>
      </w:pPr>
      <w:r>
        <w:t xml:space="preserve">WGBO = Wet op de Geneeskundige Behandelingsovereenkomst</w:t>
      </w:r>
    </w:p>
    <w:p>
      <w:pPr>
        <w:pStyle w:val="Compact"/>
        <w:numPr>
          <w:numId w:val="1128"/>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8bc3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99a1a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996c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image" Id="rId53" Target="media/rId5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