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9" w:lineRule="auto"/>
        <w:jc w:val="center"/>
      </w:pPr>
      <w:r>
        <w:rPr>
          <w:rFonts w:ascii="Arial" w:hAnsi="Arial" w:eastAsia="Arial"/>
          <w:b/>
          <w:i w:val="0"/>
          <w:color w:val="006B3F"/>
          <w:sz w:val="22"/>
        </w:rPr>
        <w:t>REPÚBLICA DE MOÇAMBIQUE</w:t>
      </w:r>
    </w:p>
    <w:p>
      <w:pPr>
        <w:spacing w:after="1600" w:line="269" w:lineRule="auto"/>
        <w:jc w:val="center"/>
      </w:pPr>
      <w:r>
        <w:rPr>
          <w:rFonts w:ascii="Arial" w:hAnsi="Arial" w:eastAsia="Arial"/>
          <w:b/>
          <w:i w:val="0"/>
          <w:color w:val="5F6F67"/>
          <w:sz w:val="18"/>
        </w:rPr>
        <w:t>MINISTÉRIO DA ECONOMIA · DIRECÇÃO NACIONAL DO COMÉRCIO EXTERNO</w:t>
      </w:r>
    </w:p>
    <w:p>
      <w:pPr>
        <w:spacing w:after="240" w:line="269" w:lineRule="auto"/>
        <w:jc w:val="center"/>
      </w:pPr>
      <w:r>
        <w:rPr>
          <w:rFonts w:ascii="Arial" w:hAnsi="Arial" w:eastAsia="Arial"/>
          <w:b/>
          <w:i w:val="0"/>
          <w:color w:val="EFB321"/>
          <w:sz w:val="22"/>
        </w:rPr>
        <w:t>RELATÓRIO TÉCNICO</w:t>
      </w:r>
    </w:p>
    <w:p>
      <w:pPr>
        <w:spacing w:after="200" w:line="269" w:lineRule="auto"/>
        <w:jc w:val="center"/>
      </w:pPr>
      <w:r>
        <w:rPr>
          <w:rFonts w:ascii="Arial" w:hAnsi="Arial" w:eastAsia="Arial"/>
          <w:b/>
          <w:i w:val="0"/>
          <w:color w:val="17457A"/>
          <w:sz w:val="56"/>
        </w:rPr>
        <w:t>Índices Recalculados do</w:t>
        <w:br/>
        <w:t>Comércio Externo</w:t>
      </w:r>
    </w:p>
    <w:p>
      <w:pPr>
        <w:spacing w:after="500" w:line="269" w:lineRule="auto"/>
        <w:jc w:val="center"/>
      </w:pPr>
      <w:r>
        <w:rPr>
          <w:rFonts w:ascii="Arial" w:hAnsi="Arial" w:eastAsia="Arial"/>
          <w:b w:val="0"/>
          <w:i w:val="0"/>
          <w:color w:val="006B3F"/>
          <w:sz w:val="30"/>
        </w:rPr>
        <w:t>Exportações · Importações · Índice Global</w:t>
      </w:r>
    </w:p>
    <w:p>
      <w:pPr>
        <w:spacing w:after="1200" w:line="269" w:lineRule="auto"/>
        <w:jc w:val="center"/>
      </w:pPr>
      <w:r>
        <w:rPr>
          <w:rFonts w:ascii="Arial" w:hAnsi="Arial" w:eastAsia="Arial"/>
          <w:b w:val="0"/>
          <w:i w:val="0"/>
          <w:color w:val="5F6F67"/>
          <w:sz w:val="24"/>
        </w:rPr>
        <w:t>Séries mensal, trimestral, semestral e anual</w:t>
        <w:br/>
        <w:t>Base 2022 = 100 · Dados até Setembro de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Período observado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Previsão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2022 – Setembro de 2025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Cenário indicativo 2026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Preliminar · sujeito a validação</w:t>
            </w:r>
          </w:p>
        </w:tc>
      </w:tr>
    </w:tbl>
    <w:p>
      <w:pPr>
        <w:spacing w:after="0" w:line="269" w:lineRule="auto"/>
        <w:jc w:val="center"/>
      </w:pPr>
      <w:r>
        <w:rPr>
          <w:rFonts w:ascii="Arial" w:hAnsi="Arial" w:eastAsia="Arial"/>
          <w:b/>
          <w:i w:val="0"/>
          <w:color w:val="17457A"/>
          <w:sz w:val="20"/>
        </w:rPr>
        <w:t>Maputo · Agosto de 2026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Sumário executivo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32"/>
            <w:shd w:fill="EA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6B3F"/>
                <w:sz w:val="20"/>
              </w:rPr>
              <w:t xml:space="preserve">Resultado central  </w:t>
            </w:r>
            <w:r>
              <w:rPr>
                <w:rFonts w:ascii="Arial" w:hAnsi="Arial"/>
                <w:color w:val="17457A"/>
                <w:sz w:val="20"/>
              </w:rPr>
              <w:t>A nova base de exportações produz uma série anual diferente da versão anterior. Em 2025, todas as fontes terminam em Setembro; por isso, o valor apresentado corresponde a Janeiro–Setembro.</w:t>
            </w:r>
          </w:p>
        </w:tc>
      </w:tr>
    </w:tbl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 recálculo aplicou a mesma metodologia aos fluxos de exportação e importação, com cabazes fixos de 2022, filtros de qualidade ao nível SH8 e ponderação pelo valor elegível de cada período. O índice Global combina os dois fluxos pelos valores elegíveis de 2022.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Índice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2025 Jan–Set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Previsão 2026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Exportações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95,03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110,77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88,17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93,56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88,96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82,81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80,03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71,44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91,99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96,79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84,10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82,50</w:t>
            </w:r>
          </w:p>
        </w:tc>
      </w:tr>
    </w:tbl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7457A"/>
          <w:sz w:val="25"/>
        </w:rPr>
        <w:t>Principais conclusões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Exportações: 95,03 em 2023, recuperação para 110,77 em 2024 e 88,17 em Janeiro–Setembro de 2025.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Importações: trajectória descendente, de 88,96 em 2023 para 80,03 em Janeiro–Setembro de 2025.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Global: 91,99 em 2023, 96,79 em 2024 e 84,10 em Janeiro–Setembro de 2025.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Previsão indicativa de 2026: Exportações 93,56; Importações 71,44; Global 82,50. Deve ser actualizada com os meses em falta de 2025.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1. Fontes e cobertura dos dados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 fonte de exportações é o ficheiro EXP_2022_2025.xlsx, com 52.035 registos. As importações provêm dos quatro ficheiros anuais IMP_2022_2025_2022.xlsx, IMP_2022_2025_2023.xlsx, IMP_2022_2025_2024.xlsx e IMP_2022_2025_20252222222.xlsx, totalizando 1.442.520 registos.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Fluxo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Registos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Elegíveis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Unidade excl.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 &lt; 1.000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Qtd. &lt; 100 kg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Cabaz SH8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52 035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20 835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10 970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17 483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2 746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1 442 520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318 029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577 087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448 135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99 214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32"/>
            <w:shd w:fill="EA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6B3F"/>
                <w:sz w:val="20"/>
              </w:rPr>
              <w:t xml:space="preserve">Cobertura temporal  </w:t>
            </w:r>
            <w:r>
              <w:rPr>
                <w:rFonts w:ascii="Arial" w:hAnsi="Arial"/>
                <w:color w:val="17457A"/>
                <w:sz w:val="20"/>
              </w:rPr>
              <w:t>Ambos os fluxos cobrem Janeiro de 2022 a Setembro de 2025. Não existem observações de Outubro a Dezembro de 2025 nos ficheiros recebidos.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2. Metodologia do recálculo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 valor unitário de cada produto SH8 e período foi calculado como valor comercial em USD dividido pela quantidade convertida para quilogramas. O índice compara o valor unitário corrente com a referência anual de 2022 do mesmo produto.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Unidades directamente convertíveis: KG, G, KGN, KK2O e KNAOH.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Valor mínimo por registo: USD 1.000; quantidade mínima: 100 kg; valores e quantidades devem ser positivos.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Cabaz de 2022: pelo menos seis meses; Máx./Mín. ≤10; Máx./Mediana ≤5; Mediana/Mín. ≤5; CV ≤30%.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Faixa admissível do IVU por produto e período: 20 a 300.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Ponderação dentro do fluxo: valor elegível do próprio período.</w:t>
      </w:r>
    </w:p>
    <w:p>
      <w:pPr>
        <w:spacing w:after="160" w:line="269" w:lineRule="auto"/>
        <w:jc w:val="center"/>
      </w:pPr>
      <w:r>
        <w:rPr>
          <w:rFonts w:ascii="Arial" w:hAnsi="Arial" w:eastAsia="Arial"/>
          <w:b/>
          <w:i w:val="0"/>
          <w:color w:val="006B3F"/>
          <w:sz w:val="22"/>
        </w:rPr>
        <w:t>ICE Global = 0,499972 × ICE Exportações + 0,500028 × ICE Importações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3. Resultados anuais</w:t>
      </w:r>
    </w:p>
    <w:p>
      <w:r>
        <w:drawing>
          <wp:inline xmlns:a="http://schemas.openxmlformats.org/drawingml/2006/main" xmlns:pic="http://schemas.openxmlformats.org/drawingml/2006/picture">
            <wp:extent cx="5943600" cy="2808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  <w:jc w:val="center"/>
      </w:pPr>
      <w:r>
        <w:rPr>
          <w:rFonts w:ascii="Arial" w:hAnsi="Arial" w:eastAsia="Arial"/>
          <w:b w:val="0"/>
          <w:i/>
          <w:color w:val="5F6F67"/>
          <w:sz w:val="17"/>
        </w:rPr>
        <w:t>Figura 1. Evolução anual dos índices recalculados. Fonte: cálculos a partir dos ficheiros recebidos.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95,03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88,96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91,99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110,77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82,81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96,79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 Jan-Set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88,17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80,03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84,10</w:t>
            </w:r>
          </w:p>
        </w:tc>
      </w:tr>
    </w:tbl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 recuperação das exportações em 2024 não se manteve nos primeiros nove meses de 2025. As importações registam redução persistente dos valores unitários face à base. O índice Global permanece abaixo de 100 depois de 2022.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4. Resultados mensais</w:t>
      </w:r>
    </w:p>
    <w:p>
      <w:r>
        <w:drawing>
          <wp:inline xmlns:a="http://schemas.openxmlformats.org/drawingml/2006/main" xmlns:pic="http://schemas.openxmlformats.org/drawingml/2006/picture">
            <wp:extent cx="5943600" cy="4007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th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  <w:jc w:val="center"/>
      </w:pPr>
      <w:r>
        <w:rPr>
          <w:rFonts w:ascii="Arial" w:hAnsi="Arial" w:eastAsia="Arial"/>
          <w:b w:val="0"/>
          <w:i/>
          <w:color w:val="5F6F67"/>
          <w:sz w:val="17"/>
        </w:rPr>
        <w:t>Figura 2. Cada ponto mensal resulta exclusivamente das transacções do respectivo mês.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7457A"/>
          <w:sz w:val="25"/>
        </w:rPr>
        <w:t>4.1. Série mensal de 2022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104,81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102,60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267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102,22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100,63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271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103,39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96,39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99,89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281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103,72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102,38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101,84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105,43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103,64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97,84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103,88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102,94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108,72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105,83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286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2022-10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100,40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101,63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101,02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100,59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100,85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283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99,59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97,45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98,52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279</w:t>
            </w:r>
          </w:p>
        </w:tc>
      </w:tr>
    </w:tbl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7457A"/>
          <w:sz w:val="25"/>
        </w:rPr>
        <w:t>4.2. Série mensal de 2023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93,81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80,51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99,21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121,99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96,67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109,33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95,65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92,15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93,90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90,90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92,76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91,83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196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114,50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88,03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101,27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110,77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88,69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99,73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87,39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106,19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96,79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96,98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96,60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96,79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2023-10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112,91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87,23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100,07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126,65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92,65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109,65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103,20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92,56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97,88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190</w:t>
            </w:r>
          </w:p>
        </w:tc>
      </w:tr>
    </w:tbl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7457A"/>
          <w:sz w:val="25"/>
        </w:rPr>
        <w:t>4.3. Série mensal de 2024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85,47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115,67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85,36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117,94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83,11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100,52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124,01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86,50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105,26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184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122,12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99,25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110,68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128,31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91,77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110,04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82,96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89,84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112,67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81,06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91,69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95,38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2024-10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118,84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79,49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99,16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182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88,52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86,87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101,57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85,91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93,74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185</w:t>
            </w:r>
          </w:p>
        </w:tc>
      </w:tr>
    </w:tbl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7457A"/>
          <w:sz w:val="25"/>
        </w:rPr>
        <w:t>4.4. Série mensal de 2025 — Janeiro a Setembro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95,52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85,12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90,32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173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87,46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81,01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84,23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97,55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81,52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99,98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84,65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92,32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102,53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83,09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92,81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186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78,51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84,64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81,58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183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95,53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84,81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90,17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85,75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97,56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99,90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98,73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175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5. Resultados trimestrais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Trimestre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100,24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99,17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99,78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100,43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105,27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102,85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100,03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98,83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92,09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95,76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93,92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97,71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89,97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93,84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92,81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95,61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94,21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216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110,49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88,37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105,89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82,16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94,02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206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126,81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106,45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96,47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86,54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92,84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82,27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87,56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91,04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79,42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86,79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82,01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91,01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85,39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88,20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199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6. Resultados semestrais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Semestre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99,22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99,68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101,82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100,98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91,28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93,17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99,93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90,36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95,14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125,53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83,45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104,49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93,22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82,37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87,79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90,25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79,74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84,99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85,39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88,20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Jul–Set apenas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7. Resultados dos 21 grupos — Exportações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Sec.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2025 Jan–Set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Animais vivos e produtos animais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99,45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96,18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108,39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vegetais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106,46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130,51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119,86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Gorduras e óleos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83,37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67,30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102,20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Alimentos, bebidas e tabaco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96,04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85,87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94,99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minerais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90,28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58,66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71,19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Indústrias químicas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83,01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80,98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94,27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Plásticos e borracha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51,86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29,08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Peles e couros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Madeira e cortiça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195,27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Papel e cartão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94,05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85,23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142,93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Matérias têxteis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77,88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71,52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129,83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Calçado e semelhantes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Pedra, cerâmica e vidro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21,32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21,42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20,66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e pedras preciosas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comuns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84,98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119,56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77,15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Máquinas e material eléctrico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Material de transporte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Instrumentos de precisão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Armas e munições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Mercadorias diversas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Arte e antiguidades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</w:tbl>
    <w:p>
      <w:pPr>
        <w:spacing w:after="40" w:line="269" w:lineRule="auto"/>
        <w:jc w:val="left"/>
      </w:pPr>
      <w:r>
        <w:rPr>
          <w:rFonts w:ascii="Arial" w:hAnsi="Arial" w:eastAsia="Arial"/>
          <w:b w:val="0"/>
          <w:i/>
          <w:color w:val="5F6F67"/>
          <w:sz w:val="17"/>
        </w:rPr>
        <w:t>N/D indica ausência de observações elegíveis suficientes no cabaz e período.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7. Resultados dos 21 grupos — Importações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Sec.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2025 Jan–Set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Animais vivos e produtos animais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106,67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84,77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85,59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vegetais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78,96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88,73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87,33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Gorduras e óleos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87,87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95,62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89,87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Alimentos, bebidas e tabaco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82,84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85,00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74,03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minerais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92,83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77,08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76,92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Indústrias químicas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86,54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83,02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79,17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Plásticos e borracha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79,39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74,52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67,62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Peles e couros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Madeira e cortiça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40,69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45,57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Papel e cartão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88,56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117,97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66,27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Matérias têxteis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109,85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45,62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57,23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Calçado e semelhantes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Pedra, cerâmica e vidro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113,86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111,77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99,74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e pedras preciosas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81,30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87,93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147,88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comuns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82,45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80,25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64,34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Máquinas e material eléctrico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85,55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68,46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89,93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Material de transporte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99,54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73,67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24,93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Instrumentos de precisão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Armas e munições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Mercadorias diversas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60,21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101,57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71,96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Arte e antiguidades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</w:tbl>
    <w:p>
      <w:pPr>
        <w:spacing w:after="40" w:line="269" w:lineRule="auto"/>
        <w:jc w:val="left"/>
      </w:pPr>
      <w:r>
        <w:rPr>
          <w:rFonts w:ascii="Arial" w:hAnsi="Arial" w:eastAsia="Arial"/>
          <w:b w:val="0"/>
          <w:i/>
          <w:color w:val="5F6F67"/>
          <w:sz w:val="17"/>
        </w:rPr>
        <w:t>N/D indica ausência de observações elegíveis suficientes no cabaz e período.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8. Previsão indicativa para 2026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 previsão utiliza uma tendência linear por mínimos quadrados ordinários sobre os quatro resultados anuais disponíveis. O cenário inferior e superior corresponde ao ponto central menos/mais o erro quadrático médio da regressão. Esta abordagem é transparente, mas a amostra é curta e 2025 é parcial.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Índice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Inferior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Central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Superior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Inclinação/ano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RMSE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Exportações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85,62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93,56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101,50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-1,97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7,94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Importações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69,37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71,44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73,51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-6,61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2,07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Global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78,91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82,50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86,08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-4,29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3,58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32"/>
            <w:shd w:fill="EA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6B3F"/>
                <w:sz w:val="20"/>
              </w:rPr>
              <w:t xml:space="preserve">Interpretação  </w:t>
            </w:r>
            <w:r>
              <w:rPr>
                <w:rFonts w:ascii="Arial" w:hAnsi="Arial"/>
                <w:color w:val="17457A"/>
                <w:sz w:val="20"/>
              </w:rPr>
              <w:t>O cenário central sugere Exportações 93,56, Importações 71,44 e Global 82,50 em 2026. Estes valores destinam-se ao planeamento e devem ser revistos após incorporação de Outubro–Dezembro de 2025 e dos primeiros dados de 2026.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9. Limitações e recomendações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Completar as fontes de Outubro a Dezembro de 2025 antes da homologação da série anual.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Validar institucionalmente as equivalências das unidades actualmente excluídas.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Recalcular automaticamente cada periodicidade a partir das transacções do período, preservando este procedimento como rotina oficial.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Publicar metadados, ficheiros-fonte, resultados Excel e notas de revisão no portal.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Actualizar a previsão 2026 trimestralmente e distinguir claramente resultados observados de estimativas.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Anexo A. Ficheiros-fonte para publicação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Fluxo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Ficheiro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06B3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EXP_2022_2025.xlsx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Jan 2022–Set 2025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do recálculo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IMP_2022_2025_2022.xlsx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IMP_2022_2025_2023.xlsx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IMP_2022_2025_2024.xlsx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IMP_2022_2025_20252222222.xlsx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Jan–Set 2025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Resultados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Indices_Comercio_Externo_Recalculados_2022_2025_Previsao_2026.xlsx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2022–2026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Resultados, auditoria e metodologia</w:t>
            </w:r>
          </w:p>
        </w:tc>
      </w:tr>
    </w:tbl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5F6F67"/>
          <w:sz w:val="19"/>
        </w:rPr>
        <w:t>Os ficheiros-fonte devem estar disponíveis para descarga no Centro de Dados do portal, acompanhados por tamanho, cobertura, data de actualização e nota de confidencialidade. Antes da publicação, recomenda-se verificar se existem identificadores individuais ou empresariais cuja divulgação deva ser restringida.</w:t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06B3F"/>
          <w:sz w:val="32"/>
        </w:rPr>
        <w:t>Anexo B. Nota de reprodutibilidade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As tabelas deste relatório foram geradas a partir de uma agregação mensal SH8, seguida da aplicação dos filtros de qualidade, cálculo do IVU por produto e ponderação pelo valor. As séries trimestrais, semestrais e anuais resultam de nova agregação das transacções correspondentes; não são cópias nem médias simples do índice anual.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F67"/>
        <w:sz w:val="16"/>
      </w:rPr>
      <w:t>Ministério da Economia · Moçambique · Resultados preliminares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F6F67"/>
        <w:sz w:val="16"/>
      </w:rPr>
      <w:t>DNCE · ÍNDICES DO COMÉRCIO EXTERNO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