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60"/>
        <w:jc w:val="center"/>
      </w:pPr>
      <w:r>
        <w:rPr>
          <w:rFonts w:ascii="Calibri" w:hAnsi="Calibri"/>
          <w:b/>
          <w:i w:val="0"/>
          <w:color w:val="E8B524"/>
          <w:sz w:val="20"/>
        </w:rPr>
        <w:t>MANUAL INSTITUCIONAL</w:t>
      </w:r>
    </w:p>
    <w:p>
      <w:pPr>
        <w:pStyle w:val="Title"/>
        <w:jc w:val="center"/>
      </w:pPr>
      <w:r>
        <w:t>Manual Metodológico de Cálculo dos Índices do Comércio Externo</w:t>
      </w:r>
    </w:p>
    <w:p>
      <w:pPr>
        <w:pStyle w:val="Subtitle"/>
        <w:jc w:val="center"/>
      </w:pPr>
      <w:r>
        <w:t>Exportações · Importações · Índice Global</w:t>
      </w:r>
    </w:p>
    <w:p>
      <w:pPr>
        <w:spacing w:before="400"/>
        <w:jc w:val="center"/>
      </w:pPr>
      <w:r>
        <w:rPr>
          <w:rFonts w:ascii="Calibri" w:hAnsi="Calibri"/>
          <w:b/>
          <w:i w:val="0"/>
          <w:color w:val="E8B524"/>
          <w:sz w:val="28"/>
        </w:rPr>
        <w:t>Base 2022 = 100</w:t>
      </w:r>
    </w:p>
    <w:p>
      <w:pPr>
        <w:spacing w:before="1960"/>
        <w:jc w:val="center"/>
      </w:pPr>
      <w:r>
        <w:rPr>
          <w:rFonts w:ascii="Calibri" w:hAnsi="Calibri"/>
          <w:b/>
          <w:i w:val="0"/>
          <w:color w:val="063D2C"/>
          <w:sz w:val="22"/>
        </w:rPr>
        <w:t>REPÚBLICA DE MOÇAMBIQUE</w:t>
      </w:r>
      <w:r>
        <w:br/>
      </w:r>
      <w:r>
        <w:rPr>
          <w:rFonts w:ascii="Calibri" w:hAnsi="Calibri"/>
          <w:b/>
          <w:i w:val="0"/>
          <w:color w:val="075D3B"/>
          <w:sz w:val="26"/>
        </w:rPr>
        <w:t>MINISTÉRIO DA ECONOMIA</w:t>
      </w:r>
      <w:r>
        <w:br/>
      </w:r>
      <w:r>
        <w:rPr>
          <w:rFonts w:ascii="Calibri" w:hAnsi="Calibri"/>
          <w:b w:val="0"/>
          <w:i w:val="0"/>
          <w:color w:val="5D6E68"/>
          <w:sz w:val="22"/>
        </w:rPr>
        <w:t>Direcção Nacional do Comércio Externo</w:t>
      </w:r>
    </w:p>
    <w:p>
      <w:pPr>
        <w:spacing w:before="900"/>
        <w:jc w:val="center"/>
      </w:pPr>
      <w:r>
        <w:rPr>
          <w:rFonts w:ascii="Calibri" w:hAnsi="Calibri"/>
          <w:b w:val="0"/>
          <w:i/>
          <w:color w:val="5D6E68"/>
          <w:sz w:val="20"/>
        </w:rPr>
        <w:t>Versão 1.0 · Agosto de 2026</w:t>
      </w:r>
    </w:p>
    <w:p>
      <w:r>
        <w:br w:type="page"/>
      </w:r>
    </w:p>
    <w:p>
      <w:pPr>
        <w:pStyle w:val="Heading1"/>
      </w:pPr>
      <w:r>
        <w:t>Apresentação</w:t>
      </w:r>
    </w:p>
    <w:p>
      <w:pPr>
        <w:jc w:val="both"/>
      </w:pPr>
      <w:r>
        <w:rPr>
          <w:rFonts w:ascii="Calibri" w:hAnsi="Calibri"/>
          <w:b w:val="0"/>
          <w:i w:val="0"/>
          <w:color w:val="17332B"/>
          <w:sz w:val="22"/>
        </w:rPr>
        <w:t>O presente Manual Metodológico estabelece os conceitos, critérios, procedimentos e fórmulas utilizados na produção dos Índices do Comércio Externo de Moçambique. Foi concebido para apoiar os técnicos da Direcção Nacional do Comércio Externo (DNCE) na preparação, validação, interpretação e divulgação dos índices de valores unitários das Exportações, das Importações e do Comércio Global.</w:t>
      </w:r>
    </w:p>
    <w:p>
      <w:pPr>
        <w:jc w:val="both"/>
      </w:pPr>
      <w:r>
        <w:rPr>
          <w:rFonts w:ascii="Calibri" w:hAnsi="Calibri"/>
          <w:b w:val="0"/>
          <w:i w:val="0"/>
          <w:color w:val="17332B"/>
          <w:sz w:val="22"/>
        </w:rPr>
        <w:t>O manual complementa o Relatório Técnico e o Manual de Utilização da Plataforma. O seu propósito é assegurar que diferentes técnicos, utilizando a mesma base de dados e os mesmos parâmetros, obtenham resultados reproduzíveis e metodologicamente comparáveis.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EF3F0"/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r>
              <w:rPr>
                <w:rFonts w:ascii="Calibri" w:hAnsi="Calibri"/>
                <w:b/>
                <w:i w:val="0"/>
                <w:color w:val="075D3B"/>
                <w:sz w:val="20"/>
              </w:rPr>
              <w:t xml:space="preserve">PRINCÍPIO CENTRAL  </w:t>
            </w:r>
            <w:r>
              <w:rPr>
                <w:rFonts w:ascii="Calibri" w:hAnsi="Calibri"/>
                <w:b w:val="0"/>
                <w:i w:val="0"/>
                <w:color w:val="17332B"/>
                <w:sz w:val="21"/>
              </w:rPr>
              <w:t>O índice mede a evolução do valor unitário médio dos produtos transaccionados. Não mede directamente o volume físico, o valor total do comércio nem um preço de mercado observado numa única factura.</w:t>
            </w:r>
          </w:p>
        </w:tc>
      </w:tr>
    </w:tbl>
    <w:p>
      <w:pPr>
        <w:spacing w:after="20"/>
      </w:pPr>
    </w:p>
    <w:p>
      <w:pPr>
        <w:pStyle w:val="Heading2"/>
      </w:pPr>
      <w:r>
        <w:t>Objectivos específicos</w:t>
      </w:r>
    </w:p>
    <w:p>
      <w:pPr>
        <w:pStyle w:val="ListBullet"/>
      </w:pPr>
      <w:r>
        <w:rPr>
          <w:rFonts w:ascii="Calibri" w:hAnsi="Calibri"/>
          <w:b w:val="0"/>
          <w:i w:val="0"/>
          <w:color w:val="17332B"/>
          <w:sz w:val="22"/>
        </w:rPr>
        <w:t>Definir a unidade estatística, as variáveis mínimas e o período-base.</w:t>
      </w:r>
    </w:p>
    <w:p>
      <w:pPr>
        <w:pStyle w:val="ListBullet"/>
      </w:pPr>
      <w:r>
        <w:rPr>
          <w:rFonts w:ascii="Calibri" w:hAnsi="Calibri"/>
          <w:b w:val="0"/>
          <w:i w:val="0"/>
          <w:color w:val="17332B"/>
          <w:sz w:val="22"/>
        </w:rPr>
        <w:t>Documentar os critérios de elegibilidade, estabilidade e tratamento de valores extremos.</w:t>
      </w:r>
    </w:p>
    <w:p>
      <w:pPr>
        <w:pStyle w:val="ListBullet"/>
      </w:pPr>
      <w:r>
        <w:rPr>
          <w:rFonts w:ascii="Calibri" w:hAnsi="Calibri"/>
          <w:b w:val="0"/>
          <w:i w:val="0"/>
          <w:color w:val="17332B"/>
          <w:sz w:val="22"/>
        </w:rPr>
        <w:t>Explicar os índices de Laspeyres, Paasche e Fisher e a construção do Índice Global.</w:t>
      </w:r>
    </w:p>
    <w:p>
      <w:pPr>
        <w:pStyle w:val="ListBullet"/>
      </w:pPr>
      <w:r>
        <w:rPr>
          <w:rFonts w:ascii="Calibri" w:hAnsi="Calibri"/>
          <w:b w:val="0"/>
          <w:i w:val="0"/>
          <w:color w:val="17332B"/>
          <w:sz w:val="22"/>
        </w:rPr>
        <w:t>Padronizar os cálculos mensal, trimestral, semestral e anual.</w:t>
      </w:r>
    </w:p>
    <w:p>
      <w:pPr>
        <w:pStyle w:val="ListBullet"/>
      </w:pPr>
      <w:r>
        <w:rPr>
          <w:rFonts w:ascii="Calibri" w:hAnsi="Calibri"/>
          <w:b w:val="0"/>
          <w:i w:val="0"/>
          <w:color w:val="17332B"/>
          <w:sz w:val="22"/>
        </w:rPr>
        <w:t>Orientar a validação, documentação, publicação e revisão dos resultados.</w:t>
      </w:r>
    </w:p>
    <w:p>
      <w:pPr>
        <w:pStyle w:val="Heading1"/>
      </w:pPr>
      <w:r>
        <w:t>1. Conceitos fundamentais</w:t>
      </w:r>
    </w:p>
    <w:p>
      <w:pPr>
        <w:pStyle w:val="Heading2"/>
      </w:pPr>
      <w:r>
        <w:t>1.1 Índice de valor unitário</w:t>
      </w:r>
    </w:p>
    <w:p>
      <w:pPr>
        <w:jc w:val="both"/>
      </w:pPr>
      <w:r>
        <w:rPr>
          <w:rFonts w:ascii="Calibri" w:hAnsi="Calibri"/>
          <w:b w:val="0"/>
          <w:i w:val="0"/>
          <w:color w:val="17332B"/>
          <w:sz w:val="22"/>
        </w:rPr>
        <w:t>O Índice de Valor Unitário (IVU) compara o valor médio por unidade física de um produto entre um período corrente e o período-base. É utilizado no comércio externo porque as bases aduaneiras contêm, de forma regular, o valor e a quantidade das transacções, mas nem sempre dispõem de um preço individual directamente comparável para cada operação.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8F5EC"/>
            <w:tcMar>
              <w:top w:w="180" w:type="dxa"/>
              <w:start w:w="240" w:type="dxa"/>
              <w:bottom w:w="180" w:type="dxa"/>
              <w:end w:w="2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75D3B"/>
                <w:sz w:val="18"/>
              </w:rPr>
              <w:t>VALOR UNITÁRIO</w:t>
            </w:r>
          </w:p>
          <w:p>
            <w:pPr>
              <w:jc w:val="center"/>
            </w:pPr>
            <w:r>
              <w:rPr>
                <w:rFonts w:ascii="Cambria Math" w:hAnsi="Cambria Math"/>
                <w:b/>
                <w:i w:val="0"/>
                <w:color w:val="063D2C"/>
                <w:sz w:val="30"/>
              </w:rPr>
              <w:t>VUᵢₜ = Vᵢₜ / Qᵢₜ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D6E68"/>
                <w:sz w:val="19"/>
              </w:rPr>
              <w:t>Vᵢₜ = valor do produto i no período t; Qᵢₜ = quantidade válida e harmonizada; VUᵢₜ = valor unitário.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EF3F0"/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r>
              <w:rPr>
                <w:rFonts w:ascii="Calibri" w:hAnsi="Calibri"/>
                <w:b/>
                <w:i w:val="0"/>
                <w:color w:val="075D3B"/>
                <w:sz w:val="20"/>
              </w:rPr>
              <w:t xml:space="preserve">ATENÇÃO  </w:t>
            </w:r>
            <w:r>
              <w:rPr>
                <w:rFonts w:ascii="Calibri" w:hAnsi="Calibri"/>
                <w:b w:val="0"/>
                <w:i w:val="0"/>
                <w:color w:val="17332B"/>
                <w:sz w:val="21"/>
              </w:rPr>
              <w:t>Uma alteração do valor unitário pode resultar de mudanças de preço, qualidade, composição, origem/destino ou especificação do produto. Por isso, o IVU deve ser interpretado como aproximação estatística da evolução dos preços do comércio externo.</w:t>
            </w:r>
          </w:p>
        </w:tc>
      </w:tr>
    </w:tbl>
    <w:p>
      <w:pPr>
        <w:spacing w:after="20"/>
      </w:pPr>
    </w:p>
    <w:p>
      <w:pPr>
        <w:pStyle w:val="Heading2"/>
      </w:pPr>
      <w:r>
        <w:t>1.2 Ano-base e universo de referência</w:t>
      </w:r>
    </w:p>
    <w:p>
      <w:pPr>
        <w:jc w:val="both"/>
      </w:pPr>
      <w:r>
        <w:rPr>
          <w:rFonts w:ascii="Calibri" w:hAnsi="Calibri"/>
          <w:b w:val="0"/>
          <w:i w:val="0"/>
          <w:color w:val="17332B"/>
          <w:sz w:val="22"/>
        </w:rPr>
        <w:t>O ano de 2022 é adoptado como período-base, sendo o nível médio do índice fixado em 100. As ponderações são calculadas com base na importância relativa dos produtos elegíveis no valor do comércio de 2022. A classificação dos produtos é realizada ao nível SH8 e os resultados são agregados por fluxo, Secção do Sistema Harmonizado e período.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shd w:fill="075D3B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Termo</w:t>
            </w:r>
          </w:p>
        </w:tc>
        <w:tc>
          <w:tcPr>
            <w:tcW w:type="dxa" w:w="7260"/>
            <w:shd w:fill="075D3B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Definição operacional</w:t>
            </w:r>
          </w:p>
        </w:tc>
      </w:tr>
      <w:tr>
        <w:tc>
          <w:tcPr>
            <w:tcW w:type="dxa" w:w="210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8"/>
              </w:rPr>
              <w:t>Produto</w:t>
            </w:r>
          </w:p>
        </w:tc>
        <w:tc>
          <w:tcPr>
            <w:tcW w:type="dxa" w:w="726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8"/>
              </w:rPr>
              <w:t>Código de oito dígitos do Sistema Harmonizado (SH8).</w:t>
            </w:r>
          </w:p>
        </w:tc>
      </w:tr>
      <w:tr>
        <w:tc>
          <w:tcPr>
            <w:tcW w:type="dxa" w:w="210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EF3F0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8"/>
              </w:rPr>
              <w:t>Fluxo</w:t>
            </w:r>
          </w:p>
        </w:tc>
        <w:tc>
          <w:tcPr>
            <w:tcW w:type="dxa" w:w="726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EF3F0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8"/>
              </w:rPr>
              <w:t>Exportação ou Importação.</w:t>
            </w:r>
          </w:p>
        </w:tc>
      </w:tr>
      <w:tr>
        <w:tc>
          <w:tcPr>
            <w:tcW w:type="dxa" w:w="210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8"/>
              </w:rPr>
              <w:t>Período-base</w:t>
            </w:r>
          </w:p>
        </w:tc>
        <w:tc>
          <w:tcPr>
            <w:tcW w:type="dxa" w:w="726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8"/>
              </w:rPr>
              <w:t>Ano de 2022, definido como 100.</w:t>
            </w:r>
          </w:p>
        </w:tc>
      </w:tr>
      <w:tr>
        <w:tc>
          <w:tcPr>
            <w:tcW w:type="dxa" w:w="210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EF3F0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8"/>
              </w:rPr>
              <w:t>Período corrente</w:t>
            </w:r>
          </w:p>
        </w:tc>
        <w:tc>
          <w:tcPr>
            <w:tcW w:type="dxa" w:w="726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EF3F0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8"/>
              </w:rPr>
              <w:t>Mês, trimestre, semestre ou ano em análise.</w:t>
            </w:r>
          </w:p>
        </w:tc>
      </w:tr>
      <w:tr>
        <w:tc>
          <w:tcPr>
            <w:tcW w:type="dxa" w:w="210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8"/>
              </w:rPr>
              <w:t>Cabaz</w:t>
            </w:r>
          </w:p>
        </w:tc>
        <w:tc>
          <w:tcPr>
            <w:tcW w:type="dxa" w:w="726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8"/>
              </w:rPr>
              <w:t>Conjunto de produtos SH8 que cumprem os critérios metodológicos.</w:t>
            </w:r>
          </w:p>
        </w:tc>
      </w:tr>
      <w:tr>
        <w:tc>
          <w:tcPr>
            <w:tcW w:type="dxa" w:w="210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EF3F0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8"/>
              </w:rPr>
              <w:t>Ponderador</w:t>
            </w:r>
          </w:p>
        </w:tc>
        <w:tc>
          <w:tcPr>
            <w:tcW w:type="dxa" w:w="726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EF3F0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8"/>
              </w:rPr>
              <w:t>Participação do produto ou fluxo no valor elegível de 2022.</w:t>
            </w:r>
          </w:p>
        </w:tc>
      </w:tr>
    </w:tbl>
    <w:p>
      <w:pPr>
        <w:spacing w:after="20"/>
      </w:pPr>
    </w:p>
    <w:p>
      <w:pPr>
        <w:pStyle w:val="Heading1"/>
      </w:pPr>
      <w:r>
        <w:t>2. Dados necessários e preparação</w:t>
      </w:r>
    </w:p>
    <w:p>
      <w:pPr>
        <w:pStyle w:val="Heading2"/>
      </w:pPr>
      <w:r>
        <w:t>2.1 Variáveis mínimas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3500"/>
        <w:gridCol w:w="4310"/>
      </w:tblGrid>
      <w:tr>
        <w:trPr>
          <w:tblHeader/>
        </w:trPr>
        <w:tc>
          <w:tcPr>
            <w:tcW w:type="dxa" w:w="1550"/>
            <w:shd w:fill="075D3B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Variável</w:t>
            </w:r>
          </w:p>
        </w:tc>
        <w:tc>
          <w:tcPr>
            <w:tcW w:type="dxa" w:w="3500"/>
            <w:shd w:fill="075D3B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Utilização no cálculo</w:t>
            </w:r>
          </w:p>
        </w:tc>
        <w:tc>
          <w:tcPr>
            <w:tcW w:type="dxa" w:w="4310"/>
            <w:shd w:fill="075D3B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Verificação essencial</w:t>
            </w:r>
          </w:p>
        </w:tc>
      </w:tr>
      <w:tr>
        <w:tc>
          <w:tcPr>
            <w:tcW w:type="dxa" w:w="155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7"/>
              </w:rPr>
              <w:t>Código SH8</w:t>
            </w:r>
          </w:p>
        </w:tc>
        <w:tc>
          <w:tcPr>
            <w:tcW w:type="dxa" w:w="350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7"/>
              </w:rPr>
              <w:t>Identificação do produto</w:t>
            </w:r>
          </w:p>
        </w:tc>
        <w:tc>
          <w:tcPr>
            <w:tcW w:type="dxa" w:w="431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7"/>
              </w:rPr>
              <w:t>Oito dígitos válidos e classificação consistente.</w:t>
            </w:r>
          </w:p>
        </w:tc>
      </w:tr>
      <w:tr>
        <w:tc>
          <w:tcPr>
            <w:tcW w:type="dxa" w:w="155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EF3F0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7"/>
              </w:rPr>
              <w:t>Fluxo</w:t>
            </w:r>
          </w:p>
        </w:tc>
        <w:tc>
          <w:tcPr>
            <w:tcW w:type="dxa" w:w="350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EF3F0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7"/>
              </w:rPr>
              <w:t>Separação entre exportações e importações</w:t>
            </w:r>
          </w:p>
        </w:tc>
        <w:tc>
          <w:tcPr>
            <w:tcW w:type="dxa" w:w="431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EF3F0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7"/>
              </w:rPr>
              <w:t>Código normalizado e sem ambiguidade.</w:t>
            </w:r>
          </w:p>
        </w:tc>
      </w:tr>
      <w:tr>
        <w:tc>
          <w:tcPr>
            <w:tcW w:type="dxa" w:w="155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7"/>
              </w:rPr>
              <w:t>Data</w:t>
            </w:r>
          </w:p>
        </w:tc>
        <w:tc>
          <w:tcPr>
            <w:tcW w:type="dxa" w:w="350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7"/>
              </w:rPr>
              <w:t>Definição do período</w:t>
            </w:r>
          </w:p>
        </w:tc>
        <w:tc>
          <w:tcPr>
            <w:tcW w:type="dxa" w:w="431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7"/>
              </w:rPr>
              <w:t>Data válida e convertida em mês, trimestre, semestre e ano.</w:t>
            </w:r>
          </w:p>
        </w:tc>
      </w:tr>
      <w:tr>
        <w:tc>
          <w:tcPr>
            <w:tcW w:type="dxa" w:w="155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EF3F0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7"/>
              </w:rPr>
              <w:t>Valor</w:t>
            </w:r>
          </w:p>
        </w:tc>
        <w:tc>
          <w:tcPr>
            <w:tcW w:type="dxa" w:w="350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EF3F0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7"/>
              </w:rPr>
              <w:t>Numerador do valor unitário</w:t>
            </w:r>
          </w:p>
        </w:tc>
        <w:tc>
          <w:tcPr>
            <w:tcW w:type="dxa" w:w="431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EF3F0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7"/>
              </w:rPr>
              <w:t>Positivo, mesma moeda e escala documentada.</w:t>
            </w:r>
          </w:p>
        </w:tc>
      </w:tr>
      <w:tr>
        <w:tc>
          <w:tcPr>
            <w:tcW w:type="dxa" w:w="155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7"/>
              </w:rPr>
              <w:t>Quantidade</w:t>
            </w:r>
          </w:p>
        </w:tc>
        <w:tc>
          <w:tcPr>
            <w:tcW w:type="dxa" w:w="350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7"/>
              </w:rPr>
              <w:t>Denominador do valor unitário</w:t>
            </w:r>
          </w:p>
        </w:tc>
        <w:tc>
          <w:tcPr>
            <w:tcW w:type="dxa" w:w="431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7"/>
              </w:rPr>
              <w:t>Positiva, não nula e na unidade correcta.</w:t>
            </w:r>
          </w:p>
        </w:tc>
      </w:tr>
      <w:tr>
        <w:tc>
          <w:tcPr>
            <w:tcW w:type="dxa" w:w="155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EF3F0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7"/>
              </w:rPr>
              <w:t>Unidade</w:t>
            </w:r>
          </w:p>
        </w:tc>
        <w:tc>
          <w:tcPr>
            <w:tcW w:type="dxa" w:w="350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EF3F0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7"/>
              </w:rPr>
              <w:t>Comparabilidade física</w:t>
            </w:r>
          </w:p>
        </w:tc>
        <w:tc>
          <w:tcPr>
            <w:tcW w:type="dxa" w:w="431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EF3F0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7"/>
              </w:rPr>
              <w:t>Consistente dentro do produto e ao longo do tempo.</w:t>
            </w:r>
          </w:p>
        </w:tc>
      </w:tr>
      <w:tr>
        <w:tc>
          <w:tcPr>
            <w:tcW w:type="dxa" w:w="155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7"/>
              </w:rPr>
              <w:t>Secção SH</w:t>
            </w:r>
          </w:p>
        </w:tc>
        <w:tc>
          <w:tcPr>
            <w:tcW w:type="dxa" w:w="350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7"/>
              </w:rPr>
              <w:t>Agregação dos 21 grupos</w:t>
            </w:r>
          </w:p>
        </w:tc>
        <w:tc>
          <w:tcPr>
            <w:tcW w:type="dxa" w:w="431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7"/>
              </w:rPr>
              <w:t>Derivada correctamente do código SH.</w:t>
            </w:r>
          </w:p>
        </w:tc>
      </w:tr>
    </w:tbl>
    <w:p>
      <w:pPr>
        <w:spacing w:after="20"/>
      </w:pPr>
    </w:p>
    <w:p>
      <w:pPr>
        <w:pStyle w:val="Heading2"/>
      </w:pPr>
      <w:r>
        <w:t>2.2 Preparação da base</w:t>
      </w:r>
    </w:p>
    <w:p>
      <w:pPr>
        <w:pStyle w:val="ListNumber"/>
      </w:pPr>
      <w:r>
        <w:rPr>
          <w:rFonts w:ascii="Calibri" w:hAnsi="Calibri"/>
          <w:b w:val="0"/>
          <w:i w:val="0"/>
          <w:color w:val="17332B"/>
          <w:sz w:val="22"/>
        </w:rPr>
        <w:t>Importar e preservar uma cópia imutável dos ficheiros originais.</w:t>
      </w:r>
    </w:p>
    <w:p>
      <w:pPr>
        <w:pStyle w:val="ListNumber"/>
      </w:pPr>
      <w:r>
        <w:rPr>
          <w:rFonts w:ascii="Calibri" w:hAnsi="Calibri"/>
          <w:b w:val="0"/>
          <w:i w:val="0"/>
          <w:color w:val="17332B"/>
          <w:sz w:val="22"/>
        </w:rPr>
        <w:t>Uniformizar nomes, tipos e formatos das variáveis.</w:t>
      </w:r>
    </w:p>
    <w:p>
      <w:pPr>
        <w:pStyle w:val="ListNumber"/>
      </w:pPr>
      <w:r>
        <w:rPr>
          <w:rFonts w:ascii="Calibri" w:hAnsi="Calibri"/>
          <w:b w:val="0"/>
          <w:i w:val="0"/>
          <w:color w:val="17332B"/>
          <w:sz w:val="22"/>
        </w:rPr>
        <w:t>Converter datas e criar identificadores de ano, mês, trimestre e semestre.</w:t>
      </w:r>
    </w:p>
    <w:p>
      <w:pPr>
        <w:pStyle w:val="ListNumber"/>
      </w:pPr>
      <w:r>
        <w:rPr>
          <w:rFonts w:ascii="Calibri" w:hAnsi="Calibri"/>
          <w:b w:val="0"/>
          <w:i w:val="0"/>
          <w:color w:val="17332B"/>
          <w:sz w:val="22"/>
        </w:rPr>
        <w:t>Harmonizar moeda, escala do valor e unidades de quantidade.</w:t>
      </w:r>
    </w:p>
    <w:p>
      <w:pPr>
        <w:pStyle w:val="ListNumber"/>
      </w:pPr>
      <w:r>
        <w:rPr>
          <w:rFonts w:ascii="Calibri" w:hAnsi="Calibri"/>
          <w:b w:val="0"/>
          <w:i w:val="0"/>
          <w:color w:val="17332B"/>
          <w:sz w:val="22"/>
        </w:rPr>
        <w:t>Eliminar duplicações exactas e investigar duplicações aparentes.</w:t>
      </w:r>
    </w:p>
    <w:p>
      <w:pPr>
        <w:pStyle w:val="ListNumber"/>
      </w:pPr>
      <w:r>
        <w:rPr>
          <w:rFonts w:ascii="Calibri" w:hAnsi="Calibri"/>
          <w:b w:val="0"/>
          <w:i w:val="0"/>
          <w:color w:val="17332B"/>
          <w:sz w:val="22"/>
        </w:rPr>
        <w:t>Agregar valor e quantidade por fluxo, período e SH8 antes de calcular o valor unitário.</w:t>
      </w:r>
    </w:p>
    <w:p>
      <w:pPr>
        <w:pStyle w:val="ListNumber"/>
      </w:pPr>
      <w:r>
        <w:rPr>
          <w:rFonts w:ascii="Calibri" w:hAnsi="Calibri"/>
          <w:b w:val="0"/>
          <w:i w:val="0"/>
          <w:color w:val="17332B"/>
          <w:sz w:val="22"/>
        </w:rPr>
        <w:t>Criar registo de todas as exclusões e transformações realizadas.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EF3F0"/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r>
              <w:rPr>
                <w:rFonts w:ascii="Calibri" w:hAnsi="Calibri"/>
                <w:b/>
                <w:i w:val="0"/>
                <w:color w:val="075D3B"/>
                <w:sz w:val="20"/>
              </w:rPr>
              <w:t xml:space="preserve">REGRA DE AGREGAÇÃO  </w:t>
            </w:r>
            <w:r>
              <w:rPr>
                <w:rFonts w:ascii="Calibri" w:hAnsi="Calibri"/>
                <w:b w:val="0"/>
                <w:i w:val="0"/>
                <w:color w:val="17332B"/>
                <w:sz w:val="21"/>
              </w:rPr>
              <w:t>Quando existem várias transacções do mesmo SH8 no mesmo período, deve-se somar primeiro o valor e a quantidade. O valor unitário agregado é calculado depois: soma dos valores dividida pela soma das quantidades. Não se deve usar a média simples dos valores unitários das linhas.</w:t>
            </w:r>
          </w:p>
        </w:tc>
      </w:tr>
    </w:tbl>
    <w:p>
      <w:pPr>
        <w:spacing w:after="20"/>
      </w:pPr>
    </w:p>
    <w:p>
      <w:pPr>
        <w:pStyle w:val="Heading1"/>
      </w:pPr>
      <w:r>
        <w:t>3. Critérios de elegibilidade</w:t>
      </w:r>
    </w:p>
    <w:p>
      <w:pPr>
        <w:jc w:val="both"/>
      </w:pPr>
      <w:r>
        <w:rPr>
          <w:rFonts w:ascii="Calibri" w:hAnsi="Calibri"/>
          <w:b w:val="0"/>
          <w:i w:val="0"/>
          <w:color w:val="17332B"/>
          <w:sz w:val="22"/>
        </w:rPr>
        <w:t>A elegibilidade procura assegurar que apenas produtos comparáveis, suficientemente observados e estatisticamente estáveis influenciem o índice. Os critérios são aplicados separadamente às Exportações e às Importações; consequentemente, os cabazes podem ter dimensões diferentes.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850"/>
        <w:gridCol w:w="3710"/>
      </w:tblGrid>
      <w:tr>
        <w:trPr>
          <w:tblHeader/>
        </w:trPr>
        <w:tc>
          <w:tcPr>
            <w:tcW w:type="dxa" w:w="1800"/>
            <w:shd w:fill="075D3B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Critério</w:t>
            </w:r>
          </w:p>
        </w:tc>
        <w:tc>
          <w:tcPr>
            <w:tcW w:type="dxa" w:w="3850"/>
            <w:shd w:fill="075D3B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Condição</w:t>
            </w:r>
          </w:p>
        </w:tc>
        <w:tc>
          <w:tcPr>
            <w:tcW w:type="dxa" w:w="3710"/>
            <w:shd w:fill="075D3B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Decisão</w:t>
            </w:r>
          </w:p>
        </w:tc>
      </w:tr>
      <w:tr>
        <w:tc>
          <w:tcPr>
            <w:tcW w:type="dxa" w:w="180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7"/>
              </w:rPr>
              <w:t>Valor e quantidade</w:t>
            </w:r>
          </w:p>
        </w:tc>
        <w:tc>
          <w:tcPr>
            <w:tcW w:type="dxa" w:w="385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7"/>
              </w:rPr>
              <w:t>Valor &gt; 0 e quantidade &gt; 0</w:t>
            </w:r>
          </w:p>
        </w:tc>
        <w:tc>
          <w:tcPr>
            <w:tcW w:type="dxa" w:w="371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7"/>
              </w:rPr>
              <w:t>Excluir registos inválidos ou sem denominador.</w:t>
            </w:r>
          </w:p>
        </w:tc>
      </w:tr>
      <w:tr>
        <w:tc>
          <w:tcPr>
            <w:tcW w:type="dxa" w:w="180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EF3F0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7"/>
              </w:rPr>
              <w:t>Presença temporal</w:t>
            </w:r>
          </w:p>
        </w:tc>
        <w:tc>
          <w:tcPr>
            <w:tcW w:type="dxa" w:w="385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EF3F0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7"/>
              </w:rPr>
              <w:t>Observação em pelo menos 6 meses</w:t>
            </w:r>
          </w:p>
        </w:tc>
        <w:tc>
          <w:tcPr>
            <w:tcW w:type="dxa" w:w="371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EF3F0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7"/>
              </w:rPr>
              <w:t>Excluir produtos sem continuidade mínima.</w:t>
            </w:r>
          </w:p>
        </w:tc>
      </w:tr>
      <w:tr>
        <w:tc>
          <w:tcPr>
            <w:tcW w:type="dxa" w:w="180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7"/>
              </w:rPr>
              <w:t>Ligação com a base</w:t>
            </w:r>
          </w:p>
        </w:tc>
        <w:tc>
          <w:tcPr>
            <w:tcW w:type="dxa" w:w="385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7"/>
              </w:rPr>
              <w:t>Informação válida em 2022 e no período comparado</w:t>
            </w:r>
          </w:p>
        </w:tc>
        <w:tc>
          <w:tcPr>
            <w:tcW w:type="dxa" w:w="371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7"/>
              </w:rPr>
              <w:t>Não calcular relativo sem correspondência.</w:t>
            </w:r>
          </w:p>
        </w:tc>
      </w:tr>
      <w:tr>
        <w:tc>
          <w:tcPr>
            <w:tcW w:type="dxa" w:w="180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EF3F0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7"/>
              </w:rPr>
              <w:t>Unidade</w:t>
            </w:r>
          </w:p>
        </w:tc>
        <w:tc>
          <w:tcPr>
            <w:tcW w:type="dxa" w:w="385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EF3F0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7"/>
              </w:rPr>
              <w:t>Unidade homogénea ou conversão validada</w:t>
            </w:r>
          </w:p>
        </w:tc>
        <w:tc>
          <w:tcPr>
            <w:tcW w:type="dxa" w:w="371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EF3F0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7"/>
              </w:rPr>
              <w:t>Separar/reconverter antes do cálculo.</w:t>
            </w:r>
          </w:p>
        </w:tc>
      </w:tr>
      <w:tr>
        <w:tc>
          <w:tcPr>
            <w:tcW w:type="dxa" w:w="180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7"/>
              </w:rPr>
              <w:t>Classificação</w:t>
            </w:r>
          </w:p>
        </w:tc>
        <w:tc>
          <w:tcPr>
            <w:tcW w:type="dxa" w:w="385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7"/>
              </w:rPr>
              <w:t>SH8 válido e coerente</w:t>
            </w:r>
          </w:p>
        </w:tc>
        <w:tc>
          <w:tcPr>
            <w:tcW w:type="dxa" w:w="371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7"/>
              </w:rPr>
              <w:t>Corrigir ou excluir.</w:t>
            </w:r>
          </w:p>
        </w:tc>
      </w:tr>
      <w:tr>
        <w:tc>
          <w:tcPr>
            <w:tcW w:type="dxa" w:w="180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EF3F0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7"/>
              </w:rPr>
              <w:t>Representatividade</w:t>
            </w:r>
          </w:p>
        </w:tc>
        <w:tc>
          <w:tcPr>
            <w:tcW w:type="dxa" w:w="385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EF3F0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7"/>
              </w:rPr>
              <w:t>Peso calculável no valor elegível de 2022</w:t>
            </w:r>
          </w:p>
        </w:tc>
        <w:tc>
          <w:tcPr>
            <w:tcW w:type="dxa" w:w="371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EF3F0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7"/>
              </w:rPr>
              <w:t>Manter no cabaz ponderado.</w:t>
            </w:r>
          </w:p>
        </w:tc>
      </w:tr>
    </w:tbl>
    <w:p>
      <w:pPr>
        <w:spacing w:after="20"/>
      </w:pPr>
    </w:p>
    <w:p>
      <w:pPr>
        <w:pStyle w:val="Heading2"/>
      </w:pPr>
      <w:r>
        <w:t>3.1 Continuidade e correspondência</w:t>
      </w:r>
    </w:p>
    <w:p>
      <w:pPr>
        <w:jc w:val="both"/>
      </w:pPr>
      <w:r>
        <w:rPr>
          <w:rFonts w:ascii="Calibri" w:hAnsi="Calibri"/>
          <w:b w:val="0"/>
          <w:i w:val="0"/>
          <w:color w:val="17332B"/>
          <w:sz w:val="22"/>
        </w:rPr>
        <w:t>A exigência de pelo menos seis meses reduz a entrada de produtos ocasionais. Para cada comparação, o produto deve possuir valor unitário admissível no período-base e no período corrente. A ausência de correspondência gera valor omisso, e não índice igual a zero.</w:t>
      </w:r>
    </w:p>
    <w:p>
      <w:pPr>
        <w:pStyle w:val="Heading2"/>
      </w:pPr>
      <w:r>
        <w:t>3.2 Unidade de medida</w:t>
      </w:r>
    </w:p>
    <w:p>
      <w:pPr>
        <w:jc w:val="both"/>
      </w:pPr>
      <w:r>
        <w:rPr>
          <w:rFonts w:ascii="Calibri" w:hAnsi="Calibri"/>
          <w:b w:val="0"/>
          <w:i w:val="0"/>
          <w:color w:val="17332B"/>
          <w:sz w:val="22"/>
        </w:rPr>
        <w:t>O mesmo código SH8 pode surgir em quilogramas, unidades, litros ou outras medidas. A comparação só é válida quando a unidade é a mesma ou quando existe conversão tecnicamente fundamentada. Mudanças de unidade não tratadas podem criar saltos artificiais no valor unitário.</w:t>
      </w:r>
    </w:p>
    <w:p>
      <w:pPr>
        <w:pStyle w:val="Heading1"/>
      </w:pPr>
      <w:r>
        <w:t>4. Qualidade, dispersão e valores extremos</w:t>
      </w:r>
    </w:p>
    <w:p>
      <w:pPr>
        <w:jc w:val="both"/>
      </w:pPr>
      <w:r>
        <w:rPr>
          <w:rFonts w:ascii="Calibri" w:hAnsi="Calibri"/>
          <w:b w:val="0"/>
          <w:i w:val="0"/>
          <w:color w:val="17332B"/>
          <w:sz w:val="22"/>
        </w:rPr>
        <w:t>Depois da validação básica, avalia-se a estabilidade da série de valores unitários de cada produto. Os limiares funcionam como filtros de alerta e exclusão, devendo cada ocorrência relevante ficar registada no relatório de qualidade.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2250"/>
        <w:gridCol w:w="4660"/>
      </w:tblGrid>
      <w:tr>
        <w:trPr>
          <w:tblHeader/>
        </w:trPr>
        <w:tc>
          <w:tcPr>
            <w:tcW w:type="dxa" w:w="2450"/>
            <w:shd w:fill="075D3B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Indicador de qualidade</w:t>
            </w:r>
          </w:p>
        </w:tc>
        <w:tc>
          <w:tcPr>
            <w:tcW w:type="dxa" w:w="2250"/>
            <w:shd w:fill="075D3B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Limite adoptado</w:t>
            </w:r>
          </w:p>
        </w:tc>
        <w:tc>
          <w:tcPr>
            <w:tcW w:type="dxa" w:w="4660"/>
            <w:shd w:fill="075D3B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Interpretação</w:t>
            </w:r>
          </w:p>
        </w:tc>
      </w:tr>
      <w:tr>
        <w:tc>
          <w:tcPr>
            <w:tcW w:type="dxa" w:w="245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7"/>
              </w:rPr>
              <w:t>Coeficiente de variação (CV)</w:t>
            </w:r>
          </w:p>
        </w:tc>
        <w:tc>
          <w:tcPr>
            <w:tcW w:type="dxa" w:w="225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7332B"/>
                <w:sz w:val="17"/>
              </w:rPr>
              <w:t>≤ 30%</w:t>
            </w:r>
          </w:p>
        </w:tc>
        <w:tc>
          <w:tcPr>
            <w:tcW w:type="dxa" w:w="466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7"/>
              </w:rPr>
              <w:t>Dispersão relativa aceitável.</w:t>
            </w:r>
          </w:p>
        </w:tc>
      </w:tr>
      <w:tr>
        <w:tc>
          <w:tcPr>
            <w:tcW w:type="dxa" w:w="245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EF3F0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7"/>
              </w:rPr>
              <w:t>Máximo / mínimo</w:t>
            </w:r>
          </w:p>
        </w:tc>
        <w:tc>
          <w:tcPr>
            <w:tcW w:type="dxa" w:w="225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EF3F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7332B"/>
                <w:sz w:val="17"/>
              </w:rPr>
              <w:t>≤ 10</w:t>
            </w:r>
          </w:p>
        </w:tc>
        <w:tc>
          <w:tcPr>
            <w:tcW w:type="dxa" w:w="466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EF3F0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7"/>
              </w:rPr>
              <w:t>Amplitude não excessiva.</w:t>
            </w:r>
          </w:p>
        </w:tc>
      </w:tr>
      <w:tr>
        <w:tc>
          <w:tcPr>
            <w:tcW w:type="dxa" w:w="245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7"/>
              </w:rPr>
              <w:t>Máximo / mediana</w:t>
            </w:r>
          </w:p>
        </w:tc>
        <w:tc>
          <w:tcPr>
            <w:tcW w:type="dxa" w:w="225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7332B"/>
                <w:sz w:val="17"/>
              </w:rPr>
              <w:t>≤ 5</w:t>
            </w:r>
          </w:p>
        </w:tc>
        <w:tc>
          <w:tcPr>
            <w:tcW w:type="dxa" w:w="466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7"/>
              </w:rPr>
              <w:t>Máximo não domina a série.</w:t>
            </w:r>
          </w:p>
        </w:tc>
      </w:tr>
      <w:tr>
        <w:tc>
          <w:tcPr>
            <w:tcW w:type="dxa" w:w="245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EF3F0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7"/>
              </w:rPr>
              <w:t>Mediana / mínimo</w:t>
            </w:r>
          </w:p>
        </w:tc>
        <w:tc>
          <w:tcPr>
            <w:tcW w:type="dxa" w:w="225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EF3F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7332B"/>
                <w:sz w:val="17"/>
              </w:rPr>
              <w:t>≤ 5</w:t>
            </w:r>
          </w:p>
        </w:tc>
        <w:tc>
          <w:tcPr>
            <w:tcW w:type="dxa" w:w="466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EF3F0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7"/>
              </w:rPr>
              <w:t>Mínimo não é excessivamente baixo.</w:t>
            </w:r>
          </w:p>
        </w:tc>
      </w:tr>
      <w:tr>
        <w:tc>
          <w:tcPr>
            <w:tcW w:type="dxa" w:w="245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7"/>
              </w:rPr>
              <w:t>Variação extrema</w:t>
            </w:r>
          </w:p>
        </w:tc>
        <w:tc>
          <w:tcPr>
            <w:tcW w:type="dxa" w:w="225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7"/>
              </w:rPr>
              <w:t>&gt; 200%: analisar/excluir</w:t>
            </w:r>
          </w:p>
        </w:tc>
        <w:tc>
          <w:tcPr>
            <w:tcW w:type="dxa" w:w="466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7"/>
              </w:rPr>
              <w:t>Salto que pode indicar erro ou mudança estrutural.</w:t>
            </w:r>
          </w:p>
        </w:tc>
      </w:tr>
      <w:tr>
        <w:tc>
          <w:tcPr>
            <w:tcW w:type="dxa" w:w="245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EF3F0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7"/>
              </w:rPr>
              <w:t>Índice individual extremo</w:t>
            </w:r>
          </w:p>
        </w:tc>
        <w:tc>
          <w:tcPr>
            <w:tcW w:type="dxa" w:w="225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EF3F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7332B"/>
                <w:sz w:val="17"/>
              </w:rPr>
              <w:t>&gt; 1.000%: excluir</w:t>
            </w:r>
          </w:p>
        </w:tc>
        <w:tc>
          <w:tcPr>
            <w:tcW w:type="dxa" w:w="466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EF3F0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7"/>
              </w:rPr>
              <w:t>Relativo incompatível com estabilidade do índice agregado.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8F5EC"/>
            <w:tcMar>
              <w:top w:w="180" w:type="dxa"/>
              <w:start w:w="240" w:type="dxa"/>
              <w:bottom w:w="180" w:type="dxa"/>
              <w:end w:w="2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75D3B"/>
                <w:sz w:val="18"/>
              </w:rPr>
              <w:t>COEFICIENTE DE VARIAÇÃO</w:t>
            </w:r>
          </w:p>
          <w:p>
            <w:pPr>
              <w:jc w:val="center"/>
            </w:pPr>
            <w:r>
              <w:rPr>
                <w:rFonts w:ascii="Cambria Math" w:hAnsi="Cambria Math"/>
                <w:b/>
                <w:i w:val="0"/>
                <w:color w:val="063D2C"/>
                <w:sz w:val="30"/>
              </w:rPr>
              <w:t>CVᵢ = (desvio-padrãoᵢ / médiaᵢ) × 100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D6E68"/>
                <w:sz w:val="19"/>
              </w:rPr>
              <w:t>O produto é admissível quando a dispersão relativa fica dentro do limite estabelecido.</w:t>
            </w:r>
          </w:p>
        </w:tc>
      </w:tr>
    </w:tbl>
    <w:p>
      <w:pPr>
        <w:spacing w:after="20"/>
      </w:pPr>
    </w:p>
    <w:p>
      <w:pPr>
        <w:pStyle w:val="Heading2"/>
      </w:pPr>
      <w:r>
        <w:t>4.1 Tratamento de outliers</w:t>
      </w:r>
    </w:p>
    <w:p>
      <w:pPr>
        <w:pStyle w:val="ListNumber"/>
      </w:pPr>
      <w:r>
        <w:rPr>
          <w:rFonts w:ascii="Calibri" w:hAnsi="Calibri"/>
          <w:b w:val="0"/>
          <w:i w:val="0"/>
          <w:color w:val="17332B"/>
          <w:sz w:val="22"/>
        </w:rPr>
        <w:t>Identificar o registo ou período que provoca o valor extremo.</w:t>
      </w:r>
    </w:p>
    <w:p>
      <w:pPr>
        <w:pStyle w:val="ListNumber"/>
      </w:pPr>
      <w:r>
        <w:rPr>
          <w:rFonts w:ascii="Calibri" w:hAnsi="Calibri"/>
          <w:b w:val="0"/>
          <w:i w:val="0"/>
          <w:color w:val="17332B"/>
          <w:sz w:val="22"/>
        </w:rPr>
        <w:t>Confirmar a fonte, a unidade, o código SH8, o valor e a quantidade.</w:t>
      </w:r>
    </w:p>
    <w:p>
      <w:pPr>
        <w:pStyle w:val="ListNumber"/>
      </w:pPr>
      <w:r>
        <w:rPr>
          <w:rFonts w:ascii="Calibri" w:hAnsi="Calibri"/>
          <w:b w:val="0"/>
          <w:i w:val="0"/>
          <w:color w:val="17332B"/>
          <w:sz w:val="22"/>
        </w:rPr>
        <w:t>Corrigir apenas quando existir evidência documental do erro.</w:t>
      </w:r>
    </w:p>
    <w:p>
      <w:pPr>
        <w:pStyle w:val="ListNumber"/>
      </w:pPr>
      <w:r>
        <w:rPr>
          <w:rFonts w:ascii="Calibri" w:hAnsi="Calibri"/>
          <w:b w:val="0"/>
          <w:i w:val="0"/>
          <w:color w:val="17332B"/>
          <w:sz w:val="22"/>
        </w:rPr>
        <w:t>Excluir quando o erro for confirmado e não puder ser corrigido.</w:t>
      </w:r>
    </w:p>
    <w:p>
      <w:pPr>
        <w:pStyle w:val="ListNumber"/>
      </w:pPr>
      <w:r>
        <w:rPr>
          <w:rFonts w:ascii="Calibri" w:hAnsi="Calibri"/>
          <w:b w:val="0"/>
          <w:i w:val="0"/>
          <w:color w:val="17332B"/>
          <w:sz w:val="22"/>
        </w:rPr>
        <w:t>Manter, com nota metodológica, quando a variação for real e economicamente explicável.</w:t>
      </w:r>
    </w:p>
    <w:p>
      <w:pPr>
        <w:pStyle w:val="ListNumber"/>
      </w:pPr>
      <w:r>
        <w:rPr>
          <w:rFonts w:ascii="Calibri" w:hAnsi="Calibri"/>
          <w:b w:val="0"/>
          <w:i w:val="0"/>
          <w:color w:val="17332B"/>
          <w:sz w:val="22"/>
        </w:rPr>
        <w:t>Recalcular e comparar o resultado antes e depois do tratamento.</w:t>
      </w:r>
    </w:p>
    <w:p>
      <w:pPr>
        <w:pStyle w:val="Heading2"/>
      </w:pPr>
      <w:r>
        <w:t>4.2 Mediana móvel de três meses</w:t>
      </w:r>
    </w:p>
    <w:p>
      <w:pPr>
        <w:jc w:val="both"/>
      </w:pPr>
      <w:r>
        <w:rPr>
          <w:rFonts w:ascii="Calibri" w:hAnsi="Calibri"/>
          <w:b w:val="0"/>
          <w:i w:val="0"/>
          <w:color w:val="17332B"/>
          <w:sz w:val="22"/>
        </w:rPr>
        <w:t>Quando prevista no protocolo de tratamento, a mediana móvel de três meses pode suavizar oscilações isoladas. Para o mês t, utiliza-se a mediana dos valores unitários de t-1, t e t+1, respeitando regras específicas para as extremidades da série. A transformação deve ser identificada e nunca aplicada de forma silenciosa.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8F5EC"/>
            <w:tcMar>
              <w:top w:w="180" w:type="dxa"/>
              <w:start w:w="240" w:type="dxa"/>
              <w:bottom w:w="180" w:type="dxa"/>
              <w:end w:w="2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75D3B"/>
                <w:sz w:val="18"/>
              </w:rPr>
              <w:t>MEDIANA MÓVEL</w:t>
            </w:r>
          </w:p>
          <w:p>
            <w:pPr>
              <w:jc w:val="center"/>
            </w:pPr>
            <w:r>
              <w:rPr>
                <w:rFonts w:ascii="Cambria Math" w:hAnsi="Cambria Math"/>
                <w:b/>
                <w:i w:val="0"/>
                <w:color w:val="063D2C"/>
                <w:sz w:val="30"/>
              </w:rPr>
              <w:t>VU*ᵢₜ = mediana(VUᵢ,ₜ₋₁ ; VUᵢₜ ; VUᵢ,ₜ₊₁)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D6E68"/>
                <w:sz w:val="19"/>
              </w:rPr>
              <w:t>A mediana é menos sensível a valores extremos do que a média aritmética.</w:t>
            </w:r>
          </w:p>
        </w:tc>
      </w:tr>
    </w:tbl>
    <w:p>
      <w:pPr>
        <w:spacing w:after="20"/>
      </w:pPr>
    </w:p>
    <w:p>
      <w:pPr>
        <w:pStyle w:val="Heading1"/>
      </w:pPr>
      <w:r>
        <w:t>5. Ponderação e relativos elementares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8F5EC"/>
            <w:tcMar>
              <w:top w:w="180" w:type="dxa"/>
              <w:start w:w="240" w:type="dxa"/>
              <w:bottom w:w="180" w:type="dxa"/>
              <w:end w:w="2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75D3B"/>
                <w:sz w:val="18"/>
              </w:rPr>
              <w:t>PESO DO PRODUTO NO ANO-BASE</w:t>
            </w:r>
          </w:p>
          <w:p>
            <w:pPr>
              <w:jc w:val="center"/>
            </w:pPr>
            <w:r>
              <w:rPr>
                <w:rFonts w:ascii="Cambria Math" w:hAnsi="Cambria Math"/>
                <w:b/>
                <w:i w:val="0"/>
                <w:color w:val="063D2C"/>
                <w:sz w:val="30"/>
              </w:rPr>
              <w:t>wᵢ₀ = Vᵢ₀ / Σᵢ Vᵢ₀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D6E68"/>
                <w:sz w:val="19"/>
              </w:rPr>
              <w:t>A soma dos pesos dos produtos elegíveis dentro de cada universo é igual a 1.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8F5EC"/>
            <w:tcMar>
              <w:top w:w="180" w:type="dxa"/>
              <w:start w:w="240" w:type="dxa"/>
              <w:bottom w:w="180" w:type="dxa"/>
              <w:end w:w="2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75D3B"/>
                <w:sz w:val="18"/>
              </w:rPr>
              <w:t>RELATIVO DE VALOR UNITÁRIO</w:t>
            </w:r>
          </w:p>
          <w:p>
            <w:pPr>
              <w:jc w:val="center"/>
            </w:pPr>
            <w:r>
              <w:rPr>
                <w:rFonts w:ascii="Cambria Math" w:hAnsi="Cambria Math"/>
                <w:b/>
                <w:i w:val="0"/>
                <w:color w:val="063D2C"/>
                <w:sz w:val="30"/>
              </w:rPr>
              <w:t>rᵢₜ = (VUᵢₜ / VUᵢ₀) × 100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D6E68"/>
                <w:sz w:val="19"/>
              </w:rPr>
              <w:t>Um relativo de 112 indica aumento de 12% face ao valor unitário do período-base.</w:t>
            </w:r>
          </w:p>
        </w:tc>
      </w:tr>
    </w:tbl>
    <w:p>
      <w:pPr>
        <w:spacing w:after="20"/>
      </w:pPr>
    </w:p>
    <w:p>
      <w:pPr>
        <w:jc w:val="both"/>
      </w:pPr>
      <w:r>
        <w:rPr>
          <w:rFonts w:ascii="Calibri" w:hAnsi="Calibri"/>
          <w:b w:val="0"/>
          <w:i w:val="0"/>
          <w:color w:val="17332B"/>
          <w:sz w:val="22"/>
        </w:rPr>
        <w:t>Os pesos devem ser calculados apenas com os produtos que passaram os critérios de elegibilidade. Produtos de grande valor comercial têm maior influência sobre o índice agregado, evitando que um produto residual tenha o mesmo peso de um produto dominante.</w:t>
      </w:r>
    </w:p>
    <w:p>
      <w:pPr>
        <w:pStyle w:val="Heading1"/>
      </w:pPr>
      <w:r>
        <w:t>6. Fórmulas dos índices</w:t>
      </w:r>
    </w:p>
    <w:p>
      <w:pPr>
        <w:pStyle w:val="Heading2"/>
      </w:pPr>
      <w:r>
        <w:t>6.1 Índice de Laspeyres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8F5EC"/>
            <w:tcMar>
              <w:top w:w="180" w:type="dxa"/>
              <w:start w:w="240" w:type="dxa"/>
              <w:bottom w:w="180" w:type="dxa"/>
              <w:end w:w="2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75D3B"/>
                <w:sz w:val="18"/>
              </w:rPr>
              <w:t>LASPEYRES</w:t>
            </w:r>
          </w:p>
          <w:p>
            <w:pPr>
              <w:jc w:val="center"/>
            </w:pPr>
            <w:r>
              <w:rPr>
                <w:rFonts w:ascii="Cambria Math" w:hAnsi="Cambria Math"/>
                <w:b/>
                <w:i w:val="0"/>
                <w:color w:val="063D2C"/>
                <w:sz w:val="30"/>
              </w:rPr>
              <w:t>Lₜ = [Σᵢ(pᵢₜ qᵢ₀) / Σᵢ(pᵢ₀ qᵢ₀)] × 100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D6E68"/>
                <w:sz w:val="19"/>
              </w:rPr>
              <w:t>Mantém as quantidades do período-base. Responde quanto custaria hoje o cabaz de 2022.</w:t>
            </w:r>
          </w:p>
        </w:tc>
      </w:tr>
    </w:tbl>
    <w:p>
      <w:pPr>
        <w:spacing w:after="20"/>
      </w:pPr>
    </w:p>
    <w:p>
      <w:pPr>
        <w:pStyle w:val="Heading2"/>
      </w:pPr>
      <w:r>
        <w:t>6.2 Índice de Paasche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8F5EC"/>
            <w:tcMar>
              <w:top w:w="180" w:type="dxa"/>
              <w:start w:w="240" w:type="dxa"/>
              <w:bottom w:w="180" w:type="dxa"/>
              <w:end w:w="2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75D3B"/>
                <w:sz w:val="18"/>
              </w:rPr>
              <w:t>PAASCHE</w:t>
            </w:r>
          </w:p>
          <w:p>
            <w:pPr>
              <w:jc w:val="center"/>
            </w:pPr>
            <w:r>
              <w:rPr>
                <w:rFonts w:ascii="Cambria Math" w:hAnsi="Cambria Math"/>
                <w:b/>
                <w:i w:val="0"/>
                <w:color w:val="063D2C"/>
                <w:sz w:val="30"/>
              </w:rPr>
              <w:t>Pₜ = [Σᵢ(pᵢₜ qᵢₜ) / Σᵢ(pᵢ₀ qᵢₜ)] × 100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D6E68"/>
                <w:sz w:val="19"/>
              </w:rPr>
              <w:t>Utiliza a estrutura quantitativa do período corrente.</w:t>
            </w:r>
          </w:p>
        </w:tc>
      </w:tr>
    </w:tbl>
    <w:p>
      <w:pPr>
        <w:spacing w:after="20"/>
      </w:pPr>
    </w:p>
    <w:p>
      <w:pPr>
        <w:pStyle w:val="Heading2"/>
      </w:pPr>
      <w:r>
        <w:t>6.3 Índice de Fisher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8F5EC"/>
            <w:tcMar>
              <w:top w:w="180" w:type="dxa"/>
              <w:start w:w="240" w:type="dxa"/>
              <w:bottom w:w="180" w:type="dxa"/>
              <w:end w:w="2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75D3B"/>
                <w:sz w:val="18"/>
              </w:rPr>
              <w:t>FISHER</w:t>
            </w:r>
          </w:p>
          <w:p>
            <w:pPr>
              <w:jc w:val="center"/>
            </w:pPr>
            <w:r>
              <w:rPr>
                <w:rFonts w:ascii="Cambria Math" w:hAnsi="Cambria Math"/>
                <w:b/>
                <w:i w:val="0"/>
                <w:color w:val="063D2C"/>
                <w:sz w:val="30"/>
              </w:rPr>
              <w:t>Fₜ = √(Lₜ × Pₜ)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D6E68"/>
                <w:sz w:val="19"/>
              </w:rPr>
              <w:t>Média geométrica de Laspeyres e Paasche; equilibra as duas estruturas de ponderação.</w:t>
            </w:r>
          </w:p>
        </w:tc>
      </w:tr>
    </w:tbl>
    <w:p>
      <w:pPr>
        <w:spacing w:after="20"/>
      </w:pPr>
    </w:p>
    <w:p>
      <w:pPr>
        <w:jc w:val="both"/>
      </w:pPr>
      <w:r>
        <w:rPr>
          <w:rFonts w:ascii="Calibri" w:hAnsi="Calibri"/>
          <w:b w:val="0"/>
          <w:i w:val="0"/>
          <w:color w:val="17332B"/>
          <w:sz w:val="22"/>
        </w:rPr>
        <w:t>O Índice de Fisher é recomendado como medida ajustada quando estão disponíveis as quantidades necessárias. Os resultados de Laspeyres e Paasche devem ser preservados para auditoria e análise da diferença entre estruturas de ponderação.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2100"/>
        <w:gridCol w:w="2850"/>
        <w:gridCol w:w="2860"/>
      </w:tblGrid>
      <w:tr>
        <w:trPr>
          <w:tblHeader/>
        </w:trPr>
        <w:tc>
          <w:tcPr>
            <w:tcW w:type="dxa" w:w="1550"/>
            <w:shd w:fill="075D3B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Índice</w:t>
            </w:r>
          </w:p>
        </w:tc>
        <w:tc>
          <w:tcPr>
            <w:tcW w:type="dxa" w:w="2100"/>
            <w:shd w:fill="075D3B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Ponderação principal</w:t>
            </w:r>
          </w:p>
        </w:tc>
        <w:tc>
          <w:tcPr>
            <w:tcW w:type="dxa" w:w="2850"/>
            <w:shd w:fill="075D3B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Vantagem</w:t>
            </w:r>
          </w:p>
        </w:tc>
        <w:tc>
          <w:tcPr>
            <w:tcW w:type="dxa" w:w="2860"/>
            <w:shd w:fill="075D3B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Limitação</w:t>
            </w:r>
          </w:p>
        </w:tc>
      </w:tr>
      <w:tr>
        <w:tc>
          <w:tcPr>
            <w:tcW w:type="dxa" w:w="155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7"/>
              </w:rPr>
              <w:t>Laspeyres</w:t>
            </w:r>
          </w:p>
        </w:tc>
        <w:tc>
          <w:tcPr>
            <w:tcW w:type="dxa" w:w="210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7"/>
              </w:rPr>
              <w:t>Quantidades da base</w:t>
            </w:r>
          </w:p>
        </w:tc>
        <w:tc>
          <w:tcPr>
            <w:tcW w:type="dxa" w:w="285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7"/>
              </w:rPr>
              <w:t>Comparabilidade e estabilidade</w:t>
            </w:r>
          </w:p>
        </w:tc>
        <w:tc>
          <w:tcPr>
            <w:tcW w:type="dxa" w:w="286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7"/>
              </w:rPr>
              <w:t>Pode sobrestimar quando há substituição.</w:t>
            </w:r>
          </w:p>
        </w:tc>
      </w:tr>
      <w:tr>
        <w:tc>
          <w:tcPr>
            <w:tcW w:type="dxa" w:w="155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EF3F0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7"/>
              </w:rPr>
              <w:t>Paasche</w:t>
            </w:r>
          </w:p>
        </w:tc>
        <w:tc>
          <w:tcPr>
            <w:tcW w:type="dxa" w:w="210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EF3F0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7"/>
              </w:rPr>
              <w:t>Quantidades correntes</w:t>
            </w:r>
          </w:p>
        </w:tc>
        <w:tc>
          <w:tcPr>
            <w:tcW w:type="dxa" w:w="285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EF3F0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7"/>
              </w:rPr>
              <w:t>Reflecte a estrutura actual</w:t>
            </w:r>
          </w:p>
        </w:tc>
        <w:tc>
          <w:tcPr>
            <w:tcW w:type="dxa" w:w="286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EF3F0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7"/>
              </w:rPr>
              <w:t>Muda a ponderação em cada período.</w:t>
            </w:r>
          </w:p>
        </w:tc>
      </w:tr>
      <w:tr>
        <w:tc>
          <w:tcPr>
            <w:tcW w:type="dxa" w:w="155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7"/>
              </w:rPr>
              <w:t>Fisher</w:t>
            </w:r>
          </w:p>
        </w:tc>
        <w:tc>
          <w:tcPr>
            <w:tcW w:type="dxa" w:w="210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7332B"/>
                <w:sz w:val="17"/>
              </w:rPr>
              <w:t>Combina os dois</w:t>
            </w:r>
          </w:p>
        </w:tc>
        <w:tc>
          <w:tcPr>
            <w:tcW w:type="dxa" w:w="285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7"/>
              </w:rPr>
              <w:t>Reduz viés das fórmulas isoladas</w:t>
            </w:r>
          </w:p>
        </w:tc>
        <w:tc>
          <w:tcPr>
            <w:tcW w:type="dxa" w:w="286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7"/>
              </w:rPr>
              <w:t>Exige ambos os índices válidos.</w:t>
            </w:r>
          </w:p>
        </w:tc>
      </w:tr>
    </w:tbl>
    <w:p>
      <w:pPr>
        <w:spacing w:after="20"/>
      </w:pPr>
    </w:p>
    <w:p>
      <w:pPr>
        <w:pStyle w:val="Heading1"/>
      </w:pPr>
      <w:r>
        <w:t>7. Índices por fluxo e Índice Global</w:t>
      </w:r>
    </w:p>
    <w:p>
      <w:pPr>
        <w:pStyle w:val="Heading2"/>
      </w:pPr>
      <w:r>
        <w:t>7.1 Exportações e Importações</w:t>
      </w:r>
    </w:p>
    <w:p>
      <w:pPr>
        <w:jc w:val="both"/>
      </w:pPr>
      <w:r>
        <w:rPr>
          <w:rFonts w:ascii="Calibri" w:hAnsi="Calibri"/>
          <w:b w:val="0"/>
          <w:i w:val="0"/>
          <w:color w:val="17332B"/>
          <w:sz w:val="22"/>
        </w:rPr>
        <w:t>O processamento é realizado de forma independente para cada fluxo. Cada um tem o seu cabaz elegível, valores unitários, ponderadores e resultados. A separação é indispensável porque a composição, as unidades e o comportamento dos produtos exportados e importados são diferentes.</w:t>
      </w:r>
    </w:p>
    <w:p>
      <w:pPr>
        <w:pStyle w:val="Heading2"/>
      </w:pPr>
      <w:r>
        <w:t>7.2 Índice Global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8F5EC"/>
            <w:tcMar>
              <w:top w:w="180" w:type="dxa"/>
              <w:start w:w="240" w:type="dxa"/>
              <w:bottom w:w="180" w:type="dxa"/>
              <w:end w:w="2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75D3B"/>
                <w:sz w:val="18"/>
              </w:rPr>
              <w:t>ÍNDICE GLOBAL</w:t>
            </w:r>
          </w:p>
          <w:p>
            <w:pPr>
              <w:jc w:val="center"/>
            </w:pPr>
            <w:r>
              <w:rPr>
                <w:rFonts w:ascii="Cambria Math" w:hAnsi="Cambria Math"/>
                <w:b/>
                <w:i w:val="0"/>
                <w:color w:val="063D2C"/>
                <w:sz w:val="30"/>
              </w:rPr>
              <w:t>IGₜ = wₓ × Iₓ,ₜ + wₘ × Iₘ,ₜ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D6E68"/>
                <w:sz w:val="19"/>
              </w:rPr>
              <w:t>wₓ e wₘ são as participações elegíveis de Exportações e Importações no valor total do comércio de 2022; wₓ + wₘ = 1.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EF3F0"/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r>
              <w:rPr>
                <w:rFonts w:ascii="Calibri" w:hAnsi="Calibri"/>
                <w:b/>
                <w:i w:val="0"/>
                <w:color w:val="075D3B"/>
                <w:sz w:val="20"/>
              </w:rPr>
              <w:t xml:space="preserve">NÃO USAR MÉDIA SIMPLES  </w:t>
            </w:r>
            <w:r>
              <w:rPr>
                <w:rFonts w:ascii="Calibri" w:hAnsi="Calibri"/>
                <w:b w:val="0"/>
                <w:i w:val="0"/>
                <w:color w:val="17332B"/>
                <w:sz w:val="21"/>
              </w:rPr>
              <w:t>O Índice Global não deve ser calculado como (Exportações + Importações) / 2, excepto no caso improvável de os dois fluxos terem exactamente o mesmo peso no ano-base.</w:t>
            </w:r>
          </w:p>
        </w:tc>
      </w:tr>
    </w:tbl>
    <w:p>
      <w:pPr>
        <w:spacing w:after="20"/>
      </w:pPr>
    </w:p>
    <w:p>
      <w:pPr>
        <w:pStyle w:val="Heading2"/>
      </w:pPr>
      <w:r>
        <w:t>7.3 Exemplo de cálculo global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000"/>
        <w:gridCol w:w="2200"/>
        <w:gridCol w:w="2660"/>
      </w:tblGrid>
      <w:tr>
        <w:trPr>
          <w:tblHeader/>
        </w:trPr>
        <w:tc>
          <w:tcPr>
            <w:tcW w:type="dxa" w:w="2500"/>
            <w:shd w:fill="075D3B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Componente</w:t>
            </w:r>
          </w:p>
        </w:tc>
        <w:tc>
          <w:tcPr>
            <w:tcW w:type="dxa" w:w="2000"/>
            <w:shd w:fill="075D3B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Peso de 2022</w:t>
            </w:r>
          </w:p>
        </w:tc>
        <w:tc>
          <w:tcPr>
            <w:tcW w:type="dxa" w:w="2200"/>
            <w:shd w:fill="075D3B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Índice corrente</w:t>
            </w:r>
          </w:p>
        </w:tc>
        <w:tc>
          <w:tcPr>
            <w:tcW w:type="dxa" w:w="2660"/>
            <w:shd w:fill="075D3B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Contribuição</w:t>
            </w:r>
          </w:p>
        </w:tc>
      </w:tr>
      <w:tr>
        <w:tc>
          <w:tcPr>
            <w:tcW w:type="dxa" w:w="250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8"/>
              </w:rPr>
              <w:t>Exportações</w:t>
            </w:r>
          </w:p>
        </w:tc>
        <w:tc>
          <w:tcPr>
            <w:tcW w:type="dxa" w:w="200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7332B"/>
                <w:sz w:val="18"/>
              </w:rPr>
              <w:t>40%</w:t>
            </w:r>
          </w:p>
        </w:tc>
        <w:tc>
          <w:tcPr>
            <w:tcW w:type="dxa" w:w="220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7332B"/>
                <w:sz w:val="18"/>
              </w:rPr>
              <w:t>110,00</w:t>
            </w:r>
          </w:p>
        </w:tc>
        <w:tc>
          <w:tcPr>
            <w:tcW w:type="dxa" w:w="266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7332B"/>
                <w:sz w:val="18"/>
              </w:rPr>
              <w:t>44,00</w:t>
            </w:r>
          </w:p>
        </w:tc>
      </w:tr>
      <w:tr>
        <w:tc>
          <w:tcPr>
            <w:tcW w:type="dxa" w:w="250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EF3F0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8"/>
              </w:rPr>
              <w:t>Importações</w:t>
            </w:r>
          </w:p>
        </w:tc>
        <w:tc>
          <w:tcPr>
            <w:tcW w:type="dxa" w:w="200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EF3F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7332B"/>
                <w:sz w:val="18"/>
              </w:rPr>
              <w:t>60%</w:t>
            </w:r>
          </w:p>
        </w:tc>
        <w:tc>
          <w:tcPr>
            <w:tcW w:type="dxa" w:w="220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EF3F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7332B"/>
                <w:sz w:val="18"/>
              </w:rPr>
              <w:t>105,00</w:t>
            </w:r>
          </w:p>
        </w:tc>
        <w:tc>
          <w:tcPr>
            <w:tcW w:type="dxa" w:w="266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EF3F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7332B"/>
                <w:sz w:val="18"/>
              </w:rPr>
              <w:t>63,00</w:t>
            </w:r>
          </w:p>
        </w:tc>
      </w:tr>
      <w:tr>
        <w:tc>
          <w:tcPr>
            <w:tcW w:type="dxa" w:w="250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8"/>
              </w:rPr>
              <w:t>Índice Global</w:t>
            </w:r>
          </w:p>
        </w:tc>
        <w:tc>
          <w:tcPr>
            <w:tcW w:type="dxa" w:w="200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7332B"/>
                <w:sz w:val="18"/>
              </w:rPr>
              <w:t>100%</w:t>
            </w:r>
          </w:p>
        </w:tc>
        <w:tc>
          <w:tcPr>
            <w:tcW w:type="dxa" w:w="220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7332B"/>
                <w:sz w:val="18"/>
              </w:rPr>
              <w:t>—</w:t>
            </w:r>
          </w:p>
        </w:tc>
        <w:tc>
          <w:tcPr>
            <w:tcW w:type="dxa" w:w="266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7332B"/>
                <w:sz w:val="18"/>
              </w:rPr>
              <w:t>107,00</w:t>
            </w:r>
          </w:p>
        </w:tc>
      </w:tr>
    </w:tbl>
    <w:p>
      <w:pPr>
        <w:spacing w:after="20"/>
      </w:pPr>
    </w:p>
    <w:p>
      <w:pPr>
        <w:jc w:val="both"/>
      </w:pPr>
      <w:r>
        <w:rPr>
          <w:rFonts w:ascii="Calibri" w:hAnsi="Calibri"/>
          <w:b w:val="0"/>
          <w:i w:val="0"/>
          <w:color w:val="17332B"/>
          <w:sz w:val="22"/>
        </w:rPr>
        <w:t>No exemplo, o Índice Global é 107,00, indicando que o valor unitário combinado do comércio externo aumentou aproximadamente 7% relativamente à base. As Importações influenciam mais o resultado porque representam 60% do valor elegível de 2022.</w:t>
      </w:r>
    </w:p>
    <w:p>
      <w:pPr>
        <w:pStyle w:val="Heading1"/>
      </w:pPr>
      <w:r>
        <w:t>8. Periodicidades de cálculo</w:t>
      </w:r>
    </w:p>
    <w:p>
      <w:pPr>
        <w:jc w:val="both"/>
      </w:pPr>
      <w:r>
        <w:rPr>
          <w:rFonts w:ascii="Calibri" w:hAnsi="Calibri"/>
          <w:b w:val="0"/>
          <w:i w:val="0"/>
          <w:color w:val="17332B"/>
          <w:sz w:val="22"/>
        </w:rPr>
        <w:t>Cada periodicidade deve ser calculada com os valores e quantidades agregados dentro do respectivo intervalo. Não se deve simplesmente repetir o índice mensal nem calcular uma média aritmética não ponderada dos índices dos meses.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4600"/>
        <w:gridCol w:w="2760"/>
      </w:tblGrid>
      <w:tr>
        <w:trPr>
          <w:tblHeader/>
        </w:trPr>
        <w:tc>
          <w:tcPr>
            <w:tcW w:type="dxa" w:w="2000"/>
            <w:shd w:fill="075D3B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Periodicidade</w:t>
            </w:r>
          </w:p>
        </w:tc>
        <w:tc>
          <w:tcPr>
            <w:tcW w:type="dxa" w:w="4600"/>
            <w:shd w:fill="075D3B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Agregação</w:t>
            </w:r>
          </w:p>
        </w:tc>
        <w:tc>
          <w:tcPr>
            <w:tcW w:type="dxa" w:w="2760"/>
            <w:shd w:fill="075D3B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Cobertura por ano</w:t>
            </w:r>
          </w:p>
        </w:tc>
      </w:tr>
      <w:tr>
        <w:tc>
          <w:tcPr>
            <w:tcW w:type="dxa" w:w="200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8"/>
              </w:rPr>
              <w:t>Mensal</w:t>
            </w:r>
          </w:p>
        </w:tc>
        <w:tc>
          <w:tcPr>
            <w:tcW w:type="dxa" w:w="460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8"/>
              </w:rPr>
              <w:t>Valor e quantidade por mês</w:t>
            </w:r>
          </w:p>
        </w:tc>
        <w:tc>
          <w:tcPr>
            <w:tcW w:type="dxa" w:w="276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8"/>
              </w:rPr>
              <w:t>Até 12 observações.</w:t>
            </w:r>
          </w:p>
        </w:tc>
      </w:tr>
      <w:tr>
        <w:tc>
          <w:tcPr>
            <w:tcW w:type="dxa" w:w="200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EF3F0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8"/>
              </w:rPr>
              <w:t>Trimestral</w:t>
            </w:r>
          </w:p>
        </w:tc>
        <w:tc>
          <w:tcPr>
            <w:tcW w:type="dxa" w:w="460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EF3F0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8"/>
              </w:rPr>
              <w:t>Jan-Mar; Abr-Jun; Jul-Set; Out-Dez</w:t>
            </w:r>
          </w:p>
        </w:tc>
        <w:tc>
          <w:tcPr>
            <w:tcW w:type="dxa" w:w="276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EF3F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7332B"/>
                <w:sz w:val="18"/>
              </w:rPr>
              <w:t>Até 4 observações.</w:t>
            </w:r>
          </w:p>
        </w:tc>
      </w:tr>
      <w:tr>
        <w:tc>
          <w:tcPr>
            <w:tcW w:type="dxa" w:w="200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8"/>
              </w:rPr>
              <w:t>Semestral</w:t>
            </w:r>
          </w:p>
        </w:tc>
        <w:tc>
          <w:tcPr>
            <w:tcW w:type="dxa" w:w="460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7332B"/>
                <w:sz w:val="18"/>
              </w:rPr>
              <w:t>Jan-Jun; Jul-Dez</w:t>
            </w:r>
          </w:p>
        </w:tc>
        <w:tc>
          <w:tcPr>
            <w:tcW w:type="dxa" w:w="276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7332B"/>
                <w:sz w:val="18"/>
              </w:rPr>
              <w:t>Até 2 observações.</w:t>
            </w:r>
          </w:p>
        </w:tc>
      </w:tr>
      <w:tr>
        <w:tc>
          <w:tcPr>
            <w:tcW w:type="dxa" w:w="200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EF3F0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8"/>
              </w:rPr>
              <w:t>Anual</w:t>
            </w:r>
          </w:p>
        </w:tc>
        <w:tc>
          <w:tcPr>
            <w:tcW w:type="dxa" w:w="460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EF3F0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8"/>
              </w:rPr>
              <w:t>Todos os meses disponíveis do ano</w:t>
            </w:r>
          </w:p>
        </w:tc>
        <w:tc>
          <w:tcPr>
            <w:tcW w:type="dxa" w:w="276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EF3F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7332B"/>
                <w:sz w:val="18"/>
              </w:rPr>
              <w:t>1 observação.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EF3F0"/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r>
              <w:rPr>
                <w:rFonts w:ascii="Calibri" w:hAnsi="Calibri"/>
                <w:b/>
                <w:i w:val="0"/>
                <w:color w:val="075D3B"/>
                <w:sz w:val="20"/>
              </w:rPr>
              <w:t xml:space="preserve">ANO PARCIAL  </w:t>
            </w:r>
            <w:r>
              <w:rPr>
                <w:rFonts w:ascii="Calibri" w:hAnsi="Calibri"/>
                <w:b w:val="0"/>
                <w:i w:val="0"/>
                <w:color w:val="17332B"/>
                <w:sz w:val="21"/>
              </w:rPr>
              <w:t>Os resultados de 2025 abrangem Janeiro-Setembro. Devem ser identificados como provisórios/parciais e não comparados directamente com doze meses sem nota de cobertura.</w:t>
            </w:r>
          </w:p>
        </w:tc>
      </w:tr>
    </w:tbl>
    <w:p>
      <w:pPr>
        <w:spacing w:after="20"/>
      </w:pPr>
    </w:p>
    <w:p>
      <w:pPr>
        <w:pStyle w:val="Heading2"/>
      </w:pPr>
      <w:r>
        <w:t>8.1 Regra prática de recálculo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8F5EC"/>
            <w:tcMar>
              <w:top w:w="180" w:type="dxa"/>
              <w:start w:w="240" w:type="dxa"/>
              <w:bottom w:w="180" w:type="dxa"/>
              <w:end w:w="2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75D3B"/>
                <w:sz w:val="18"/>
              </w:rPr>
              <w:t>VALOR UNITÁRIO DO PERÍODO AGREGADO</w:t>
            </w:r>
          </w:p>
          <w:p>
            <w:pPr>
              <w:jc w:val="center"/>
            </w:pPr>
            <w:r>
              <w:rPr>
                <w:rFonts w:ascii="Cambria Math" w:hAnsi="Cambria Math"/>
                <w:b/>
                <w:i w:val="0"/>
                <w:color w:val="063D2C"/>
                <w:sz w:val="30"/>
              </w:rPr>
              <w:t>VUᵢ,T = [Σₜ∈T Vᵢₜ] / [Σₜ∈T Qᵢₜ]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D6E68"/>
                <w:sz w:val="19"/>
              </w:rPr>
              <w:t>T representa o trimestre, semestre ou ano. Primeiro agregam-se valor e quantidade; depois calcula-se o VU.</w:t>
            </w:r>
          </w:p>
        </w:tc>
      </w:tr>
    </w:tbl>
    <w:p>
      <w:pPr>
        <w:spacing w:after="20"/>
      </w:pPr>
    </w:p>
    <w:p>
      <w:pPr>
        <w:pStyle w:val="Heading1"/>
      </w:pPr>
      <w:r>
        <w:t>9. Resultados por Secções do Sistema Harmonizado</w:t>
      </w:r>
    </w:p>
    <w:p>
      <w:pPr>
        <w:jc w:val="both"/>
      </w:pPr>
      <w:r>
        <w:rPr>
          <w:rFonts w:ascii="Calibri" w:hAnsi="Calibri"/>
          <w:b w:val="0"/>
          <w:i w:val="0"/>
          <w:color w:val="17332B"/>
          <w:sz w:val="22"/>
        </w:rPr>
        <w:t>Os mesmos procedimentos são aplicados às 21 Secções do Sistema Harmonizado. Para cada Secção, os produtos SH8 elegíveis são agregados respeitando os seus pesos de 2022. A plataforma deve permitir seleccionar fluxo, periodicidade, ano e Secção, mantendo lado a lado os índices de Exportações, Importações e Global.</w:t>
      </w:r>
    </w:p>
    <w:p>
      <w:pPr>
        <w:pStyle w:val="ListBullet"/>
      </w:pPr>
      <w:r>
        <w:rPr>
          <w:rFonts w:ascii="Calibri" w:hAnsi="Calibri"/>
          <w:b w:val="0"/>
          <w:i w:val="0"/>
          <w:color w:val="17332B"/>
          <w:sz w:val="22"/>
        </w:rPr>
        <w:t>Secções sem observações elegíveis devem apresentar “sem dados” ou travessão, nunca zero.</w:t>
      </w:r>
    </w:p>
    <w:p>
      <w:pPr>
        <w:pStyle w:val="ListBullet"/>
      </w:pPr>
      <w:r>
        <w:rPr>
          <w:rFonts w:ascii="Calibri" w:hAnsi="Calibri"/>
          <w:b w:val="0"/>
          <w:i w:val="0"/>
          <w:color w:val="17332B"/>
          <w:sz w:val="22"/>
        </w:rPr>
        <w:t>O número de SH8 elegíveis deve acompanhar o resultado sempre que possível.</w:t>
      </w:r>
    </w:p>
    <w:p>
      <w:pPr>
        <w:pStyle w:val="ListBullet"/>
      </w:pPr>
      <w:r>
        <w:rPr>
          <w:rFonts w:ascii="Calibri" w:hAnsi="Calibri"/>
          <w:b w:val="0"/>
          <w:i w:val="0"/>
          <w:color w:val="17332B"/>
          <w:sz w:val="22"/>
        </w:rPr>
        <w:t>Mudanças fortes devem ser analisadas em conjunto com a composição da Secção.</w:t>
      </w:r>
    </w:p>
    <w:p>
      <w:pPr>
        <w:pStyle w:val="ListBullet"/>
      </w:pPr>
      <w:r>
        <w:rPr>
          <w:rFonts w:ascii="Calibri" w:hAnsi="Calibri"/>
          <w:b w:val="0"/>
          <w:i w:val="0"/>
          <w:color w:val="17332B"/>
          <w:sz w:val="22"/>
        </w:rPr>
        <w:t>A soma dos pesos deve ser verificada dentro de cada universo de agregação.</w:t>
      </w:r>
    </w:p>
    <w:p>
      <w:pPr>
        <w:pStyle w:val="Heading1"/>
      </w:pPr>
      <w:r>
        <w:t>10. Interpretação dos resultados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075D3B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Valor do índice</w:t>
            </w:r>
          </w:p>
        </w:tc>
        <w:tc>
          <w:tcPr>
            <w:tcW w:type="dxa" w:w="7160"/>
            <w:shd w:fill="075D3B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Leitura correcta</w:t>
            </w:r>
          </w:p>
        </w:tc>
      </w:tr>
      <w:tr>
        <w:tc>
          <w:tcPr>
            <w:tcW w:type="dxa" w:w="220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8"/>
              </w:rPr>
              <w:t>100,00</w:t>
            </w:r>
          </w:p>
        </w:tc>
        <w:tc>
          <w:tcPr>
            <w:tcW w:type="dxa" w:w="716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8"/>
              </w:rPr>
              <w:t>Mesmo nível médio do período-base.</w:t>
            </w:r>
          </w:p>
        </w:tc>
      </w:tr>
      <w:tr>
        <w:tc>
          <w:tcPr>
            <w:tcW w:type="dxa" w:w="220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EF3F0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8"/>
              </w:rPr>
              <w:t>110,00</w:t>
            </w:r>
          </w:p>
        </w:tc>
        <w:tc>
          <w:tcPr>
            <w:tcW w:type="dxa" w:w="716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EF3F0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8"/>
              </w:rPr>
              <w:t>Aumento aproximado de 10% relativamente a 2022.</w:t>
            </w:r>
          </w:p>
        </w:tc>
      </w:tr>
      <w:tr>
        <w:tc>
          <w:tcPr>
            <w:tcW w:type="dxa" w:w="220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8"/>
              </w:rPr>
              <w:t>95,00</w:t>
            </w:r>
          </w:p>
        </w:tc>
        <w:tc>
          <w:tcPr>
            <w:tcW w:type="dxa" w:w="716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8"/>
              </w:rPr>
              <w:t>Redução aproximada de 5% relativamente a 2022.</w:t>
            </w:r>
          </w:p>
        </w:tc>
      </w:tr>
      <w:tr>
        <w:tc>
          <w:tcPr>
            <w:tcW w:type="dxa" w:w="220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EF3F0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8"/>
              </w:rPr>
              <w:t>125,00</w:t>
            </w:r>
          </w:p>
        </w:tc>
        <w:tc>
          <w:tcPr>
            <w:tcW w:type="dxa" w:w="716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EF3F0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8"/>
              </w:rPr>
              <w:t>Aumento aproximado de 25% relativamente a 2022.</w:t>
            </w:r>
          </w:p>
        </w:tc>
      </w:tr>
      <w:tr>
        <w:tc>
          <w:tcPr>
            <w:tcW w:type="dxa" w:w="220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8"/>
              </w:rPr>
              <w:t>Sem valor</w:t>
            </w:r>
          </w:p>
        </w:tc>
        <w:tc>
          <w:tcPr>
            <w:tcW w:type="dxa" w:w="716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8"/>
              </w:rPr>
              <w:t>Não existem observações admissíveis; não significa índice zero.</w:t>
            </w:r>
          </w:p>
        </w:tc>
      </w:tr>
    </w:tbl>
    <w:p>
      <w:pPr>
        <w:spacing w:after="20"/>
      </w:pPr>
    </w:p>
    <w:p>
      <w:pPr>
        <w:jc w:val="both"/>
      </w:pPr>
      <w:r>
        <w:rPr>
          <w:rFonts w:ascii="Calibri" w:hAnsi="Calibri"/>
          <w:b w:val="0"/>
          <w:i w:val="0"/>
          <w:color w:val="17332B"/>
          <w:sz w:val="22"/>
        </w:rPr>
        <w:t>A interpretação deve mencionar sempre: fluxo, período, periodicidade, base, cobertura temporal, universo de produtos elegíveis e carácter provisório ou definitivo. As diferenças entre grupos podem reflectir composição e não apenas alteração de preços.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EF3F0"/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r>
              <w:rPr>
                <w:rFonts w:ascii="Calibri" w:hAnsi="Calibri"/>
                <w:b/>
                <w:i w:val="0"/>
                <w:color w:val="075D3B"/>
                <w:sz w:val="20"/>
              </w:rPr>
              <w:t xml:space="preserve">MODELO DE REDACÇÃO  </w:t>
            </w:r>
            <w:r>
              <w:rPr>
                <w:rFonts w:ascii="Calibri" w:hAnsi="Calibri"/>
                <w:b w:val="0"/>
                <w:i w:val="0"/>
                <w:color w:val="17332B"/>
                <w:sz w:val="21"/>
              </w:rPr>
              <w:t>Em 2024, o Índice de Valor Unitário das Exportações foi de 110,77 (2022=100), correspondendo a um aumento aproximado de 10,77% relativamente ao período-base, para o cabaz de produtos elegíveis segundo os critérios metodológicos definidos.</w:t>
            </w:r>
          </w:p>
        </w:tc>
      </w:tr>
    </w:tbl>
    <w:p>
      <w:pPr>
        <w:spacing w:after="20"/>
      </w:pPr>
    </w:p>
    <w:p>
      <w:pPr>
        <w:pStyle w:val="Heading1"/>
      </w:pPr>
      <w:r>
        <w:t>11. Previsão indicativa para 2026</w:t>
      </w:r>
    </w:p>
    <w:p>
      <w:pPr>
        <w:jc w:val="both"/>
      </w:pPr>
      <w:r>
        <w:rPr>
          <w:rFonts w:ascii="Calibri" w:hAnsi="Calibri"/>
          <w:b w:val="0"/>
          <w:i w:val="0"/>
          <w:color w:val="17332B"/>
          <w:sz w:val="22"/>
        </w:rPr>
        <w:t>A previsão de 2026 é produzida como cenário estatístico indicativo a partir da tendência histórica disponível. O modelo de tendência linear por mínimos quadrados ordinários pode ser utilizado sobre as séries anuais, acompanhado por limites inferior e superior de cenário.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8F5EC"/>
            <w:tcMar>
              <w:top w:w="180" w:type="dxa"/>
              <w:start w:w="240" w:type="dxa"/>
              <w:bottom w:w="180" w:type="dxa"/>
              <w:end w:w="2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75D3B"/>
                <w:sz w:val="18"/>
              </w:rPr>
              <w:t>TENDÊNCIA LINEAR</w:t>
            </w:r>
          </w:p>
          <w:p>
            <w:pPr>
              <w:jc w:val="center"/>
            </w:pPr>
            <w:r>
              <w:rPr>
                <w:rFonts w:ascii="Cambria Math" w:hAnsi="Cambria Math"/>
                <w:b/>
                <w:i w:val="0"/>
                <w:color w:val="063D2C"/>
                <w:sz w:val="30"/>
              </w:rPr>
              <w:t>Iₜ = α + βt + εₜ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i/>
                <w:color w:val="5D6E68"/>
                <w:sz w:val="19"/>
              </w:rPr>
              <w:t>α = nível estimado; β = variação média temporal; εₜ = componente não explicado.</w:t>
            </w:r>
          </w:p>
        </w:tc>
      </w:tr>
    </w:tbl>
    <w:p>
      <w:pPr>
        <w:spacing w:after="20"/>
      </w:pPr>
    </w:p>
    <w:p>
      <w:pPr>
        <w:pStyle w:val="ListBullet"/>
      </w:pPr>
      <w:r>
        <w:rPr>
          <w:rFonts w:ascii="Calibri" w:hAnsi="Calibri"/>
          <w:b w:val="0"/>
          <w:i w:val="0"/>
          <w:color w:val="17332B"/>
          <w:sz w:val="22"/>
        </w:rPr>
        <w:t>Identificar claramente o resultado como previsão/cenário, não como observação oficial.</w:t>
      </w:r>
    </w:p>
    <w:p>
      <w:pPr>
        <w:pStyle w:val="ListBullet"/>
      </w:pPr>
      <w:r>
        <w:rPr>
          <w:rFonts w:ascii="Calibri" w:hAnsi="Calibri"/>
          <w:b w:val="0"/>
          <w:i w:val="0"/>
          <w:color w:val="17332B"/>
          <w:sz w:val="22"/>
        </w:rPr>
        <w:t>Documentar a série, os anos utilizados e a data de geração.</w:t>
      </w:r>
    </w:p>
    <w:p>
      <w:pPr>
        <w:pStyle w:val="ListBullet"/>
      </w:pPr>
      <w:r>
        <w:rPr>
          <w:rFonts w:ascii="Calibri" w:hAnsi="Calibri"/>
          <w:b w:val="0"/>
          <w:i w:val="0"/>
          <w:color w:val="17332B"/>
          <w:sz w:val="22"/>
        </w:rPr>
        <w:t>Considerar que 2025 é parcial e pode influenciar a inclinação estimada.</w:t>
      </w:r>
    </w:p>
    <w:p>
      <w:pPr>
        <w:pStyle w:val="ListBullet"/>
      </w:pPr>
      <w:r>
        <w:rPr>
          <w:rFonts w:ascii="Calibri" w:hAnsi="Calibri"/>
          <w:b w:val="0"/>
          <w:i w:val="0"/>
          <w:color w:val="17332B"/>
          <w:sz w:val="22"/>
        </w:rPr>
        <w:t>Actualizar a previsão após a entrada de dados completos e validados.</w:t>
      </w:r>
    </w:p>
    <w:p>
      <w:pPr>
        <w:pStyle w:val="ListBullet"/>
      </w:pPr>
      <w:r>
        <w:rPr>
          <w:rFonts w:ascii="Calibri" w:hAnsi="Calibri"/>
          <w:b w:val="0"/>
          <w:i w:val="0"/>
          <w:color w:val="17332B"/>
          <w:sz w:val="22"/>
        </w:rPr>
        <w:t>Não utilizar o cenário isoladamente para decisões de elevada materialidade.</w:t>
      </w:r>
    </w:p>
    <w:p>
      <w:pPr>
        <w:pStyle w:val="Heading1"/>
      </w:pPr>
      <w:r>
        <w:t>12. Fluxo operacional recomendado</w:t>
      </w:r>
    </w:p>
    <w:p>
      <w:pPr>
        <w:pStyle w:val="ListNumber"/>
      </w:pPr>
      <w:r>
        <w:rPr>
          <w:rFonts w:ascii="Calibri" w:hAnsi="Calibri"/>
          <w:b w:val="0"/>
          <w:i w:val="0"/>
          <w:color w:val="17332B"/>
          <w:sz w:val="22"/>
        </w:rPr>
        <w:t>Receber e arquivar os dados originais de Exportações e Importações.</w:t>
      </w:r>
    </w:p>
    <w:p>
      <w:pPr>
        <w:pStyle w:val="ListNumber"/>
      </w:pPr>
      <w:r>
        <w:rPr>
          <w:rFonts w:ascii="Calibri" w:hAnsi="Calibri"/>
          <w:b w:val="0"/>
          <w:i w:val="0"/>
          <w:color w:val="17332B"/>
          <w:sz w:val="22"/>
        </w:rPr>
        <w:t>Executar validações de estrutura, duplicação, datas, códigos, valores, quantidades e unidades.</w:t>
      </w:r>
    </w:p>
    <w:p>
      <w:pPr>
        <w:pStyle w:val="ListNumber"/>
      </w:pPr>
      <w:r>
        <w:rPr>
          <w:rFonts w:ascii="Calibri" w:hAnsi="Calibri"/>
          <w:b w:val="0"/>
          <w:i w:val="0"/>
          <w:color w:val="17332B"/>
          <w:sz w:val="22"/>
        </w:rPr>
        <w:t>Agregar as transacções por período, fluxo e SH8.</w:t>
      </w:r>
    </w:p>
    <w:p>
      <w:pPr>
        <w:pStyle w:val="ListNumber"/>
      </w:pPr>
      <w:r>
        <w:rPr>
          <w:rFonts w:ascii="Calibri" w:hAnsi="Calibri"/>
          <w:b w:val="0"/>
          <w:i w:val="0"/>
          <w:color w:val="17332B"/>
          <w:sz w:val="22"/>
        </w:rPr>
        <w:t>Calcular valores unitários e indicadores de estabilidade.</w:t>
      </w:r>
    </w:p>
    <w:p>
      <w:pPr>
        <w:pStyle w:val="ListNumber"/>
      </w:pPr>
      <w:r>
        <w:rPr>
          <w:rFonts w:ascii="Calibri" w:hAnsi="Calibri"/>
          <w:b w:val="0"/>
          <w:i w:val="0"/>
          <w:color w:val="17332B"/>
          <w:sz w:val="22"/>
        </w:rPr>
        <w:t>Aplicar critérios de elegibilidade e tratamento de outliers.</w:t>
      </w:r>
    </w:p>
    <w:p>
      <w:pPr>
        <w:pStyle w:val="ListNumber"/>
      </w:pPr>
      <w:r>
        <w:rPr>
          <w:rFonts w:ascii="Calibri" w:hAnsi="Calibri"/>
          <w:b w:val="0"/>
          <w:i w:val="0"/>
          <w:color w:val="17332B"/>
          <w:sz w:val="22"/>
        </w:rPr>
        <w:t>Construir cabazes e ponderadores de 2022 para cada fluxo e Secção.</w:t>
      </w:r>
    </w:p>
    <w:p>
      <w:pPr>
        <w:pStyle w:val="ListNumber"/>
      </w:pPr>
      <w:r>
        <w:rPr>
          <w:rFonts w:ascii="Calibri" w:hAnsi="Calibri"/>
          <w:b w:val="0"/>
          <w:i w:val="0"/>
          <w:color w:val="17332B"/>
          <w:sz w:val="22"/>
        </w:rPr>
        <w:t>Calcular Laspeyres, Paasche, Fisher e Índice Global.</w:t>
      </w:r>
    </w:p>
    <w:p>
      <w:pPr>
        <w:pStyle w:val="ListNumber"/>
      </w:pPr>
      <w:r>
        <w:rPr>
          <w:rFonts w:ascii="Calibri" w:hAnsi="Calibri"/>
          <w:b w:val="0"/>
          <w:i w:val="0"/>
          <w:color w:val="17332B"/>
          <w:sz w:val="22"/>
        </w:rPr>
        <w:t>Gerar resultados mensais, trimestrais, semestrais e anuais.</w:t>
      </w:r>
    </w:p>
    <w:p>
      <w:pPr>
        <w:pStyle w:val="ListNumber"/>
      </w:pPr>
      <w:r>
        <w:rPr>
          <w:rFonts w:ascii="Calibri" w:hAnsi="Calibri"/>
          <w:b w:val="0"/>
          <w:i w:val="0"/>
          <w:color w:val="17332B"/>
          <w:sz w:val="22"/>
        </w:rPr>
        <w:t>Comparar resultados com períodos anteriores e analisar contribuições.</w:t>
      </w:r>
    </w:p>
    <w:p>
      <w:pPr>
        <w:pStyle w:val="ListNumber"/>
      </w:pPr>
      <w:r>
        <w:rPr>
          <w:rFonts w:ascii="Calibri" w:hAnsi="Calibri"/>
          <w:b w:val="0"/>
          <w:i w:val="0"/>
          <w:color w:val="17332B"/>
          <w:sz w:val="22"/>
        </w:rPr>
        <w:t>Submeter à validação técnica da DNCE e documentar correcções.</w:t>
      </w:r>
    </w:p>
    <w:p>
      <w:pPr>
        <w:pStyle w:val="ListNumber"/>
      </w:pPr>
      <w:r>
        <w:rPr>
          <w:rFonts w:ascii="Calibri" w:hAnsi="Calibri"/>
          <w:b w:val="0"/>
          <w:i w:val="0"/>
          <w:color w:val="17332B"/>
          <w:sz w:val="22"/>
        </w:rPr>
        <w:t>Publicar ficheiros, relatório, apresentação e metadados da versão.</w:t>
      </w:r>
    </w:p>
    <w:p>
      <w:pPr>
        <w:pStyle w:val="Heading2"/>
      </w:pPr>
      <w:r>
        <w:t>12.1 Implementação em SPSS</w:t>
      </w:r>
    </w:p>
    <w:p>
      <w:pPr>
        <w:jc w:val="both"/>
      </w:pPr>
      <w:r>
        <w:rPr>
          <w:rFonts w:ascii="Calibri" w:hAnsi="Calibri"/>
          <w:b w:val="0"/>
          <w:i w:val="0"/>
          <w:color w:val="17332B"/>
          <w:sz w:val="22"/>
        </w:rPr>
        <w:t>No SPSS, o fluxo pode ser estruturado em módulos de sintaxe: importação; padronização; agregação; cálculo do valor unitário; estatísticas de qualidade; selecção do cabaz; cálculo de ponderadores; cálculo dos índices; exportação. A sintaxe deve guardar a base original, produzir variáveis de controlo e evitar transformações manuais não documentadas.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075D3B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Módulo SPSS</w:t>
            </w:r>
          </w:p>
        </w:tc>
        <w:tc>
          <w:tcPr>
            <w:tcW w:type="dxa" w:w="7160"/>
            <w:shd w:fill="075D3B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Operações principais</w:t>
            </w:r>
          </w:p>
        </w:tc>
      </w:tr>
      <w:tr>
        <w:tc>
          <w:tcPr>
            <w:tcW w:type="dxa" w:w="220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7"/>
              </w:rPr>
              <w:t>01_Importação</w:t>
            </w:r>
          </w:p>
        </w:tc>
        <w:tc>
          <w:tcPr>
            <w:tcW w:type="dxa" w:w="716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7"/>
              </w:rPr>
              <w:t>GET DATA, formatos, rótulos e cópia de segurança.</w:t>
            </w:r>
          </w:p>
        </w:tc>
      </w:tr>
      <w:tr>
        <w:tc>
          <w:tcPr>
            <w:tcW w:type="dxa" w:w="220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EF3F0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7"/>
              </w:rPr>
              <w:t>02_Qualidade</w:t>
            </w:r>
          </w:p>
        </w:tc>
        <w:tc>
          <w:tcPr>
            <w:tcW w:type="dxa" w:w="716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EF3F0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7"/>
              </w:rPr>
              <w:t>FREQUENCIES, DESCRIPTIVES, duplicações e validações lógicas.</w:t>
            </w:r>
          </w:p>
        </w:tc>
      </w:tr>
      <w:tr>
        <w:tc>
          <w:tcPr>
            <w:tcW w:type="dxa" w:w="220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7"/>
              </w:rPr>
              <w:t>03_Agregação</w:t>
            </w:r>
          </w:p>
        </w:tc>
        <w:tc>
          <w:tcPr>
            <w:tcW w:type="dxa" w:w="716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7"/>
              </w:rPr>
              <w:t>AGGREGATE por fluxo, período e SH8.</w:t>
            </w:r>
          </w:p>
        </w:tc>
      </w:tr>
      <w:tr>
        <w:tc>
          <w:tcPr>
            <w:tcW w:type="dxa" w:w="220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EF3F0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7"/>
              </w:rPr>
              <w:t>04_Elegibilidade</w:t>
            </w:r>
          </w:p>
        </w:tc>
        <w:tc>
          <w:tcPr>
            <w:tcW w:type="dxa" w:w="716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EF3F0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7"/>
              </w:rPr>
              <w:t>CV, rácios, presença mínima e indicadores de exclusão.</w:t>
            </w:r>
          </w:p>
        </w:tc>
      </w:tr>
      <w:tr>
        <w:tc>
          <w:tcPr>
            <w:tcW w:type="dxa" w:w="220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7"/>
              </w:rPr>
              <w:t>05_Índices</w:t>
            </w:r>
          </w:p>
        </w:tc>
        <w:tc>
          <w:tcPr>
            <w:tcW w:type="dxa" w:w="716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7"/>
              </w:rPr>
              <w:t>Pesos 2022, relativos, Laspeyres, Paasche, Fisher e Global.</w:t>
            </w:r>
          </w:p>
        </w:tc>
      </w:tr>
      <w:tr>
        <w:tc>
          <w:tcPr>
            <w:tcW w:type="dxa" w:w="220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EF3F0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7"/>
              </w:rPr>
              <w:t>06_Saídas</w:t>
            </w:r>
          </w:p>
        </w:tc>
        <w:tc>
          <w:tcPr>
            <w:tcW w:type="dxa" w:w="716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EF3F0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7"/>
              </w:rPr>
              <w:t>MATCH FILES, SORT CASES e SAVE TRANSLATE para Excel/CSV.</w:t>
            </w:r>
          </w:p>
        </w:tc>
      </w:tr>
    </w:tbl>
    <w:p>
      <w:pPr>
        <w:spacing w:after="20"/>
      </w:pPr>
    </w:p>
    <w:p>
      <w:pPr>
        <w:pStyle w:val="Heading1"/>
      </w:pPr>
      <w:r>
        <w:t>13. Validação, governação e controlo de versões</w:t>
      </w:r>
    </w:p>
    <w:p>
      <w:pPr>
        <w:pStyle w:val="Heading2"/>
      </w:pPr>
      <w:r>
        <w:t>13.1 Validação técnica</w:t>
      </w:r>
    </w:p>
    <w:p>
      <w:pPr>
        <w:pStyle w:val="ListBullet"/>
      </w:pPr>
      <w:r>
        <w:rPr>
          <w:rFonts w:ascii="Calibri" w:hAnsi="Calibri"/>
          <w:b w:val="0"/>
          <w:i w:val="0"/>
          <w:color w:val="17332B"/>
          <w:sz w:val="22"/>
        </w:rPr>
        <w:t>Confirmar contagens de registos antes e depois de cada filtro.</w:t>
      </w:r>
    </w:p>
    <w:p>
      <w:pPr>
        <w:pStyle w:val="ListBullet"/>
      </w:pPr>
      <w:r>
        <w:rPr>
          <w:rFonts w:ascii="Calibri" w:hAnsi="Calibri"/>
          <w:b w:val="0"/>
          <w:i w:val="0"/>
          <w:color w:val="17332B"/>
          <w:sz w:val="22"/>
        </w:rPr>
        <w:t>Verificar que os pesos somam 1 ou 100%, admitindo apenas diferenças de arredondamento.</w:t>
      </w:r>
    </w:p>
    <w:p>
      <w:pPr>
        <w:pStyle w:val="ListBullet"/>
      </w:pPr>
      <w:r>
        <w:rPr>
          <w:rFonts w:ascii="Calibri" w:hAnsi="Calibri"/>
          <w:b w:val="0"/>
          <w:i w:val="0"/>
          <w:color w:val="17332B"/>
          <w:sz w:val="22"/>
        </w:rPr>
        <w:t>Confirmar que 2022 está normalizado para 100.</w:t>
      </w:r>
    </w:p>
    <w:p>
      <w:pPr>
        <w:pStyle w:val="ListBullet"/>
      </w:pPr>
      <w:r>
        <w:rPr>
          <w:rFonts w:ascii="Calibri" w:hAnsi="Calibri"/>
          <w:b w:val="0"/>
          <w:i w:val="0"/>
          <w:color w:val="17332B"/>
          <w:sz w:val="22"/>
        </w:rPr>
        <w:t>Comparar resultados agregados com totais de controlo das fontes.</w:t>
      </w:r>
    </w:p>
    <w:p>
      <w:pPr>
        <w:pStyle w:val="ListBullet"/>
      </w:pPr>
      <w:r>
        <w:rPr>
          <w:rFonts w:ascii="Calibri" w:hAnsi="Calibri"/>
          <w:b w:val="0"/>
          <w:i w:val="0"/>
          <w:color w:val="17332B"/>
          <w:sz w:val="22"/>
        </w:rPr>
        <w:t>Rever os maiores aumentos, reduções e contribuições.</w:t>
      </w:r>
    </w:p>
    <w:p>
      <w:pPr>
        <w:pStyle w:val="ListBullet"/>
      </w:pPr>
      <w:r>
        <w:rPr>
          <w:rFonts w:ascii="Calibri" w:hAnsi="Calibri"/>
          <w:b w:val="0"/>
          <w:i w:val="0"/>
          <w:color w:val="17332B"/>
          <w:sz w:val="22"/>
        </w:rPr>
        <w:t>Reproduzir uma amostra de resultados por cálculo independente.</w:t>
      </w:r>
    </w:p>
    <w:p>
      <w:pPr>
        <w:pStyle w:val="Heading2"/>
      </w:pPr>
      <w:r>
        <w:t>13.2 Metadados mínimos da publicação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075D3B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Elemento</w:t>
            </w:r>
          </w:p>
        </w:tc>
        <w:tc>
          <w:tcPr>
            <w:tcW w:type="dxa" w:w="7160"/>
            <w:shd w:fill="075D3B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Registo obrigatório</w:t>
            </w:r>
          </w:p>
        </w:tc>
      </w:tr>
      <w:tr>
        <w:tc>
          <w:tcPr>
            <w:tcW w:type="dxa" w:w="220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8"/>
              </w:rPr>
              <w:t>Versão</w:t>
            </w:r>
          </w:p>
        </w:tc>
        <w:tc>
          <w:tcPr>
            <w:tcW w:type="dxa" w:w="716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8"/>
              </w:rPr>
              <w:t>Número e data de publicação.</w:t>
            </w:r>
          </w:p>
        </w:tc>
      </w:tr>
      <w:tr>
        <w:tc>
          <w:tcPr>
            <w:tcW w:type="dxa" w:w="220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EF3F0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8"/>
              </w:rPr>
              <w:t>Cobertura</w:t>
            </w:r>
          </w:p>
        </w:tc>
        <w:tc>
          <w:tcPr>
            <w:tcW w:type="dxa" w:w="716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EF3F0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8"/>
              </w:rPr>
              <w:t>Datas inicial e final da base.</w:t>
            </w:r>
          </w:p>
        </w:tc>
      </w:tr>
      <w:tr>
        <w:tc>
          <w:tcPr>
            <w:tcW w:type="dxa" w:w="220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8"/>
              </w:rPr>
              <w:t>Base</w:t>
            </w:r>
          </w:p>
        </w:tc>
        <w:tc>
          <w:tcPr>
            <w:tcW w:type="dxa" w:w="716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8"/>
              </w:rPr>
              <w:t>Ano-base e fórmula aplicada.</w:t>
            </w:r>
          </w:p>
        </w:tc>
      </w:tr>
      <w:tr>
        <w:tc>
          <w:tcPr>
            <w:tcW w:type="dxa" w:w="220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EF3F0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8"/>
              </w:rPr>
              <w:t>Fontes</w:t>
            </w:r>
          </w:p>
        </w:tc>
        <w:tc>
          <w:tcPr>
            <w:tcW w:type="dxa" w:w="716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EF3F0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8"/>
              </w:rPr>
              <w:t>Ficheiros e responsáveis pela disponibilização.</w:t>
            </w:r>
          </w:p>
        </w:tc>
      </w:tr>
      <w:tr>
        <w:tc>
          <w:tcPr>
            <w:tcW w:type="dxa" w:w="220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8"/>
              </w:rPr>
              <w:t>Parâmetros</w:t>
            </w:r>
          </w:p>
        </w:tc>
        <w:tc>
          <w:tcPr>
            <w:tcW w:type="dxa" w:w="716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8"/>
              </w:rPr>
              <w:t>Limiar de CV, rácios, presença e outliers.</w:t>
            </w:r>
          </w:p>
        </w:tc>
      </w:tr>
      <w:tr>
        <w:tc>
          <w:tcPr>
            <w:tcW w:type="dxa" w:w="220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EF3F0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8"/>
              </w:rPr>
              <w:t>Alterações</w:t>
            </w:r>
          </w:p>
        </w:tc>
        <w:tc>
          <w:tcPr>
            <w:tcW w:type="dxa" w:w="716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EF3F0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8"/>
              </w:rPr>
              <w:t>Correcções efectuadas face à versão anterior.</w:t>
            </w:r>
          </w:p>
        </w:tc>
      </w:tr>
      <w:tr>
        <w:tc>
          <w:tcPr>
            <w:tcW w:type="dxa" w:w="220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8"/>
              </w:rPr>
              <w:t>Validação</w:t>
            </w:r>
          </w:p>
        </w:tc>
        <w:tc>
          <w:tcPr>
            <w:tcW w:type="dxa" w:w="716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8"/>
              </w:rPr>
              <w:t>Técnico, revisor e autoridade que aprovou.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EF3F0"/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r>
              <w:rPr>
                <w:rFonts w:ascii="Calibri" w:hAnsi="Calibri"/>
                <w:b/>
                <w:i w:val="0"/>
                <w:color w:val="075D3B"/>
                <w:sz w:val="20"/>
              </w:rPr>
              <w:t xml:space="preserve">GOVERNAÇÃO  </w:t>
            </w:r>
            <w:r>
              <w:rPr>
                <w:rFonts w:ascii="Calibri" w:hAnsi="Calibri"/>
                <w:b w:val="0"/>
                <w:i w:val="0"/>
                <w:color w:val="17332B"/>
                <w:sz w:val="21"/>
              </w:rPr>
              <w:t>Qualquer alteração no ano-base, nos limiares, na classificação SH, nas fontes ou na fórmula deve ser aprovada, documentada e acompanhada de avaliação do impacto sobre a série histórica.</w:t>
            </w:r>
          </w:p>
        </w:tc>
      </w:tr>
    </w:tbl>
    <w:p>
      <w:pPr>
        <w:spacing w:after="20"/>
      </w:pPr>
    </w:p>
    <w:p>
      <w:pPr>
        <w:pStyle w:val="Heading1"/>
      </w:pPr>
      <w:r>
        <w:t>14. Checklist de produção</w:t>
      </w:r>
    </w:p>
    <w:p>
      <w:pPr>
        <w:pStyle w:val="ListBullet"/>
      </w:pPr>
      <w:r>
        <w:rPr>
          <w:rFonts w:ascii="Calibri" w:hAnsi="Calibri"/>
          <w:b w:val="0"/>
          <w:i w:val="0"/>
          <w:color w:val="17332B"/>
          <w:sz w:val="22"/>
        </w:rPr>
        <w:t>[ ] Ficheiros originais arquivados e identificados.</w:t>
      </w:r>
    </w:p>
    <w:p>
      <w:pPr>
        <w:pStyle w:val="ListBullet"/>
      </w:pPr>
      <w:r>
        <w:rPr>
          <w:rFonts w:ascii="Calibri" w:hAnsi="Calibri"/>
          <w:b w:val="0"/>
          <w:i w:val="0"/>
          <w:color w:val="17332B"/>
          <w:sz w:val="22"/>
        </w:rPr>
        <w:t>[ ] Datas, valores, quantidades, unidades e SH8 validados.</w:t>
      </w:r>
    </w:p>
    <w:p>
      <w:pPr>
        <w:pStyle w:val="ListBullet"/>
      </w:pPr>
      <w:r>
        <w:rPr>
          <w:rFonts w:ascii="Calibri" w:hAnsi="Calibri"/>
          <w:b w:val="0"/>
          <w:i w:val="0"/>
          <w:color w:val="17332B"/>
          <w:sz w:val="22"/>
        </w:rPr>
        <w:t>[ ] Duplicações tratadas e registadas.</w:t>
      </w:r>
    </w:p>
    <w:p>
      <w:pPr>
        <w:pStyle w:val="ListBullet"/>
      </w:pPr>
      <w:r>
        <w:rPr>
          <w:rFonts w:ascii="Calibri" w:hAnsi="Calibri"/>
          <w:b w:val="0"/>
          <w:i w:val="0"/>
          <w:color w:val="17332B"/>
          <w:sz w:val="22"/>
        </w:rPr>
        <w:t>[ ] Agregação efectuada antes do valor unitário.</w:t>
      </w:r>
    </w:p>
    <w:p>
      <w:pPr>
        <w:pStyle w:val="ListBullet"/>
      </w:pPr>
      <w:r>
        <w:rPr>
          <w:rFonts w:ascii="Calibri" w:hAnsi="Calibri"/>
          <w:b w:val="0"/>
          <w:i w:val="0"/>
          <w:color w:val="17332B"/>
          <w:sz w:val="22"/>
        </w:rPr>
        <w:t>[ ] Presença mínima e filtros de estabilidade aplicados.</w:t>
      </w:r>
    </w:p>
    <w:p>
      <w:pPr>
        <w:pStyle w:val="ListBullet"/>
      </w:pPr>
      <w:r>
        <w:rPr>
          <w:rFonts w:ascii="Calibri" w:hAnsi="Calibri"/>
          <w:b w:val="0"/>
          <w:i w:val="0"/>
          <w:color w:val="17332B"/>
          <w:sz w:val="22"/>
        </w:rPr>
        <w:t>[ ] Outliers revistos e decisões documentadas.</w:t>
      </w:r>
    </w:p>
    <w:p>
      <w:pPr>
        <w:pStyle w:val="ListBullet"/>
      </w:pPr>
      <w:r>
        <w:rPr>
          <w:rFonts w:ascii="Calibri" w:hAnsi="Calibri"/>
          <w:b w:val="0"/>
          <w:i w:val="0"/>
          <w:color w:val="17332B"/>
          <w:sz w:val="22"/>
        </w:rPr>
        <w:t>[ ] Pesos de 2022 reconciliados.</w:t>
      </w:r>
    </w:p>
    <w:p>
      <w:pPr>
        <w:pStyle w:val="ListBullet"/>
      </w:pPr>
      <w:r>
        <w:rPr>
          <w:rFonts w:ascii="Calibri" w:hAnsi="Calibri"/>
          <w:b w:val="0"/>
          <w:i w:val="0"/>
          <w:color w:val="17332B"/>
          <w:sz w:val="22"/>
        </w:rPr>
        <w:t>[ ] Índices de Exportações, Importações e Global calculados.</w:t>
      </w:r>
    </w:p>
    <w:p>
      <w:pPr>
        <w:pStyle w:val="ListBullet"/>
      </w:pPr>
      <w:r>
        <w:rPr>
          <w:rFonts w:ascii="Calibri" w:hAnsi="Calibri"/>
          <w:b w:val="0"/>
          <w:i w:val="0"/>
          <w:color w:val="17332B"/>
          <w:sz w:val="22"/>
        </w:rPr>
        <w:t>[ ] Periodicidades recalculadas de forma independente.</w:t>
      </w:r>
    </w:p>
    <w:p>
      <w:pPr>
        <w:pStyle w:val="ListBullet"/>
      </w:pPr>
      <w:r>
        <w:rPr>
          <w:rFonts w:ascii="Calibri" w:hAnsi="Calibri"/>
          <w:b w:val="0"/>
          <w:i w:val="0"/>
          <w:color w:val="17332B"/>
          <w:sz w:val="22"/>
        </w:rPr>
        <w:t>[ ] 21 Secções SH verificadas.</w:t>
      </w:r>
    </w:p>
    <w:p>
      <w:pPr>
        <w:pStyle w:val="ListBullet"/>
      </w:pPr>
      <w:r>
        <w:rPr>
          <w:rFonts w:ascii="Calibri" w:hAnsi="Calibri"/>
          <w:b w:val="0"/>
          <w:i w:val="0"/>
          <w:color w:val="17332B"/>
          <w:sz w:val="22"/>
        </w:rPr>
        <w:t>[ ] 2025 identificado como Janeiro-Setembro.</w:t>
      </w:r>
    </w:p>
    <w:p>
      <w:pPr>
        <w:pStyle w:val="ListBullet"/>
      </w:pPr>
      <w:r>
        <w:rPr>
          <w:rFonts w:ascii="Calibri" w:hAnsi="Calibri"/>
          <w:b w:val="0"/>
          <w:i w:val="0"/>
          <w:color w:val="17332B"/>
          <w:sz w:val="22"/>
        </w:rPr>
        <w:t>[ ] Previsão 2026 identificada como cenário indicativo.</w:t>
      </w:r>
    </w:p>
    <w:p>
      <w:pPr>
        <w:pStyle w:val="ListBullet"/>
      </w:pPr>
      <w:r>
        <w:rPr>
          <w:rFonts w:ascii="Calibri" w:hAnsi="Calibri"/>
          <w:b w:val="0"/>
          <w:i w:val="0"/>
          <w:color w:val="17332B"/>
          <w:sz w:val="22"/>
        </w:rPr>
        <w:t>[ ] Relatório de validação e controlo de versão concluídos.</w:t>
      </w:r>
    </w:p>
    <w:p>
      <w:pPr>
        <w:pStyle w:val="Heading1"/>
      </w:pPr>
      <w:r>
        <w:t>15. Glossário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075D3B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Sigla/termo</w:t>
            </w:r>
          </w:p>
        </w:tc>
        <w:tc>
          <w:tcPr>
            <w:tcW w:type="dxa" w:w="7160"/>
            <w:shd w:fill="075D3B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Significado</w:t>
            </w:r>
          </w:p>
        </w:tc>
      </w:tr>
      <w:tr>
        <w:tc>
          <w:tcPr>
            <w:tcW w:type="dxa" w:w="220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8"/>
              </w:rPr>
              <w:t>DNCE</w:t>
            </w:r>
          </w:p>
        </w:tc>
        <w:tc>
          <w:tcPr>
            <w:tcW w:type="dxa" w:w="716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8"/>
              </w:rPr>
              <w:t>Direcção Nacional do Comércio Externo.</w:t>
            </w:r>
          </w:p>
        </w:tc>
      </w:tr>
      <w:tr>
        <w:tc>
          <w:tcPr>
            <w:tcW w:type="dxa" w:w="220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EF3F0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8"/>
              </w:rPr>
              <w:t>SH/SH8</w:t>
            </w:r>
          </w:p>
        </w:tc>
        <w:tc>
          <w:tcPr>
            <w:tcW w:type="dxa" w:w="716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EF3F0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8"/>
              </w:rPr>
              <w:t>Sistema Harmonizado / código de produto a oito dígitos.</w:t>
            </w:r>
          </w:p>
        </w:tc>
      </w:tr>
      <w:tr>
        <w:tc>
          <w:tcPr>
            <w:tcW w:type="dxa" w:w="220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8"/>
              </w:rPr>
              <w:t>IVU</w:t>
            </w:r>
          </w:p>
        </w:tc>
        <w:tc>
          <w:tcPr>
            <w:tcW w:type="dxa" w:w="716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8"/>
              </w:rPr>
              <w:t>Índice de Valor Unitário.</w:t>
            </w:r>
          </w:p>
        </w:tc>
      </w:tr>
      <w:tr>
        <w:tc>
          <w:tcPr>
            <w:tcW w:type="dxa" w:w="220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EF3F0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8"/>
              </w:rPr>
              <w:t>VU</w:t>
            </w:r>
          </w:p>
        </w:tc>
        <w:tc>
          <w:tcPr>
            <w:tcW w:type="dxa" w:w="716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EF3F0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8"/>
              </w:rPr>
              <w:t>Valor unitário: valor dividido pela quantidade.</w:t>
            </w:r>
          </w:p>
        </w:tc>
      </w:tr>
      <w:tr>
        <w:tc>
          <w:tcPr>
            <w:tcW w:type="dxa" w:w="220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8"/>
              </w:rPr>
              <w:t>CV</w:t>
            </w:r>
          </w:p>
        </w:tc>
        <w:tc>
          <w:tcPr>
            <w:tcW w:type="dxa" w:w="716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8"/>
              </w:rPr>
              <w:t>Coeficiente de variação.</w:t>
            </w:r>
          </w:p>
        </w:tc>
      </w:tr>
      <w:tr>
        <w:tc>
          <w:tcPr>
            <w:tcW w:type="dxa" w:w="220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EF3F0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8"/>
              </w:rPr>
              <w:t>Ano-base</w:t>
            </w:r>
          </w:p>
        </w:tc>
        <w:tc>
          <w:tcPr>
            <w:tcW w:type="dxa" w:w="716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EF3F0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8"/>
              </w:rPr>
              <w:t>Período de referência fixado em 100.</w:t>
            </w:r>
          </w:p>
        </w:tc>
      </w:tr>
      <w:tr>
        <w:tc>
          <w:tcPr>
            <w:tcW w:type="dxa" w:w="220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8"/>
              </w:rPr>
              <w:t>Outlier</w:t>
            </w:r>
          </w:p>
        </w:tc>
        <w:tc>
          <w:tcPr>
            <w:tcW w:type="dxa" w:w="716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8"/>
              </w:rPr>
              <w:t>Observação estatisticamente extrema que requer análise.</w:t>
            </w:r>
          </w:p>
        </w:tc>
      </w:tr>
      <w:tr>
        <w:tc>
          <w:tcPr>
            <w:tcW w:type="dxa" w:w="220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EF3F0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8"/>
              </w:rPr>
              <w:t>Ponderador</w:t>
            </w:r>
          </w:p>
        </w:tc>
        <w:tc>
          <w:tcPr>
            <w:tcW w:type="dxa" w:w="716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shd w:fill="EEF3F0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8"/>
              </w:rPr>
              <w:t>Peso relativo de um produto ou fluxo no valor da base.</w:t>
            </w:r>
          </w:p>
        </w:tc>
      </w:tr>
      <w:tr>
        <w:tc>
          <w:tcPr>
            <w:tcW w:type="dxa" w:w="220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8"/>
              </w:rPr>
              <w:t>OLS</w:t>
            </w:r>
          </w:p>
        </w:tc>
        <w:tc>
          <w:tcPr>
            <w:tcW w:type="dxa" w:w="716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7332B"/>
                <w:sz w:val="18"/>
              </w:rPr>
              <w:t>Mínimos quadrados ordinários usados na tendência linear.</w:t>
            </w:r>
          </w:p>
        </w:tc>
      </w:tr>
    </w:tbl>
    <w:p>
      <w:pPr>
        <w:spacing w:after="20"/>
      </w:pPr>
    </w:p>
    <w:p>
      <w:pPr>
        <w:jc w:val="center"/>
      </w:pPr>
      <w:r>
        <w:rPr>
          <w:rFonts w:ascii="Calibri" w:hAnsi="Calibri"/>
          <w:b w:val="0"/>
          <w:i/>
          <w:color w:val="17332B"/>
          <w:sz w:val="22"/>
        </w:rPr>
        <w:t>Fim do Manual Metodológico. Este documento deve ser utilizado em conjunto com a base de resultados, as sintaxes de processamento, o Relatório Técnico e o Manual de Utilização da Plataforma.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D6E68"/>
        <w:sz w:val="16"/>
      </w:rPr>
      <w:t xml:space="preserve">MINISTÉRIO DA ECONOMIA · DNCE   |   </w:t>
    </w:r>
    <w:r>
      <w:fldChar w:fldCharType="begin"/>
    </w:r>
    <w:r>
      <w:instrText xml:space="preserve">PAGE</w:instrText>
    </w:r>
    <w:r>
      <w:fldChar w:fldCharType="end"/>
    </w:r>
    <w:r>
      <w:rPr>
        <w:rFonts w:ascii="Calibri" w:hAnsi="Calibri"/>
        <w:b w:val="0"/>
        <w:i w:val="0"/>
        <w:color w:val="5D6E68"/>
        <w:sz w:val="16"/>
      </w:rPr>
      <w:t xml:space="preserve"> / </w:t>
    </w:r>
    <w:r>
      <w:fldChar w:fldCharType="begin"/>
    </w:r>
    <w:r>
      <w:instrText xml:space="preserve">NUMPAGES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5D6E68"/>
        <w:sz w:val="16"/>
      </w:rPr>
      <w:t>MANUAL METODOLÓGICO · ÍNDICES DO COMÉRCIO EXTERNO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733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75D3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745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63D2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63D2C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Calibri" w:hAnsi="Calibri"/>
      <w:b/>
      <w:i/>
      <w:iCs/>
      <w:color w:val="075D3B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