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/>
      </w:pPr>
      <w:r>
        <w:rPr>
          <w:b/>
          <w:color w:val="F4B400"/>
          <w:sz w:val="20"/>
        </w:rPr>
        <w:t>MANUAL INSTITUCIONAL</w:t>
      </w:r>
    </w:p>
    <w:p>
      <w:pPr>
        <w:pStyle w:val="Title"/>
      </w:pPr>
      <w:r>
        <w:t>Manual de Utilização da Plataforma dos Índices do Comércio Externo</w:t>
      </w:r>
    </w:p>
    <w:p>
      <w:r>
        <w:rPr>
          <w:color w:val="006B3F"/>
          <w:sz w:val="28"/>
        </w:rPr>
        <w:t>Consulta, filtragem, interpretação e descarga de resultados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936"/>
            <w:shd w:fill="17457A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FFFFFF"/>
                <w:sz w:val="21"/>
              </w:rPr>
              <w:t>Versão 1.0 · Base 2022=100 · Dados observados até Setembro de 2025 · Agosto de 2026</w:t>
            </w:r>
          </w:p>
        </w:tc>
      </w:tr>
    </w:tbl>
    <w:p>
      <w:r>
        <w:rPr>
          <w:color w:val="5F6F69"/>
        </w:rPr>
        <w:br/>
        <w:t>REPÚBLICA DE MOÇAMBIQUE</w:t>
        <w:br/>
        <w:t>MINISTÉRIO DA ECONOMIA · DIRECÇÃO NACIONAL DO COMÉRCIO EXTERNO</w:t>
      </w:r>
    </w:p>
    <w:p>
      <w:r>
        <w:br w:type="page"/>
      </w:r>
    </w:p>
    <w:p>
      <w:pPr>
        <w:pStyle w:val="Heading1"/>
      </w:pPr>
      <w:r>
        <w:t>1. Finalidade do manual</w:t>
      </w:r>
    </w:p>
    <w:p>
      <w:r>
        <w:t>Este manual orienta os técnicos da DNCE na utilização do Centro de Dados dos Índices do Comércio Externo. Abrange os índices de Exportações, Importações e Global, as periodicidades mensal, trimestral, semestral e anual, os 21 grupos de produtos e a documentação de suporte.</w:t>
      </w:r>
    </w:p>
    <w:p>
      <w:pPr>
        <w:pStyle w:val="Heading1"/>
      </w:pPr>
      <w:r>
        <w:t>2. Acesso e estrutura da plataforma</w:t>
      </w:r>
    </w:p>
    <w:p>
      <w:pPr>
        <w:pStyle w:val="ListBullet"/>
      </w:pPr>
      <w:r>
        <w:t>Abrir o endereço institucional da plataforma num navegador actualizado.</w:t>
      </w:r>
    </w:p>
    <w:p>
      <w:pPr>
        <w:pStyle w:val="ListBullet"/>
      </w:pPr>
      <w:r>
        <w:t>Utilizar o Centro de Dados para consultar séries e tabelas.</w:t>
      </w:r>
    </w:p>
    <w:p>
      <w:pPr>
        <w:pStyle w:val="ListBullet"/>
      </w:pPr>
      <w:r>
        <w:t>Utilizar a área “21 grupos de produtos” para análise por Secção SH.</w:t>
      </w:r>
    </w:p>
    <w:p>
      <w:pPr>
        <w:pStyle w:val="ListBullet"/>
      </w:pPr>
      <w:r>
        <w:t>Utilizar “Documentos para consulta” para descarregar resultados, fontes agregadas, relatório e apresentação.</w:t>
      </w:r>
    </w:p>
    <w:p>
      <w:pPr>
        <w:pStyle w:val="Heading1"/>
      </w:pPr>
      <w:r>
        <w:t>3. Filtros principais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shd w:fill="17457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Filtro</w:t>
            </w:r>
          </w:p>
        </w:tc>
        <w:tc>
          <w:tcPr>
            <w:tcW w:type="dxa" w:w="3024"/>
            <w:shd w:fill="17457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Opções</w:t>
            </w:r>
          </w:p>
        </w:tc>
        <w:tc>
          <w:tcPr>
            <w:tcW w:type="dxa" w:w="4536"/>
            <w:shd w:fill="17457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Utilização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Fluxo</w:t>
            </w:r>
          </w:p>
        </w:tc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Exportações · Importações · Global</w:t>
            </w:r>
          </w:p>
        </w:tc>
        <w:tc>
          <w:tcPr>
            <w:tcW w:type="dxa" w:w="453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Altera simultaneamente gráfico, tabela, previsão e grupos.</w:t>
            </w:r>
          </w:p>
        </w:tc>
      </w:tr>
      <w:tr>
        <w:tc>
          <w:tcPr>
            <w:tcW w:type="dxa" w:w="1800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Periodicidade</w:t>
            </w:r>
          </w:p>
        </w:tc>
        <w:tc>
          <w:tcPr>
            <w:tcW w:type="dxa" w:w="3024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Mensal · Trimestral · Semestral · Anual</w:t>
            </w:r>
          </w:p>
        </w:tc>
        <w:tc>
          <w:tcPr>
            <w:tcW w:type="dxa" w:w="4536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Define a frequência estatística apresentada.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Ano</w:t>
            </w:r>
          </w:p>
        </w:tc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2022 · 2023 · 2024 · 2025</w:t>
            </w:r>
          </w:p>
        </w:tc>
        <w:tc>
          <w:tcPr>
            <w:tcW w:type="dxa" w:w="453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Restringe o período; 2025 corresponde a Janeiro–Setembro.</w:t>
            </w:r>
          </w:p>
        </w:tc>
      </w:tr>
      <w:tr>
        <w:tc>
          <w:tcPr>
            <w:tcW w:type="dxa" w:w="1800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Grupo SH</w:t>
            </w:r>
          </w:p>
        </w:tc>
        <w:tc>
          <w:tcPr>
            <w:tcW w:type="dxa" w:w="3024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21 Secções</w:t>
            </w:r>
          </w:p>
        </w:tc>
        <w:tc>
          <w:tcPr>
            <w:tcW w:type="dxa" w:w="4536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Permite comparar a evolução de cada grupo nas periodicidades disponíveis.</w:t>
            </w:r>
          </w:p>
        </w:tc>
      </w:tr>
    </w:tbl>
    <w:p>
      <w:pPr>
        <w:pStyle w:val="Heading1"/>
      </w:pPr>
      <w:r>
        <w:t>4. Leitura dos gráficos</w:t>
      </w:r>
    </w:p>
    <w:p>
      <w:pPr>
        <w:pStyle w:val="ListBullet"/>
      </w:pPr>
      <w:r>
        <w:t>O eixo horizontal representa o período seleccionado.</w:t>
      </w:r>
    </w:p>
    <w:p>
      <w:pPr>
        <w:pStyle w:val="ListBullet"/>
      </w:pPr>
      <w:r>
        <w:t>O valor apresentado junto de cada ponto é o índice correspondente.</w:t>
      </w:r>
    </w:p>
    <w:p>
      <w:pPr>
        <w:pStyle w:val="ListBullet"/>
      </w:pPr>
      <w:r>
        <w:t>O ano-base é 2022=100: valores acima de 100 indicam aumento do valor unitário; abaixo de 100 indicam redução.</w:t>
      </w:r>
    </w:p>
    <w:p>
      <w:pPr>
        <w:pStyle w:val="ListBullet"/>
      </w:pPr>
      <w:r>
        <w:t>Para o Índice Global, os resultados combinam exportações e importações segundo ponderadores elegíveis de 2022.</w:t>
      </w:r>
    </w:p>
    <w:p>
      <w:pPr>
        <w:pStyle w:val="Heading1"/>
      </w:pPr>
      <w:r>
        <w:t>5. Consulta dos 21 grupos</w:t>
      </w:r>
    </w:p>
    <w:p>
      <w:r>
        <w:t>Seleccione o fluxo, a periodicidade, o ano e a Secção SH. A tabela apresenta Exportações, Importações e Global lado a lado, além do número de posições SH8 elegíveis quando aplicável. Alguns grupos podem não apresentar valor num período por ausência de observações admissíveis; isso não deve ser interpretado como índice zero.</w:t>
      </w:r>
    </w:p>
    <w:p>
      <w:pPr>
        <w:pStyle w:val="Heading1"/>
      </w:pPr>
      <w:r>
        <w:t>6. Descarga e rastreabilidade</w:t>
      </w:r>
    </w:p>
    <w:p>
      <w:pPr>
        <w:pStyle w:val="ListBullet"/>
      </w:pPr>
      <w:r>
        <w:t>Resultados recalculados: ficheiro Excel com séries consolidadas.</w:t>
      </w:r>
    </w:p>
    <w:p>
      <w:pPr>
        <w:pStyle w:val="ListBullet"/>
      </w:pPr>
      <w:r>
        <w:t>Fontes públicas agregadas: mês × SH8 × fluxo, sem NUIT ou nome empresarial.</w:t>
      </w:r>
    </w:p>
    <w:p>
      <w:pPr>
        <w:pStyle w:val="ListBullet"/>
      </w:pPr>
      <w:r>
        <w:t>Relatório técnico: metodologia, auditoria e interpretação.</w:t>
      </w:r>
    </w:p>
    <w:p>
      <w:pPr>
        <w:pStyle w:val="ListBullet"/>
      </w:pPr>
      <w:r>
        <w:t>Apresentação: síntese executiva para decisão.</w:t>
      </w:r>
    </w:p>
    <w:p>
      <w:pPr>
        <w:pStyle w:val="ListBullet"/>
      </w:pPr>
      <w:r>
        <w:t>Manual: instruções de navegação e interpretação.</w:t>
      </w:r>
    </w:p>
    <w:p>
      <w:pPr>
        <w:pStyle w:val="Heading1"/>
      </w:pPr>
      <w:r>
        <w:t>7. Boas práticas</w:t>
      </w:r>
    </w:p>
    <w:p>
      <w:pPr>
        <w:pStyle w:val="ListBullet"/>
      </w:pPr>
      <w:r>
        <w:t>Confirmar sempre o fluxo, ano e periodicidade activos antes de copiar um resultado.</w:t>
      </w:r>
    </w:p>
    <w:p>
      <w:pPr>
        <w:pStyle w:val="ListBullet"/>
      </w:pPr>
      <w:r>
        <w:t>Identificar 2025 como Janeiro–Setembro em relatórios e apresentações.</w:t>
      </w:r>
    </w:p>
    <w:p>
      <w:pPr>
        <w:pStyle w:val="ListBullet"/>
      </w:pPr>
      <w:r>
        <w:t>Não tratar a previsão 2026 como resultado oficial observado.</w:t>
      </w:r>
    </w:p>
    <w:p>
      <w:pPr>
        <w:pStyle w:val="ListBullet"/>
      </w:pPr>
      <w:r>
        <w:t>Registar a data de consulta e a versão utilizada.</w:t>
      </w:r>
    </w:p>
    <w:p>
      <w:pPr>
        <w:pStyle w:val="ListBullet"/>
      </w:pPr>
      <w:r>
        <w:t>Comunicar anomalias à equipa estatística da DNCE antes da divulgação externa.</w:t>
      </w:r>
    </w:p>
    <w:p>
      <w:pPr>
        <w:pStyle w:val="Heading1"/>
      </w:pPr>
      <w:r>
        <w:t>8. Resolução de problemas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7457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6192"/>
            <w:shd w:fill="17457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Procedimento</w:t>
            </w:r>
          </w:p>
        </w:tc>
      </w:tr>
      <w:tr>
        <w:tc>
          <w:tcPr>
            <w:tcW w:type="dxa" w:w="31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Página mostra versão anterior</w:t>
            </w:r>
          </w:p>
        </w:tc>
        <w:tc>
          <w:tcPr>
            <w:tcW w:type="dxa" w:w="61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Actualizar com Ctrl+F5 ou limpar a cache do navegador.</w:t>
            </w:r>
          </w:p>
        </w:tc>
      </w:tr>
      <w:tr>
        <w:tc>
          <w:tcPr>
            <w:tcW w:type="dxa" w:w="3168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Grupo sem valor</w:t>
            </w:r>
          </w:p>
        </w:tc>
        <w:tc>
          <w:tcPr>
            <w:tcW w:type="dxa" w:w="6192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Verificar outro período ou fluxo; pode não haver SH8 admissível.</w:t>
            </w:r>
          </w:p>
        </w:tc>
      </w:tr>
      <w:tr>
        <w:tc>
          <w:tcPr>
            <w:tcW w:type="dxa" w:w="31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Download não inicia</w:t>
            </w:r>
          </w:p>
        </w:tc>
        <w:tc>
          <w:tcPr>
            <w:tcW w:type="dxa" w:w="61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Permitir downloads no navegador e tentar novamente.</w:t>
            </w:r>
          </w:p>
        </w:tc>
      </w:tr>
      <w:tr>
        <w:tc>
          <w:tcPr>
            <w:tcW w:type="dxa" w:w="3168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Valores não coincidem</w:t>
            </w:r>
          </w:p>
        </w:tc>
        <w:tc>
          <w:tcPr>
            <w:tcW w:type="dxa" w:w="6192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Confirmar ano, frequência, fluxo e marcação de 2025 parcial.</w:t>
            </w:r>
          </w:p>
        </w:tc>
      </w:tr>
      <w:tr>
        <w:tc>
          <w:tcPr>
            <w:tcW w:type="dxa" w:w="31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Erro persistente</w:t>
            </w:r>
          </w:p>
        </w:tc>
        <w:tc>
          <w:tcPr>
            <w:tcW w:type="dxa" w:w="61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Registar captura, filtro utilizado, data/hora e comunicar ao ponto focal.</w:t>
            </w:r>
          </w:p>
        </w:tc>
      </w:tr>
    </w:tbl>
    <w:p>
      <w:pPr>
        <w:pStyle w:val="Heading1"/>
      </w:pPr>
      <w:r>
        <w:t>9. Contacto e governação</w:t>
      </w:r>
    </w:p>
    <w:p>
      <w:r>
        <w:t>A DNCE deve designar um ponto focal estatístico e um ponto focal tecnológico. Alterações metodológicas, novas fontes e integrações com o Portal do Comércio Externo devem ser documentadas, testadas e aprovadas antes da publicação.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F69"/>
        <w:sz w:val="15"/>
      </w:rPr>
      <w:t>MINISTÉRIO DA ECONOMIA · DNCE · ÍNDICES DO COMÉRCIO EXTERNO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F6F69"/>
        <w:sz w:val="16"/>
      </w:rPr>
      <w:t>Manual de Utilização · Plataforma 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733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457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6B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745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17457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