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/>
      </w:pPr>
      <w:r>
        <w:rPr>
          <w:b/>
          <w:color w:val="F4B400"/>
          <w:sz w:val="20"/>
        </w:rPr>
        <w:t>PLANO OPERACIONAL</w:t>
      </w:r>
    </w:p>
    <w:p>
      <w:pPr>
        <w:pStyle w:val="Title"/>
      </w:pPr>
      <w:r>
        <w:t>Plano de Capacitação e Articulação Institucional</w:t>
      </w:r>
    </w:p>
    <w:p>
      <w:r>
        <w:rPr>
          <w:color w:val="006B3F"/>
          <w:sz w:val="28"/>
        </w:rPr>
        <w:t>Utilização da Plataforma dos Índices do Comércio Externo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9936"/>
            <w:shd w:fill="17457A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FFFFFF"/>
                <w:sz w:val="21"/>
              </w:rPr>
              <w:t>DNCE · Sessão presencial de 1 dia · 16 participantes recomendados · Agosto de 2026</w:t>
            </w:r>
          </w:p>
        </w:tc>
      </w:tr>
    </w:tbl>
    <w:p>
      <w:r>
        <w:rPr>
          <w:color w:val="5F6F69"/>
        </w:rPr>
        <w:br/>
        <w:t>REPÚBLICA DE MOÇAMBIQUE</w:t>
        <w:br/>
        <w:t>MINISTÉRIO DA ECONOMIA · DIRECÇÃO NACIONAL DO COMÉRCIO EXTERNO</w:t>
      </w:r>
    </w:p>
    <w:p>
      <w:r>
        <w:br w:type="page"/>
      </w:r>
    </w:p>
    <w:p>
      <w:pPr>
        <w:pStyle w:val="Heading1"/>
      </w:pPr>
      <w:r>
        <w:t>1. Objectivo</w:t>
      </w:r>
    </w:p>
    <w:p>
      <w:r>
        <w:t>Capacitar os técnicos da DNCE para consultar, interpretar, validar e exportar os resultados da plataforma, e estabelecer um mecanismo de coordenação com a equipa responsável pela modernização do Portal do Comércio Externo.</w:t>
      </w:r>
    </w:p>
    <w:p>
      <w:pPr>
        <w:pStyle w:val="Heading1"/>
      </w:pPr>
      <w:r>
        <w:t>2. Resultados esperados</w:t>
      </w:r>
    </w:p>
    <w:p>
      <w:pPr>
        <w:pStyle w:val="ListBullet"/>
      </w:pPr>
      <w:r>
        <w:t>Técnicos dominam filtros por fluxo, ano, periodicidade e Secção SH.</w:t>
      </w:r>
    </w:p>
    <w:p>
      <w:pPr>
        <w:pStyle w:val="ListBullet"/>
      </w:pPr>
      <w:r>
        <w:t>Participantes interpretam correctamente base 2022=100, dados parciais de 2025 e previsão 2026.</w:t>
      </w:r>
    </w:p>
    <w:p>
      <w:pPr>
        <w:pStyle w:val="ListBullet"/>
      </w:pPr>
      <w:r>
        <w:t>DNCE executa downloads e verifica a rastreabilidade dos resultados.</w:t>
      </w:r>
    </w:p>
    <w:p>
      <w:pPr>
        <w:pStyle w:val="ListBullet"/>
      </w:pPr>
      <w:r>
        <w:t>Pontos focais e processo de integração institucional ficam definidos.</w:t>
      </w:r>
    </w:p>
    <w:p>
      <w:pPr>
        <w:pStyle w:val="Heading1"/>
      </w:pPr>
      <w:r>
        <w:t>3. Programa da sessão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shd w:fill="17457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Horário</w:t>
            </w:r>
          </w:p>
        </w:tc>
        <w:tc>
          <w:tcPr>
            <w:tcW w:type="dxa" w:w="2520"/>
            <w:shd w:fill="17457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5112"/>
            <w:shd w:fill="17457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Conteúdo/Produto</w:t>
            </w:r>
          </w:p>
        </w:tc>
      </w:tr>
      <w:tr>
        <w:tc>
          <w:tcPr>
            <w:tcW w:type="dxa" w:w="172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08:30–09:00</w:t>
            </w:r>
          </w:p>
        </w:tc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Abertura e diagnóstico</w:t>
            </w:r>
          </w:p>
        </w:tc>
        <w:tc>
          <w:tcPr>
            <w:tcW w:type="dxa" w:w="511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Objectivos, expectativas e teste inicial.</w:t>
            </w:r>
          </w:p>
        </w:tc>
      </w:tr>
      <w:tr>
        <w:tc>
          <w:tcPr>
            <w:tcW w:type="dxa" w:w="1728"/>
            <w:shd w:fill="EAF2EE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09:00–10:00</w:t>
            </w:r>
          </w:p>
        </w:tc>
        <w:tc>
          <w:tcPr>
            <w:tcW w:type="dxa" w:w="2520"/>
            <w:shd w:fill="EAF2EE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Metodologia essencial</w:t>
            </w:r>
          </w:p>
        </w:tc>
        <w:tc>
          <w:tcPr>
            <w:tcW w:type="dxa" w:w="5112"/>
            <w:shd w:fill="EAF2EE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VU, cabaz 2022, filtros, ponderação e Global.</w:t>
            </w:r>
          </w:p>
        </w:tc>
      </w:tr>
      <w:tr>
        <w:tc>
          <w:tcPr>
            <w:tcW w:type="dxa" w:w="172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10:00–10:15</w:t>
            </w:r>
          </w:p>
        </w:tc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Intervalo</w:t>
            </w:r>
          </w:p>
        </w:tc>
        <w:tc>
          <w:tcPr>
            <w:tcW w:type="dxa" w:w="511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728"/>
            <w:shd w:fill="EAF2EE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10:15–11:30</w:t>
            </w:r>
          </w:p>
        </w:tc>
        <w:tc>
          <w:tcPr>
            <w:tcW w:type="dxa" w:w="2520"/>
            <w:shd w:fill="EAF2EE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Centro de Dados</w:t>
            </w:r>
          </w:p>
        </w:tc>
        <w:tc>
          <w:tcPr>
            <w:tcW w:type="dxa" w:w="5112"/>
            <w:shd w:fill="EAF2EE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Fluxo, frequência, ano, rótulos, tabela e previsão.</w:t>
            </w:r>
          </w:p>
        </w:tc>
      </w:tr>
      <w:tr>
        <w:tc>
          <w:tcPr>
            <w:tcW w:type="dxa" w:w="172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11:30–12:30</w:t>
            </w:r>
          </w:p>
        </w:tc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21 grupos SH</w:t>
            </w:r>
          </w:p>
        </w:tc>
        <w:tc>
          <w:tcPr>
            <w:tcW w:type="dxa" w:w="511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Exercícios mensal, trimestral, semestral e anual.</w:t>
            </w:r>
          </w:p>
        </w:tc>
      </w:tr>
      <w:tr>
        <w:tc>
          <w:tcPr>
            <w:tcW w:type="dxa" w:w="1728"/>
            <w:shd w:fill="EAF2EE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12:30–13:30</w:t>
            </w:r>
          </w:p>
        </w:tc>
        <w:tc>
          <w:tcPr>
            <w:tcW w:type="dxa" w:w="2520"/>
            <w:shd w:fill="EAF2EE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Almoço</w:t>
            </w:r>
          </w:p>
        </w:tc>
        <w:tc>
          <w:tcPr>
            <w:tcW w:type="dxa" w:w="5112"/>
            <w:shd w:fill="EAF2EE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72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13:30–14:30</w:t>
            </w:r>
          </w:p>
        </w:tc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Downloads e qualidade</w:t>
            </w:r>
          </w:p>
        </w:tc>
        <w:tc>
          <w:tcPr>
            <w:tcW w:type="dxa" w:w="511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Excel, fontes agregadas, relatório e trilho de auditoria.</w:t>
            </w:r>
          </w:p>
        </w:tc>
      </w:tr>
      <w:tr>
        <w:tc>
          <w:tcPr>
            <w:tcW w:type="dxa" w:w="1728"/>
            <w:shd w:fill="EAF2EE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14:30–15:30</w:t>
            </w:r>
          </w:p>
        </w:tc>
        <w:tc>
          <w:tcPr>
            <w:tcW w:type="dxa" w:w="2520"/>
            <w:shd w:fill="EAF2EE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Exercício prático</w:t>
            </w:r>
          </w:p>
        </w:tc>
        <w:tc>
          <w:tcPr>
            <w:tcW w:type="dxa" w:w="5112"/>
            <w:shd w:fill="EAF2EE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Produzir uma nota estatística com gráfico e tabela.</w:t>
            </w:r>
          </w:p>
        </w:tc>
      </w:tr>
      <w:tr>
        <w:tc>
          <w:tcPr>
            <w:tcW w:type="dxa" w:w="172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15:30–16:15</w:t>
            </w:r>
          </w:p>
        </w:tc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Integração institucional</w:t>
            </w:r>
          </w:p>
        </w:tc>
        <w:tc>
          <w:tcPr>
            <w:tcW w:type="dxa" w:w="511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Arquitectura, responsabilidades e próximos passos.</w:t>
            </w:r>
          </w:p>
        </w:tc>
      </w:tr>
      <w:tr>
        <w:tc>
          <w:tcPr>
            <w:tcW w:type="dxa" w:w="1728"/>
            <w:shd w:fill="EAF2EE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16:15–16:45</w:t>
            </w:r>
          </w:p>
        </w:tc>
        <w:tc>
          <w:tcPr>
            <w:tcW w:type="dxa" w:w="2520"/>
            <w:shd w:fill="EAF2EE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Avaliação final</w:t>
            </w:r>
          </w:p>
        </w:tc>
        <w:tc>
          <w:tcPr>
            <w:tcW w:type="dxa" w:w="5112"/>
            <w:shd w:fill="EAF2EE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Teste, dúvidas e plano de aplicação.</w:t>
            </w:r>
          </w:p>
        </w:tc>
      </w:tr>
    </w:tbl>
    <w:p>
      <w:pPr>
        <w:pStyle w:val="Heading1"/>
      </w:pPr>
      <w:r>
        <w:t>4. Exercício prático</w:t>
      </w:r>
    </w:p>
    <w:p>
      <w:r>
        <w:t>Cada grupo selecciona um fluxo e uma Secção SH, compara dois anos em duas periodicidades, identifica o valor mais elevado e prepara uma interpretação de até 100 palavras, indicando fonte, base, cobertura e limitações.</w:t>
      </w:r>
    </w:p>
    <w:p>
      <w:pPr>
        <w:pStyle w:val="Heading1"/>
      </w:pPr>
      <w:r>
        <w:t>5. Recursos necessários</w:t>
      </w:r>
    </w:p>
    <w:p>
      <w:pPr>
        <w:pStyle w:val="ListBullet"/>
      </w:pPr>
      <w:r>
        <w:t>Sala com projector e internet estável.</w:t>
      </w:r>
    </w:p>
    <w:p>
      <w:pPr>
        <w:pStyle w:val="ListBullet"/>
      </w:pPr>
      <w:r>
        <w:t>Um computador por participante ou por dupla.</w:t>
      </w:r>
    </w:p>
    <w:p>
      <w:pPr>
        <w:pStyle w:val="ListBullet"/>
      </w:pPr>
      <w:r>
        <w:t>Manual de Utilização em PDF.</w:t>
      </w:r>
    </w:p>
    <w:p>
      <w:pPr>
        <w:pStyle w:val="ListBullet"/>
      </w:pPr>
      <w:r>
        <w:t>Ficheiro Excel de resultados e fontes públicas agregadas.</w:t>
      </w:r>
    </w:p>
    <w:p>
      <w:pPr>
        <w:pStyle w:val="ListBullet"/>
      </w:pPr>
      <w:r>
        <w:t>Ficha de avaliação inicial e final.</w:t>
      </w:r>
    </w:p>
    <w:p>
      <w:pPr>
        <w:pStyle w:val="Heading1"/>
      </w:pPr>
      <w:r>
        <w:t>6. Mecanismo de articulação para integração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944"/>
            <w:shd w:fill="17457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Instância</w:t>
            </w:r>
          </w:p>
        </w:tc>
        <w:tc>
          <w:tcPr>
            <w:tcW w:type="dxa" w:w="2520"/>
            <w:shd w:fill="17457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Participantes</w:t>
            </w:r>
          </w:p>
        </w:tc>
        <w:tc>
          <w:tcPr>
            <w:tcW w:type="dxa" w:w="3672"/>
            <w:shd w:fill="17457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1512"/>
            <w:shd w:fill="17457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FFFFFF"/>
                <w:sz w:val="18"/>
              </w:rPr>
              <w:t>Periodicidade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Grupo Técnico ICE–Portal</w:t>
            </w:r>
          </w:p>
        </w:tc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DNCE, consultor ICE, consultor Portal, TI</w:t>
            </w:r>
          </w:p>
        </w:tc>
        <w:tc>
          <w:tcPr>
            <w:tcW w:type="dxa" w:w="36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Avaliar requisitos, API/ficheiros, segurança e experiência do utilizador.</w:t>
            </w:r>
          </w:p>
        </w:tc>
        <w:tc>
          <w:tcPr>
            <w:tcW w:type="dxa" w:w="151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Quinzenal durante a integração</w:t>
            </w:r>
          </w:p>
        </w:tc>
      </w:tr>
      <w:tr>
        <w:tc>
          <w:tcPr>
            <w:tcW w:type="dxa" w:w="1944"/>
            <w:shd w:fill="EAF2EE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Validação Estatística</w:t>
            </w:r>
          </w:p>
        </w:tc>
        <w:tc>
          <w:tcPr>
            <w:tcW w:type="dxa" w:w="2520"/>
            <w:shd w:fill="EAF2EE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DNCE e consultor ICE</w:t>
            </w:r>
          </w:p>
        </w:tc>
        <w:tc>
          <w:tcPr>
            <w:tcW w:type="dxa" w:w="3672"/>
            <w:shd w:fill="EAF2EE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Homologar séries, metadados, notas e actualizações.</w:t>
            </w:r>
          </w:p>
        </w:tc>
        <w:tc>
          <w:tcPr>
            <w:tcW w:type="dxa" w:w="1512"/>
            <w:shd w:fill="EAF2EE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Antes de cada publicação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Validação Tecnológica</w:t>
            </w:r>
          </w:p>
        </w:tc>
        <w:tc>
          <w:tcPr>
            <w:tcW w:type="dxa" w:w="25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TI e consultor Portal</w:t>
            </w:r>
          </w:p>
        </w:tc>
        <w:tc>
          <w:tcPr>
            <w:tcW w:type="dxa" w:w="36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Testar desempenho, responsividade, acessibilidade e downloads.</w:t>
            </w:r>
          </w:p>
        </w:tc>
        <w:tc>
          <w:tcPr>
            <w:tcW w:type="dxa" w:w="151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Por versão</w:t>
            </w:r>
          </w:p>
        </w:tc>
      </w:tr>
      <w:tr>
        <w:tc>
          <w:tcPr>
            <w:tcW w:type="dxa" w:w="1944"/>
            <w:shd w:fill="EAF2EE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Comité de Decisão</w:t>
            </w:r>
          </w:p>
        </w:tc>
        <w:tc>
          <w:tcPr>
            <w:tcW w:type="dxa" w:w="2520"/>
            <w:shd w:fill="EAF2EE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Direcção DNCE e coordenação do projecto</w:t>
            </w:r>
          </w:p>
        </w:tc>
        <w:tc>
          <w:tcPr>
            <w:tcW w:type="dxa" w:w="3672"/>
            <w:shd w:fill="EAF2EE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Aprovar arquitectura, domínio e entrada em produção.</w:t>
            </w:r>
          </w:p>
        </w:tc>
        <w:tc>
          <w:tcPr>
            <w:tcW w:type="dxa" w:w="1512"/>
            <w:shd w:fill="EAF2EE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sz w:val="17"/>
              </w:rPr>
              <w:t>Nos marcos do projecto</w:t>
            </w:r>
          </w:p>
        </w:tc>
      </w:tr>
    </w:tbl>
    <w:p>
      <w:pPr>
        <w:pStyle w:val="Heading1"/>
      </w:pPr>
      <w:r>
        <w:t>7. Roteiro de integração</w:t>
      </w:r>
    </w:p>
    <w:p>
      <w:pPr>
        <w:pStyle w:val="ListBullet"/>
      </w:pPr>
      <w:r>
        <w:t>Semana 1: inventário funcional e técnico das duas plataformas.</w:t>
      </w:r>
    </w:p>
    <w:p>
      <w:pPr>
        <w:pStyle w:val="ListBullet"/>
      </w:pPr>
      <w:r>
        <w:t>Semana 2: decisão entre incorporação por página, subdomínio ou API.</w:t>
      </w:r>
    </w:p>
    <w:p>
      <w:pPr>
        <w:pStyle w:val="ListBullet"/>
      </w:pPr>
      <w:r>
        <w:t>Semana 3: protótipo integrado e testes com técnicos DNCE.</w:t>
      </w:r>
    </w:p>
    <w:p>
      <w:pPr>
        <w:pStyle w:val="ListBullet"/>
      </w:pPr>
      <w:r>
        <w:t>Semana 4: correcções, segurança, documentação e homologação.</w:t>
      </w:r>
    </w:p>
    <w:p>
      <w:pPr>
        <w:pStyle w:val="ListBullet"/>
      </w:pPr>
      <w:r>
        <w:t>Semana 5: publicação, monitoria e transferência de conhecimento.</w:t>
      </w:r>
    </w:p>
    <w:p>
      <w:pPr>
        <w:pStyle w:val="Heading1"/>
      </w:pPr>
      <w:r>
        <w:t>8. Critérios de sucesso</w:t>
      </w:r>
    </w:p>
    <w:p>
      <w:pPr>
        <w:pStyle w:val="ListBullet"/>
      </w:pPr>
      <w:r>
        <w:t>Pelo menos 80% no teste final.</w:t>
      </w:r>
    </w:p>
    <w:p>
      <w:pPr>
        <w:pStyle w:val="ListBullet"/>
      </w:pPr>
      <w:r>
        <w:t>Todos os participantes concluem o exercício.</w:t>
      </w:r>
    </w:p>
    <w:p>
      <w:pPr>
        <w:pStyle w:val="ListBullet"/>
      </w:pPr>
      <w:r>
        <w:t>Pontos focais formalmente designados.</w:t>
      </w:r>
    </w:p>
    <w:p>
      <w:pPr>
        <w:pStyle w:val="ListBullet"/>
      </w:pPr>
      <w:r>
        <w:t>Decisão de integração documentada.</w:t>
      </w:r>
    </w:p>
    <w:p>
      <w:pPr>
        <w:pStyle w:val="ListBullet"/>
      </w:pPr>
      <w:r>
        <w:t>Manual, fontes e responsabilidades disponíveis no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F69"/>
        <w:sz w:val="15"/>
      </w:rPr>
      <w:t>MINISTÉRIO DA ECONOMIA · DNCE · ÍNDICES DO COMÉRCIO EXTERNO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F6F69"/>
        <w:sz w:val="16"/>
      </w:rPr>
      <w:t>Capacitação e articulação institucional · Plataforma 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733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457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6B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7457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17457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