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40FEF" w14:textId="77777777" w:rsidR="00D770EC" w:rsidRPr="00323E00" w:rsidRDefault="00D770EC" w:rsidP="00D770EC">
      <w:pPr>
        <w:rPr>
          <w:b/>
          <w:color w:val="000000" w:themeColor="text1"/>
        </w:rPr>
      </w:pPr>
      <w:r w:rsidRPr="00323E00">
        <w:rPr>
          <w:b/>
          <w:color w:val="000000" w:themeColor="text1"/>
        </w:rPr>
        <w:t>I.</w:t>
      </w:r>
      <w:r w:rsidRPr="00323E00">
        <w:rPr>
          <w:b/>
          <w:color w:val="000000" w:themeColor="text1"/>
        </w:rPr>
        <w:tab/>
        <w:t>Preamble</w:t>
      </w:r>
    </w:p>
    <w:p w14:paraId="6CB4053C" w14:textId="77777777" w:rsidR="00D30A6B" w:rsidRDefault="00D30A6B" w:rsidP="008B119B">
      <w:pPr>
        <w:widowControl w:val="0"/>
        <w:autoSpaceDE w:val="0"/>
        <w:autoSpaceDN w:val="0"/>
        <w:adjustRightInd w:val="0"/>
        <w:rPr>
          <w:rFonts w:cs="Calibri"/>
        </w:rPr>
      </w:pPr>
    </w:p>
    <w:p w14:paraId="5139BE97" w14:textId="2E25C158" w:rsidR="009E6A48" w:rsidRDefault="005208A9" w:rsidP="008B119B">
      <w:pPr>
        <w:widowControl w:val="0"/>
        <w:autoSpaceDE w:val="0"/>
        <w:autoSpaceDN w:val="0"/>
        <w:adjustRightInd w:val="0"/>
        <w:ind w:left="720"/>
        <w:rPr>
          <w:rFonts w:cs="Calibri"/>
        </w:rPr>
      </w:pPr>
      <w:r>
        <w:rPr>
          <w:rFonts w:cs="Calibri"/>
        </w:rPr>
        <w:t>Summer session is an opportunity to provide courses for students outside of the standard academic year.</w:t>
      </w:r>
      <w:r w:rsidR="009E6A48">
        <w:rPr>
          <w:rFonts w:cs="Calibri"/>
        </w:rPr>
        <w:t xml:space="preserve"> </w:t>
      </w:r>
      <w:r>
        <w:rPr>
          <w:rFonts w:cs="Calibri"/>
        </w:rPr>
        <w:t>The University and the College determine how net revenues from the summer sess</w:t>
      </w:r>
      <w:r w:rsidR="00E17E16">
        <w:rPr>
          <w:rFonts w:cs="Calibri"/>
        </w:rPr>
        <w:t>ion instruction are allocated.</w:t>
      </w:r>
      <w:r w:rsidR="009E6A48">
        <w:rPr>
          <w:rFonts w:cs="Calibri"/>
        </w:rPr>
        <w:t xml:space="preserve"> </w:t>
      </w:r>
      <w:r w:rsidR="00E17E16">
        <w:rPr>
          <w:rFonts w:cs="Calibri"/>
        </w:rPr>
        <w:t xml:space="preserve">In </w:t>
      </w:r>
      <w:r>
        <w:rPr>
          <w:rFonts w:cs="Calibri"/>
        </w:rPr>
        <w:t xml:space="preserve">collaboration with </w:t>
      </w:r>
      <w:r w:rsidR="008B119B">
        <w:rPr>
          <w:rFonts w:cs="Calibri"/>
        </w:rPr>
        <w:t xml:space="preserve">the Dean’s office, departments and programs </w:t>
      </w:r>
      <w:r>
        <w:rPr>
          <w:rFonts w:cs="Calibri"/>
        </w:rPr>
        <w:t>coordinate</w:t>
      </w:r>
      <w:r w:rsidR="008B119B">
        <w:rPr>
          <w:rFonts w:cs="Calibri"/>
        </w:rPr>
        <w:t xml:space="preserve"> opportunities for faculty to teach courses during summer session.</w:t>
      </w:r>
    </w:p>
    <w:p w14:paraId="2F5180FF" w14:textId="77777777" w:rsidR="009E6A48" w:rsidRDefault="009E6A48" w:rsidP="008B119B">
      <w:pPr>
        <w:widowControl w:val="0"/>
        <w:autoSpaceDE w:val="0"/>
        <w:autoSpaceDN w:val="0"/>
        <w:adjustRightInd w:val="0"/>
        <w:ind w:left="720"/>
        <w:rPr>
          <w:rFonts w:cs="Calibri"/>
        </w:rPr>
      </w:pPr>
    </w:p>
    <w:p w14:paraId="64CE7DD1" w14:textId="77777777" w:rsidR="000D70B4" w:rsidRPr="000D70B4" w:rsidRDefault="00E17E16" w:rsidP="008B119B">
      <w:pPr>
        <w:widowControl w:val="0"/>
        <w:autoSpaceDE w:val="0"/>
        <w:autoSpaceDN w:val="0"/>
        <w:adjustRightInd w:val="0"/>
        <w:ind w:left="720"/>
        <w:rPr>
          <w:rFonts w:cs="Calibri"/>
        </w:rPr>
      </w:pPr>
      <w:r w:rsidRPr="006A3B60">
        <w:rPr>
          <w:rFonts w:cs="Calibri"/>
        </w:rPr>
        <w:t xml:space="preserve">Since departments are expected, at minimum, to break even, they should think carefully about the cost of resources </w:t>
      </w:r>
      <w:r w:rsidR="00410C43" w:rsidRPr="006A3B60">
        <w:rPr>
          <w:rFonts w:cs="Calibri"/>
        </w:rPr>
        <w:t xml:space="preserve">they </w:t>
      </w:r>
      <w:r w:rsidRPr="006A3B60">
        <w:rPr>
          <w:rFonts w:cs="Calibri"/>
        </w:rPr>
        <w:t>invest in summer courses relative to the anticipated enrollments.</w:t>
      </w:r>
      <w:r w:rsidR="009E6A48" w:rsidRPr="006A3B60">
        <w:rPr>
          <w:rFonts w:cs="Calibri"/>
        </w:rPr>
        <w:t xml:space="preserve"> </w:t>
      </w:r>
      <w:r w:rsidRPr="006A3B60">
        <w:rPr>
          <w:rFonts w:cs="Calibri"/>
        </w:rPr>
        <w:t xml:space="preserve">If the tuition income does not </w:t>
      </w:r>
      <w:r w:rsidR="00410C43" w:rsidRPr="006A3B60">
        <w:rPr>
          <w:rFonts w:cs="Calibri"/>
        </w:rPr>
        <w:t>cover the cost of offering summer courses</w:t>
      </w:r>
      <w:r w:rsidR="0046748F" w:rsidRPr="006A3B60">
        <w:rPr>
          <w:rFonts w:cs="Calibri"/>
        </w:rPr>
        <w:t>,</w:t>
      </w:r>
      <w:r w:rsidRPr="006A3B60">
        <w:rPr>
          <w:rFonts w:cs="Calibri"/>
        </w:rPr>
        <w:t xml:space="preserve"> reimbursement will be due to the College</w:t>
      </w:r>
      <w:r w:rsidRPr="00C26585">
        <w:rPr>
          <w:rFonts w:cs="Calibri"/>
        </w:rPr>
        <w:t>.</w:t>
      </w:r>
    </w:p>
    <w:p w14:paraId="60BDAA31" w14:textId="77777777" w:rsidR="00300BA0" w:rsidRDefault="00300BA0" w:rsidP="00B70949">
      <w:pPr>
        <w:rPr>
          <w:color w:val="000000" w:themeColor="text1"/>
        </w:rPr>
      </w:pPr>
    </w:p>
    <w:p w14:paraId="46695B7E" w14:textId="7977271B" w:rsidR="00081251" w:rsidRDefault="00081251" w:rsidP="002930B2">
      <w:pPr>
        <w:ind w:left="720" w:hanging="720"/>
        <w:rPr>
          <w:color w:val="000000" w:themeColor="text1"/>
        </w:rPr>
      </w:pPr>
      <w:r>
        <w:rPr>
          <w:color w:val="000000" w:themeColor="text1"/>
        </w:rPr>
        <w:tab/>
        <w:t>This policy concerns summer session appointments for tenure-related, non-tenure-track, and pro tem faculty only; summer appointments for graduate students are governed by the GTFF collective bargaining agreement.</w:t>
      </w:r>
    </w:p>
    <w:p w14:paraId="52E7DD6B" w14:textId="77777777" w:rsidR="00081251" w:rsidRPr="00323E00" w:rsidRDefault="00081251" w:rsidP="00B70949">
      <w:pPr>
        <w:rPr>
          <w:color w:val="000000" w:themeColor="text1"/>
        </w:rPr>
      </w:pPr>
    </w:p>
    <w:p w14:paraId="24263A40" w14:textId="77777777" w:rsidR="00D770EC" w:rsidRPr="00323E00" w:rsidRDefault="008B119B" w:rsidP="00D770EC">
      <w:pPr>
        <w:rPr>
          <w:b/>
          <w:color w:val="000000" w:themeColor="text1"/>
        </w:rPr>
      </w:pPr>
      <w:r>
        <w:rPr>
          <w:b/>
          <w:color w:val="000000" w:themeColor="text1"/>
        </w:rPr>
        <w:t>II.</w:t>
      </w:r>
      <w:r>
        <w:rPr>
          <w:b/>
          <w:color w:val="000000" w:themeColor="text1"/>
        </w:rPr>
        <w:tab/>
        <w:t>Determination of Course Offerings</w:t>
      </w:r>
    </w:p>
    <w:p w14:paraId="69955DB3" w14:textId="77777777" w:rsidR="00CA31AB" w:rsidRPr="00CA31AB" w:rsidRDefault="00CA31AB" w:rsidP="00CA31AB">
      <w:pPr>
        <w:rPr>
          <w:color w:val="000000" w:themeColor="text1"/>
          <w:u w:val="single"/>
        </w:rPr>
      </w:pPr>
    </w:p>
    <w:p w14:paraId="22387B90" w14:textId="5CDB0E75" w:rsidR="008B119B" w:rsidRPr="008B119B" w:rsidRDefault="008B119B" w:rsidP="00FF70C3">
      <w:pPr>
        <w:ind w:left="720"/>
        <w:rPr>
          <w:rFonts w:cs="Calibri"/>
        </w:rPr>
      </w:pPr>
      <w:r>
        <w:rPr>
          <w:rFonts w:cs="Calibri"/>
        </w:rPr>
        <w:t xml:space="preserve">Prior to scheduling courses for summer session, </w:t>
      </w:r>
      <w:r w:rsidR="00304F14">
        <w:rPr>
          <w:rFonts w:cs="Calibri"/>
        </w:rPr>
        <w:t xml:space="preserve">and during the settle-up period after summer term is over, </w:t>
      </w:r>
      <w:r>
        <w:rPr>
          <w:rFonts w:cs="Calibri"/>
        </w:rPr>
        <w:t>the Dean’s office will provide departments and programs with guidance on summer session course planning</w:t>
      </w:r>
      <w:r w:rsidR="00304F14">
        <w:rPr>
          <w:rFonts w:cs="Calibri"/>
        </w:rPr>
        <w:t xml:space="preserve">, </w:t>
      </w:r>
      <w:r w:rsidR="000F54DC">
        <w:rPr>
          <w:rFonts w:cs="Calibri"/>
        </w:rPr>
        <w:t>including budgetary</w:t>
      </w:r>
      <w:r>
        <w:rPr>
          <w:rFonts w:cs="Calibri"/>
        </w:rPr>
        <w:t xml:space="preserve"> guidance on how net revenues will be allocated to departments and programs and schedules for determining enrollment needed to break even for various levels of instructor compensation.</w:t>
      </w:r>
    </w:p>
    <w:p w14:paraId="6BE90D7D" w14:textId="77777777" w:rsidR="008B119B" w:rsidRDefault="008B119B" w:rsidP="00FF70C3">
      <w:pPr>
        <w:ind w:left="720"/>
        <w:rPr>
          <w:rFonts w:cs="Calibri"/>
          <w:color w:val="4F81BD" w:themeColor="accent1"/>
        </w:rPr>
      </w:pPr>
    </w:p>
    <w:p w14:paraId="66B76DDE" w14:textId="77777777" w:rsidR="008B119B" w:rsidRPr="008B119B" w:rsidRDefault="00D30A6B" w:rsidP="008B119B">
      <w:pPr>
        <w:ind w:left="720"/>
        <w:rPr>
          <w:rFonts w:cs="Calibri"/>
          <w:color w:val="4F81BD" w:themeColor="accent1"/>
        </w:rPr>
      </w:pPr>
      <w:r w:rsidRPr="00D30A6B">
        <w:rPr>
          <w:rFonts w:cs="Calibri"/>
          <w:color w:val="4F81BD" w:themeColor="accent1"/>
        </w:rPr>
        <w:t>Dean’s Guidance:</w:t>
      </w:r>
      <w:r>
        <w:rPr>
          <w:rFonts w:cs="Calibri"/>
          <w:color w:val="4F81BD" w:themeColor="accent1"/>
        </w:rPr>
        <w:t xml:space="preserve"> </w:t>
      </w:r>
      <w:r w:rsidR="004F52AA">
        <w:rPr>
          <w:rFonts w:cs="Calibri"/>
          <w:color w:val="4F81BD" w:themeColor="accent1"/>
        </w:rPr>
        <w:t>Department/program</w:t>
      </w:r>
      <w:r w:rsidR="00FF70C3">
        <w:rPr>
          <w:rFonts w:cs="Calibri"/>
          <w:color w:val="4F81BD" w:themeColor="accent1"/>
        </w:rPr>
        <w:t xml:space="preserve"> </w:t>
      </w:r>
      <w:r w:rsidR="008B119B">
        <w:rPr>
          <w:rFonts w:cs="Calibri"/>
          <w:color w:val="4F81BD" w:themeColor="accent1"/>
        </w:rPr>
        <w:t>explain</w:t>
      </w:r>
      <w:r w:rsidR="004F52AA">
        <w:rPr>
          <w:rFonts w:cs="Calibri"/>
          <w:color w:val="4F81BD" w:themeColor="accent1"/>
        </w:rPr>
        <w:t>s</w:t>
      </w:r>
      <w:r w:rsidR="008B119B">
        <w:rPr>
          <w:rFonts w:cs="Calibri"/>
          <w:color w:val="4F81BD" w:themeColor="accent1"/>
        </w:rPr>
        <w:t xml:space="preserve"> the principles</w:t>
      </w:r>
      <w:r w:rsidR="00081251">
        <w:rPr>
          <w:rFonts w:cs="Calibri"/>
          <w:color w:val="4F81BD" w:themeColor="accent1"/>
        </w:rPr>
        <w:t xml:space="preserve"> and general process</w:t>
      </w:r>
      <w:r w:rsidR="008B119B">
        <w:rPr>
          <w:rFonts w:cs="Calibri"/>
          <w:color w:val="4F81BD" w:themeColor="accent1"/>
        </w:rPr>
        <w:t xml:space="preserve"> by which course offerings are determined. </w:t>
      </w:r>
    </w:p>
    <w:p w14:paraId="3A5BAADB" w14:textId="77777777" w:rsidR="004F52AA" w:rsidRPr="00323E00" w:rsidRDefault="004F52AA" w:rsidP="008B119B">
      <w:pPr>
        <w:rPr>
          <w:color w:val="000000" w:themeColor="text1"/>
        </w:rPr>
      </w:pPr>
    </w:p>
    <w:p w14:paraId="69B6624E" w14:textId="77777777" w:rsidR="008B119B" w:rsidRPr="00323E00" w:rsidRDefault="00B671FC" w:rsidP="008B119B">
      <w:pPr>
        <w:rPr>
          <w:b/>
          <w:color w:val="000000" w:themeColor="text1"/>
        </w:rPr>
      </w:pPr>
      <w:r>
        <w:rPr>
          <w:b/>
          <w:color w:val="000000" w:themeColor="text1"/>
        </w:rPr>
        <w:t>III.</w:t>
      </w:r>
      <w:r>
        <w:rPr>
          <w:b/>
          <w:color w:val="000000" w:themeColor="text1"/>
        </w:rPr>
        <w:tab/>
        <w:t>Assignment of Instructors to Courses</w:t>
      </w:r>
    </w:p>
    <w:p w14:paraId="14E646DF" w14:textId="0C6DC959" w:rsidR="00B671FC" w:rsidRPr="00410C43" w:rsidRDefault="00956BF9" w:rsidP="00B671FC">
      <w:pPr>
        <w:pStyle w:val="NormalWeb"/>
        <w:ind w:left="720"/>
        <w:rPr>
          <w:rFonts w:asciiTheme="majorHAnsi" w:hAnsiTheme="majorHAnsi"/>
          <w:i/>
          <w:sz w:val="24"/>
          <w:szCs w:val="24"/>
        </w:rPr>
      </w:pPr>
      <w:r w:rsidRPr="00956BF9">
        <w:rPr>
          <w:rFonts w:ascii="Calibri" w:hAnsi="Calibri"/>
          <w:sz w:val="24"/>
          <w:szCs w:val="24"/>
        </w:rPr>
        <w:t>Summer instructional contracts are distinct and separate from nine-month, academic</w:t>
      </w:r>
      <w:r w:rsidR="00F61179">
        <w:rPr>
          <w:rFonts w:ascii="Calibri" w:hAnsi="Calibri"/>
          <w:sz w:val="24"/>
          <w:szCs w:val="24"/>
        </w:rPr>
        <w:t>-</w:t>
      </w:r>
      <w:r w:rsidRPr="00956BF9">
        <w:rPr>
          <w:rFonts w:ascii="Calibri" w:hAnsi="Calibri"/>
          <w:sz w:val="24"/>
          <w:szCs w:val="24"/>
        </w:rPr>
        <w:t>year contracts.</w:t>
      </w:r>
      <w:r w:rsidR="009E6A48">
        <w:rPr>
          <w:rFonts w:ascii="Calibri" w:hAnsi="Calibri"/>
        </w:rPr>
        <w:t xml:space="preserve"> </w:t>
      </w:r>
      <w:r w:rsidR="008B2C3D">
        <w:rPr>
          <w:rFonts w:asciiTheme="majorHAnsi" w:hAnsiTheme="majorHAnsi"/>
          <w:sz w:val="24"/>
          <w:szCs w:val="24"/>
        </w:rPr>
        <w:t>An offer of a summer s</w:t>
      </w:r>
      <w:r w:rsidR="00B671FC" w:rsidRPr="00B671FC">
        <w:rPr>
          <w:rFonts w:asciiTheme="majorHAnsi" w:hAnsiTheme="majorHAnsi"/>
          <w:sz w:val="24"/>
          <w:szCs w:val="24"/>
        </w:rPr>
        <w:t>ession appointment will be made at least five weeks prior to the beginning of the ap</w:t>
      </w:r>
      <w:r w:rsidR="008B2C3D">
        <w:rPr>
          <w:rFonts w:asciiTheme="majorHAnsi" w:hAnsiTheme="majorHAnsi"/>
          <w:sz w:val="24"/>
          <w:szCs w:val="24"/>
        </w:rPr>
        <w:t>pointment, whenever feasible.</w:t>
      </w:r>
      <w:r w:rsidR="009E6A48">
        <w:rPr>
          <w:rFonts w:asciiTheme="majorHAnsi" w:hAnsiTheme="majorHAnsi"/>
          <w:sz w:val="24"/>
          <w:szCs w:val="24"/>
        </w:rPr>
        <w:t xml:space="preserve"> </w:t>
      </w:r>
      <w:r w:rsidR="00081251">
        <w:rPr>
          <w:rFonts w:asciiTheme="majorHAnsi" w:hAnsiTheme="majorHAnsi"/>
          <w:sz w:val="24"/>
          <w:szCs w:val="24"/>
        </w:rPr>
        <w:t>Except as described in Article 18, Section 5 of the 2015-18 United Academics CBA, a</w:t>
      </w:r>
      <w:r w:rsidR="00B671FC" w:rsidRPr="00B671FC">
        <w:rPr>
          <w:rFonts w:asciiTheme="majorHAnsi" w:hAnsiTheme="majorHAnsi"/>
          <w:sz w:val="24"/>
          <w:szCs w:val="24"/>
        </w:rPr>
        <w:t xml:space="preserve"> bargaining unit faculty member on an academic</w:t>
      </w:r>
      <w:r w:rsidR="00F61179">
        <w:rPr>
          <w:rFonts w:asciiTheme="majorHAnsi" w:hAnsiTheme="majorHAnsi"/>
          <w:sz w:val="24"/>
          <w:szCs w:val="24"/>
        </w:rPr>
        <w:t>-</w:t>
      </w:r>
      <w:r w:rsidR="00B671FC" w:rsidRPr="00B671FC">
        <w:rPr>
          <w:rFonts w:asciiTheme="majorHAnsi" w:hAnsiTheme="majorHAnsi"/>
          <w:sz w:val="24"/>
          <w:szCs w:val="24"/>
        </w:rPr>
        <w:t>year appointme</w:t>
      </w:r>
      <w:r w:rsidR="008B2C3D">
        <w:rPr>
          <w:rFonts w:asciiTheme="majorHAnsi" w:hAnsiTheme="majorHAnsi"/>
          <w:sz w:val="24"/>
          <w:szCs w:val="24"/>
        </w:rPr>
        <w:t>nt is not required to accept a summer s</w:t>
      </w:r>
      <w:r w:rsidR="00B671FC" w:rsidRPr="00B671FC">
        <w:rPr>
          <w:rFonts w:asciiTheme="majorHAnsi" w:hAnsiTheme="majorHAnsi"/>
          <w:sz w:val="24"/>
          <w:szCs w:val="24"/>
        </w:rPr>
        <w:t>ession appointment, and will not be subject to discrimination and/</w:t>
      </w:r>
      <w:r w:rsidR="008B2C3D">
        <w:rPr>
          <w:rFonts w:asciiTheme="majorHAnsi" w:hAnsiTheme="majorHAnsi"/>
          <w:sz w:val="24"/>
          <w:szCs w:val="24"/>
        </w:rPr>
        <w:t xml:space="preserve">or </w:t>
      </w:r>
      <w:r w:rsidR="008B2C3D" w:rsidRPr="008B2C3D">
        <w:rPr>
          <w:rFonts w:asciiTheme="majorHAnsi" w:hAnsiTheme="majorHAnsi"/>
          <w:sz w:val="24"/>
          <w:szCs w:val="24"/>
        </w:rPr>
        <w:t>retaliation for declining a summer s</w:t>
      </w:r>
      <w:r w:rsidR="00B671FC" w:rsidRPr="008B2C3D">
        <w:rPr>
          <w:rFonts w:asciiTheme="majorHAnsi" w:hAnsiTheme="majorHAnsi"/>
          <w:sz w:val="24"/>
          <w:szCs w:val="24"/>
        </w:rPr>
        <w:t>ession appointment</w:t>
      </w:r>
      <w:r w:rsidR="00081251">
        <w:rPr>
          <w:rFonts w:asciiTheme="majorHAnsi" w:hAnsiTheme="majorHAnsi"/>
          <w:b/>
          <w:i/>
          <w:sz w:val="24"/>
          <w:szCs w:val="24"/>
        </w:rPr>
        <w:t>.</w:t>
      </w:r>
      <w:r w:rsidR="009E6A48">
        <w:rPr>
          <w:rFonts w:asciiTheme="majorHAnsi" w:hAnsiTheme="majorHAnsi"/>
          <w:i/>
          <w:sz w:val="24"/>
          <w:szCs w:val="24"/>
        </w:rPr>
        <w:t xml:space="preserve"> </w:t>
      </w:r>
    </w:p>
    <w:p w14:paraId="61398824" w14:textId="77777777" w:rsidR="00B671FC" w:rsidRPr="008B2C3D" w:rsidRDefault="008B2C3D" w:rsidP="008B2C3D">
      <w:pPr>
        <w:pStyle w:val="NormalWeb"/>
        <w:ind w:left="720"/>
        <w:rPr>
          <w:rFonts w:asciiTheme="majorHAnsi" w:hAnsiTheme="majorHAnsi"/>
          <w:sz w:val="24"/>
          <w:szCs w:val="24"/>
        </w:rPr>
      </w:pPr>
      <w:r w:rsidRPr="008B2C3D">
        <w:rPr>
          <w:rFonts w:asciiTheme="majorHAnsi" w:hAnsiTheme="majorHAnsi" w:cs="Calibri"/>
          <w:color w:val="4F81BD" w:themeColor="accent1"/>
          <w:sz w:val="24"/>
          <w:szCs w:val="24"/>
        </w:rPr>
        <w:t>Dean’</w:t>
      </w:r>
      <w:r w:rsidR="004F52AA">
        <w:rPr>
          <w:rFonts w:asciiTheme="majorHAnsi" w:hAnsiTheme="majorHAnsi" w:cs="Calibri"/>
          <w:color w:val="4F81BD" w:themeColor="accent1"/>
          <w:sz w:val="24"/>
          <w:szCs w:val="24"/>
        </w:rPr>
        <w:t>s Guidance: Department/program</w:t>
      </w:r>
      <w:r w:rsidRPr="008B2C3D">
        <w:rPr>
          <w:rFonts w:asciiTheme="majorHAnsi" w:hAnsiTheme="majorHAnsi" w:cs="Calibri"/>
          <w:color w:val="4F81BD" w:themeColor="accent1"/>
          <w:sz w:val="24"/>
          <w:szCs w:val="24"/>
        </w:rPr>
        <w:t xml:space="preserve"> explain</w:t>
      </w:r>
      <w:r w:rsidR="004F52AA">
        <w:rPr>
          <w:rFonts w:asciiTheme="majorHAnsi" w:hAnsiTheme="majorHAnsi" w:cs="Calibri"/>
          <w:color w:val="4F81BD" w:themeColor="accent1"/>
          <w:sz w:val="24"/>
          <w:szCs w:val="24"/>
        </w:rPr>
        <w:t>s the principles by which it</w:t>
      </w:r>
      <w:r w:rsidRPr="008B2C3D">
        <w:rPr>
          <w:rFonts w:asciiTheme="majorHAnsi" w:hAnsiTheme="majorHAnsi" w:cs="Calibri"/>
          <w:color w:val="4F81BD" w:themeColor="accent1"/>
          <w:sz w:val="24"/>
          <w:szCs w:val="24"/>
        </w:rPr>
        <w:t xml:space="preserve"> </w:t>
      </w:r>
      <w:r>
        <w:rPr>
          <w:rFonts w:asciiTheme="majorHAnsi" w:hAnsiTheme="majorHAnsi" w:cs="Calibri"/>
          <w:color w:val="4F81BD" w:themeColor="accent1"/>
          <w:sz w:val="24"/>
          <w:szCs w:val="24"/>
        </w:rPr>
        <w:t>assign</w:t>
      </w:r>
      <w:r w:rsidR="004F52AA">
        <w:rPr>
          <w:rFonts w:asciiTheme="majorHAnsi" w:hAnsiTheme="majorHAnsi" w:cs="Calibri"/>
          <w:color w:val="4F81BD" w:themeColor="accent1"/>
          <w:sz w:val="24"/>
          <w:szCs w:val="24"/>
        </w:rPr>
        <w:t>s</w:t>
      </w:r>
      <w:r>
        <w:rPr>
          <w:rFonts w:asciiTheme="majorHAnsi" w:hAnsiTheme="majorHAnsi" w:cs="Calibri"/>
          <w:color w:val="4F81BD" w:themeColor="accent1"/>
          <w:sz w:val="24"/>
          <w:szCs w:val="24"/>
        </w:rPr>
        <w:t xml:space="preserve"> instructors to courses, including who gets priority for a limited set of available courses.</w:t>
      </w:r>
      <w:r w:rsidR="00081251">
        <w:rPr>
          <w:rFonts w:asciiTheme="majorHAnsi" w:hAnsiTheme="majorHAnsi" w:cs="Calibri"/>
          <w:color w:val="4F81BD" w:themeColor="accent1"/>
          <w:sz w:val="24"/>
          <w:szCs w:val="24"/>
        </w:rPr>
        <w:t xml:space="preserve"> For these purposes, </w:t>
      </w:r>
      <w:r w:rsidR="000E5FD4">
        <w:rPr>
          <w:rFonts w:asciiTheme="majorHAnsi" w:hAnsiTheme="majorHAnsi" w:cs="Calibri"/>
          <w:color w:val="4F81BD" w:themeColor="accent1"/>
          <w:sz w:val="24"/>
          <w:szCs w:val="24"/>
        </w:rPr>
        <w:t>eligible graduate students</w:t>
      </w:r>
      <w:r w:rsidR="00081251">
        <w:rPr>
          <w:rFonts w:asciiTheme="majorHAnsi" w:hAnsiTheme="majorHAnsi" w:cs="Calibri"/>
          <w:color w:val="4F81BD" w:themeColor="accent1"/>
          <w:sz w:val="24"/>
          <w:szCs w:val="24"/>
        </w:rPr>
        <w:t xml:space="preserve"> </w:t>
      </w:r>
      <w:r w:rsidR="00081251" w:rsidRPr="006A3B60">
        <w:rPr>
          <w:rFonts w:asciiTheme="majorHAnsi" w:hAnsiTheme="majorHAnsi" w:cs="Calibri"/>
          <w:i/>
          <w:color w:val="4F81BD" w:themeColor="accent1"/>
          <w:sz w:val="24"/>
          <w:szCs w:val="24"/>
        </w:rPr>
        <w:t>should</w:t>
      </w:r>
      <w:r w:rsidR="00081251">
        <w:rPr>
          <w:rFonts w:asciiTheme="majorHAnsi" w:hAnsiTheme="majorHAnsi" w:cs="Calibri"/>
          <w:color w:val="4F81BD" w:themeColor="accent1"/>
          <w:sz w:val="24"/>
          <w:szCs w:val="24"/>
        </w:rPr>
        <w:t xml:space="preserve"> be considered together with faculty members to the extent that they are qualified to teach the same courses.</w:t>
      </w:r>
    </w:p>
    <w:p w14:paraId="6F0B265B" w14:textId="77777777" w:rsidR="00B671FC" w:rsidRPr="00323E00" w:rsidRDefault="00B671FC" w:rsidP="00B671FC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IV.</w:t>
      </w:r>
      <w:r>
        <w:rPr>
          <w:b/>
          <w:color w:val="000000" w:themeColor="text1"/>
        </w:rPr>
        <w:tab/>
        <w:t>Professional Responsibilities of Instructor During Summer Session</w:t>
      </w:r>
    </w:p>
    <w:p w14:paraId="19CB765C" w14:textId="77777777" w:rsidR="00B671FC" w:rsidRDefault="00B671FC" w:rsidP="00B671FC">
      <w:pPr>
        <w:rPr>
          <w:color w:val="000000" w:themeColor="text1"/>
        </w:rPr>
      </w:pPr>
    </w:p>
    <w:p w14:paraId="2D88604B" w14:textId="77777777" w:rsidR="004C1773" w:rsidRDefault="008B2C3D" w:rsidP="006A3B60">
      <w:pPr>
        <w:ind w:left="720"/>
      </w:pPr>
      <w:r>
        <w:t>Professiona</w:t>
      </w:r>
      <w:r w:rsidR="00DD6C49">
        <w:t>l responsibilities of faculty teaching summer session courses are identical to those connected with teaching a course during the academic year.</w:t>
      </w:r>
      <w:r w:rsidR="009E6A48">
        <w:t xml:space="preserve"> </w:t>
      </w:r>
      <w:r w:rsidR="00DD6C49">
        <w:t xml:space="preserve">This includes holding weekly office hours, answering standard advising questions that arise for students, and </w:t>
      </w:r>
      <w:r w:rsidR="004D4797">
        <w:t xml:space="preserve">standard duties </w:t>
      </w:r>
      <w:r w:rsidR="00410C43" w:rsidRPr="006A3B60">
        <w:t>associated</w:t>
      </w:r>
      <w:r w:rsidR="00410C43">
        <w:t xml:space="preserve"> </w:t>
      </w:r>
      <w:r w:rsidR="004D4797">
        <w:t>with administering</w:t>
      </w:r>
      <w:r w:rsidR="00DD6C49">
        <w:t xml:space="preserve"> </w:t>
      </w:r>
      <w:r w:rsidR="004D4797">
        <w:t>the course that arise even before or after the summer session term</w:t>
      </w:r>
      <w:r w:rsidR="00DD6C49">
        <w:t xml:space="preserve"> (e.g., </w:t>
      </w:r>
      <w:r w:rsidR="004D4797">
        <w:t xml:space="preserve">finalizing </w:t>
      </w:r>
      <w:r w:rsidR="00DD6C49">
        <w:t>grades of “incomplete”)</w:t>
      </w:r>
      <w:r w:rsidR="004F52AA">
        <w:t>.</w:t>
      </w:r>
      <w:r w:rsidR="009E6A48">
        <w:t xml:space="preserve"> </w:t>
      </w:r>
      <w:r w:rsidR="004C1773" w:rsidRPr="004C1773">
        <w:t xml:space="preserve">The following </w:t>
      </w:r>
      <w:r w:rsidR="00B205A0">
        <w:t>principles will determine</w:t>
      </w:r>
      <w:r w:rsidR="004C1773" w:rsidRPr="004C1773">
        <w:t xml:space="preserve"> what constitutes a full-time workload during the summer term</w:t>
      </w:r>
      <w:r w:rsidR="004C1773">
        <w:t>:</w:t>
      </w:r>
    </w:p>
    <w:p w14:paraId="63E2F1EA" w14:textId="77777777" w:rsidR="004C1773" w:rsidRDefault="004C1773" w:rsidP="004C1773"/>
    <w:p w14:paraId="1CF899D8" w14:textId="23368127" w:rsidR="007B6201" w:rsidRDefault="007B6201" w:rsidP="004C1773">
      <w:pPr>
        <w:pStyle w:val="ListParagraph"/>
        <w:numPr>
          <w:ilvl w:val="0"/>
          <w:numId w:val="14"/>
        </w:numPr>
        <w:rPr>
          <w:rFonts w:ascii="Calibri" w:hAnsi="Calibri" w:cs="Times New Roman"/>
        </w:rPr>
      </w:pPr>
      <w:r w:rsidRPr="004C1773">
        <w:rPr>
          <w:rFonts w:ascii="Calibri" w:hAnsi="Calibri" w:cs="Times New Roman"/>
        </w:rPr>
        <w:t>The FTE assigned a course must be the same no matter who teaches the course.</w:t>
      </w:r>
    </w:p>
    <w:p w14:paraId="14678197" w14:textId="50F1F72F" w:rsidR="004C1773" w:rsidRDefault="004C1773" w:rsidP="004C1773">
      <w:pPr>
        <w:pStyle w:val="ListParagraph"/>
        <w:numPr>
          <w:ilvl w:val="0"/>
          <w:numId w:val="14"/>
        </w:numPr>
        <w:rPr>
          <w:rFonts w:ascii="Calibri" w:hAnsi="Calibri" w:cs="Times New Roman"/>
        </w:rPr>
      </w:pPr>
      <w:r w:rsidRPr="00016544">
        <w:rPr>
          <w:rFonts w:ascii="Calibri" w:hAnsi="Calibri" w:cs="Times New Roman"/>
        </w:rPr>
        <w:t>A standard 4-credit academic course taught in a 4-week term co</w:t>
      </w:r>
      <w:r w:rsidR="00B205A0">
        <w:rPr>
          <w:rFonts w:ascii="Calibri" w:hAnsi="Calibri" w:cs="Times New Roman"/>
        </w:rPr>
        <w:t>nstitutes .</w:t>
      </w:r>
      <w:r w:rsidR="00304F14">
        <w:rPr>
          <w:rFonts w:ascii="Calibri" w:hAnsi="Calibri" w:cs="Times New Roman"/>
        </w:rPr>
        <w:t>9</w:t>
      </w:r>
      <w:r w:rsidR="00B205A0">
        <w:rPr>
          <w:rFonts w:ascii="Calibri" w:hAnsi="Calibri" w:cs="Times New Roman"/>
        </w:rPr>
        <w:t xml:space="preserve"> FTE for that term</w:t>
      </w:r>
      <w:r w:rsidR="00530D41">
        <w:rPr>
          <w:rFonts w:ascii="Calibri" w:hAnsi="Calibri" w:cs="Times New Roman"/>
        </w:rPr>
        <w:t>.</w:t>
      </w:r>
      <w:r w:rsidR="00C0404C">
        <w:rPr>
          <w:rFonts w:ascii="Calibri" w:hAnsi="Calibri" w:cs="Times New Roman"/>
        </w:rPr>
        <w:t xml:space="preserve"> </w:t>
      </w:r>
      <w:r w:rsidR="00530D41">
        <w:rPr>
          <w:rFonts w:ascii="Calibri" w:hAnsi="Calibri" w:cs="Times New Roman"/>
        </w:rPr>
        <w:t>This equates to</w:t>
      </w:r>
      <w:r w:rsidR="00C0404C">
        <w:rPr>
          <w:rFonts w:ascii="Calibri" w:hAnsi="Calibri" w:cs="Times New Roman"/>
        </w:rPr>
        <w:t xml:space="preserve"> .3 FTE prorated across the entire 12-week summer session</w:t>
      </w:r>
      <w:r w:rsidR="00530D41">
        <w:rPr>
          <w:rFonts w:ascii="Calibri" w:hAnsi="Calibri" w:cs="Times New Roman"/>
        </w:rPr>
        <w:t>.</w:t>
      </w:r>
    </w:p>
    <w:p w14:paraId="61E340B1" w14:textId="77777777" w:rsidR="004C1773" w:rsidRDefault="004C1773" w:rsidP="004C1773">
      <w:pPr>
        <w:pStyle w:val="ListParagraph"/>
        <w:numPr>
          <w:ilvl w:val="0"/>
          <w:numId w:val="14"/>
        </w:numPr>
        <w:rPr>
          <w:rFonts w:ascii="Calibri" w:hAnsi="Calibri" w:cs="Times New Roman"/>
        </w:rPr>
      </w:pPr>
      <w:r w:rsidRPr="00016544">
        <w:rPr>
          <w:rFonts w:ascii="Calibri" w:hAnsi="Calibri" w:cs="Times New Roman"/>
        </w:rPr>
        <w:t>3- and 5-credit courses are counted the same as 4-credit courses for the purp</w:t>
      </w:r>
      <w:r w:rsidR="00B205A0">
        <w:rPr>
          <w:rFonts w:ascii="Calibri" w:hAnsi="Calibri" w:cs="Times New Roman"/>
        </w:rPr>
        <w:t>oses of calculating faculty FTE</w:t>
      </w:r>
    </w:p>
    <w:p w14:paraId="6635A109" w14:textId="77777777" w:rsidR="004C1773" w:rsidRPr="00B205A0" w:rsidRDefault="00B205A0" w:rsidP="004C1773">
      <w:pPr>
        <w:pStyle w:val="ListParagraph"/>
        <w:numPr>
          <w:ilvl w:val="0"/>
          <w:numId w:val="14"/>
        </w:numPr>
      </w:pPr>
      <w:r w:rsidRPr="00016544">
        <w:rPr>
          <w:rFonts w:ascii="Calibri" w:hAnsi="Calibri" w:cs="Times New Roman"/>
        </w:rPr>
        <w:t>FTE for courses carrying other amounts of credit is prorated on a 4-credit standard</w:t>
      </w:r>
    </w:p>
    <w:p w14:paraId="0F953EBD" w14:textId="546A92AA" w:rsidR="004C1773" w:rsidRDefault="004C1773" w:rsidP="004F52AA">
      <w:pPr>
        <w:ind w:left="720"/>
      </w:pPr>
    </w:p>
    <w:p w14:paraId="58A8C549" w14:textId="17896EFC" w:rsidR="007B6201" w:rsidRDefault="00B205A0" w:rsidP="00B205A0">
      <w:pPr>
        <w:ind w:left="720"/>
        <w:rPr>
          <w:rFonts w:ascii="Calibri" w:hAnsi="Calibri"/>
        </w:rPr>
      </w:pPr>
      <w:r>
        <w:rPr>
          <w:rFonts w:ascii="Calibri" w:hAnsi="Calibri"/>
        </w:rPr>
        <w:t>Any exception to these principles</w:t>
      </w:r>
      <w:r w:rsidR="004C1773" w:rsidRPr="004C1773">
        <w:rPr>
          <w:rFonts w:ascii="Calibri" w:hAnsi="Calibri"/>
        </w:rPr>
        <w:t xml:space="preserve"> must be appropriately documented</w:t>
      </w:r>
      <w:r w:rsidR="004C1773">
        <w:rPr>
          <w:rFonts w:ascii="Calibri" w:hAnsi="Calibri"/>
        </w:rPr>
        <w:t xml:space="preserve"> and approved </w:t>
      </w:r>
      <w:r w:rsidR="007B6201">
        <w:rPr>
          <w:rFonts w:ascii="Calibri" w:hAnsi="Calibri"/>
        </w:rPr>
        <w:t xml:space="preserve">through prior consultation with </w:t>
      </w:r>
      <w:r w:rsidR="004C1773">
        <w:rPr>
          <w:rFonts w:ascii="Calibri" w:hAnsi="Calibri"/>
        </w:rPr>
        <w:t>CAS</w:t>
      </w:r>
      <w:r>
        <w:rPr>
          <w:rFonts w:ascii="Calibri" w:hAnsi="Calibri"/>
        </w:rPr>
        <w:t>.</w:t>
      </w:r>
    </w:p>
    <w:p w14:paraId="2AFC721D" w14:textId="77777777" w:rsidR="007B6201" w:rsidRDefault="007B6201" w:rsidP="00B205A0">
      <w:pPr>
        <w:ind w:left="720"/>
        <w:rPr>
          <w:rFonts w:ascii="Calibri" w:hAnsi="Calibri"/>
        </w:rPr>
      </w:pPr>
    </w:p>
    <w:p w14:paraId="6B94A084" w14:textId="53548FE7" w:rsidR="004C1773" w:rsidRPr="00411946" w:rsidRDefault="007B6201" w:rsidP="00B205A0">
      <w:pPr>
        <w:ind w:left="720"/>
      </w:pPr>
      <w:r w:rsidRPr="004C1773">
        <w:rPr>
          <w:rFonts w:ascii="Calibri" w:hAnsi="Calibri"/>
        </w:rPr>
        <w:t xml:space="preserve">The combination of summer research and instructional appointments for the same faculty member must not exceed 1.0 FTE </w:t>
      </w:r>
      <w:r>
        <w:rPr>
          <w:rFonts w:ascii="Calibri" w:hAnsi="Calibri"/>
        </w:rPr>
        <w:t>across all parts of</w:t>
      </w:r>
      <w:r w:rsidRPr="004C1773">
        <w:rPr>
          <w:rFonts w:ascii="Calibri" w:hAnsi="Calibri"/>
        </w:rPr>
        <w:t xml:space="preserve"> summer </w:t>
      </w:r>
      <w:r w:rsidR="00A61B79">
        <w:rPr>
          <w:rFonts w:ascii="Calibri" w:hAnsi="Calibri"/>
        </w:rPr>
        <w:t>session</w:t>
      </w:r>
      <w:r w:rsidRPr="004C1773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 w:rsidR="00B205A0">
        <w:rPr>
          <w:rFonts w:ascii="Calibri" w:hAnsi="Calibri"/>
        </w:rPr>
        <w:t xml:space="preserve">See the addendum for </w:t>
      </w:r>
      <w:r w:rsidR="00580176">
        <w:rPr>
          <w:rFonts w:ascii="Calibri" w:hAnsi="Calibri"/>
        </w:rPr>
        <w:t xml:space="preserve">a table showing FTE for various summer session appointments and cases where assignments </w:t>
      </w:r>
      <w:r>
        <w:rPr>
          <w:rFonts w:ascii="Calibri" w:hAnsi="Calibri"/>
        </w:rPr>
        <w:t xml:space="preserve">greater than 1.0 FTE </w:t>
      </w:r>
      <w:r w:rsidRPr="00411946">
        <w:rPr>
          <w:rFonts w:ascii="Calibri" w:hAnsi="Calibri"/>
          <w:u w:val="single"/>
        </w:rPr>
        <w:t>within</w:t>
      </w:r>
      <w:r>
        <w:rPr>
          <w:rFonts w:ascii="Calibri" w:hAnsi="Calibri"/>
        </w:rPr>
        <w:t xml:space="preserve"> a given term </w:t>
      </w:r>
      <w:r w:rsidR="00580176">
        <w:rPr>
          <w:rFonts w:ascii="Calibri" w:hAnsi="Calibri"/>
        </w:rPr>
        <w:t>are likely to be approved</w:t>
      </w:r>
      <w:r w:rsidR="00A61B79">
        <w:rPr>
          <w:rFonts w:ascii="Calibri" w:hAnsi="Calibri"/>
        </w:rPr>
        <w:t xml:space="preserve"> by CAS</w:t>
      </w:r>
      <w:r w:rsidR="00580176">
        <w:rPr>
          <w:rFonts w:ascii="Calibri" w:hAnsi="Calibri"/>
        </w:rPr>
        <w:t>.</w:t>
      </w:r>
    </w:p>
    <w:p w14:paraId="2383472E" w14:textId="77777777" w:rsidR="004C1773" w:rsidRDefault="004C1773" w:rsidP="004F52AA">
      <w:pPr>
        <w:ind w:left="720"/>
      </w:pPr>
    </w:p>
    <w:p w14:paraId="7E4E746B" w14:textId="77777777" w:rsidR="00580176" w:rsidRDefault="00580176" w:rsidP="00580176">
      <w:pPr>
        <w:ind w:left="720"/>
        <w:rPr>
          <w:rFonts w:cs="Calibri"/>
          <w:color w:val="4F81BD" w:themeColor="accent1"/>
        </w:rPr>
      </w:pPr>
      <w:r w:rsidRPr="008B2C3D">
        <w:rPr>
          <w:rFonts w:cs="Calibri"/>
          <w:color w:val="4F81BD" w:themeColor="accent1"/>
        </w:rPr>
        <w:t>Dean’</w:t>
      </w:r>
      <w:r>
        <w:rPr>
          <w:rFonts w:cs="Calibri"/>
          <w:color w:val="4F81BD" w:themeColor="accent1"/>
        </w:rPr>
        <w:t xml:space="preserve">s Guidance: Department/program may provide any unit-specific context </w:t>
      </w:r>
      <w:r w:rsidR="00410C43" w:rsidRPr="006A3B60">
        <w:rPr>
          <w:rFonts w:cs="Calibri"/>
          <w:color w:val="4F81BD" w:themeColor="accent1"/>
        </w:rPr>
        <w:t>for</w:t>
      </w:r>
      <w:r w:rsidR="00410C43">
        <w:rPr>
          <w:rFonts w:cs="Calibri"/>
          <w:color w:val="4F81BD" w:themeColor="accent1"/>
        </w:rPr>
        <w:t xml:space="preserve"> </w:t>
      </w:r>
      <w:r>
        <w:rPr>
          <w:rFonts w:cs="Calibri"/>
          <w:color w:val="4F81BD" w:themeColor="accent1"/>
        </w:rPr>
        <w:t>professional responsibilities.</w:t>
      </w:r>
    </w:p>
    <w:p w14:paraId="64AE0069" w14:textId="77777777" w:rsidR="004C1773" w:rsidRDefault="004C1773" w:rsidP="004F52AA">
      <w:pPr>
        <w:ind w:left="720"/>
      </w:pPr>
    </w:p>
    <w:p w14:paraId="0252BA2E" w14:textId="77777777" w:rsidR="00B671FC" w:rsidRPr="00323E00" w:rsidRDefault="00B671FC" w:rsidP="00B671FC">
      <w:pPr>
        <w:rPr>
          <w:b/>
          <w:color w:val="000000" w:themeColor="text1"/>
        </w:rPr>
      </w:pPr>
      <w:r>
        <w:rPr>
          <w:b/>
          <w:color w:val="000000" w:themeColor="text1"/>
        </w:rPr>
        <w:t>V.</w:t>
      </w:r>
      <w:r>
        <w:rPr>
          <w:b/>
          <w:color w:val="000000" w:themeColor="text1"/>
        </w:rPr>
        <w:tab/>
        <w:t>Compensation</w:t>
      </w:r>
    </w:p>
    <w:p w14:paraId="3ABD17C1" w14:textId="77777777" w:rsidR="004C1773" w:rsidRDefault="004C1773" w:rsidP="004C1773">
      <w:pPr>
        <w:spacing w:before="240"/>
        <w:ind w:firstLine="630"/>
        <w:contextualSpacing/>
        <w:rPr>
          <w:rFonts w:ascii="Calibri" w:hAnsi="Calibri"/>
        </w:rPr>
      </w:pPr>
    </w:p>
    <w:p w14:paraId="034524EE" w14:textId="114B2000" w:rsidR="00956BF9" w:rsidRDefault="00956BF9" w:rsidP="00AC2118">
      <w:pPr>
        <w:spacing w:before="240"/>
        <w:ind w:left="630"/>
        <w:contextualSpacing/>
        <w:rPr>
          <w:rFonts w:ascii="Calibri" w:hAnsi="Calibri"/>
        </w:rPr>
      </w:pPr>
      <w:r>
        <w:rPr>
          <w:rFonts w:ascii="Calibri" w:hAnsi="Calibri"/>
        </w:rPr>
        <w:t>Summer</w:t>
      </w:r>
      <w:r w:rsidR="00F61179">
        <w:rPr>
          <w:rFonts w:ascii="Calibri" w:hAnsi="Calibri"/>
        </w:rPr>
        <w:t>-</w:t>
      </w:r>
      <w:r>
        <w:rPr>
          <w:rFonts w:ascii="Calibri" w:hAnsi="Calibri"/>
        </w:rPr>
        <w:t>se</w:t>
      </w:r>
      <w:r w:rsidR="00B205A0">
        <w:rPr>
          <w:rFonts w:ascii="Calibri" w:hAnsi="Calibri"/>
        </w:rPr>
        <w:t>ssion base salaries may</w:t>
      </w:r>
      <w:r>
        <w:rPr>
          <w:rFonts w:ascii="Calibri" w:hAnsi="Calibri"/>
        </w:rPr>
        <w:t xml:space="preserve"> differ from academic</w:t>
      </w:r>
      <w:r w:rsidR="00F61179">
        <w:rPr>
          <w:rFonts w:ascii="Calibri" w:hAnsi="Calibri"/>
        </w:rPr>
        <w:t>-</w:t>
      </w:r>
      <w:r>
        <w:rPr>
          <w:rFonts w:ascii="Calibri" w:hAnsi="Calibri"/>
        </w:rPr>
        <w:t>year base salaries</w:t>
      </w:r>
      <w:r w:rsidR="00AC2118">
        <w:rPr>
          <w:rFonts w:ascii="Calibri" w:hAnsi="Calibri"/>
        </w:rPr>
        <w:t xml:space="preserve">, except in </w:t>
      </w:r>
      <w:r w:rsidR="00AC6BE8">
        <w:rPr>
          <w:rFonts w:ascii="Calibri" w:hAnsi="Calibri"/>
        </w:rPr>
        <w:t>cases of required summer</w:t>
      </w:r>
      <w:r w:rsidR="00F61179">
        <w:rPr>
          <w:rFonts w:ascii="Calibri" w:hAnsi="Calibri"/>
        </w:rPr>
        <w:t>-</w:t>
      </w:r>
      <w:r w:rsidR="00AC6BE8">
        <w:rPr>
          <w:rFonts w:ascii="Calibri" w:hAnsi="Calibri"/>
        </w:rPr>
        <w:t xml:space="preserve">session assignments </w:t>
      </w:r>
      <w:r w:rsidR="00AC6BE8">
        <w:t>described in Article 18, Section 5 of the 2015-18 United Academics CBA</w:t>
      </w:r>
      <w:r>
        <w:rPr>
          <w:rFonts w:ascii="Calibri" w:hAnsi="Calibri"/>
        </w:rPr>
        <w:t xml:space="preserve">. </w:t>
      </w:r>
    </w:p>
    <w:p w14:paraId="0EA67277" w14:textId="77777777" w:rsidR="004C1773" w:rsidRDefault="004C1773" w:rsidP="004C1773">
      <w:pPr>
        <w:spacing w:before="240"/>
        <w:contextualSpacing/>
        <w:rPr>
          <w:rFonts w:ascii="Calibri" w:hAnsi="Calibri"/>
        </w:rPr>
      </w:pPr>
    </w:p>
    <w:p w14:paraId="2281F4F5" w14:textId="0A174BE9" w:rsidR="004C1773" w:rsidRDefault="00956BF9" w:rsidP="004C1773">
      <w:pPr>
        <w:spacing w:before="240"/>
        <w:ind w:left="630"/>
        <w:contextualSpacing/>
        <w:rPr>
          <w:rFonts w:ascii="Calibri" w:hAnsi="Calibri" w:cs="Times New Roman"/>
          <w:color w:val="548DD4" w:themeColor="text2" w:themeTint="99"/>
        </w:rPr>
      </w:pPr>
      <w:r w:rsidRPr="00956BF9">
        <w:rPr>
          <w:rFonts w:ascii="Calibri" w:hAnsi="Calibri"/>
          <w:color w:val="548DD4" w:themeColor="text2" w:themeTint="99"/>
        </w:rPr>
        <w:t xml:space="preserve">Dean’s Guidance: </w:t>
      </w:r>
      <w:r w:rsidRPr="00956BF9">
        <w:rPr>
          <w:rFonts w:cs="Calibri"/>
          <w:color w:val="548DD4" w:themeColor="text2" w:themeTint="99"/>
        </w:rPr>
        <w:t>Department/program explains the principles by which it sets summer</w:t>
      </w:r>
      <w:r w:rsidR="00F61179">
        <w:rPr>
          <w:rFonts w:cs="Calibri"/>
          <w:color w:val="548DD4" w:themeColor="text2" w:themeTint="99"/>
        </w:rPr>
        <w:t>-</w:t>
      </w:r>
      <w:r w:rsidRPr="00956BF9">
        <w:rPr>
          <w:rFonts w:cs="Calibri"/>
          <w:color w:val="548DD4" w:themeColor="text2" w:themeTint="99"/>
        </w:rPr>
        <w:t>session compensation.</w:t>
      </w:r>
      <w:r w:rsidRPr="00956BF9">
        <w:rPr>
          <w:rFonts w:ascii="Calibri" w:hAnsi="Calibri" w:cs="Times New Roman"/>
          <w:color w:val="548DD4" w:themeColor="text2" w:themeTint="99"/>
        </w:rPr>
        <w:t xml:space="preserve"> A department/program may use either of two methods to apply a base salary throughout the unit:</w:t>
      </w:r>
    </w:p>
    <w:p w14:paraId="6E9F2E8C" w14:textId="77777777" w:rsidR="004C1773" w:rsidRPr="00956BF9" w:rsidRDefault="004C1773" w:rsidP="004C1773">
      <w:pPr>
        <w:spacing w:before="240"/>
        <w:ind w:left="630"/>
        <w:contextualSpacing/>
        <w:rPr>
          <w:rFonts w:ascii="Calibri" w:hAnsi="Calibri" w:cs="Times New Roman"/>
          <w:color w:val="548DD4" w:themeColor="text2" w:themeTint="99"/>
        </w:rPr>
      </w:pPr>
    </w:p>
    <w:p w14:paraId="6BC99F00" w14:textId="77777777" w:rsidR="00956BF9" w:rsidRPr="00956BF9" w:rsidRDefault="00956BF9" w:rsidP="004C1773">
      <w:pPr>
        <w:pStyle w:val="ListParagraph"/>
        <w:numPr>
          <w:ilvl w:val="0"/>
          <w:numId w:val="12"/>
        </w:numPr>
        <w:spacing w:after="160"/>
        <w:rPr>
          <w:rFonts w:cs="Times New Roman"/>
          <w:color w:val="548DD4" w:themeColor="text2" w:themeTint="99"/>
        </w:rPr>
      </w:pPr>
      <w:r w:rsidRPr="00956BF9">
        <w:rPr>
          <w:rFonts w:cs="Times New Roman"/>
          <w:color w:val="548DD4" w:themeColor="text2" w:themeTint="99"/>
        </w:rPr>
        <w:t>Option 1: Set a single base salary for all faculty teaching during summer term.</w:t>
      </w:r>
    </w:p>
    <w:p w14:paraId="30E5C3CE" w14:textId="230462B5" w:rsidR="00956BF9" w:rsidRPr="00956BF9" w:rsidRDefault="00956BF9" w:rsidP="004C1773">
      <w:pPr>
        <w:pStyle w:val="ListParagraph"/>
        <w:numPr>
          <w:ilvl w:val="0"/>
          <w:numId w:val="12"/>
        </w:numPr>
        <w:spacing w:after="160"/>
        <w:rPr>
          <w:rFonts w:cs="Times New Roman"/>
          <w:color w:val="548DD4" w:themeColor="text2" w:themeTint="99"/>
        </w:rPr>
      </w:pPr>
      <w:r w:rsidRPr="00956BF9">
        <w:rPr>
          <w:rFonts w:cs="Times New Roman"/>
          <w:color w:val="548DD4" w:themeColor="text2" w:themeTint="99"/>
        </w:rPr>
        <w:lastRenderedPageBreak/>
        <w:t xml:space="preserve">Option 2: Set a few different summer base salaries corresponding to differences in faculty classification, rank, and/or experience (e.g. </w:t>
      </w:r>
      <w:r w:rsidR="00F61179">
        <w:rPr>
          <w:rFonts w:cs="Times New Roman"/>
          <w:color w:val="548DD4" w:themeColor="text2" w:themeTint="99"/>
        </w:rPr>
        <w:t>pro tem</w:t>
      </w:r>
      <w:r w:rsidR="00F61179" w:rsidRPr="00956BF9">
        <w:rPr>
          <w:rFonts w:cs="Times New Roman"/>
          <w:color w:val="548DD4" w:themeColor="text2" w:themeTint="99"/>
        </w:rPr>
        <w:t xml:space="preserve"> </w:t>
      </w:r>
      <w:r w:rsidRPr="00956BF9">
        <w:rPr>
          <w:rFonts w:cs="Times New Roman"/>
          <w:color w:val="548DD4" w:themeColor="text2" w:themeTint="99"/>
        </w:rPr>
        <w:t>NTTF, career NTTF, and TTF).</w:t>
      </w:r>
      <w:r w:rsidR="009E6A48">
        <w:rPr>
          <w:rFonts w:cs="Times New Roman"/>
          <w:color w:val="548DD4" w:themeColor="text2" w:themeTint="99"/>
        </w:rPr>
        <w:t xml:space="preserve"> </w:t>
      </w:r>
      <w:r w:rsidRPr="00956BF9">
        <w:rPr>
          <w:rFonts w:cs="Times New Roman"/>
          <w:color w:val="548DD4" w:themeColor="text2" w:themeTint="99"/>
        </w:rPr>
        <w:t>Base salaries may not vary from individual to individual within a given faculty category</w:t>
      </w:r>
      <w:r w:rsidR="00F61179">
        <w:rPr>
          <w:rFonts w:cs="Times New Roman"/>
          <w:color w:val="548DD4" w:themeColor="text2" w:themeTint="99"/>
        </w:rPr>
        <w:t>,</w:t>
      </w:r>
      <w:r w:rsidRPr="00956BF9">
        <w:rPr>
          <w:rFonts w:cs="Times New Roman"/>
          <w:color w:val="548DD4" w:themeColor="text2" w:themeTint="99"/>
        </w:rPr>
        <w:t xml:space="preserve"> and the criteria for each category should be straightforward and easy to apply. </w:t>
      </w:r>
    </w:p>
    <w:p w14:paraId="79957299" w14:textId="6B24245A" w:rsidR="00956BF9" w:rsidRPr="00956BF9" w:rsidRDefault="00956BF9" w:rsidP="004C1773">
      <w:pPr>
        <w:ind w:firstLine="630"/>
        <w:contextualSpacing/>
        <w:rPr>
          <w:rFonts w:cs="Times New Roman"/>
          <w:color w:val="548DD4" w:themeColor="text2" w:themeTint="99"/>
        </w:rPr>
      </w:pPr>
      <w:r w:rsidRPr="00956BF9">
        <w:rPr>
          <w:rFonts w:cs="Times New Roman"/>
          <w:color w:val="548DD4" w:themeColor="text2" w:themeTint="99"/>
        </w:rPr>
        <w:t>For either option,</w:t>
      </w:r>
    </w:p>
    <w:p w14:paraId="755A63B2" w14:textId="77777777" w:rsidR="00956BF9" w:rsidRPr="00956BF9" w:rsidRDefault="00956BF9" w:rsidP="004C1773">
      <w:pPr>
        <w:pStyle w:val="ListParagraph"/>
        <w:numPr>
          <w:ilvl w:val="0"/>
          <w:numId w:val="13"/>
        </w:numPr>
        <w:spacing w:after="160"/>
        <w:rPr>
          <w:rFonts w:cs="Times New Roman"/>
          <w:color w:val="548DD4" w:themeColor="text2" w:themeTint="99"/>
        </w:rPr>
      </w:pPr>
      <w:r w:rsidRPr="00956BF9">
        <w:rPr>
          <w:rFonts w:cs="Times New Roman"/>
          <w:color w:val="548DD4" w:themeColor="text2" w:themeTint="99"/>
        </w:rPr>
        <w:t xml:space="preserve">Compensation must be FTE-based. Departments may not offer per-course compensation based on </w:t>
      </w:r>
    </w:p>
    <w:p w14:paraId="27AF9748" w14:textId="77777777" w:rsidR="00956BF9" w:rsidRPr="00956BF9" w:rsidRDefault="00956BF9" w:rsidP="004C1773">
      <w:pPr>
        <w:pStyle w:val="ListParagraph"/>
        <w:numPr>
          <w:ilvl w:val="1"/>
          <w:numId w:val="13"/>
        </w:numPr>
        <w:spacing w:after="160"/>
        <w:rPr>
          <w:rFonts w:cs="Times New Roman"/>
          <w:color w:val="548DD4" w:themeColor="text2" w:themeTint="99"/>
        </w:rPr>
      </w:pPr>
      <w:r w:rsidRPr="00956BF9">
        <w:rPr>
          <w:rFonts w:cs="Times New Roman"/>
          <w:color w:val="548DD4" w:themeColor="text2" w:themeTint="99"/>
        </w:rPr>
        <w:t>a percentage of an individual’s academic year base salary</w:t>
      </w:r>
    </w:p>
    <w:p w14:paraId="164B6320" w14:textId="77777777" w:rsidR="00956BF9" w:rsidRPr="00956BF9" w:rsidRDefault="00956BF9" w:rsidP="004C1773">
      <w:pPr>
        <w:pStyle w:val="ListParagraph"/>
        <w:numPr>
          <w:ilvl w:val="1"/>
          <w:numId w:val="13"/>
        </w:numPr>
        <w:spacing w:after="160"/>
        <w:rPr>
          <w:rFonts w:cs="Times New Roman"/>
          <w:color w:val="548DD4" w:themeColor="text2" w:themeTint="99"/>
        </w:rPr>
      </w:pPr>
      <w:r w:rsidRPr="00956BF9">
        <w:rPr>
          <w:rFonts w:cs="Times New Roman"/>
          <w:color w:val="548DD4" w:themeColor="text2" w:themeTint="99"/>
        </w:rPr>
        <w:t xml:space="preserve">anticipated course enrollment (hence income) </w:t>
      </w:r>
    </w:p>
    <w:p w14:paraId="65267E6A" w14:textId="77777777" w:rsidR="00956BF9" w:rsidRPr="00956BF9" w:rsidRDefault="00956BF9" w:rsidP="004C1773">
      <w:pPr>
        <w:pStyle w:val="ListParagraph"/>
        <w:numPr>
          <w:ilvl w:val="1"/>
          <w:numId w:val="13"/>
        </w:numPr>
        <w:spacing w:after="160"/>
        <w:rPr>
          <w:rFonts w:cs="Times New Roman"/>
          <w:color w:val="548DD4" w:themeColor="text2" w:themeTint="99"/>
        </w:rPr>
      </w:pPr>
      <w:r w:rsidRPr="00956BF9">
        <w:rPr>
          <w:rFonts w:cs="Times New Roman"/>
          <w:color w:val="548DD4" w:themeColor="text2" w:themeTint="99"/>
        </w:rPr>
        <w:t>any other similar feature of the appointment</w:t>
      </w:r>
    </w:p>
    <w:p w14:paraId="10CCA6C4" w14:textId="77777777" w:rsidR="00956BF9" w:rsidRPr="00956BF9" w:rsidRDefault="00956BF9" w:rsidP="004C1773">
      <w:pPr>
        <w:pStyle w:val="ListParagraph"/>
        <w:ind w:left="1800"/>
        <w:rPr>
          <w:rFonts w:cs="Times New Roman"/>
          <w:color w:val="548DD4" w:themeColor="text2" w:themeTint="99"/>
        </w:rPr>
      </w:pPr>
    </w:p>
    <w:p w14:paraId="16266328" w14:textId="77777777" w:rsidR="008B2C3D" w:rsidRPr="004C1773" w:rsidRDefault="00956BF9" w:rsidP="004C1773">
      <w:pPr>
        <w:pStyle w:val="ListParagraph"/>
        <w:numPr>
          <w:ilvl w:val="0"/>
          <w:numId w:val="12"/>
        </w:numPr>
        <w:spacing w:after="160"/>
        <w:rPr>
          <w:b/>
          <w:color w:val="8DB3E2" w:themeColor="text2" w:themeTint="66"/>
        </w:rPr>
      </w:pPr>
      <w:r w:rsidRPr="00956BF9">
        <w:rPr>
          <w:rFonts w:cs="Times New Roman"/>
          <w:color w:val="548DD4" w:themeColor="text2" w:themeTint="99"/>
        </w:rPr>
        <w:t xml:space="preserve">The base salary should be set at a level that incentivizes qualified faculty to accept summer session assignments but that also generates </w:t>
      </w:r>
      <w:r w:rsidR="00410C43" w:rsidRPr="006A3B60">
        <w:rPr>
          <w:rFonts w:cs="Times New Roman"/>
          <w:color w:val="548DD4" w:themeColor="text2" w:themeTint="99"/>
        </w:rPr>
        <w:t>net</w:t>
      </w:r>
      <w:r w:rsidR="00410C43">
        <w:rPr>
          <w:rFonts w:cs="Times New Roman"/>
          <w:color w:val="548DD4" w:themeColor="text2" w:themeTint="99"/>
        </w:rPr>
        <w:t xml:space="preserve"> </w:t>
      </w:r>
      <w:r w:rsidRPr="00956BF9">
        <w:rPr>
          <w:rFonts w:cs="Times New Roman"/>
          <w:color w:val="548DD4" w:themeColor="text2" w:themeTint="99"/>
        </w:rPr>
        <w:t>revenue.</w:t>
      </w:r>
      <w:r w:rsidR="009E6A48">
        <w:rPr>
          <w:rFonts w:cs="Times New Roman"/>
          <w:color w:val="548DD4" w:themeColor="text2" w:themeTint="99"/>
        </w:rPr>
        <w:t xml:space="preserve"> </w:t>
      </w:r>
    </w:p>
    <w:p w14:paraId="59B6A09D" w14:textId="77777777" w:rsidR="008B2C3D" w:rsidRPr="008B2C3D" w:rsidRDefault="004C1773" w:rsidP="008B2C3D">
      <w:pPr>
        <w:ind w:left="720"/>
        <w:rPr>
          <w:rFonts w:cs="Calibri"/>
        </w:rPr>
      </w:pPr>
      <w:r>
        <w:rPr>
          <w:rFonts w:cs="Calibri"/>
        </w:rPr>
        <w:t>Base salaries for teaching during the summer session must be approved by the Dean’s office and</w:t>
      </w:r>
      <w:r w:rsidR="008B2C3D">
        <w:rPr>
          <w:rFonts w:cs="Calibri"/>
        </w:rPr>
        <w:t xml:space="preserve"> cannot exceed the instructor’s academic</w:t>
      </w:r>
      <w:r>
        <w:rPr>
          <w:rFonts w:cs="Calibri"/>
        </w:rPr>
        <w:t>-year</w:t>
      </w:r>
      <w:r w:rsidR="008B2C3D">
        <w:rPr>
          <w:rFonts w:cs="Calibri"/>
        </w:rPr>
        <w:t xml:space="preserve"> salary, except in extraordi</w:t>
      </w:r>
      <w:r w:rsidR="00DD6C49">
        <w:rPr>
          <w:rFonts w:cs="Calibri"/>
        </w:rPr>
        <w:t xml:space="preserve">nary circumstances </w:t>
      </w:r>
      <w:r w:rsidR="00AC2118">
        <w:rPr>
          <w:rFonts w:cs="Calibri"/>
        </w:rPr>
        <w:t xml:space="preserve">and </w:t>
      </w:r>
      <w:r w:rsidR="00DD6C49">
        <w:rPr>
          <w:rFonts w:cs="Calibri"/>
        </w:rPr>
        <w:t>with</w:t>
      </w:r>
      <w:r w:rsidR="008B2C3D">
        <w:rPr>
          <w:rFonts w:cs="Calibri"/>
        </w:rPr>
        <w:t xml:space="preserve"> approval from the dean.</w:t>
      </w:r>
    </w:p>
    <w:p w14:paraId="04B565B2" w14:textId="77777777" w:rsidR="008B2C3D" w:rsidRDefault="008B2C3D" w:rsidP="008B2C3D">
      <w:pPr>
        <w:ind w:left="720"/>
      </w:pPr>
    </w:p>
    <w:p w14:paraId="3E0B01EE" w14:textId="77777777" w:rsidR="008B2C3D" w:rsidRPr="00323E00" w:rsidRDefault="008B2C3D" w:rsidP="008B2C3D">
      <w:pPr>
        <w:rPr>
          <w:b/>
          <w:color w:val="000000" w:themeColor="text1"/>
        </w:rPr>
      </w:pPr>
      <w:r>
        <w:rPr>
          <w:b/>
          <w:color w:val="000000" w:themeColor="text1"/>
        </w:rPr>
        <w:t>VI.</w:t>
      </w:r>
      <w:r>
        <w:rPr>
          <w:b/>
          <w:color w:val="000000" w:themeColor="text1"/>
        </w:rPr>
        <w:tab/>
        <w:t>Course Cancellation</w:t>
      </w:r>
    </w:p>
    <w:p w14:paraId="4755DE01" w14:textId="3FECF07D" w:rsidR="00C2742A" w:rsidRDefault="00C2742A" w:rsidP="00C2742A">
      <w:pPr>
        <w:spacing w:before="100" w:beforeAutospacing="1" w:after="100" w:afterAutospacing="1"/>
        <w:ind w:left="720"/>
        <w:rPr>
          <w:rFonts w:cs="Times New Roman"/>
        </w:rPr>
      </w:pPr>
      <w:r>
        <w:rPr>
          <w:rFonts w:cs="Times New Roman"/>
        </w:rPr>
        <w:t>Summer session is similar to other self-support programs where each course has a clear cost and tuition revenue connected to it.</w:t>
      </w:r>
      <w:r w:rsidR="009E6A48">
        <w:rPr>
          <w:rFonts w:cs="Times New Roman"/>
        </w:rPr>
        <w:t xml:space="preserve"> </w:t>
      </w:r>
      <w:r>
        <w:rPr>
          <w:rFonts w:cs="Times New Roman"/>
        </w:rPr>
        <w:t>As such, summer session courses that do not have sufficient enrollment prior to the scheduled start of the course will be cancelled.</w:t>
      </w:r>
      <w:r w:rsidR="009E6A48">
        <w:rPr>
          <w:rFonts w:cs="Times New Roman"/>
        </w:rPr>
        <w:t xml:space="preserve"> </w:t>
      </w:r>
      <w:r>
        <w:rPr>
          <w:rFonts w:cs="Times New Roman"/>
        </w:rPr>
        <w:t>This arrangement will be clearly stated to the faculty me</w:t>
      </w:r>
      <w:r w:rsidR="00FC3B3C">
        <w:rPr>
          <w:rFonts w:cs="Times New Roman"/>
        </w:rPr>
        <w:t>mber in the appointment notice</w:t>
      </w:r>
      <w:r>
        <w:rPr>
          <w:rFonts w:cs="Times New Roman"/>
        </w:rPr>
        <w:t xml:space="preserve"> for this voluntary assignment.</w:t>
      </w:r>
      <w:r w:rsidR="009E6A48">
        <w:rPr>
          <w:rFonts w:cs="Times New Roman"/>
        </w:rPr>
        <w:t xml:space="preserve"> </w:t>
      </w:r>
      <w:r w:rsidR="00FC3B3C">
        <w:rPr>
          <w:rFonts w:cs="Times New Roman"/>
        </w:rPr>
        <w:t xml:space="preserve">There are times </w:t>
      </w:r>
      <w:r w:rsidR="004F52AA">
        <w:rPr>
          <w:rFonts w:cs="Times New Roman"/>
        </w:rPr>
        <w:t xml:space="preserve">when a summer session course may be </w:t>
      </w:r>
      <w:r w:rsidR="00FC3B3C">
        <w:rPr>
          <w:rFonts w:cs="Times New Roman"/>
        </w:rPr>
        <w:t>offered</w:t>
      </w:r>
      <w:r w:rsidR="00410C43">
        <w:rPr>
          <w:rFonts w:cs="Times New Roman"/>
        </w:rPr>
        <w:t>,</w:t>
      </w:r>
      <w:r w:rsidR="00FC3B3C">
        <w:rPr>
          <w:rFonts w:cs="Times New Roman"/>
        </w:rPr>
        <w:t xml:space="preserve"> </w:t>
      </w:r>
      <w:r w:rsidR="00410C43" w:rsidRPr="006A3B60">
        <w:rPr>
          <w:rFonts w:cs="Times New Roman"/>
        </w:rPr>
        <w:t>based on pedagogical or other academic principles</w:t>
      </w:r>
      <w:r w:rsidR="00410C43" w:rsidRPr="00770EB9">
        <w:rPr>
          <w:rFonts w:cs="Times New Roman"/>
        </w:rPr>
        <w:t xml:space="preserve">, </w:t>
      </w:r>
      <w:r w:rsidR="00FC3B3C" w:rsidRPr="006A3B60">
        <w:rPr>
          <w:rFonts w:cs="Times New Roman"/>
        </w:rPr>
        <w:t xml:space="preserve">even when </w:t>
      </w:r>
      <w:r w:rsidR="004F52AA" w:rsidRPr="006A3B60">
        <w:rPr>
          <w:rFonts w:cs="Times New Roman"/>
        </w:rPr>
        <w:t>it</w:t>
      </w:r>
      <w:r w:rsidR="00410C43" w:rsidRPr="006A3B60">
        <w:rPr>
          <w:rFonts w:cs="Times New Roman"/>
        </w:rPr>
        <w:t xml:space="preserve"> generates a net financial</w:t>
      </w:r>
      <w:r w:rsidR="00410C43" w:rsidRPr="00770EB9">
        <w:rPr>
          <w:rFonts w:cs="Times New Roman"/>
        </w:rPr>
        <w:t xml:space="preserve"> </w:t>
      </w:r>
      <w:r w:rsidR="004F52AA" w:rsidRPr="006A3B60">
        <w:rPr>
          <w:rFonts w:cs="Times New Roman"/>
        </w:rPr>
        <w:t>loss</w:t>
      </w:r>
      <w:r w:rsidR="00410C43" w:rsidRPr="006A3B60">
        <w:rPr>
          <w:rFonts w:cs="Times New Roman"/>
        </w:rPr>
        <w:t xml:space="preserve">. </w:t>
      </w:r>
      <w:r w:rsidR="004F52AA" w:rsidRPr="006A3B60">
        <w:rPr>
          <w:rFonts w:cs="Times New Roman"/>
        </w:rPr>
        <w:t>For example</w:t>
      </w:r>
      <w:r w:rsidR="004F52AA" w:rsidRPr="00770EB9">
        <w:rPr>
          <w:rFonts w:cs="Times New Roman"/>
        </w:rPr>
        <w:t>, a key methodological course to t</w:t>
      </w:r>
      <w:r w:rsidR="00410C43" w:rsidRPr="006A3B60">
        <w:rPr>
          <w:rFonts w:cs="Times New Roman"/>
        </w:rPr>
        <w:t>rain incoming graduate students might fall into this category.</w:t>
      </w:r>
      <w:r w:rsidR="009E6A48">
        <w:rPr>
          <w:rFonts w:cs="Times New Roman"/>
        </w:rPr>
        <w:t xml:space="preserve"> </w:t>
      </w:r>
    </w:p>
    <w:p w14:paraId="44329E56" w14:textId="3EC09308" w:rsidR="00E061CA" w:rsidRPr="00C2742A" w:rsidRDefault="00E061CA" w:rsidP="004F52AA">
      <w:pPr>
        <w:spacing w:before="100" w:beforeAutospacing="1" w:after="100" w:afterAutospacing="1"/>
        <w:ind w:left="720"/>
        <w:rPr>
          <w:rFonts w:cs="Times New Roman"/>
        </w:rPr>
      </w:pPr>
      <w:r w:rsidRPr="00C2742A">
        <w:rPr>
          <w:rFonts w:cs="Times New Roman"/>
        </w:rPr>
        <w:t>In the event that a course is cancelled, the department or unit will attempt to appoint the bargaining unit faculty member to a new assignment.</w:t>
      </w:r>
      <w:r w:rsidR="009E6A48">
        <w:rPr>
          <w:rFonts w:cs="Times New Roman"/>
        </w:rPr>
        <w:t xml:space="preserve"> </w:t>
      </w:r>
    </w:p>
    <w:p w14:paraId="10380130" w14:textId="7FD2CDA3" w:rsidR="004C1773" w:rsidRDefault="004F52AA" w:rsidP="00FF7C7D">
      <w:pPr>
        <w:ind w:left="720"/>
        <w:rPr>
          <w:rFonts w:cs="Calibri"/>
          <w:color w:val="4F81BD" w:themeColor="accent1"/>
        </w:rPr>
      </w:pPr>
      <w:r w:rsidRPr="00D30A6B">
        <w:rPr>
          <w:rFonts w:cs="Calibri"/>
          <w:color w:val="4F81BD" w:themeColor="accent1"/>
        </w:rPr>
        <w:t>Dean’s Guidance:</w:t>
      </w:r>
      <w:r>
        <w:rPr>
          <w:rFonts w:cs="Calibri"/>
          <w:color w:val="4F81BD" w:themeColor="accent1"/>
        </w:rPr>
        <w:t xml:space="preserve"> Department/program may wish to provide further unit-specific context here for course cancellations.</w:t>
      </w:r>
      <w:r w:rsidR="009E6A48">
        <w:rPr>
          <w:rFonts w:cs="Calibri"/>
          <w:color w:val="4F81BD" w:themeColor="accent1"/>
        </w:rPr>
        <w:t xml:space="preserve"> </w:t>
      </w:r>
    </w:p>
    <w:p w14:paraId="4F923553" w14:textId="77777777" w:rsidR="004C1773" w:rsidRDefault="004C1773" w:rsidP="004C1773">
      <w:pPr>
        <w:ind w:left="720"/>
      </w:pPr>
    </w:p>
    <w:p w14:paraId="37149568" w14:textId="77777777" w:rsidR="004C1773" w:rsidRPr="00323E00" w:rsidRDefault="004C1773" w:rsidP="004C1773">
      <w:pPr>
        <w:rPr>
          <w:b/>
          <w:color w:val="000000" w:themeColor="text1"/>
        </w:rPr>
      </w:pPr>
      <w:r>
        <w:rPr>
          <w:b/>
          <w:color w:val="000000" w:themeColor="text1"/>
        </w:rPr>
        <w:t>VII.</w:t>
      </w:r>
      <w:r>
        <w:rPr>
          <w:b/>
          <w:color w:val="000000" w:themeColor="text1"/>
        </w:rPr>
        <w:tab/>
        <w:t>Research Appointments During the Summer</w:t>
      </w:r>
    </w:p>
    <w:p w14:paraId="2BB491F8" w14:textId="77777777" w:rsidR="004C1773" w:rsidRDefault="004C1773" w:rsidP="004C1773"/>
    <w:p w14:paraId="37F3EEBF" w14:textId="5527EB70" w:rsidR="00580176" w:rsidRDefault="00B205A0" w:rsidP="00B205A0">
      <w:pPr>
        <w:ind w:left="720"/>
        <w:rPr>
          <w:rFonts w:ascii="Calibri" w:hAnsi="Calibri" w:cs="Times New Roman"/>
        </w:rPr>
      </w:pPr>
      <w:r w:rsidRPr="00A400B3">
        <w:rPr>
          <w:rFonts w:ascii="Calibri" w:hAnsi="Calibri" w:cs="Times New Roman"/>
        </w:rPr>
        <w:t xml:space="preserve">To comply with federal requirements, when a nine-month faculty member is funded at 1.0 FTE on a research contract during the summer, the faculty member must work exclusively on that project. Faculty </w:t>
      </w:r>
      <w:r>
        <w:rPr>
          <w:rFonts w:ascii="Calibri" w:hAnsi="Calibri" w:cs="Times New Roman"/>
        </w:rPr>
        <w:t xml:space="preserve">members </w:t>
      </w:r>
      <w:r w:rsidRPr="00A400B3">
        <w:rPr>
          <w:rFonts w:ascii="Calibri" w:hAnsi="Calibri" w:cs="Times New Roman"/>
        </w:rPr>
        <w:t xml:space="preserve">should not accept 1.0 FTE summer research appointments for any period of time when they will </w:t>
      </w:r>
      <w:r w:rsidR="005C127D">
        <w:rPr>
          <w:rFonts w:ascii="Calibri" w:hAnsi="Calibri" w:cs="Times New Roman"/>
        </w:rPr>
        <w:t xml:space="preserve">not </w:t>
      </w:r>
      <w:r w:rsidR="000F54DC" w:rsidRPr="00A400B3">
        <w:rPr>
          <w:rFonts w:ascii="Calibri" w:hAnsi="Calibri" w:cs="Times New Roman"/>
        </w:rPr>
        <w:t>be</w:t>
      </w:r>
      <w:r w:rsidR="000F54DC">
        <w:rPr>
          <w:rFonts w:ascii="Calibri" w:hAnsi="Calibri" w:cs="Times New Roman"/>
        </w:rPr>
        <w:t xml:space="preserve"> working</w:t>
      </w:r>
      <w:r w:rsidR="005C127D">
        <w:rPr>
          <w:rFonts w:ascii="Calibri" w:hAnsi="Calibri" w:cs="Times New Roman"/>
        </w:rPr>
        <w:t xml:space="preserve"> </w:t>
      </w:r>
      <w:r w:rsidRPr="00A400B3">
        <w:rPr>
          <w:rFonts w:ascii="Calibri" w:hAnsi="Calibri" w:cs="Times New Roman"/>
        </w:rPr>
        <w:t xml:space="preserve">on </w:t>
      </w:r>
      <w:r w:rsidR="005C127D">
        <w:rPr>
          <w:rFonts w:ascii="Calibri" w:hAnsi="Calibri" w:cs="Times New Roman"/>
        </w:rPr>
        <w:t xml:space="preserve">the </w:t>
      </w:r>
      <w:r w:rsidR="005C127D">
        <w:rPr>
          <w:rFonts w:ascii="Calibri" w:hAnsi="Calibri" w:cs="Times New Roman"/>
        </w:rPr>
        <w:lastRenderedPageBreak/>
        <w:t xml:space="preserve">project </w:t>
      </w:r>
      <w:r w:rsidR="009E6A48">
        <w:rPr>
          <w:rFonts w:ascii="Calibri" w:hAnsi="Calibri" w:cs="Times New Roman"/>
        </w:rPr>
        <w:t xml:space="preserve"> </w:t>
      </w:r>
      <w:r w:rsidRPr="00A400B3">
        <w:rPr>
          <w:rFonts w:ascii="Calibri" w:hAnsi="Calibri" w:cs="Times New Roman"/>
        </w:rPr>
        <w:t>To comply with federal regulations, non-instructional summer pay funded by a sponsored project is based on a faculty member’s academic</w:t>
      </w:r>
      <w:r w:rsidR="000F7599">
        <w:rPr>
          <w:rFonts w:ascii="Calibri" w:hAnsi="Calibri" w:cs="Times New Roman"/>
        </w:rPr>
        <w:t>-</w:t>
      </w:r>
      <w:r w:rsidRPr="00A400B3">
        <w:rPr>
          <w:rFonts w:ascii="Calibri" w:hAnsi="Calibri" w:cs="Times New Roman"/>
        </w:rPr>
        <w:t>year base salary.</w:t>
      </w:r>
      <w:r w:rsidR="009E6A48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Professional responsibilities are specified by the principal investigator (or designee) and/or by the agreement with the granting agency.</w:t>
      </w:r>
    </w:p>
    <w:p w14:paraId="241AEA5C" w14:textId="77777777" w:rsidR="00580176" w:rsidRDefault="00580176" w:rsidP="00580176">
      <w:pPr>
        <w:jc w:val="center"/>
      </w:pPr>
      <w:r>
        <w:rPr>
          <w:rFonts w:ascii="Calibri" w:hAnsi="Calibri" w:cs="Times New Roman"/>
        </w:rPr>
        <w:br w:type="page"/>
      </w:r>
      <w:r w:rsidRPr="00580176">
        <w:rPr>
          <w:b/>
        </w:rPr>
        <w:lastRenderedPageBreak/>
        <w:t>ADDENDUM</w:t>
      </w:r>
    </w:p>
    <w:p w14:paraId="379D7E26" w14:textId="77777777" w:rsidR="00580176" w:rsidRDefault="00580176" w:rsidP="00580176">
      <w:pPr>
        <w:jc w:val="center"/>
      </w:pPr>
    </w:p>
    <w:p w14:paraId="2FFD5085" w14:textId="77777777" w:rsidR="00580176" w:rsidRDefault="00580176" w:rsidP="00580176">
      <w:pPr>
        <w:jc w:val="center"/>
      </w:pPr>
    </w:p>
    <w:p w14:paraId="2406DA8E" w14:textId="77777777" w:rsidR="00580176" w:rsidRPr="00580176" w:rsidRDefault="00580176" w:rsidP="00580176">
      <w:pPr>
        <w:rPr>
          <w:b/>
        </w:rPr>
      </w:pPr>
      <w:r w:rsidRPr="00580176">
        <w:rPr>
          <w:b/>
        </w:rPr>
        <w:t xml:space="preserve">I. FTE Assignment by Type of </w:t>
      </w:r>
      <w:r>
        <w:rPr>
          <w:b/>
        </w:rPr>
        <w:t xml:space="preserve">Summer </w:t>
      </w:r>
      <w:r w:rsidRPr="00580176">
        <w:rPr>
          <w:b/>
        </w:rPr>
        <w:t>Course</w:t>
      </w:r>
    </w:p>
    <w:p w14:paraId="35FB4411" w14:textId="77777777" w:rsidR="00580176" w:rsidRDefault="00580176" w:rsidP="00580176"/>
    <w:p w14:paraId="036F08C9" w14:textId="0CF4646E" w:rsidR="00AC2118" w:rsidRPr="00AC2118" w:rsidRDefault="00AC2118" w:rsidP="00AC2118">
      <w:pPr>
        <w:widowControl w:val="0"/>
        <w:autoSpaceDE w:val="0"/>
        <w:autoSpaceDN w:val="0"/>
        <w:adjustRightInd w:val="0"/>
        <w:rPr>
          <w:rFonts w:cs="Arial"/>
          <w:color w:val="1A1A1A"/>
          <w:lang w:eastAsia="ja-JP"/>
        </w:rPr>
      </w:pPr>
      <w:r w:rsidRPr="00AC2118">
        <w:rPr>
          <w:rFonts w:cs="Arial"/>
          <w:color w:val="1A1A1A"/>
          <w:lang w:eastAsia="ja-JP"/>
        </w:rPr>
        <w:t xml:space="preserve">Summer term FTE </w:t>
      </w:r>
      <w:r w:rsidR="000A1EC3">
        <w:rPr>
          <w:rFonts w:cs="Arial"/>
          <w:color w:val="1A1A1A"/>
          <w:lang w:eastAsia="ja-JP"/>
        </w:rPr>
        <w:t>should be based on what the course FTE would be during an academic year. In CAS, a course is typically .1 FTE annually or .3FTE during a term</w:t>
      </w:r>
      <w:r w:rsidR="00B92ACA">
        <w:rPr>
          <w:rFonts w:cs="Arial"/>
          <w:color w:val="1A1A1A"/>
          <w:lang w:eastAsia="ja-JP"/>
        </w:rPr>
        <w:t xml:space="preserve">. </w:t>
      </w:r>
      <w:r w:rsidRPr="00AC2118">
        <w:rPr>
          <w:rFonts w:cs="Arial"/>
          <w:color w:val="1A1A1A"/>
          <w:lang w:eastAsia="ja-JP"/>
        </w:rPr>
        <w:t>3- and 5-credit courses are counted the same as 4-credit courses for the purposes of calculating faculty FTE.</w:t>
      </w:r>
      <w:r>
        <w:rPr>
          <w:rFonts w:cs="Arial"/>
          <w:color w:val="1A1A1A"/>
          <w:lang w:eastAsia="ja-JP"/>
        </w:rPr>
        <w:t xml:space="preserve"> </w:t>
      </w:r>
      <w:r w:rsidRPr="00AC2118">
        <w:rPr>
          <w:rFonts w:cs="Arial"/>
          <w:color w:val="1A1A1A"/>
          <w:lang w:eastAsia="ja-JP"/>
        </w:rPr>
        <w:t>FTE for courses carrying other amounts of credit is prorated on a 4-credit standard.</w:t>
      </w:r>
      <w:r>
        <w:rPr>
          <w:rFonts w:cs="Arial"/>
          <w:color w:val="1A1A1A"/>
          <w:lang w:eastAsia="ja-JP"/>
        </w:rPr>
        <w:t xml:space="preserve"> Course credit hours and their associated 12-week contract FTE are as follows:</w:t>
      </w:r>
    </w:p>
    <w:p w14:paraId="597AE9D2" w14:textId="77777777" w:rsidR="00F60BCE" w:rsidRPr="00AC2118" w:rsidRDefault="00F60BCE" w:rsidP="00AC2118">
      <w:pPr>
        <w:widowControl w:val="0"/>
        <w:autoSpaceDE w:val="0"/>
        <w:autoSpaceDN w:val="0"/>
        <w:adjustRightInd w:val="0"/>
        <w:rPr>
          <w:rFonts w:cs="Arial"/>
          <w:color w:val="1A1A1A"/>
          <w:lang w:eastAsia="ja-JP"/>
        </w:rPr>
      </w:pPr>
    </w:p>
    <w:tbl>
      <w:tblPr>
        <w:tblW w:w="7020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18"/>
        <w:gridCol w:w="3302"/>
      </w:tblGrid>
      <w:tr w:rsidR="00AC2118" w:rsidRPr="00AC2118" w14:paraId="4F7EA93E" w14:textId="77777777" w:rsidTr="00AC2118">
        <w:trPr>
          <w:jc w:val="center"/>
        </w:trPr>
        <w:tc>
          <w:tcPr>
            <w:tcW w:w="33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D0D0D0"/>
            <w:tcMar>
              <w:top w:w="144" w:type="nil"/>
              <w:right w:w="144" w:type="nil"/>
            </w:tcMar>
          </w:tcPr>
          <w:p w14:paraId="77FDCB29" w14:textId="77777777" w:rsidR="00AC2118" w:rsidRPr="00AC2118" w:rsidRDefault="00AC2118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A1A1A"/>
                <w:lang w:eastAsia="ja-JP"/>
              </w:rPr>
            </w:pPr>
            <w:r w:rsidRPr="00AC2118">
              <w:rPr>
                <w:rFonts w:cs="Arial"/>
                <w:b/>
                <w:bCs/>
                <w:color w:val="1A1A1A"/>
                <w:lang w:eastAsia="ja-JP"/>
              </w:rPr>
              <w:t>Course Credit Hours</w:t>
            </w:r>
          </w:p>
        </w:tc>
        <w:tc>
          <w:tcPr>
            <w:tcW w:w="3012" w:type="dxa"/>
            <w:tcBorders>
              <w:top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D0D0D0"/>
            <w:tcMar>
              <w:top w:w="144" w:type="nil"/>
              <w:right w:w="144" w:type="nil"/>
            </w:tcMar>
          </w:tcPr>
          <w:p w14:paraId="5E67CF0A" w14:textId="77777777" w:rsidR="00AC2118" w:rsidRPr="00AC2118" w:rsidRDefault="00AC2118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A1A1A"/>
                <w:lang w:eastAsia="ja-JP"/>
              </w:rPr>
            </w:pPr>
            <w:r>
              <w:rPr>
                <w:rFonts w:cs="Arial"/>
                <w:b/>
                <w:bCs/>
                <w:color w:val="1A1A1A"/>
                <w:lang w:eastAsia="ja-JP"/>
              </w:rPr>
              <w:t>12-w</w:t>
            </w:r>
            <w:r w:rsidRPr="00AC2118">
              <w:rPr>
                <w:rFonts w:cs="Arial"/>
                <w:b/>
                <w:bCs/>
                <w:color w:val="1A1A1A"/>
                <w:lang w:eastAsia="ja-JP"/>
              </w:rPr>
              <w:t>eek Contract FTE</w:t>
            </w:r>
          </w:p>
        </w:tc>
      </w:tr>
      <w:tr w:rsidR="00AC2118" w:rsidRPr="00AC2118" w14:paraId="2797CFD4" w14:textId="77777777" w:rsidTr="00AC211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339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492F9DF8" w14:textId="77777777" w:rsidR="00AC2118" w:rsidRPr="00AC2118" w:rsidRDefault="00AC2118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A1A1A"/>
                <w:lang w:eastAsia="ja-JP"/>
              </w:rPr>
            </w:pPr>
            <w:r w:rsidRPr="00AC2118">
              <w:rPr>
                <w:rFonts w:cs="Arial"/>
                <w:color w:val="1A1A1A"/>
                <w:lang w:eastAsia="ja-JP"/>
              </w:rPr>
              <w:t>1</w:t>
            </w:r>
          </w:p>
        </w:tc>
        <w:tc>
          <w:tcPr>
            <w:tcW w:w="3012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42CC02E4" w14:textId="16BD9A38" w:rsidR="00AC2118" w:rsidRPr="00AC2118" w:rsidRDefault="00AC2118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A1A1A"/>
                <w:lang w:eastAsia="ja-JP"/>
              </w:rPr>
            </w:pPr>
            <w:r w:rsidRPr="00AC2118">
              <w:rPr>
                <w:rFonts w:cs="Arial"/>
                <w:color w:val="1A1A1A"/>
                <w:lang w:eastAsia="ja-JP"/>
              </w:rPr>
              <w:t>.0</w:t>
            </w:r>
            <w:r w:rsidR="000A1EC3">
              <w:rPr>
                <w:rFonts w:cs="Arial"/>
                <w:color w:val="1A1A1A"/>
                <w:lang w:eastAsia="ja-JP"/>
              </w:rPr>
              <w:t>75</w:t>
            </w:r>
          </w:p>
        </w:tc>
      </w:tr>
      <w:tr w:rsidR="00AC2118" w:rsidRPr="00AC2118" w14:paraId="474E4B60" w14:textId="77777777" w:rsidTr="00AC211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339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060CBA2E" w14:textId="77777777" w:rsidR="00AC2118" w:rsidRPr="00AC2118" w:rsidRDefault="00AC2118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A1A1A"/>
                <w:lang w:eastAsia="ja-JP"/>
              </w:rPr>
            </w:pPr>
            <w:r w:rsidRPr="00AC2118">
              <w:rPr>
                <w:rFonts w:cs="Arial"/>
                <w:color w:val="1A1A1A"/>
                <w:lang w:eastAsia="ja-JP"/>
              </w:rPr>
              <w:t>2</w:t>
            </w:r>
          </w:p>
        </w:tc>
        <w:tc>
          <w:tcPr>
            <w:tcW w:w="3012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314F3919" w14:textId="02D20A0C" w:rsidR="00AC2118" w:rsidRPr="00AC2118" w:rsidRDefault="00AC2118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A1A1A"/>
                <w:lang w:eastAsia="ja-JP"/>
              </w:rPr>
            </w:pPr>
            <w:r w:rsidRPr="00AC2118">
              <w:rPr>
                <w:rFonts w:cs="Arial"/>
                <w:color w:val="1A1A1A"/>
                <w:lang w:eastAsia="ja-JP"/>
              </w:rPr>
              <w:t>.1</w:t>
            </w:r>
            <w:r w:rsidR="000A1EC3">
              <w:rPr>
                <w:rFonts w:cs="Arial"/>
                <w:color w:val="1A1A1A"/>
                <w:lang w:eastAsia="ja-JP"/>
              </w:rPr>
              <w:t>5</w:t>
            </w:r>
          </w:p>
        </w:tc>
      </w:tr>
      <w:tr w:rsidR="00AC2118" w:rsidRPr="00AC2118" w14:paraId="40F67A51" w14:textId="77777777" w:rsidTr="00AC211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339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21AE6CCE" w14:textId="77777777" w:rsidR="00AC2118" w:rsidRPr="00AC2118" w:rsidRDefault="00AC2118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A1A1A"/>
                <w:lang w:eastAsia="ja-JP"/>
              </w:rPr>
            </w:pPr>
            <w:r w:rsidRPr="00AC2118">
              <w:rPr>
                <w:rFonts w:cs="Arial"/>
                <w:color w:val="1A1A1A"/>
                <w:lang w:eastAsia="ja-JP"/>
              </w:rPr>
              <w:t>3, 4 or 5</w:t>
            </w:r>
          </w:p>
        </w:tc>
        <w:tc>
          <w:tcPr>
            <w:tcW w:w="3012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3B90E6E4" w14:textId="4ED82E93" w:rsidR="00AC2118" w:rsidRPr="00AC2118" w:rsidRDefault="00AC2118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A1A1A"/>
                <w:lang w:eastAsia="ja-JP"/>
              </w:rPr>
            </w:pPr>
            <w:r w:rsidRPr="00AC2118">
              <w:rPr>
                <w:rFonts w:cs="Arial"/>
                <w:color w:val="1A1A1A"/>
                <w:lang w:eastAsia="ja-JP"/>
              </w:rPr>
              <w:t>.3</w:t>
            </w:r>
            <w:r w:rsidR="00B92ACA">
              <w:rPr>
                <w:rFonts w:cs="Arial"/>
                <w:color w:val="1A1A1A"/>
                <w:lang w:eastAsia="ja-JP"/>
              </w:rPr>
              <w:t>0</w:t>
            </w:r>
          </w:p>
        </w:tc>
      </w:tr>
      <w:tr w:rsidR="00AC2118" w:rsidRPr="00AC2118" w14:paraId="74A2DF0A" w14:textId="77777777" w:rsidTr="00AC211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339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4ABF45D3" w14:textId="77777777" w:rsidR="00AC2118" w:rsidRPr="00AC2118" w:rsidRDefault="00AC2118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A1A1A"/>
                <w:lang w:eastAsia="ja-JP"/>
              </w:rPr>
            </w:pPr>
            <w:r w:rsidRPr="00AC2118">
              <w:rPr>
                <w:rFonts w:cs="Arial"/>
                <w:color w:val="1A1A1A"/>
                <w:lang w:eastAsia="ja-JP"/>
              </w:rPr>
              <w:t>8</w:t>
            </w:r>
          </w:p>
        </w:tc>
        <w:tc>
          <w:tcPr>
            <w:tcW w:w="3012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26E685AC" w14:textId="567F8A6E" w:rsidR="00AC2118" w:rsidRPr="00AC2118" w:rsidRDefault="00AC2118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A1A1A"/>
                <w:lang w:eastAsia="ja-JP"/>
              </w:rPr>
            </w:pPr>
            <w:r w:rsidRPr="00AC2118">
              <w:rPr>
                <w:rFonts w:cs="Arial"/>
                <w:color w:val="1A1A1A"/>
                <w:lang w:eastAsia="ja-JP"/>
              </w:rPr>
              <w:t>.6</w:t>
            </w:r>
            <w:r w:rsidR="000A1EC3">
              <w:rPr>
                <w:rFonts w:cs="Arial"/>
                <w:color w:val="1A1A1A"/>
                <w:lang w:eastAsia="ja-JP"/>
              </w:rPr>
              <w:t>0</w:t>
            </w:r>
          </w:p>
        </w:tc>
      </w:tr>
      <w:tr w:rsidR="00AC2118" w:rsidRPr="00AC2118" w14:paraId="1097187E" w14:textId="77777777" w:rsidTr="00AC2118">
        <w:trPr>
          <w:jc w:val="center"/>
        </w:trPr>
        <w:tc>
          <w:tcPr>
            <w:tcW w:w="339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27536E62" w14:textId="77777777" w:rsidR="00AC2118" w:rsidRPr="00AC2118" w:rsidRDefault="00AC2118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A1A1A"/>
                <w:lang w:eastAsia="ja-JP"/>
              </w:rPr>
            </w:pPr>
            <w:r w:rsidRPr="00AC2118">
              <w:rPr>
                <w:rFonts w:cs="Arial"/>
                <w:color w:val="1A1A1A"/>
                <w:lang w:eastAsia="ja-JP"/>
              </w:rPr>
              <w:t>12</w:t>
            </w:r>
          </w:p>
        </w:tc>
        <w:tc>
          <w:tcPr>
            <w:tcW w:w="3012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46BE60DF" w14:textId="5A56CF8C" w:rsidR="00AC2118" w:rsidRPr="00AC2118" w:rsidRDefault="00AC2118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A1A1A"/>
                <w:lang w:eastAsia="ja-JP"/>
              </w:rPr>
            </w:pPr>
            <w:r w:rsidRPr="00AC2118">
              <w:rPr>
                <w:rFonts w:cs="Arial"/>
                <w:color w:val="1A1A1A"/>
                <w:lang w:eastAsia="ja-JP"/>
              </w:rPr>
              <w:t>.</w:t>
            </w:r>
            <w:r w:rsidR="000F54DC">
              <w:rPr>
                <w:rFonts w:cs="Arial"/>
                <w:color w:val="1A1A1A"/>
                <w:lang w:eastAsia="ja-JP"/>
              </w:rPr>
              <w:t>9</w:t>
            </w:r>
            <w:r w:rsidR="00B92ACA">
              <w:rPr>
                <w:rFonts w:cs="Arial"/>
                <w:color w:val="1A1A1A"/>
                <w:lang w:eastAsia="ja-JP"/>
              </w:rPr>
              <w:t>0</w:t>
            </w:r>
          </w:p>
        </w:tc>
      </w:tr>
    </w:tbl>
    <w:p w14:paraId="1FF92E15" w14:textId="0463E020" w:rsidR="00AC2118" w:rsidRPr="00AC2118" w:rsidRDefault="00AC2118" w:rsidP="00AC2118">
      <w:pPr>
        <w:widowControl w:val="0"/>
        <w:autoSpaceDE w:val="0"/>
        <w:autoSpaceDN w:val="0"/>
        <w:adjustRightInd w:val="0"/>
        <w:rPr>
          <w:rFonts w:cs="Arial"/>
          <w:color w:val="1A1A1A"/>
          <w:lang w:eastAsia="ja-JP"/>
        </w:rPr>
      </w:pPr>
    </w:p>
    <w:p w14:paraId="3B224DD6" w14:textId="075156A4" w:rsidR="00131AE2" w:rsidRDefault="00AC2118" w:rsidP="00411946">
      <w:pPr>
        <w:rPr>
          <w:rFonts w:cs="Arial"/>
          <w:color w:val="1A1A1A"/>
          <w:lang w:eastAsia="ja-JP"/>
        </w:rPr>
      </w:pPr>
      <w:r w:rsidRPr="00AC2118">
        <w:rPr>
          <w:rFonts w:cs="Arial"/>
          <w:color w:val="1A1A1A"/>
          <w:lang w:eastAsia="ja-JP"/>
        </w:rPr>
        <w:t>Web</w:t>
      </w:r>
      <w:r w:rsidR="000F7599">
        <w:rPr>
          <w:rFonts w:cs="Arial"/>
          <w:color w:val="1A1A1A"/>
          <w:lang w:eastAsia="ja-JP"/>
        </w:rPr>
        <w:t>-</w:t>
      </w:r>
      <w:r w:rsidRPr="00AC2118">
        <w:rPr>
          <w:rFonts w:cs="Arial"/>
          <w:color w:val="1A1A1A"/>
          <w:lang w:eastAsia="ja-JP"/>
        </w:rPr>
        <w:t xml:space="preserve">based course FTE </w:t>
      </w:r>
      <w:r w:rsidR="00411946">
        <w:rPr>
          <w:rFonts w:cs="Arial"/>
          <w:color w:val="1A1A1A"/>
          <w:lang w:eastAsia="ja-JP"/>
        </w:rPr>
        <w:t>is normally the same as for conventional non-online courses</w:t>
      </w:r>
      <w:r w:rsidRPr="00AC2118">
        <w:rPr>
          <w:rFonts w:cs="Arial"/>
          <w:color w:val="1A1A1A"/>
          <w:lang w:eastAsia="ja-JP"/>
        </w:rPr>
        <w:t>.</w:t>
      </w:r>
    </w:p>
    <w:p w14:paraId="58D1CD44" w14:textId="77777777" w:rsidR="00131AE2" w:rsidRDefault="00131AE2" w:rsidP="00411946">
      <w:pPr>
        <w:rPr>
          <w:rFonts w:cs="Arial"/>
          <w:color w:val="1A1A1A"/>
          <w:lang w:eastAsia="ja-JP"/>
        </w:rPr>
      </w:pPr>
    </w:p>
    <w:p w14:paraId="35699267" w14:textId="03BC80B3" w:rsidR="00580176" w:rsidRPr="00AC2118" w:rsidRDefault="00AC2118" w:rsidP="00411946">
      <w:r w:rsidRPr="00AC2118">
        <w:rPr>
          <w:rFonts w:cs="Arial"/>
          <w:color w:val="1A1A1A"/>
          <w:lang w:eastAsia="ja-JP"/>
        </w:rPr>
        <w:t>Other situations require prior consultation with CAS to set FTE.</w:t>
      </w:r>
      <w:r w:rsidR="00106210">
        <w:rPr>
          <w:rFonts w:cs="Arial"/>
          <w:color w:val="1A1A1A"/>
          <w:lang w:eastAsia="ja-JP"/>
        </w:rPr>
        <w:t xml:space="preserve"> </w:t>
      </w:r>
    </w:p>
    <w:p w14:paraId="2E224ACB" w14:textId="77777777" w:rsidR="00580176" w:rsidRPr="00AC2118" w:rsidRDefault="00580176" w:rsidP="00580176">
      <w:pPr>
        <w:rPr>
          <w:rFonts w:cs="Times New Roman"/>
          <w:b/>
          <w:color w:val="33CCCC"/>
        </w:rPr>
      </w:pPr>
    </w:p>
    <w:p w14:paraId="749C0B42" w14:textId="77777777" w:rsidR="00580176" w:rsidRPr="00580176" w:rsidRDefault="00580176" w:rsidP="00580176">
      <w:pPr>
        <w:rPr>
          <w:rFonts w:ascii="Calibri" w:hAnsi="Calibri" w:cs="Times New Roman"/>
          <w:b/>
        </w:rPr>
      </w:pPr>
      <w:r w:rsidRPr="00580176">
        <w:rPr>
          <w:rFonts w:ascii="Calibri" w:hAnsi="Calibri" w:cs="Times New Roman"/>
          <w:b/>
        </w:rPr>
        <w:t>II. Examples of Summer Term Overload Assignments</w:t>
      </w:r>
    </w:p>
    <w:p w14:paraId="2168E80D" w14:textId="77777777" w:rsidR="00580176" w:rsidRDefault="00580176" w:rsidP="00580176">
      <w:pPr>
        <w:rPr>
          <w:rFonts w:ascii="Calibri" w:hAnsi="Calibri" w:cs="Times New Roman"/>
        </w:rPr>
      </w:pPr>
    </w:p>
    <w:p w14:paraId="509B04FA" w14:textId="5C215C4C" w:rsidR="00580176" w:rsidRPr="00580176" w:rsidRDefault="00580176" w:rsidP="00580176">
      <w:pPr>
        <w:rPr>
          <w:rFonts w:ascii="Calibri" w:hAnsi="Calibri" w:cs="Times New Roman"/>
        </w:rPr>
      </w:pPr>
      <w:r w:rsidRPr="00580176">
        <w:rPr>
          <w:rFonts w:ascii="Calibri" w:hAnsi="Calibri" w:cs="Times New Roman"/>
        </w:rPr>
        <w:t xml:space="preserve">Examples of </w:t>
      </w:r>
      <w:r>
        <w:rPr>
          <w:rFonts w:ascii="Calibri" w:hAnsi="Calibri" w:cs="Times New Roman"/>
        </w:rPr>
        <w:t>summer</w:t>
      </w:r>
      <w:r w:rsidR="000F7599">
        <w:rPr>
          <w:rFonts w:ascii="Calibri" w:hAnsi="Calibri" w:cs="Times New Roman"/>
        </w:rPr>
        <w:t>-</w:t>
      </w:r>
      <w:r>
        <w:rPr>
          <w:rFonts w:ascii="Calibri" w:hAnsi="Calibri" w:cs="Times New Roman"/>
        </w:rPr>
        <w:t>term overload a</w:t>
      </w:r>
      <w:r w:rsidRPr="00580176">
        <w:rPr>
          <w:rFonts w:ascii="Calibri" w:hAnsi="Calibri" w:cs="Times New Roman"/>
        </w:rPr>
        <w:t xml:space="preserve">ssignments (&gt; 1.0 FTE within a </w:t>
      </w:r>
      <w:r>
        <w:rPr>
          <w:rFonts w:ascii="Calibri" w:hAnsi="Calibri" w:cs="Times New Roman"/>
        </w:rPr>
        <w:t xml:space="preserve">summer </w:t>
      </w:r>
      <w:r w:rsidRPr="00580176">
        <w:rPr>
          <w:rFonts w:ascii="Calibri" w:hAnsi="Calibri" w:cs="Times New Roman"/>
        </w:rPr>
        <w:t>term) that are</w:t>
      </w:r>
      <w:r w:rsidRPr="00580176">
        <w:rPr>
          <w:rFonts w:ascii="Calibri" w:hAnsi="Calibri" w:cs="Times New Roman"/>
          <w:b/>
        </w:rPr>
        <w:t xml:space="preserve"> </w:t>
      </w:r>
      <w:r w:rsidR="00AC6BE8">
        <w:rPr>
          <w:rFonts w:ascii="Calibri" w:hAnsi="Calibri" w:cs="Times New Roman"/>
          <w:b/>
        </w:rPr>
        <w:t xml:space="preserve">currently </w:t>
      </w:r>
      <w:r w:rsidRPr="00580176">
        <w:rPr>
          <w:rFonts w:ascii="Calibri" w:hAnsi="Calibri" w:cs="Times New Roman"/>
        </w:rPr>
        <w:t>likely to be approved by CAS:</w:t>
      </w:r>
      <w:r w:rsidR="009E6A48">
        <w:rPr>
          <w:rFonts w:ascii="Calibri" w:hAnsi="Calibri" w:cs="Times New Roman"/>
        </w:rPr>
        <w:t xml:space="preserve"> </w:t>
      </w:r>
    </w:p>
    <w:p w14:paraId="661AC4E2" w14:textId="77777777" w:rsidR="00580176" w:rsidRPr="00580176" w:rsidRDefault="00580176" w:rsidP="00580176">
      <w:pPr>
        <w:pStyle w:val="ListParagraph"/>
        <w:rPr>
          <w:rFonts w:ascii="Calibri" w:hAnsi="Calibri" w:cs="Times New Roman"/>
        </w:rPr>
      </w:pPr>
    </w:p>
    <w:p w14:paraId="2BFFF8AE" w14:textId="77777777" w:rsidR="00580176" w:rsidRPr="00580176" w:rsidRDefault="00580176" w:rsidP="00580176">
      <w:pPr>
        <w:pStyle w:val="ListParagraph"/>
        <w:ind w:left="990"/>
        <w:rPr>
          <w:rFonts w:ascii="Calibri" w:hAnsi="Calibri" w:cs="Times New Roman"/>
          <w:sz w:val="4"/>
          <w:szCs w:val="4"/>
        </w:rPr>
      </w:pPr>
    </w:p>
    <w:p w14:paraId="15F3F83D" w14:textId="77777777" w:rsidR="00580176" w:rsidRPr="00580176" w:rsidRDefault="00580176" w:rsidP="00580176">
      <w:pPr>
        <w:ind w:left="720"/>
        <w:rPr>
          <w:rFonts w:ascii="Calibri" w:hAnsi="Calibri" w:cs="Times New Roman"/>
        </w:rPr>
      </w:pPr>
      <w:r w:rsidRPr="00580176">
        <w:rPr>
          <w:rFonts w:ascii="Calibri" w:hAnsi="Calibri" w:cs="Times New Roman"/>
          <w:b/>
        </w:rPr>
        <w:t>A.</w:t>
      </w:r>
      <w:r>
        <w:rPr>
          <w:rFonts w:ascii="Calibri" w:hAnsi="Calibri" w:cs="Times New Roman"/>
        </w:rPr>
        <w:t xml:space="preserve"> </w:t>
      </w:r>
      <w:r w:rsidRPr="00580176">
        <w:rPr>
          <w:rFonts w:ascii="Calibri" w:hAnsi="Calibri" w:cs="Times New Roman"/>
        </w:rPr>
        <w:t>One 3, 4 or 5-credit course in fewer than 4 weeks, assuming that the shorter interval does not necessitate an unrealistic level of student</w:t>
      </w:r>
      <w:r w:rsidR="009E6A48">
        <w:rPr>
          <w:rFonts w:ascii="Calibri" w:hAnsi="Calibri" w:cs="Times New Roman"/>
        </w:rPr>
        <w:t xml:space="preserve"> </w:t>
      </w:r>
      <w:r w:rsidRPr="00580176">
        <w:rPr>
          <w:rFonts w:ascii="Calibri" w:hAnsi="Calibri" w:cs="Times New Roman"/>
        </w:rPr>
        <w:t>engagement.</w:t>
      </w:r>
    </w:p>
    <w:p w14:paraId="4B870B82" w14:textId="77777777" w:rsidR="00580176" w:rsidRPr="00580176" w:rsidRDefault="00580176" w:rsidP="00580176">
      <w:pPr>
        <w:pStyle w:val="ListParagraph"/>
        <w:ind w:left="1440"/>
        <w:rPr>
          <w:rFonts w:ascii="Calibri" w:hAnsi="Calibri" w:cs="Times New Roman"/>
        </w:rPr>
      </w:pPr>
    </w:p>
    <w:p w14:paraId="79A0EA2E" w14:textId="5B690883" w:rsidR="00580176" w:rsidRPr="00580176" w:rsidRDefault="00580176" w:rsidP="00F60BCE">
      <w:pPr>
        <w:ind w:left="720"/>
        <w:rPr>
          <w:rFonts w:ascii="Calibri" w:hAnsi="Calibri" w:cs="Times New Roman"/>
        </w:rPr>
      </w:pPr>
      <w:r w:rsidRPr="00580176">
        <w:rPr>
          <w:rFonts w:ascii="Calibri" w:hAnsi="Calibri" w:cs="Times New Roman"/>
          <w:b/>
        </w:rPr>
        <w:t>B.</w:t>
      </w:r>
      <w:r>
        <w:rPr>
          <w:rFonts w:ascii="Calibri" w:hAnsi="Calibri" w:cs="Times New Roman"/>
        </w:rPr>
        <w:t xml:space="preserve"> </w:t>
      </w:r>
      <w:r w:rsidRPr="00580176">
        <w:rPr>
          <w:rFonts w:ascii="Calibri" w:hAnsi="Calibri" w:cs="Times New Roman"/>
        </w:rPr>
        <w:t xml:space="preserve">Two 3-, 4-, or 5-credit courses during one of the </w:t>
      </w:r>
      <w:r w:rsidR="00A61B79">
        <w:rPr>
          <w:rFonts w:ascii="Calibri" w:hAnsi="Calibri" w:cs="Times New Roman"/>
        </w:rPr>
        <w:t>three</w:t>
      </w:r>
      <w:r w:rsidR="00A61B79" w:rsidRPr="00580176">
        <w:rPr>
          <w:rFonts w:ascii="Calibri" w:hAnsi="Calibri" w:cs="Times New Roman"/>
        </w:rPr>
        <w:t xml:space="preserve"> </w:t>
      </w:r>
      <w:r w:rsidRPr="00580176">
        <w:rPr>
          <w:rFonts w:ascii="Calibri" w:hAnsi="Calibri" w:cs="Times New Roman"/>
        </w:rPr>
        <w:t xml:space="preserve">4-week summer terms, but typically not </w:t>
      </w:r>
      <w:r w:rsidR="00A61B79">
        <w:rPr>
          <w:rFonts w:ascii="Calibri" w:hAnsi="Calibri" w:cs="Times New Roman"/>
        </w:rPr>
        <w:t xml:space="preserve">in two such </w:t>
      </w:r>
      <w:r w:rsidRPr="00580176">
        <w:rPr>
          <w:rFonts w:ascii="Calibri" w:hAnsi="Calibri" w:cs="Times New Roman"/>
        </w:rPr>
        <w:t>terms.</w:t>
      </w:r>
      <w:r w:rsidR="009E6A48">
        <w:rPr>
          <w:rFonts w:ascii="Calibri" w:hAnsi="Calibri" w:cs="Times New Roman"/>
        </w:rPr>
        <w:t xml:space="preserve"> </w:t>
      </w:r>
      <w:bookmarkStart w:id="0" w:name="_GoBack"/>
      <w:bookmarkEnd w:id="0"/>
    </w:p>
    <w:sectPr w:rsidR="00580176" w:rsidRPr="00580176" w:rsidSect="006B187A">
      <w:headerReference w:type="default" r:id="rId9"/>
      <w:footerReference w:type="even" r:id="rId10"/>
      <w:footerReference w:type="default" r:id="rId11"/>
      <w:pgSz w:w="12240" w:h="15840"/>
      <w:pgMar w:top="1800" w:right="1440" w:bottom="1440" w:left="144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527376" w15:done="0"/>
  <w15:commentEx w15:paraId="32483E2B" w15:done="0"/>
  <w15:commentEx w15:paraId="39BB7703" w15:done="0"/>
  <w15:commentEx w15:paraId="7818160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EA7617" w14:textId="77777777" w:rsidR="00644434" w:rsidRDefault="00644434" w:rsidP="00D770EC">
      <w:r>
        <w:separator/>
      </w:r>
    </w:p>
  </w:endnote>
  <w:endnote w:type="continuationSeparator" w:id="0">
    <w:p w14:paraId="3DF24106" w14:textId="77777777" w:rsidR="00644434" w:rsidRDefault="00644434" w:rsidP="00D77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C2C8D" w14:textId="77777777" w:rsidR="00B205A0" w:rsidRDefault="00B205A0" w:rsidP="009273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A5EDB2" w14:textId="77777777" w:rsidR="00B205A0" w:rsidRDefault="00B205A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8A41B" w14:textId="6450A1E4" w:rsidR="00B205A0" w:rsidRDefault="00F60BCE" w:rsidP="00F60BCE">
    <w:pPr>
      <w:pStyle w:val="Footer"/>
      <w:tabs>
        <w:tab w:val="clear" w:pos="4320"/>
      </w:tabs>
      <w:rPr>
        <w:rStyle w:val="PageNumber"/>
      </w:rPr>
    </w:pPr>
    <w:r w:rsidRPr="00F60BCE">
      <w:rPr>
        <w:rStyle w:val="PageNumber"/>
        <w:i/>
        <w:color w:val="FF0000"/>
      </w:rPr>
      <w:t>CAS Summer Session Policy Template</w:t>
    </w:r>
    <w:r>
      <w:rPr>
        <w:rStyle w:val="PageNumber"/>
      </w:rPr>
      <w:tab/>
    </w:r>
    <w:r w:rsidR="00B205A0">
      <w:rPr>
        <w:rStyle w:val="PageNumber"/>
      </w:rPr>
      <w:fldChar w:fldCharType="begin"/>
    </w:r>
    <w:r w:rsidR="00B205A0">
      <w:rPr>
        <w:rStyle w:val="PageNumber"/>
      </w:rPr>
      <w:instrText xml:space="preserve"> PAGE  \* MERGEFORMAT </w:instrText>
    </w:r>
    <w:r w:rsidR="00B205A0">
      <w:rPr>
        <w:rStyle w:val="PageNumber"/>
      </w:rPr>
      <w:fldChar w:fldCharType="separate"/>
    </w:r>
    <w:r>
      <w:rPr>
        <w:rStyle w:val="PageNumber"/>
        <w:noProof/>
      </w:rPr>
      <w:t>1</w:t>
    </w:r>
    <w:r w:rsidR="00B205A0">
      <w:rPr>
        <w:rStyle w:val="PageNumber"/>
      </w:rPr>
      <w:fldChar w:fldCharType="end"/>
    </w:r>
  </w:p>
  <w:p w14:paraId="045F857E" w14:textId="5F90E832" w:rsidR="00F60BCE" w:rsidRPr="00F60BCE" w:rsidRDefault="00F60BCE" w:rsidP="00F60BCE">
    <w:pPr>
      <w:pStyle w:val="Footer"/>
      <w:tabs>
        <w:tab w:val="clear" w:pos="4320"/>
      </w:tabs>
      <w:rPr>
        <w:rStyle w:val="PageNumber"/>
        <w:i/>
        <w:color w:val="FF0000"/>
      </w:rPr>
    </w:pPr>
    <w:r w:rsidRPr="00F60BCE">
      <w:rPr>
        <w:rStyle w:val="PageNumber"/>
        <w:i/>
        <w:color w:val="FF0000"/>
      </w:rPr>
      <w:t>November 2, 2016</w:t>
    </w:r>
  </w:p>
  <w:p w14:paraId="0F5C6592" w14:textId="77777777" w:rsidR="00B205A0" w:rsidRDefault="00B205A0" w:rsidP="006C7E4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7FB897" w14:textId="77777777" w:rsidR="00644434" w:rsidRDefault="00644434" w:rsidP="00D770EC">
      <w:r>
        <w:separator/>
      </w:r>
    </w:p>
  </w:footnote>
  <w:footnote w:type="continuationSeparator" w:id="0">
    <w:p w14:paraId="4DC46BA0" w14:textId="77777777" w:rsidR="00644434" w:rsidRDefault="00644434" w:rsidP="00D770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E164E" w14:textId="77777777" w:rsidR="00B205A0" w:rsidRDefault="00B205A0" w:rsidP="004C15EF">
    <w:pPr>
      <w:pStyle w:val="Header"/>
      <w:jc w:val="center"/>
      <w:rPr>
        <w:b/>
        <w:color w:val="808080" w:themeColor="background1" w:themeShade="80"/>
      </w:rPr>
    </w:pPr>
    <w:r w:rsidRPr="00D770EC">
      <w:rPr>
        <w:b/>
        <w:color w:val="808080" w:themeColor="background1" w:themeShade="80"/>
      </w:rPr>
      <w:t>T</w:t>
    </w:r>
    <w:r>
      <w:rPr>
        <w:b/>
        <w:color w:val="808080" w:themeColor="background1" w:themeShade="80"/>
      </w:rPr>
      <w:t>emplate for CAS Summer Session Policy</w:t>
    </w:r>
  </w:p>
  <w:p w14:paraId="460A88A0" w14:textId="77777777" w:rsidR="00B205A0" w:rsidRPr="00A91005" w:rsidRDefault="00B205A0" w:rsidP="004C15EF">
    <w:pPr>
      <w:pStyle w:val="Header"/>
      <w:jc w:val="center"/>
      <w:rPr>
        <w:b/>
        <w:color w:val="C0504D" w:themeColor="accent2"/>
      </w:rPr>
    </w:pPr>
    <w:r w:rsidRPr="00A91005">
      <w:rPr>
        <w:b/>
        <w:color w:val="C0504D" w:themeColor="accent2"/>
      </w:rPr>
      <w:t>INSERT DEPARTMENT OR PROGRAM NAME HERE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2B21"/>
    <w:multiLevelType w:val="multilevel"/>
    <w:tmpl w:val="7AA4861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F422B"/>
    <w:multiLevelType w:val="multilevel"/>
    <w:tmpl w:val="789C62F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A67E1B"/>
    <w:multiLevelType w:val="hybridMultilevel"/>
    <w:tmpl w:val="61F212B0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97773D9"/>
    <w:multiLevelType w:val="hybridMultilevel"/>
    <w:tmpl w:val="6C7EAE6A"/>
    <w:lvl w:ilvl="0" w:tplc="93862512">
      <w:start w:val="1"/>
      <w:numFmt w:val="decimal"/>
      <w:lvlText w:val="%1."/>
      <w:lvlJc w:val="left"/>
      <w:pPr>
        <w:ind w:left="1890" w:hanging="720"/>
      </w:pPr>
      <w:rPr>
        <w:rFonts w:asciiTheme="majorHAnsi" w:eastAsiaTheme="minorEastAsia" w:hAnsiTheme="maj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A3D3114"/>
    <w:multiLevelType w:val="hybridMultilevel"/>
    <w:tmpl w:val="3558F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0A4354"/>
    <w:multiLevelType w:val="hybridMultilevel"/>
    <w:tmpl w:val="5528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74FFD"/>
    <w:multiLevelType w:val="hybridMultilevel"/>
    <w:tmpl w:val="77880E1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F5B38"/>
    <w:multiLevelType w:val="hybridMultilevel"/>
    <w:tmpl w:val="3B6603E8"/>
    <w:lvl w:ilvl="0" w:tplc="F56CD75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F258B"/>
    <w:multiLevelType w:val="multilevel"/>
    <w:tmpl w:val="0DE8042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905ACA"/>
    <w:multiLevelType w:val="hybridMultilevel"/>
    <w:tmpl w:val="A5E0F4A8"/>
    <w:lvl w:ilvl="0" w:tplc="0F4C4572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1534AF"/>
    <w:multiLevelType w:val="multilevel"/>
    <w:tmpl w:val="D7C2DBC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AE2583"/>
    <w:multiLevelType w:val="hybridMultilevel"/>
    <w:tmpl w:val="5CA24758"/>
    <w:lvl w:ilvl="0" w:tplc="F56CD75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DC4C6E"/>
    <w:multiLevelType w:val="hybridMultilevel"/>
    <w:tmpl w:val="00F07656"/>
    <w:lvl w:ilvl="0" w:tplc="DA220708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9C4D9B"/>
    <w:multiLevelType w:val="multilevel"/>
    <w:tmpl w:val="FE0CB1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FF58B5"/>
    <w:multiLevelType w:val="hybridMultilevel"/>
    <w:tmpl w:val="A1C23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7"/>
  </w:num>
  <w:num w:numId="5">
    <w:abstractNumId w:val="11"/>
  </w:num>
  <w:num w:numId="6">
    <w:abstractNumId w:val="5"/>
  </w:num>
  <w:num w:numId="7">
    <w:abstractNumId w:val="1"/>
  </w:num>
  <w:num w:numId="8">
    <w:abstractNumId w:val="10"/>
  </w:num>
  <w:num w:numId="9">
    <w:abstractNumId w:val="0"/>
  </w:num>
  <w:num w:numId="10">
    <w:abstractNumId w:val="8"/>
  </w:num>
  <w:num w:numId="11">
    <w:abstractNumId w:val="13"/>
  </w:num>
  <w:num w:numId="12">
    <w:abstractNumId w:val="6"/>
  </w:num>
  <w:num w:numId="13">
    <w:abstractNumId w:val="4"/>
  </w:num>
  <w:num w:numId="14">
    <w:abstractNumId w:val="2"/>
  </w:num>
  <w:num w:numId="15">
    <w:abstractNumId w:val="1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an McNeely">
    <w15:presenceInfo w15:providerId="None" w15:userId="Ian McNeely"/>
  </w15:person>
  <w15:person w15:author="Mariann Hyland">
    <w15:presenceInfo w15:providerId="AD" w15:userId="S-1-5-21-2613503727-1553357937-2150718590-2142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EC"/>
    <w:rsid w:val="00002122"/>
    <w:rsid w:val="0001172C"/>
    <w:rsid w:val="00016E8A"/>
    <w:rsid w:val="000245CB"/>
    <w:rsid w:val="000336CF"/>
    <w:rsid w:val="000355C3"/>
    <w:rsid w:val="00040B2A"/>
    <w:rsid w:val="00041833"/>
    <w:rsid w:val="0004552A"/>
    <w:rsid w:val="000475F2"/>
    <w:rsid w:val="00053555"/>
    <w:rsid w:val="0005743D"/>
    <w:rsid w:val="00057640"/>
    <w:rsid w:val="00057F84"/>
    <w:rsid w:val="00064F93"/>
    <w:rsid w:val="00081251"/>
    <w:rsid w:val="00087347"/>
    <w:rsid w:val="00092AB4"/>
    <w:rsid w:val="00096E69"/>
    <w:rsid w:val="0009727E"/>
    <w:rsid w:val="000973A5"/>
    <w:rsid w:val="000A0A25"/>
    <w:rsid w:val="000A1EC3"/>
    <w:rsid w:val="000A2986"/>
    <w:rsid w:val="000A57DE"/>
    <w:rsid w:val="000A5E13"/>
    <w:rsid w:val="000A7A1C"/>
    <w:rsid w:val="000B1D35"/>
    <w:rsid w:val="000B50DC"/>
    <w:rsid w:val="000C690C"/>
    <w:rsid w:val="000C6C77"/>
    <w:rsid w:val="000D70B4"/>
    <w:rsid w:val="000E5FD4"/>
    <w:rsid w:val="000F09EB"/>
    <w:rsid w:val="000F3568"/>
    <w:rsid w:val="000F3FE2"/>
    <w:rsid w:val="000F54DC"/>
    <w:rsid w:val="000F7599"/>
    <w:rsid w:val="00106210"/>
    <w:rsid w:val="00106322"/>
    <w:rsid w:val="0010772A"/>
    <w:rsid w:val="00131820"/>
    <w:rsid w:val="00131AE2"/>
    <w:rsid w:val="00132591"/>
    <w:rsid w:val="00135C85"/>
    <w:rsid w:val="00137AE6"/>
    <w:rsid w:val="00145BC2"/>
    <w:rsid w:val="0014654C"/>
    <w:rsid w:val="0014704B"/>
    <w:rsid w:val="001578E8"/>
    <w:rsid w:val="001670E0"/>
    <w:rsid w:val="001717C4"/>
    <w:rsid w:val="001858EA"/>
    <w:rsid w:val="00193B37"/>
    <w:rsid w:val="0019573B"/>
    <w:rsid w:val="00197C77"/>
    <w:rsid w:val="001A4A3C"/>
    <w:rsid w:val="001B657C"/>
    <w:rsid w:val="001D427B"/>
    <w:rsid w:val="001D461B"/>
    <w:rsid w:val="001D6976"/>
    <w:rsid w:val="00205BB2"/>
    <w:rsid w:val="002124A2"/>
    <w:rsid w:val="002148D7"/>
    <w:rsid w:val="00221155"/>
    <w:rsid w:val="00232DBB"/>
    <w:rsid w:val="00233B77"/>
    <w:rsid w:val="00233EE8"/>
    <w:rsid w:val="00235AA5"/>
    <w:rsid w:val="00236A0A"/>
    <w:rsid w:val="00245DEF"/>
    <w:rsid w:val="0025527C"/>
    <w:rsid w:val="00256B25"/>
    <w:rsid w:val="00257A35"/>
    <w:rsid w:val="00260857"/>
    <w:rsid w:val="0026098E"/>
    <w:rsid w:val="00261BEC"/>
    <w:rsid w:val="00262B0E"/>
    <w:rsid w:val="00280B5B"/>
    <w:rsid w:val="0028168B"/>
    <w:rsid w:val="0028760C"/>
    <w:rsid w:val="0029049A"/>
    <w:rsid w:val="002930B2"/>
    <w:rsid w:val="0029784A"/>
    <w:rsid w:val="002A034B"/>
    <w:rsid w:val="002A0DC0"/>
    <w:rsid w:val="002A1106"/>
    <w:rsid w:val="002A43B7"/>
    <w:rsid w:val="002B1CAE"/>
    <w:rsid w:val="002B21C9"/>
    <w:rsid w:val="002B3644"/>
    <w:rsid w:val="002B6BE8"/>
    <w:rsid w:val="002C0EF3"/>
    <w:rsid w:val="002C132D"/>
    <w:rsid w:val="002D325A"/>
    <w:rsid w:val="002E13A6"/>
    <w:rsid w:val="002F50F6"/>
    <w:rsid w:val="0030015B"/>
    <w:rsid w:val="00300BA0"/>
    <w:rsid w:val="00303169"/>
    <w:rsid w:val="00304F14"/>
    <w:rsid w:val="00323E00"/>
    <w:rsid w:val="00341EF7"/>
    <w:rsid w:val="00372B15"/>
    <w:rsid w:val="00374AEF"/>
    <w:rsid w:val="003758C1"/>
    <w:rsid w:val="00382FBA"/>
    <w:rsid w:val="00386074"/>
    <w:rsid w:val="0039450C"/>
    <w:rsid w:val="003A2A78"/>
    <w:rsid w:val="003B24DF"/>
    <w:rsid w:val="003C33EB"/>
    <w:rsid w:val="003C4735"/>
    <w:rsid w:val="003C6384"/>
    <w:rsid w:val="003D042C"/>
    <w:rsid w:val="003D6929"/>
    <w:rsid w:val="003E02FD"/>
    <w:rsid w:val="003E13D2"/>
    <w:rsid w:val="003E3625"/>
    <w:rsid w:val="003F34DB"/>
    <w:rsid w:val="003F6445"/>
    <w:rsid w:val="004047AD"/>
    <w:rsid w:val="004062E2"/>
    <w:rsid w:val="00410C43"/>
    <w:rsid w:val="00411946"/>
    <w:rsid w:val="00420302"/>
    <w:rsid w:val="00422FA8"/>
    <w:rsid w:val="0042408A"/>
    <w:rsid w:val="00427CDB"/>
    <w:rsid w:val="004302FB"/>
    <w:rsid w:val="004304D4"/>
    <w:rsid w:val="00431ED2"/>
    <w:rsid w:val="0043201B"/>
    <w:rsid w:val="004402B5"/>
    <w:rsid w:val="004425F4"/>
    <w:rsid w:val="004460C0"/>
    <w:rsid w:val="004532DB"/>
    <w:rsid w:val="00454F8B"/>
    <w:rsid w:val="00456477"/>
    <w:rsid w:val="0046748F"/>
    <w:rsid w:val="00470E6F"/>
    <w:rsid w:val="004818B8"/>
    <w:rsid w:val="00482533"/>
    <w:rsid w:val="00486B48"/>
    <w:rsid w:val="00494039"/>
    <w:rsid w:val="00495169"/>
    <w:rsid w:val="004A5204"/>
    <w:rsid w:val="004A6000"/>
    <w:rsid w:val="004B177C"/>
    <w:rsid w:val="004B1AE0"/>
    <w:rsid w:val="004B2035"/>
    <w:rsid w:val="004C15EF"/>
    <w:rsid w:val="004C1773"/>
    <w:rsid w:val="004C231F"/>
    <w:rsid w:val="004D4797"/>
    <w:rsid w:val="004E3993"/>
    <w:rsid w:val="004F3FBD"/>
    <w:rsid w:val="004F52AA"/>
    <w:rsid w:val="00502558"/>
    <w:rsid w:val="0051083D"/>
    <w:rsid w:val="005109A2"/>
    <w:rsid w:val="005208A9"/>
    <w:rsid w:val="00524358"/>
    <w:rsid w:val="00530D41"/>
    <w:rsid w:val="0053141D"/>
    <w:rsid w:val="005342D5"/>
    <w:rsid w:val="00536421"/>
    <w:rsid w:val="00541A36"/>
    <w:rsid w:val="00547B42"/>
    <w:rsid w:val="005542D3"/>
    <w:rsid w:val="00561CC6"/>
    <w:rsid w:val="00563FB8"/>
    <w:rsid w:val="005709C9"/>
    <w:rsid w:val="00580176"/>
    <w:rsid w:val="0058249E"/>
    <w:rsid w:val="00593CAC"/>
    <w:rsid w:val="005A29DD"/>
    <w:rsid w:val="005A33E0"/>
    <w:rsid w:val="005A40A2"/>
    <w:rsid w:val="005B3BFC"/>
    <w:rsid w:val="005C127D"/>
    <w:rsid w:val="005C79DC"/>
    <w:rsid w:val="005E346E"/>
    <w:rsid w:val="005F1955"/>
    <w:rsid w:val="005F6F6C"/>
    <w:rsid w:val="00612D0C"/>
    <w:rsid w:val="006146D6"/>
    <w:rsid w:val="00621D74"/>
    <w:rsid w:val="0063159F"/>
    <w:rsid w:val="0063618A"/>
    <w:rsid w:val="006372C4"/>
    <w:rsid w:val="0064376D"/>
    <w:rsid w:val="00644434"/>
    <w:rsid w:val="006446A4"/>
    <w:rsid w:val="0064526C"/>
    <w:rsid w:val="006658E2"/>
    <w:rsid w:val="0066798A"/>
    <w:rsid w:val="00667FF4"/>
    <w:rsid w:val="00680AB6"/>
    <w:rsid w:val="00682CEC"/>
    <w:rsid w:val="006838FE"/>
    <w:rsid w:val="006839A5"/>
    <w:rsid w:val="00691AC4"/>
    <w:rsid w:val="00696F18"/>
    <w:rsid w:val="006A0065"/>
    <w:rsid w:val="006A3B60"/>
    <w:rsid w:val="006B187A"/>
    <w:rsid w:val="006B2A74"/>
    <w:rsid w:val="006B57E3"/>
    <w:rsid w:val="006C092A"/>
    <w:rsid w:val="006C7E4C"/>
    <w:rsid w:val="006C7F87"/>
    <w:rsid w:val="006D4ED6"/>
    <w:rsid w:val="006D5CC4"/>
    <w:rsid w:val="006D78F7"/>
    <w:rsid w:val="006E16B7"/>
    <w:rsid w:val="006E302E"/>
    <w:rsid w:val="006E3369"/>
    <w:rsid w:val="006F1A00"/>
    <w:rsid w:val="007077F9"/>
    <w:rsid w:val="00717910"/>
    <w:rsid w:val="00721010"/>
    <w:rsid w:val="0072200C"/>
    <w:rsid w:val="0072350F"/>
    <w:rsid w:val="00732ED6"/>
    <w:rsid w:val="007410E6"/>
    <w:rsid w:val="00755ED3"/>
    <w:rsid w:val="00763322"/>
    <w:rsid w:val="00767A7A"/>
    <w:rsid w:val="00770EB9"/>
    <w:rsid w:val="007873C1"/>
    <w:rsid w:val="007A7640"/>
    <w:rsid w:val="007B2169"/>
    <w:rsid w:val="007B3567"/>
    <w:rsid w:val="007B6201"/>
    <w:rsid w:val="007D19AD"/>
    <w:rsid w:val="007E1A61"/>
    <w:rsid w:val="007E2206"/>
    <w:rsid w:val="007F6EB2"/>
    <w:rsid w:val="00841556"/>
    <w:rsid w:val="00851268"/>
    <w:rsid w:val="00856392"/>
    <w:rsid w:val="008578F9"/>
    <w:rsid w:val="00865276"/>
    <w:rsid w:val="008745A9"/>
    <w:rsid w:val="00876A1F"/>
    <w:rsid w:val="008907FD"/>
    <w:rsid w:val="00896734"/>
    <w:rsid w:val="008A0FB7"/>
    <w:rsid w:val="008A2660"/>
    <w:rsid w:val="008A5FB0"/>
    <w:rsid w:val="008B119B"/>
    <w:rsid w:val="008B2C3D"/>
    <w:rsid w:val="008B6286"/>
    <w:rsid w:val="008C2009"/>
    <w:rsid w:val="008E4AF0"/>
    <w:rsid w:val="008E730E"/>
    <w:rsid w:val="008F5964"/>
    <w:rsid w:val="009013FD"/>
    <w:rsid w:val="009031D9"/>
    <w:rsid w:val="009052D3"/>
    <w:rsid w:val="009111A7"/>
    <w:rsid w:val="00913647"/>
    <w:rsid w:val="00921A4A"/>
    <w:rsid w:val="00922F92"/>
    <w:rsid w:val="009273D4"/>
    <w:rsid w:val="00932317"/>
    <w:rsid w:val="00932968"/>
    <w:rsid w:val="00934118"/>
    <w:rsid w:val="00937076"/>
    <w:rsid w:val="00944537"/>
    <w:rsid w:val="00952FA8"/>
    <w:rsid w:val="009549A1"/>
    <w:rsid w:val="00956BF9"/>
    <w:rsid w:val="009820A9"/>
    <w:rsid w:val="009864BD"/>
    <w:rsid w:val="00987337"/>
    <w:rsid w:val="009902A5"/>
    <w:rsid w:val="00994C07"/>
    <w:rsid w:val="009A77DB"/>
    <w:rsid w:val="009A7BDC"/>
    <w:rsid w:val="009B1EF9"/>
    <w:rsid w:val="009D46BE"/>
    <w:rsid w:val="009E6A48"/>
    <w:rsid w:val="00A042DC"/>
    <w:rsid w:val="00A14D6B"/>
    <w:rsid w:val="00A24C3F"/>
    <w:rsid w:val="00A36CC2"/>
    <w:rsid w:val="00A4655B"/>
    <w:rsid w:val="00A50608"/>
    <w:rsid w:val="00A5278A"/>
    <w:rsid w:val="00A53205"/>
    <w:rsid w:val="00A61B79"/>
    <w:rsid w:val="00A91005"/>
    <w:rsid w:val="00A91965"/>
    <w:rsid w:val="00A92D1D"/>
    <w:rsid w:val="00A94653"/>
    <w:rsid w:val="00AA1E82"/>
    <w:rsid w:val="00AA570E"/>
    <w:rsid w:val="00AB3F54"/>
    <w:rsid w:val="00AC050F"/>
    <w:rsid w:val="00AC2118"/>
    <w:rsid w:val="00AC6BE8"/>
    <w:rsid w:val="00AD03DD"/>
    <w:rsid w:val="00AD32CF"/>
    <w:rsid w:val="00AD399A"/>
    <w:rsid w:val="00AD63CC"/>
    <w:rsid w:val="00AF0529"/>
    <w:rsid w:val="00B0029B"/>
    <w:rsid w:val="00B07DCF"/>
    <w:rsid w:val="00B205A0"/>
    <w:rsid w:val="00B231A6"/>
    <w:rsid w:val="00B33D11"/>
    <w:rsid w:val="00B358A6"/>
    <w:rsid w:val="00B41E30"/>
    <w:rsid w:val="00B534F8"/>
    <w:rsid w:val="00B65842"/>
    <w:rsid w:val="00B671FC"/>
    <w:rsid w:val="00B70949"/>
    <w:rsid w:val="00B7440D"/>
    <w:rsid w:val="00B74DC4"/>
    <w:rsid w:val="00B81813"/>
    <w:rsid w:val="00B83CC3"/>
    <w:rsid w:val="00B90DCC"/>
    <w:rsid w:val="00B92AC9"/>
    <w:rsid w:val="00B92ACA"/>
    <w:rsid w:val="00B97A78"/>
    <w:rsid w:val="00BA04D0"/>
    <w:rsid w:val="00BA32BF"/>
    <w:rsid w:val="00BB1093"/>
    <w:rsid w:val="00BB6769"/>
    <w:rsid w:val="00BC3A70"/>
    <w:rsid w:val="00BC4150"/>
    <w:rsid w:val="00BD4452"/>
    <w:rsid w:val="00BD52B1"/>
    <w:rsid w:val="00BE0CF7"/>
    <w:rsid w:val="00BF5E16"/>
    <w:rsid w:val="00C036EB"/>
    <w:rsid w:val="00C0404C"/>
    <w:rsid w:val="00C11F9E"/>
    <w:rsid w:val="00C14A8D"/>
    <w:rsid w:val="00C14AD5"/>
    <w:rsid w:val="00C211FE"/>
    <w:rsid w:val="00C21C0E"/>
    <w:rsid w:val="00C26009"/>
    <w:rsid w:val="00C26585"/>
    <w:rsid w:val="00C2742A"/>
    <w:rsid w:val="00C31954"/>
    <w:rsid w:val="00C3632E"/>
    <w:rsid w:val="00C3661F"/>
    <w:rsid w:val="00C43246"/>
    <w:rsid w:val="00C708D6"/>
    <w:rsid w:val="00C75235"/>
    <w:rsid w:val="00C77767"/>
    <w:rsid w:val="00C8102E"/>
    <w:rsid w:val="00C83717"/>
    <w:rsid w:val="00C8544C"/>
    <w:rsid w:val="00C92268"/>
    <w:rsid w:val="00CA2182"/>
    <w:rsid w:val="00CA31AB"/>
    <w:rsid w:val="00CA3310"/>
    <w:rsid w:val="00CA55CD"/>
    <w:rsid w:val="00CB38FF"/>
    <w:rsid w:val="00CB3E59"/>
    <w:rsid w:val="00CC6624"/>
    <w:rsid w:val="00CD0E01"/>
    <w:rsid w:val="00CD69ED"/>
    <w:rsid w:val="00CE0A32"/>
    <w:rsid w:val="00CF6E78"/>
    <w:rsid w:val="00D016C0"/>
    <w:rsid w:val="00D10553"/>
    <w:rsid w:val="00D10ABC"/>
    <w:rsid w:val="00D14FEC"/>
    <w:rsid w:val="00D1758B"/>
    <w:rsid w:val="00D265FF"/>
    <w:rsid w:val="00D3024B"/>
    <w:rsid w:val="00D30A6B"/>
    <w:rsid w:val="00D452EE"/>
    <w:rsid w:val="00D51880"/>
    <w:rsid w:val="00D60D2E"/>
    <w:rsid w:val="00D66935"/>
    <w:rsid w:val="00D701F0"/>
    <w:rsid w:val="00D708C5"/>
    <w:rsid w:val="00D70FCF"/>
    <w:rsid w:val="00D73FB7"/>
    <w:rsid w:val="00D770EC"/>
    <w:rsid w:val="00D92C20"/>
    <w:rsid w:val="00DA093F"/>
    <w:rsid w:val="00DA7FCD"/>
    <w:rsid w:val="00DB032F"/>
    <w:rsid w:val="00DB1834"/>
    <w:rsid w:val="00DC5998"/>
    <w:rsid w:val="00DD219C"/>
    <w:rsid w:val="00DD286B"/>
    <w:rsid w:val="00DD6574"/>
    <w:rsid w:val="00DD6C49"/>
    <w:rsid w:val="00DF7890"/>
    <w:rsid w:val="00E026E7"/>
    <w:rsid w:val="00E061CA"/>
    <w:rsid w:val="00E073FA"/>
    <w:rsid w:val="00E13DFF"/>
    <w:rsid w:val="00E17E16"/>
    <w:rsid w:val="00E20F4F"/>
    <w:rsid w:val="00E21B9E"/>
    <w:rsid w:val="00E238B9"/>
    <w:rsid w:val="00E2570C"/>
    <w:rsid w:val="00E35F5C"/>
    <w:rsid w:val="00E47455"/>
    <w:rsid w:val="00E56D5C"/>
    <w:rsid w:val="00E60E91"/>
    <w:rsid w:val="00E61CC2"/>
    <w:rsid w:val="00E71939"/>
    <w:rsid w:val="00E829D3"/>
    <w:rsid w:val="00E836B9"/>
    <w:rsid w:val="00E85F59"/>
    <w:rsid w:val="00E90C97"/>
    <w:rsid w:val="00EA68E4"/>
    <w:rsid w:val="00EC1650"/>
    <w:rsid w:val="00EC2660"/>
    <w:rsid w:val="00ED78DD"/>
    <w:rsid w:val="00EE1676"/>
    <w:rsid w:val="00EE1F66"/>
    <w:rsid w:val="00EF2274"/>
    <w:rsid w:val="00EF271A"/>
    <w:rsid w:val="00F02CA3"/>
    <w:rsid w:val="00F04E0A"/>
    <w:rsid w:val="00F12537"/>
    <w:rsid w:val="00F24C36"/>
    <w:rsid w:val="00F32DA5"/>
    <w:rsid w:val="00F40A02"/>
    <w:rsid w:val="00F424A5"/>
    <w:rsid w:val="00F53BED"/>
    <w:rsid w:val="00F563D9"/>
    <w:rsid w:val="00F60BCE"/>
    <w:rsid w:val="00F61179"/>
    <w:rsid w:val="00F66F4A"/>
    <w:rsid w:val="00F729A0"/>
    <w:rsid w:val="00F865C7"/>
    <w:rsid w:val="00F97E88"/>
    <w:rsid w:val="00FA64CB"/>
    <w:rsid w:val="00FB387C"/>
    <w:rsid w:val="00FB6147"/>
    <w:rsid w:val="00FC1CC3"/>
    <w:rsid w:val="00FC3B3C"/>
    <w:rsid w:val="00FC6C66"/>
    <w:rsid w:val="00FC7703"/>
    <w:rsid w:val="00FC7CCA"/>
    <w:rsid w:val="00FF70C3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723F2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0EC"/>
    <w:rPr>
      <w:rFonts w:asciiTheme="majorHAnsi" w:hAnsiTheme="majorHAnsi" w:cstheme="minorBidi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773"/>
    <w:pPr>
      <w:keepNext/>
      <w:keepLines/>
      <w:spacing w:before="40" w:line="256" w:lineRule="auto"/>
      <w:outlineLvl w:val="1"/>
    </w:pPr>
    <w:rPr>
      <w:rFonts w:eastAsiaTheme="majorEastAsia" w:cstheme="majorBidi"/>
      <w:color w:val="070C13" w:themeColor="accent1" w:themeShade="1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70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0EC"/>
    <w:rPr>
      <w:rFonts w:asciiTheme="majorHAnsi" w:hAnsiTheme="majorHAnsi" w:cstheme="minorBid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770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0EC"/>
    <w:rPr>
      <w:rFonts w:asciiTheme="majorHAnsi" w:hAnsiTheme="majorHAnsi" w:cstheme="minorBidi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6C7E4C"/>
  </w:style>
  <w:style w:type="paragraph" w:styleId="BalloonText">
    <w:name w:val="Balloon Text"/>
    <w:basedOn w:val="Normal"/>
    <w:link w:val="BalloonTextChar"/>
    <w:uiPriority w:val="99"/>
    <w:semiHidden/>
    <w:unhideWhenUsed/>
    <w:rsid w:val="006C7E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E4C"/>
    <w:rPr>
      <w:rFonts w:ascii="Lucida Grande" w:hAnsi="Lucida Grande" w:cs="Lucida Grande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652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2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276"/>
    <w:rPr>
      <w:rFonts w:asciiTheme="majorHAnsi" w:hAnsiTheme="majorHAnsi" w:cstheme="minorBidi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2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276"/>
    <w:rPr>
      <w:rFonts w:asciiTheme="majorHAnsi" w:hAnsiTheme="majorHAnsi" w:cstheme="minorBidi"/>
      <w:b/>
      <w:bCs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5208A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1773"/>
    <w:rPr>
      <w:rFonts w:asciiTheme="majorHAnsi" w:eastAsiaTheme="majorEastAsia" w:hAnsiTheme="majorHAnsi" w:cstheme="majorBidi"/>
      <w:color w:val="070C13" w:themeColor="accent1" w:themeShade="1A"/>
      <w:sz w:val="26"/>
      <w:szCs w:val="26"/>
      <w:lang w:eastAsia="en-US"/>
    </w:rPr>
  </w:style>
  <w:style w:type="paragraph" w:customStyle="1" w:styleId="Default">
    <w:name w:val="Default"/>
    <w:rsid w:val="00E17E16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7077F9"/>
    <w:rPr>
      <w:rFonts w:asciiTheme="majorHAnsi" w:hAnsiTheme="majorHAnsi" w:cstheme="minorBidi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0EC"/>
    <w:rPr>
      <w:rFonts w:asciiTheme="majorHAnsi" w:hAnsiTheme="majorHAnsi" w:cstheme="minorBidi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773"/>
    <w:pPr>
      <w:keepNext/>
      <w:keepLines/>
      <w:spacing w:before="40" w:line="256" w:lineRule="auto"/>
      <w:outlineLvl w:val="1"/>
    </w:pPr>
    <w:rPr>
      <w:rFonts w:eastAsiaTheme="majorEastAsia" w:cstheme="majorBidi"/>
      <w:color w:val="070C13" w:themeColor="accent1" w:themeShade="1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70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0EC"/>
    <w:rPr>
      <w:rFonts w:asciiTheme="majorHAnsi" w:hAnsiTheme="majorHAnsi" w:cstheme="minorBid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770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0EC"/>
    <w:rPr>
      <w:rFonts w:asciiTheme="majorHAnsi" w:hAnsiTheme="majorHAnsi" w:cstheme="minorBidi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6C7E4C"/>
  </w:style>
  <w:style w:type="paragraph" w:styleId="BalloonText">
    <w:name w:val="Balloon Text"/>
    <w:basedOn w:val="Normal"/>
    <w:link w:val="BalloonTextChar"/>
    <w:uiPriority w:val="99"/>
    <w:semiHidden/>
    <w:unhideWhenUsed/>
    <w:rsid w:val="006C7E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E4C"/>
    <w:rPr>
      <w:rFonts w:ascii="Lucida Grande" w:hAnsi="Lucida Grande" w:cs="Lucida Grande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652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2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276"/>
    <w:rPr>
      <w:rFonts w:asciiTheme="majorHAnsi" w:hAnsiTheme="majorHAnsi" w:cstheme="minorBidi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2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276"/>
    <w:rPr>
      <w:rFonts w:asciiTheme="majorHAnsi" w:hAnsiTheme="majorHAnsi" w:cstheme="minorBidi"/>
      <w:b/>
      <w:bCs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5208A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1773"/>
    <w:rPr>
      <w:rFonts w:asciiTheme="majorHAnsi" w:eastAsiaTheme="majorEastAsia" w:hAnsiTheme="majorHAnsi" w:cstheme="majorBidi"/>
      <w:color w:val="070C13" w:themeColor="accent1" w:themeShade="1A"/>
      <w:sz w:val="26"/>
      <w:szCs w:val="26"/>
      <w:lang w:eastAsia="en-US"/>
    </w:rPr>
  </w:style>
  <w:style w:type="paragraph" w:customStyle="1" w:styleId="Default">
    <w:name w:val="Default"/>
    <w:rsid w:val="00E17E16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7077F9"/>
    <w:rPr>
      <w:rFonts w:asciiTheme="majorHAnsi" w:hAnsiTheme="maj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0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0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2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11/relationships/people" Target="people.xml"/><Relationship Id="rId15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F8AEB0-CEF5-EC47-B431-5E0B63F7C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1231</Words>
  <Characters>7022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 Dean's Office</dc:creator>
  <cp:lastModifiedBy>Karen J Ford</cp:lastModifiedBy>
  <cp:revision>8</cp:revision>
  <cp:lastPrinted>2016-08-09T01:20:00Z</cp:lastPrinted>
  <dcterms:created xsi:type="dcterms:W3CDTF">2016-09-12T18:14:00Z</dcterms:created>
  <dcterms:modified xsi:type="dcterms:W3CDTF">2016-11-02T12:29:00Z</dcterms:modified>
</cp:coreProperties>
</file>