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BA" w:rsidRDefault="00C26B3B" w:rsidP="00D66D12">
      <w:pPr>
        <w:pStyle w:val="Heading1"/>
        <w:spacing w:before="0"/>
      </w:pPr>
      <w:bookmarkStart w:id="0" w:name="_GoBack"/>
      <w:bookmarkEnd w:id="0"/>
      <w:r w:rsidRPr="00C26B3B">
        <w:t>Using Future Account Codes</w:t>
      </w:r>
    </w:p>
    <w:p w:rsidR="00C26B3B" w:rsidRDefault="00C26B3B" w:rsidP="00C26B3B"/>
    <w:p w:rsidR="00B72E4A" w:rsidRDefault="00C26B3B" w:rsidP="00D66D12">
      <w:pPr>
        <w:spacing w:after="0"/>
      </w:pPr>
      <w:r>
        <w:t xml:space="preserve">Future account codes are used to set budget </w:t>
      </w:r>
      <w:r w:rsidR="00792EFE">
        <w:t xml:space="preserve">aside </w:t>
      </w:r>
      <w:r>
        <w:t xml:space="preserve">for use in future fiscal years. </w:t>
      </w:r>
      <w:r w:rsidR="00DC14CD">
        <w:t>T</w:t>
      </w:r>
      <w:r>
        <w:t>ransactions using future account codes must be carried ou</w:t>
      </w:r>
      <w:r w:rsidR="005B300B">
        <w:t>t using budget changes, not JVs -- these</w:t>
      </w:r>
      <w:r w:rsidR="00DC14CD">
        <w:t xml:space="preserve"> codes are intended for moving budget, not expenses.</w:t>
      </w:r>
      <w:r w:rsidR="000B12E2">
        <w:t xml:space="preserve"> </w:t>
      </w:r>
      <w:r w:rsidR="00AC7FAC">
        <w:t>Future account</w:t>
      </w:r>
      <w:r w:rsidR="00195CEB">
        <w:t xml:space="preserve"> codes are generally used for budgeted ops only.</w:t>
      </w:r>
      <w:r w:rsidR="00B72E4A">
        <w:t xml:space="preserve"> You can move budget to and from future account codes during the fiscal year, or during the carry-forward process.</w:t>
      </w:r>
    </w:p>
    <w:p w:rsidR="000B12E2" w:rsidRDefault="00B72E4A" w:rsidP="00B72E4A">
      <w:pPr>
        <w:pStyle w:val="Heading2"/>
      </w:pPr>
      <w:r>
        <w:t>Examples</w:t>
      </w:r>
    </w:p>
    <w:p w:rsidR="006F27FE" w:rsidRDefault="002E2611" w:rsidP="00D84BC7">
      <w:pPr>
        <w:pStyle w:val="ListParagraph"/>
        <w:numPr>
          <w:ilvl w:val="0"/>
          <w:numId w:val="3"/>
        </w:numPr>
      </w:pPr>
      <w:r>
        <w:t>You know your department will be making an equipment purchase of about $10,000 during the next fiscal year. You do a budget change to move $10,000 from account 20000 to account 9B200 so the budget will be set aside</w:t>
      </w:r>
      <w:r w:rsidR="002C107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654"/>
        <w:gridCol w:w="1852"/>
        <w:gridCol w:w="1800"/>
      </w:tblGrid>
      <w:tr w:rsidR="002C1076" w:rsidTr="001325D0">
        <w:trPr>
          <w:jc w:val="center"/>
        </w:trPr>
        <w:tc>
          <w:tcPr>
            <w:tcW w:w="1638" w:type="dxa"/>
          </w:tcPr>
          <w:p w:rsidR="002C1076" w:rsidRPr="00D84BC7" w:rsidRDefault="002C1076" w:rsidP="00D84BC7">
            <w:pPr>
              <w:ind w:left="360"/>
              <w:rPr>
                <w:b/>
              </w:rPr>
            </w:pPr>
            <w:r w:rsidRPr="00D84BC7">
              <w:rPr>
                <w:b/>
              </w:rPr>
              <w:t>Index</w:t>
            </w:r>
          </w:p>
        </w:tc>
        <w:tc>
          <w:tcPr>
            <w:tcW w:w="1654" w:type="dxa"/>
          </w:tcPr>
          <w:p w:rsidR="002C1076" w:rsidRPr="00D84BC7" w:rsidRDefault="002C1076" w:rsidP="00D84BC7">
            <w:pPr>
              <w:ind w:left="360"/>
              <w:rPr>
                <w:b/>
              </w:rPr>
            </w:pPr>
            <w:r w:rsidRPr="00D84BC7">
              <w:rPr>
                <w:b/>
              </w:rPr>
              <w:t xml:space="preserve">Account </w:t>
            </w:r>
          </w:p>
        </w:tc>
        <w:tc>
          <w:tcPr>
            <w:tcW w:w="1852" w:type="dxa"/>
          </w:tcPr>
          <w:p w:rsidR="002C1076" w:rsidRPr="00D84BC7" w:rsidRDefault="002C1076" w:rsidP="00D84BC7">
            <w:pPr>
              <w:ind w:left="360"/>
              <w:rPr>
                <w:b/>
              </w:rPr>
            </w:pPr>
            <w:r w:rsidRPr="00D84BC7">
              <w:rPr>
                <w:b/>
              </w:rPr>
              <w:t>Amount</w:t>
            </w:r>
          </w:p>
        </w:tc>
        <w:tc>
          <w:tcPr>
            <w:tcW w:w="1800" w:type="dxa"/>
          </w:tcPr>
          <w:p w:rsidR="002C1076" w:rsidRPr="00D84BC7" w:rsidRDefault="002C1076" w:rsidP="00D84BC7">
            <w:pPr>
              <w:ind w:left="360"/>
              <w:rPr>
                <w:b/>
              </w:rPr>
            </w:pPr>
            <w:r w:rsidRPr="00D84BC7">
              <w:rPr>
                <w:b/>
              </w:rPr>
              <w:t>Sign</w:t>
            </w:r>
          </w:p>
        </w:tc>
      </w:tr>
      <w:tr w:rsidR="002C1076" w:rsidTr="001325D0">
        <w:trPr>
          <w:jc w:val="center"/>
        </w:trPr>
        <w:tc>
          <w:tcPr>
            <w:tcW w:w="1638" w:type="dxa"/>
          </w:tcPr>
          <w:p w:rsidR="002C1076" w:rsidRPr="002C1076" w:rsidRDefault="002C1076" w:rsidP="00D84BC7">
            <w:pPr>
              <w:ind w:left="360"/>
            </w:pPr>
            <w:proofErr w:type="spellStart"/>
            <w:r>
              <w:t>BxxOPX</w:t>
            </w:r>
            <w:proofErr w:type="spellEnd"/>
          </w:p>
        </w:tc>
        <w:tc>
          <w:tcPr>
            <w:tcW w:w="1654" w:type="dxa"/>
          </w:tcPr>
          <w:p w:rsidR="002C1076" w:rsidRPr="002C1076" w:rsidRDefault="002C1076" w:rsidP="00D84BC7">
            <w:pPr>
              <w:ind w:left="360"/>
            </w:pPr>
            <w:r>
              <w:t>20000</w:t>
            </w:r>
          </w:p>
        </w:tc>
        <w:tc>
          <w:tcPr>
            <w:tcW w:w="1852" w:type="dxa"/>
          </w:tcPr>
          <w:p w:rsidR="002C1076" w:rsidRDefault="002C1076" w:rsidP="00D84BC7">
            <w:pPr>
              <w:ind w:left="360"/>
            </w:pPr>
            <w:r>
              <w:t>$10,000</w:t>
            </w:r>
          </w:p>
        </w:tc>
        <w:tc>
          <w:tcPr>
            <w:tcW w:w="1800" w:type="dxa"/>
          </w:tcPr>
          <w:p w:rsidR="002C1076" w:rsidRPr="002C1076" w:rsidRDefault="002C1076" w:rsidP="00D84BC7">
            <w:pPr>
              <w:ind w:left="360"/>
            </w:pPr>
            <w:r>
              <w:t>- Minus</w:t>
            </w:r>
          </w:p>
        </w:tc>
      </w:tr>
      <w:tr w:rsidR="002C1076" w:rsidTr="001325D0">
        <w:trPr>
          <w:jc w:val="center"/>
        </w:trPr>
        <w:tc>
          <w:tcPr>
            <w:tcW w:w="1638" w:type="dxa"/>
          </w:tcPr>
          <w:p w:rsidR="002C1076" w:rsidRPr="002C1076" w:rsidRDefault="002C1076" w:rsidP="00D84BC7">
            <w:pPr>
              <w:ind w:left="360"/>
            </w:pPr>
            <w:proofErr w:type="spellStart"/>
            <w:r>
              <w:t>BxxOPX</w:t>
            </w:r>
            <w:proofErr w:type="spellEnd"/>
          </w:p>
        </w:tc>
        <w:tc>
          <w:tcPr>
            <w:tcW w:w="1654" w:type="dxa"/>
          </w:tcPr>
          <w:p w:rsidR="002C1076" w:rsidRPr="002C1076" w:rsidRDefault="002C1076" w:rsidP="00D84BC7">
            <w:pPr>
              <w:ind w:left="360"/>
            </w:pPr>
            <w:r>
              <w:t>9B200</w:t>
            </w:r>
          </w:p>
        </w:tc>
        <w:tc>
          <w:tcPr>
            <w:tcW w:w="1852" w:type="dxa"/>
          </w:tcPr>
          <w:p w:rsidR="002C1076" w:rsidRDefault="002C1076" w:rsidP="00D84BC7">
            <w:pPr>
              <w:ind w:left="360"/>
            </w:pPr>
            <w:r>
              <w:t>$10,000</w:t>
            </w:r>
          </w:p>
        </w:tc>
        <w:tc>
          <w:tcPr>
            <w:tcW w:w="1800" w:type="dxa"/>
          </w:tcPr>
          <w:p w:rsidR="002C1076" w:rsidRPr="002C1076" w:rsidRDefault="002C1076" w:rsidP="00D84BC7">
            <w:pPr>
              <w:ind w:left="360"/>
            </w:pPr>
            <w:r>
              <w:t>+ Plus</w:t>
            </w:r>
          </w:p>
        </w:tc>
      </w:tr>
    </w:tbl>
    <w:p w:rsidR="00B72E4A" w:rsidRDefault="00B72E4A" w:rsidP="00D84BC7">
      <w:pPr>
        <w:spacing w:before="240"/>
        <w:ind w:firstLine="720"/>
      </w:pPr>
      <w:r>
        <w:t>During carry-forwa</w:t>
      </w:r>
      <w:r w:rsidR="00D84BC7">
        <w:t>rd, you move the budget back to 20000 for use during the upcoming year.</w:t>
      </w:r>
    </w:p>
    <w:p w:rsidR="00D84BC7" w:rsidRDefault="00D84BC7" w:rsidP="00D84BC7">
      <w:pPr>
        <w:pStyle w:val="ListParagraph"/>
      </w:pPr>
    </w:p>
    <w:p w:rsidR="00EE4234" w:rsidRDefault="00751FF2" w:rsidP="00EE4234">
      <w:pPr>
        <w:pStyle w:val="ListParagraph"/>
        <w:numPr>
          <w:ilvl w:val="0"/>
          <w:numId w:val="3"/>
        </w:numPr>
      </w:pPr>
      <w:r>
        <w:t>Your department has $200,000 in S&amp;S, but you project using only $100,000 during the upcoming fiscal year. During carry-forward, you put $100,000 in 9B200 to demonstrate your department’s intent to use this year’s surplus in future years.</w:t>
      </w:r>
    </w:p>
    <w:p w:rsidR="002647CA" w:rsidRDefault="002647CA" w:rsidP="00BD658F">
      <w:pPr>
        <w:pStyle w:val="Heading2"/>
        <w:spacing w:before="0" w:line="240" w:lineRule="auto"/>
      </w:pPr>
    </w:p>
    <w:p w:rsidR="00EE4234" w:rsidRDefault="00EE4234" w:rsidP="00BD658F">
      <w:pPr>
        <w:pStyle w:val="Heading2"/>
        <w:spacing w:before="0" w:line="240" w:lineRule="auto"/>
      </w:pPr>
      <w:r>
        <w:t>Codes</w:t>
      </w:r>
    </w:p>
    <w:p w:rsidR="00DE0D74" w:rsidRPr="00BD658F" w:rsidRDefault="00DE0D74" w:rsidP="00DE0D74">
      <w:pPr>
        <w:spacing w:line="240" w:lineRule="auto"/>
        <w:rPr>
          <w:sz w:val="16"/>
          <w:szCs w:val="16"/>
        </w:rPr>
      </w:pPr>
    </w:p>
    <w:p w:rsidR="00EE4234" w:rsidRDefault="00EE4234" w:rsidP="00BD658F">
      <w:pPr>
        <w:spacing w:line="240" w:lineRule="auto"/>
      </w:pPr>
      <w:r>
        <w:t>9B</w:t>
      </w:r>
      <w:r w:rsidR="00D41BB8">
        <w:t xml:space="preserve">000: </w:t>
      </w:r>
      <w:r>
        <w:t>Budget designated for future FYs</w:t>
      </w:r>
      <w:r w:rsidR="00D41BB8">
        <w:t xml:space="preserve"> (roll-up)</w:t>
      </w:r>
    </w:p>
    <w:p w:rsidR="00EE4234" w:rsidRDefault="00EE4234" w:rsidP="00BD658F">
      <w:pPr>
        <w:spacing w:line="240" w:lineRule="auto"/>
      </w:pPr>
      <w:r>
        <w:t>9B100: Salary and OPE Budget Reserve Future FYs</w:t>
      </w:r>
      <w:r w:rsidR="004105AE">
        <w:t xml:space="preserve"> (roll-up)</w:t>
      </w:r>
    </w:p>
    <w:p w:rsidR="00EE4234" w:rsidRDefault="00EE4234" w:rsidP="00BD658F">
      <w:pPr>
        <w:spacing w:line="240" w:lineRule="auto"/>
      </w:pPr>
      <w:r>
        <w:t>9B110: Unclassified Salary Reserve Future FYs</w:t>
      </w:r>
    </w:p>
    <w:p w:rsidR="00EE4234" w:rsidRDefault="00EE4234" w:rsidP="00BD658F">
      <w:pPr>
        <w:spacing w:line="240" w:lineRule="auto"/>
      </w:pPr>
      <w:r>
        <w:t>9B130: Classified Salary Reserve Future FYs</w:t>
      </w:r>
    </w:p>
    <w:p w:rsidR="00EE4234" w:rsidRDefault="00EE4234" w:rsidP="00BD658F">
      <w:pPr>
        <w:spacing w:line="240" w:lineRule="auto"/>
      </w:pPr>
      <w:r>
        <w:t>9B150: Other Salary Reserve Future FYs</w:t>
      </w:r>
    </w:p>
    <w:p w:rsidR="00EE4234" w:rsidRDefault="00EE4234" w:rsidP="00BD658F">
      <w:pPr>
        <w:spacing w:line="240" w:lineRule="auto"/>
      </w:pPr>
      <w:r>
        <w:t>9B190: OPE Reserve Future FYs</w:t>
      </w:r>
    </w:p>
    <w:p w:rsidR="00EE4234" w:rsidRDefault="00EE4234" w:rsidP="00BD658F">
      <w:pPr>
        <w:spacing w:line="240" w:lineRule="auto"/>
      </w:pPr>
      <w:r>
        <w:t>9B200: S&amp;S Budget Reserve Future FYs</w:t>
      </w:r>
    </w:p>
    <w:p w:rsidR="00EE4234" w:rsidRDefault="00EE4234" w:rsidP="00BD658F">
      <w:pPr>
        <w:spacing w:line="240" w:lineRule="auto"/>
      </w:pPr>
      <w:r>
        <w:t>9B300: Travel Budget Reserve Future FYs</w:t>
      </w:r>
    </w:p>
    <w:p w:rsidR="00195CEB" w:rsidRPr="00C26B3B" w:rsidRDefault="00EE4234" w:rsidP="00D66D12">
      <w:pPr>
        <w:spacing w:line="240" w:lineRule="auto"/>
      </w:pPr>
      <w:r>
        <w:t>9B400: Capital Outlay Budget Reserve Future FYs</w:t>
      </w:r>
    </w:p>
    <w:sectPr w:rsidR="00195CEB" w:rsidRPr="00C2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56FCE"/>
    <w:multiLevelType w:val="hybridMultilevel"/>
    <w:tmpl w:val="6838B398"/>
    <w:lvl w:ilvl="0" w:tplc="0C6E2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E33AC"/>
    <w:multiLevelType w:val="hybridMultilevel"/>
    <w:tmpl w:val="04BC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31A64"/>
    <w:multiLevelType w:val="hybridMultilevel"/>
    <w:tmpl w:val="2C1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3B"/>
    <w:rsid w:val="000B12E2"/>
    <w:rsid w:val="001325D0"/>
    <w:rsid w:val="00195CEB"/>
    <w:rsid w:val="001A5116"/>
    <w:rsid w:val="002647CA"/>
    <w:rsid w:val="002C1076"/>
    <w:rsid w:val="002E2611"/>
    <w:rsid w:val="004105AE"/>
    <w:rsid w:val="00452043"/>
    <w:rsid w:val="004B61C5"/>
    <w:rsid w:val="004D73BA"/>
    <w:rsid w:val="005B300B"/>
    <w:rsid w:val="005B405D"/>
    <w:rsid w:val="00650A2B"/>
    <w:rsid w:val="006D3E63"/>
    <w:rsid w:val="006F27FE"/>
    <w:rsid w:val="00712BEB"/>
    <w:rsid w:val="00751FF2"/>
    <w:rsid w:val="00792EFE"/>
    <w:rsid w:val="007B19FF"/>
    <w:rsid w:val="00822FBD"/>
    <w:rsid w:val="00893BE0"/>
    <w:rsid w:val="00971C64"/>
    <w:rsid w:val="00AC7FAC"/>
    <w:rsid w:val="00B72E4A"/>
    <w:rsid w:val="00BB4C8C"/>
    <w:rsid w:val="00BD658F"/>
    <w:rsid w:val="00C26B3B"/>
    <w:rsid w:val="00C7090D"/>
    <w:rsid w:val="00D41BB8"/>
    <w:rsid w:val="00D66D12"/>
    <w:rsid w:val="00D84BC7"/>
    <w:rsid w:val="00DC14CD"/>
    <w:rsid w:val="00DE0D74"/>
    <w:rsid w:val="00E96BED"/>
    <w:rsid w:val="00EA4FA0"/>
    <w:rsid w:val="00EE4234"/>
    <w:rsid w:val="00F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12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2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4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C1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12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2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4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C1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Puhn</dc:creator>
  <cp:lastModifiedBy>Anna Puhn</cp:lastModifiedBy>
  <cp:revision>2</cp:revision>
  <dcterms:created xsi:type="dcterms:W3CDTF">2013-02-25T16:20:00Z</dcterms:created>
  <dcterms:modified xsi:type="dcterms:W3CDTF">2013-02-25T16:20:00Z</dcterms:modified>
</cp:coreProperties>
</file>