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1D" w:rsidRPr="00A113E0" w:rsidRDefault="00D50111" w:rsidP="00A113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113E0" w:rsidRPr="00A113E0">
        <w:rPr>
          <w:b/>
          <w:sz w:val="28"/>
          <w:szCs w:val="28"/>
        </w:rPr>
        <w:t>Unclassified Salary Increases July 2013</w:t>
      </w:r>
    </w:p>
    <w:p w:rsidR="00E8077A" w:rsidRPr="00B5298C" w:rsidRDefault="00E8077A" w:rsidP="00A113E0">
      <w:pPr>
        <w:spacing w:after="0"/>
        <w:jc w:val="center"/>
        <w:rPr>
          <w:b/>
          <w:sz w:val="26"/>
          <w:szCs w:val="26"/>
        </w:rPr>
      </w:pPr>
      <w:r w:rsidRPr="00B5298C">
        <w:rPr>
          <w:b/>
          <w:sz w:val="26"/>
          <w:szCs w:val="26"/>
        </w:rPr>
        <w:t>Deadline to submit</w:t>
      </w:r>
      <w:r w:rsidR="008235D1">
        <w:rPr>
          <w:b/>
          <w:sz w:val="26"/>
          <w:szCs w:val="26"/>
        </w:rPr>
        <w:t xml:space="preserve"> salary increase recommendations</w:t>
      </w:r>
      <w:r w:rsidRPr="00B5298C">
        <w:rPr>
          <w:b/>
          <w:sz w:val="26"/>
          <w:szCs w:val="26"/>
        </w:rPr>
        <w:t xml:space="preserve">: </w:t>
      </w:r>
      <w:r w:rsidRPr="00F45936">
        <w:rPr>
          <w:b/>
          <w:sz w:val="26"/>
          <w:szCs w:val="26"/>
        </w:rPr>
        <w:t xml:space="preserve">June </w:t>
      </w:r>
      <w:r w:rsidR="00F45936" w:rsidRPr="00F45936">
        <w:rPr>
          <w:b/>
          <w:sz w:val="26"/>
          <w:szCs w:val="26"/>
        </w:rPr>
        <w:t>7</w:t>
      </w:r>
      <w:r w:rsidRPr="00F45936">
        <w:rPr>
          <w:b/>
          <w:sz w:val="26"/>
          <w:szCs w:val="26"/>
          <w:vertAlign w:val="superscript"/>
        </w:rPr>
        <w:t>th</w:t>
      </w:r>
    </w:p>
    <w:p w:rsidR="00E87586" w:rsidRDefault="00E87586" w:rsidP="00A113E0">
      <w:pPr>
        <w:spacing w:after="0"/>
        <w:jc w:val="center"/>
        <w:rPr>
          <w:b/>
          <w:sz w:val="28"/>
          <w:szCs w:val="28"/>
        </w:rPr>
      </w:pPr>
    </w:p>
    <w:p w:rsidR="00E87586" w:rsidRPr="0093692A" w:rsidRDefault="00F3464D" w:rsidP="00E87586">
      <w:pPr>
        <w:spacing w:after="0"/>
      </w:pPr>
      <w:r>
        <w:t>T</w:t>
      </w:r>
      <w:r w:rsidR="00E87586" w:rsidRPr="0093692A">
        <w:t>here are two co</w:t>
      </w:r>
      <w:r>
        <w:t>mponents to the salary increase</w:t>
      </w:r>
      <w:r w:rsidR="00E87586" w:rsidRPr="0093692A">
        <w:t xml:space="preserve"> that will be effective July 1, 2013</w:t>
      </w:r>
      <w:r w:rsidR="002F2A4A">
        <w:t xml:space="preserve"> – an Across the Board Amount</w:t>
      </w:r>
      <w:r>
        <w:t xml:space="preserve"> and a Merit Increase</w:t>
      </w:r>
      <w:r w:rsidR="00E87586" w:rsidRPr="0093692A">
        <w:t>:</w:t>
      </w:r>
    </w:p>
    <w:p w:rsidR="00615577" w:rsidRPr="0093692A" w:rsidRDefault="00615577" w:rsidP="00F45936">
      <w:pPr>
        <w:spacing w:after="0"/>
      </w:pPr>
    </w:p>
    <w:p w:rsidR="00E87586" w:rsidRPr="0093692A" w:rsidRDefault="002F2A4A" w:rsidP="00E8758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Across the Board Amount</w:t>
      </w:r>
      <w:r w:rsidR="00615577" w:rsidRPr="0093692A">
        <w:rPr>
          <w:u w:val="single"/>
        </w:rPr>
        <w:t xml:space="preserve"> </w:t>
      </w:r>
      <w:r w:rsidR="00615577" w:rsidRPr="0093692A">
        <w:t xml:space="preserve">– All </w:t>
      </w:r>
      <w:r w:rsidR="00F3464D">
        <w:t>Officers of Administration (OA</w:t>
      </w:r>
      <w:r w:rsidR="00607397" w:rsidRPr="0093692A">
        <w:t>s</w:t>
      </w:r>
      <w:r w:rsidR="00F3464D">
        <w:t>)</w:t>
      </w:r>
      <w:r w:rsidR="00607397" w:rsidRPr="0093692A">
        <w:t xml:space="preserve"> and </w:t>
      </w:r>
      <w:r w:rsidR="00F3464D">
        <w:rPr>
          <w:b/>
        </w:rPr>
        <w:t>U</w:t>
      </w:r>
      <w:r w:rsidR="00965085" w:rsidRPr="0093692A">
        <w:rPr>
          <w:b/>
        </w:rPr>
        <w:t xml:space="preserve">nrepresented </w:t>
      </w:r>
      <w:r w:rsidR="00F3464D">
        <w:t>F</w:t>
      </w:r>
      <w:r w:rsidR="00F45936" w:rsidRPr="0093692A">
        <w:t>aculty who were employed on or before 12/31/12</w:t>
      </w:r>
      <w:r w:rsidR="00F3464D">
        <w:t xml:space="preserve"> will receive a 1.5% </w:t>
      </w:r>
      <w:r>
        <w:t>Across the Board Amount</w:t>
      </w:r>
      <w:r w:rsidR="00F3464D">
        <w:t xml:space="preserve">, </w:t>
      </w:r>
      <w:r w:rsidR="00607397" w:rsidRPr="0093692A">
        <w:t xml:space="preserve">effective July 1, 2013. </w:t>
      </w:r>
      <w:r w:rsidR="00E8201B">
        <w:t>Unrepresented F</w:t>
      </w:r>
      <w:r w:rsidR="00607397" w:rsidRPr="0093692A">
        <w:t>aculty</w:t>
      </w:r>
      <w:r w:rsidR="00F45936" w:rsidRPr="0093692A">
        <w:t xml:space="preserve"> who began employment on or before June 30, 2012</w:t>
      </w:r>
      <w:r w:rsidR="00607397" w:rsidRPr="0093692A">
        <w:t xml:space="preserve"> </w:t>
      </w:r>
      <w:r w:rsidR="00F3464D">
        <w:t xml:space="preserve">will also receive a 1.5% </w:t>
      </w:r>
      <w:r>
        <w:t>Across the Board Amount</w:t>
      </w:r>
      <w:r w:rsidR="00F3464D">
        <w:t xml:space="preserve">, retroactively </w:t>
      </w:r>
      <w:r w:rsidR="00607397" w:rsidRPr="0093692A">
        <w:t xml:space="preserve">effective </w:t>
      </w:r>
      <w:r w:rsidR="00F3464D">
        <w:t xml:space="preserve">as of </w:t>
      </w:r>
      <w:r w:rsidR="00607397" w:rsidRPr="0093692A">
        <w:t>January 1, 2013</w:t>
      </w:r>
      <w:r w:rsidR="00F3464D">
        <w:t xml:space="preserve">.  The </w:t>
      </w:r>
      <w:r w:rsidR="001142F9" w:rsidRPr="0093692A">
        <w:t>current annual rate</w:t>
      </w:r>
      <w:r w:rsidR="00C56C61">
        <w:t xml:space="preserve"> set forth</w:t>
      </w:r>
      <w:r w:rsidR="001142F9" w:rsidRPr="0093692A">
        <w:t xml:space="preserve"> in the salary increase application</w:t>
      </w:r>
      <w:r w:rsidR="00F3464D">
        <w:t xml:space="preserve"> </w:t>
      </w:r>
      <w:r w:rsidR="00C56C61">
        <w:t xml:space="preserve">for each Unrepresented Faculty member </w:t>
      </w:r>
      <w:r w:rsidR="00B85AC2">
        <w:t>already reflects the January 1</w:t>
      </w:r>
      <w:r w:rsidR="00B85AC2" w:rsidRPr="00B85AC2">
        <w:rPr>
          <w:vertAlign w:val="superscript"/>
        </w:rPr>
        <w:t>st</w:t>
      </w:r>
      <w:r w:rsidR="00B85AC2">
        <w:t xml:space="preserve"> </w:t>
      </w:r>
      <w:r>
        <w:t>Across the Board Amount</w:t>
      </w:r>
      <w:r w:rsidR="00607397" w:rsidRPr="0093692A">
        <w:t>.</w:t>
      </w:r>
      <w:r w:rsidR="00117555" w:rsidRPr="0093692A">
        <w:t xml:space="preserve"> The</w:t>
      </w:r>
      <w:r w:rsidR="00E8201B">
        <w:t xml:space="preserve"> amount of the</w:t>
      </w:r>
      <w:r w:rsidR="00117555" w:rsidRPr="0093692A">
        <w:t xml:space="preserve"> July 1</w:t>
      </w:r>
      <w:r w:rsidR="001142F9" w:rsidRPr="0093692A">
        <w:t>, 2013</w:t>
      </w:r>
      <w:r w:rsidR="00117555" w:rsidRPr="0093692A">
        <w:t xml:space="preserve"> </w:t>
      </w:r>
      <w:r w:rsidR="00AD215D">
        <w:t>Across the Board Amount</w:t>
      </w:r>
      <w:r w:rsidR="00117555" w:rsidRPr="0093692A">
        <w:t xml:space="preserve"> will be</w:t>
      </w:r>
      <w:r w:rsidR="00F3464D">
        <w:t xml:space="preserve"> separately</w:t>
      </w:r>
      <w:r w:rsidR="00117555" w:rsidRPr="0093692A">
        <w:t xml:space="preserve"> displayed in the salary increase application for your information.</w:t>
      </w:r>
      <w:r w:rsidR="000611EB" w:rsidRPr="0093692A">
        <w:t xml:space="preserve"> </w:t>
      </w:r>
    </w:p>
    <w:p w:rsidR="00BD40EB" w:rsidRPr="0093692A" w:rsidRDefault="00BD40EB" w:rsidP="00BD40EB">
      <w:pPr>
        <w:spacing w:after="0"/>
        <w:ind w:left="360"/>
        <w:rPr>
          <w:u w:val="single"/>
        </w:rPr>
      </w:pPr>
    </w:p>
    <w:p w:rsidR="00F45936" w:rsidRPr="0093692A" w:rsidRDefault="00F3464D" w:rsidP="00F45936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Merit Increase</w:t>
      </w:r>
      <w:r w:rsidR="00F45936" w:rsidRPr="0093692A">
        <w:t xml:space="preserve"> </w:t>
      </w:r>
      <w:r w:rsidR="00E8201B">
        <w:t>– All OAs</w:t>
      </w:r>
      <w:r w:rsidR="00F45936" w:rsidRPr="0093692A">
        <w:t xml:space="preserve"> and </w:t>
      </w:r>
      <w:r w:rsidR="00E8201B">
        <w:rPr>
          <w:b/>
        </w:rPr>
        <w:t>U</w:t>
      </w:r>
      <w:r w:rsidR="00F45936" w:rsidRPr="0093692A">
        <w:rPr>
          <w:b/>
        </w:rPr>
        <w:t>nrepresented</w:t>
      </w:r>
      <w:r w:rsidR="00E8201B">
        <w:t xml:space="preserve"> </w:t>
      </w:r>
      <w:r w:rsidR="00377429">
        <w:t>Faculty</w:t>
      </w:r>
      <w:r w:rsidR="00F45936" w:rsidRPr="0093692A">
        <w:t xml:space="preserve"> a</w:t>
      </w:r>
      <w:r w:rsidR="00E8201B">
        <w:t xml:space="preserve">re eligible for merit increases, effective July 1, 2013, </w:t>
      </w:r>
      <w:r w:rsidR="00F45936" w:rsidRPr="0093692A">
        <w:t>except those whose contracts state otherwise</w:t>
      </w:r>
      <w:r w:rsidR="00E8201B">
        <w:t xml:space="preserve">. Each Department has been </w:t>
      </w:r>
      <w:r w:rsidR="00F45936" w:rsidRPr="0093692A">
        <w:t>allocated 2% of the sum of th</w:t>
      </w:r>
      <w:r w:rsidR="00F07B20" w:rsidRPr="0093692A">
        <w:t xml:space="preserve">e annual base salaries for </w:t>
      </w:r>
      <w:r w:rsidR="00E8201B">
        <w:t xml:space="preserve">its </w:t>
      </w:r>
      <w:r w:rsidR="00F45936" w:rsidRPr="0093692A">
        <w:rPr>
          <w:b/>
        </w:rPr>
        <w:t>eligible</w:t>
      </w:r>
      <w:r w:rsidR="00E8201B">
        <w:t xml:space="preserve"> OAs and F</w:t>
      </w:r>
      <w:r w:rsidR="00F45936" w:rsidRPr="0093692A">
        <w:t>aculty</w:t>
      </w:r>
      <w:r w:rsidR="00E8201B">
        <w:t xml:space="preserve"> to allocate as merit increases</w:t>
      </w:r>
      <w:r w:rsidR="00F45936" w:rsidRPr="0093692A">
        <w:t>. Departments may allocate these funds to eligible employees</w:t>
      </w:r>
      <w:r w:rsidR="00E8201B">
        <w:t>, by category,</w:t>
      </w:r>
      <w:r w:rsidR="00F45936" w:rsidRPr="0093692A">
        <w:t xml:space="preserve"> </w:t>
      </w:r>
      <w:r w:rsidR="00E8201B">
        <w:t>i</w:t>
      </w:r>
      <w:r w:rsidR="00F45936" w:rsidRPr="0093692A">
        <w:t xml:space="preserve">n any </w:t>
      </w:r>
      <w:r w:rsidR="00C56C61">
        <w:t>amount</w:t>
      </w:r>
      <w:r w:rsidR="00F45936" w:rsidRPr="0093692A">
        <w:t xml:space="preserve"> they see fit, subject to approval by the Dean</w:t>
      </w:r>
      <w:r w:rsidR="00C56C61">
        <w:t xml:space="preserve"> and the Provost.  You will enter these merit increases</w:t>
      </w:r>
      <w:r w:rsidR="00F45936" w:rsidRPr="0093692A">
        <w:t xml:space="preserve"> in the online application –</w:t>
      </w:r>
      <w:r w:rsidR="00C56C61">
        <w:t xml:space="preserve"> the</w:t>
      </w:r>
      <w:r w:rsidR="00F45936" w:rsidRPr="0093692A">
        <w:t xml:space="preserve"> instructions </w:t>
      </w:r>
      <w:r w:rsidR="00C56C61">
        <w:t xml:space="preserve">as to how to do so </w:t>
      </w:r>
      <w:r w:rsidR="00F45936" w:rsidRPr="0093692A">
        <w:t xml:space="preserve">are </w:t>
      </w:r>
      <w:r w:rsidR="00C56C61">
        <w:t xml:space="preserve">set forth </w:t>
      </w:r>
      <w:r w:rsidR="00F45936" w:rsidRPr="0093692A">
        <w:t xml:space="preserve">below. Please refer to communications from CAS regarding </w:t>
      </w:r>
      <w:r w:rsidR="00C56C61">
        <w:t xml:space="preserve">the </w:t>
      </w:r>
      <w:r w:rsidR="00F45936" w:rsidRPr="0093692A">
        <w:t>evaluation materials that must be submitted</w:t>
      </w:r>
      <w:r w:rsidR="00C56C61">
        <w:t xml:space="preserve"> to the Dean’s Office in connection with your merit increases</w:t>
      </w:r>
      <w:r w:rsidR="00F45936" w:rsidRPr="0093692A">
        <w:t>.</w:t>
      </w:r>
    </w:p>
    <w:p w:rsidR="008235D1" w:rsidRDefault="008235D1" w:rsidP="008235D1">
      <w:pPr>
        <w:spacing w:after="0"/>
        <w:rPr>
          <w:sz w:val="24"/>
          <w:szCs w:val="24"/>
          <w:u w:val="single"/>
        </w:rPr>
      </w:pPr>
    </w:p>
    <w:p w:rsidR="008235D1" w:rsidRPr="0061327D" w:rsidRDefault="0042064B" w:rsidP="008235D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Salary Increase </w:t>
      </w:r>
      <w:r w:rsidR="008235D1" w:rsidRPr="0061327D">
        <w:rPr>
          <w:b/>
          <w:sz w:val="28"/>
          <w:szCs w:val="28"/>
        </w:rPr>
        <w:t>Application Instructions</w:t>
      </w:r>
    </w:p>
    <w:p w:rsidR="00E8077A" w:rsidRDefault="00E8077A" w:rsidP="00E8077A">
      <w:pPr>
        <w:spacing w:after="0"/>
        <w:rPr>
          <w:sz w:val="24"/>
          <w:szCs w:val="24"/>
        </w:rPr>
      </w:pPr>
    </w:p>
    <w:p w:rsidR="00903D0D" w:rsidRPr="0093692A" w:rsidRDefault="00903D0D" w:rsidP="00903D0D">
      <w:r w:rsidRPr="0093692A">
        <w:t>1. Navigate to the CASweb salary i</w:t>
      </w:r>
      <w:r w:rsidR="00C56C61">
        <w:t>ncrease appl</w:t>
      </w:r>
      <w:r w:rsidR="00835D1A">
        <w:t>ication, located on the CASweb home page</w:t>
      </w:r>
      <w:r w:rsidR="00E27009">
        <w:t xml:space="preserve"> and entitled “Unclassified Salary Increase July 2013”.</w:t>
      </w:r>
      <w:bookmarkStart w:id="0" w:name="_GoBack"/>
      <w:bookmarkEnd w:id="0"/>
    </w:p>
    <w:p w:rsidR="002060E3" w:rsidRPr="0093692A" w:rsidRDefault="00C56C61" w:rsidP="002060E3">
      <w:pPr>
        <w:spacing w:after="0"/>
      </w:pPr>
      <w:r>
        <w:t>2. Select your Department or P</w:t>
      </w:r>
      <w:r w:rsidR="004872BC" w:rsidRPr="0093692A">
        <w:t>rogram.</w:t>
      </w:r>
    </w:p>
    <w:p w:rsidR="00297F27" w:rsidRDefault="00254495" w:rsidP="00E8077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34125" cy="2266950"/>
            <wp:effectExtent l="19050" t="19050" r="28575" b="19050"/>
            <wp:docPr id="2" name="Picture 2" descr="C:\Users\sherr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r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326F" w:rsidRPr="00297F27" w:rsidRDefault="004872BC" w:rsidP="00E8077A">
      <w:pPr>
        <w:spacing w:after="0"/>
        <w:rPr>
          <w:sz w:val="24"/>
          <w:szCs w:val="24"/>
        </w:rPr>
      </w:pPr>
      <w:r w:rsidRPr="0093692A">
        <w:lastRenderedPageBreak/>
        <w:t xml:space="preserve">3. </w:t>
      </w:r>
      <w:r w:rsidR="00E120FC" w:rsidRPr="0093692A">
        <w:t>Select either “OA Increases,” “NTTF Incr</w:t>
      </w:r>
      <w:r w:rsidR="003E5555" w:rsidRPr="0093692A">
        <w:t xml:space="preserve">eases,” or “TTF increases”. </w:t>
      </w:r>
      <w:proofErr w:type="gramStart"/>
      <w:r w:rsidR="003E5555" w:rsidRPr="0093692A">
        <w:t>Click Go.</w:t>
      </w:r>
      <w:proofErr w:type="gram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45"/>
      </w:tblGrid>
      <w:tr w:rsidR="007E326F" w:rsidRPr="0093692A" w:rsidTr="001142F9">
        <w:trPr>
          <w:trHeight w:val="2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326F" w:rsidRPr="0093692A" w:rsidRDefault="007E326F" w:rsidP="001142F9">
            <w:pPr>
              <w:pStyle w:val="NoSpacing"/>
            </w:pPr>
          </w:p>
        </w:tc>
        <w:tc>
          <w:tcPr>
            <w:tcW w:w="1500" w:type="dxa"/>
            <w:vAlign w:val="center"/>
            <w:hideMark/>
          </w:tcPr>
          <w:p w:rsidR="007E326F" w:rsidRPr="0093692A" w:rsidRDefault="007E326F" w:rsidP="007E326F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7E326F" w:rsidRPr="0093692A" w:rsidTr="007E326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7E326F" w:rsidRPr="0093692A" w:rsidRDefault="007E326F" w:rsidP="007E326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70808" w:rsidRDefault="00370808" w:rsidP="00E8077A">
      <w:pPr>
        <w:spacing w:after="0"/>
        <w:rPr>
          <w:sz w:val="24"/>
          <w:szCs w:val="24"/>
        </w:rPr>
      </w:pPr>
    </w:p>
    <w:p w:rsidR="00370808" w:rsidRPr="004872BC" w:rsidRDefault="00A81545" w:rsidP="00192B1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91275" cy="2724150"/>
            <wp:effectExtent l="19050" t="19050" r="28575" b="19050"/>
            <wp:docPr id="1" name="Picture 1" descr="C:\Users\apuh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h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068D" w:rsidRDefault="00C0068D" w:rsidP="00C0068D">
      <w:pPr>
        <w:spacing w:after="0"/>
        <w:rPr>
          <w:sz w:val="24"/>
          <w:szCs w:val="24"/>
        </w:rPr>
      </w:pPr>
    </w:p>
    <w:p w:rsidR="00C0068D" w:rsidRPr="0093692A" w:rsidRDefault="00C06012" w:rsidP="00C0068D">
      <w:pPr>
        <w:spacing w:after="0"/>
      </w:pPr>
      <w:r w:rsidRPr="0093692A">
        <w:t xml:space="preserve">4. In the box at the top of the page, “Total Annual Rate” is </w:t>
      </w:r>
      <w:r w:rsidR="006F7A61">
        <w:t xml:space="preserve">equal to </w:t>
      </w:r>
      <w:r w:rsidRPr="0093692A">
        <w:t xml:space="preserve">the sum of the annual salary rates </w:t>
      </w:r>
      <w:r w:rsidR="006F7A61">
        <w:t>for all</w:t>
      </w:r>
      <w:r w:rsidRPr="0093692A">
        <w:t xml:space="preserve"> of your </w:t>
      </w:r>
      <w:r w:rsidRPr="0093692A">
        <w:rPr>
          <w:b/>
        </w:rPr>
        <w:t>eligible</w:t>
      </w:r>
      <w:r w:rsidRPr="0093692A">
        <w:t xml:space="preserve"> employees</w:t>
      </w:r>
      <w:r w:rsidR="006F7A61">
        <w:t xml:space="preserve"> in the category selected</w:t>
      </w:r>
      <w:r w:rsidRPr="0093692A">
        <w:t>.</w:t>
      </w:r>
      <w:r w:rsidR="00ED361B" w:rsidRPr="0093692A">
        <w:t xml:space="preserve"> You may distribute up to the “Merit/Equity Allocation” amount</w:t>
      </w:r>
      <w:r w:rsidR="00377429">
        <w:t xml:space="preserve"> to these eligible employees</w:t>
      </w:r>
      <w:r w:rsidR="00ED361B" w:rsidRPr="0093692A">
        <w:t>. This amount is equ</w:t>
      </w:r>
      <w:r w:rsidR="00BF01D6" w:rsidRPr="0093692A">
        <w:t xml:space="preserve">al to 2% of </w:t>
      </w:r>
      <w:r w:rsidR="006F7A61">
        <w:t xml:space="preserve">the </w:t>
      </w:r>
      <w:r w:rsidR="00BF01D6" w:rsidRPr="0093692A">
        <w:t>“Total Annual Rate.”</w:t>
      </w:r>
    </w:p>
    <w:p w:rsidR="00BF01D6" w:rsidRPr="0093692A" w:rsidRDefault="00BF01D6" w:rsidP="00C0068D">
      <w:pPr>
        <w:spacing w:after="0"/>
      </w:pPr>
    </w:p>
    <w:p w:rsidR="00366467" w:rsidRPr="0093692A" w:rsidRDefault="00883722" w:rsidP="00C0068D">
      <w:pPr>
        <w:spacing w:after="0"/>
      </w:pPr>
      <w:r w:rsidRPr="0093692A">
        <w:t>5.</w:t>
      </w:r>
      <w:r w:rsidR="006F7A61">
        <w:t xml:space="preserve"> Employees who are eligible to receive a Merit Increase are indicated with an “X” in the “Is Eligible” column. </w:t>
      </w:r>
      <w:r w:rsidRPr="0093692A">
        <w:t xml:space="preserve"> In this example, Olivia Carter is the only employee eligible for </w:t>
      </w:r>
      <w:r w:rsidR="0031331A">
        <w:t xml:space="preserve">a </w:t>
      </w:r>
      <w:r w:rsidR="006F7A61">
        <w:t>merit increase</w:t>
      </w:r>
      <w:r w:rsidR="00366467" w:rsidRPr="0093692A">
        <w:t>.</w:t>
      </w:r>
      <w:r w:rsidR="0073134E" w:rsidRPr="0093692A">
        <w:t xml:space="preserve"> </w:t>
      </w:r>
      <w:r w:rsidR="006F7A61">
        <w:t xml:space="preserve">Most of your </w:t>
      </w:r>
      <w:proofErr w:type="gramStart"/>
      <w:r w:rsidR="006F7A61">
        <w:t>faculty are</w:t>
      </w:r>
      <w:proofErr w:type="gramEnd"/>
      <w:r w:rsidR="006F7A61">
        <w:t xml:space="preserve"> not likely to be </w:t>
      </w:r>
      <w:r w:rsidR="0073134E" w:rsidRPr="0093692A">
        <w:t>eligible</w:t>
      </w:r>
      <w:r w:rsidR="006F7A61">
        <w:t xml:space="preserve"> for a merit increase, as most faculty are members of the bargaining unit.  M</w:t>
      </w:r>
      <w:r w:rsidR="0073134E" w:rsidRPr="0093692A">
        <w:t>ost of your OAs</w:t>
      </w:r>
      <w:r w:rsidR="00474C93" w:rsidRPr="0093692A">
        <w:t xml:space="preserve"> </w:t>
      </w:r>
      <w:proofErr w:type="gramStart"/>
      <w:r w:rsidR="00474C93" w:rsidRPr="0093692A">
        <w:t>are</w:t>
      </w:r>
      <w:proofErr w:type="gramEnd"/>
      <w:r w:rsidR="0073134E" w:rsidRPr="0093692A">
        <w:t xml:space="preserve"> likely </w:t>
      </w:r>
      <w:r w:rsidR="00474C93" w:rsidRPr="0093692A">
        <w:t xml:space="preserve">to be </w:t>
      </w:r>
      <w:r w:rsidR="0073134E" w:rsidRPr="0093692A">
        <w:t>eligible</w:t>
      </w:r>
      <w:r w:rsidR="006F7A61">
        <w:t xml:space="preserve"> for a merit increase</w:t>
      </w:r>
      <w:r w:rsidR="0073134E" w:rsidRPr="0093692A">
        <w:t>.</w:t>
      </w:r>
    </w:p>
    <w:p w:rsidR="001142F9" w:rsidRPr="0093692A" w:rsidRDefault="001142F9" w:rsidP="00C0068D">
      <w:pPr>
        <w:spacing w:after="0"/>
      </w:pPr>
    </w:p>
    <w:p w:rsidR="005160DE" w:rsidRPr="0093692A" w:rsidRDefault="00366467" w:rsidP="00C0068D">
      <w:pPr>
        <w:spacing w:after="0"/>
      </w:pPr>
      <w:r w:rsidRPr="0093692A">
        <w:t xml:space="preserve">6. </w:t>
      </w:r>
      <w:r w:rsidR="00883722" w:rsidRPr="0093692A">
        <w:t xml:space="preserve">You may choose to </w:t>
      </w:r>
      <w:r w:rsidR="00F94DD6" w:rsidRPr="0093692A">
        <w:t>enter</w:t>
      </w:r>
      <w:r w:rsidR="00883722" w:rsidRPr="0093692A">
        <w:t xml:space="preserve"> </w:t>
      </w:r>
      <w:r w:rsidR="00697E6B" w:rsidRPr="0093692A">
        <w:t>the</w:t>
      </w:r>
      <w:r w:rsidR="006F7A61">
        <w:t xml:space="preserve"> employee’s merit</w:t>
      </w:r>
      <w:r w:rsidR="00883722" w:rsidRPr="0093692A">
        <w:t xml:space="preserve"> increase </w:t>
      </w:r>
      <w:r w:rsidR="006F7A61">
        <w:t xml:space="preserve">either </w:t>
      </w:r>
      <w:r w:rsidR="00883722" w:rsidRPr="0093692A">
        <w:t>as a percentage</w:t>
      </w:r>
      <w:r w:rsidR="006F7A61">
        <w:t xml:space="preserve"> of their Current Annual Rate OR as a specific dollar </w:t>
      </w:r>
      <w:r w:rsidR="00883722" w:rsidRPr="0093692A">
        <w:t>amount</w:t>
      </w:r>
      <w:r w:rsidR="00B54E34" w:rsidRPr="0093692A">
        <w:t xml:space="preserve">. </w:t>
      </w:r>
      <w:proofErr w:type="gramStart"/>
      <w:r w:rsidR="00474C93" w:rsidRPr="0093692A">
        <w:t>To give</w:t>
      </w:r>
      <w:r w:rsidR="0016408F" w:rsidRPr="0093692A">
        <w:t xml:space="preserve"> a</w:t>
      </w:r>
      <w:r w:rsidR="006F7A61">
        <w:t>n employee a</w:t>
      </w:r>
      <w:r w:rsidR="0016408F" w:rsidRPr="0093692A">
        <w:t xml:space="preserve"> 1.25% </w:t>
      </w:r>
      <w:r w:rsidR="006F7A61">
        <w:t xml:space="preserve">merit </w:t>
      </w:r>
      <w:r w:rsidR="0016408F" w:rsidRPr="0093692A">
        <w:t>increase, enter 1.25 in the “Merit/Equity Percent” column.</w:t>
      </w:r>
      <w:proofErr w:type="gramEnd"/>
      <w:r w:rsidR="00DD797E" w:rsidRPr="0093692A">
        <w:t xml:space="preserve"> </w:t>
      </w:r>
      <w:r w:rsidR="006F7A61">
        <w:t xml:space="preserve">The </w:t>
      </w:r>
      <w:r w:rsidR="00CE5569" w:rsidRPr="0093692A">
        <w:t xml:space="preserve">“Merit/Equity Amount” will </w:t>
      </w:r>
      <w:r w:rsidR="006F7A61">
        <w:t xml:space="preserve">then </w:t>
      </w:r>
      <w:r w:rsidR="00CE5569" w:rsidRPr="0093692A">
        <w:t>be calculated</w:t>
      </w:r>
      <w:r w:rsidR="006F7A61">
        <w:t xml:space="preserve"> for you</w:t>
      </w:r>
      <w:r w:rsidR="00CE5569" w:rsidRPr="0093692A">
        <w:t xml:space="preserve">. If you </w:t>
      </w:r>
      <w:r w:rsidR="006F7A61">
        <w:t xml:space="preserve">choose to </w:t>
      </w:r>
      <w:r w:rsidR="00CE5569" w:rsidRPr="0093692A">
        <w:t xml:space="preserve">enter </w:t>
      </w:r>
      <w:r w:rsidR="0096345D" w:rsidRPr="0093692A">
        <w:t>a</w:t>
      </w:r>
      <w:r w:rsidR="00CE5569" w:rsidRPr="0093692A">
        <w:t xml:space="preserve"> dollar amount</w:t>
      </w:r>
      <w:r w:rsidR="006F7A61">
        <w:t xml:space="preserve"> for the merit increase in the “Merit/Equity Amount” column, the “Merit/Equity Percent”</w:t>
      </w:r>
      <w:r w:rsidR="00CE5569" w:rsidRPr="0093692A">
        <w:t xml:space="preserve"> will be calculated</w:t>
      </w:r>
      <w:r w:rsidR="006F7A61">
        <w:t xml:space="preserve"> for you</w:t>
      </w:r>
      <w:r w:rsidR="00CE5569" w:rsidRPr="0093692A">
        <w:t>.</w:t>
      </w:r>
      <w:r w:rsidR="00292BD4" w:rsidRPr="0093692A">
        <w:t xml:space="preserve"> </w:t>
      </w:r>
    </w:p>
    <w:p w:rsidR="005160DE" w:rsidRPr="0093692A" w:rsidRDefault="005160DE" w:rsidP="00C0068D">
      <w:pPr>
        <w:spacing w:after="0"/>
      </w:pPr>
    </w:p>
    <w:p w:rsidR="00883722" w:rsidRDefault="00292BD4" w:rsidP="005160DE">
      <w:pPr>
        <w:pStyle w:val="ListParagraph"/>
        <w:numPr>
          <w:ilvl w:val="0"/>
          <w:numId w:val="2"/>
        </w:numPr>
        <w:spacing w:after="0"/>
      </w:pPr>
      <w:r w:rsidRPr="0093692A">
        <w:t>You do not have to</w:t>
      </w:r>
      <w:r w:rsidR="006F7A61">
        <w:t xml:space="preserve"> give every eligible employee a merit</w:t>
      </w:r>
      <w:r w:rsidRPr="0093692A">
        <w:t xml:space="preserve"> increase, and you may give individual increases in excess of 2%</w:t>
      </w:r>
      <w:r w:rsidR="00131713" w:rsidRPr="0093692A">
        <w:t>,</w:t>
      </w:r>
      <w:r w:rsidR="006F7A61">
        <w:t xml:space="preserve"> so</w:t>
      </w:r>
      <w:r w:rsidRPr="0093692A">
        <w:t xml:space="preserve"> long as the sum of </w:t>
      </w:r>
      <w:r w:rsidR="006F7A61">
        <w:t xml:space="preserve">all of your merit </w:t>
      </w:r>
      <w:r w:rsidR="009A2EB4" w:rsidRPr="0093692A">
        <w:t>increases</w:t>
      </w:r>
      <w:r w:rsidRPr="0093692A">
        <w:t xml:space="preserve"> does not exceed </w:t>
      </w:r>
      <w:r w:rsidR="006F7A61">
        <w:t xml:space="preserve">the amount of </w:t>
      </w:r>
      <w:r w:rsidRPr="0093692A">
        <w:t xml:space="preserve">your </w:t>
      </w:r>
      <w:r w:rsidR="006F7A61">
        <w:t>“Merit/Equity Allocation”</w:t>
      </w:r>
      <w:r w:rsidRPr="0093692A">
        <w:t>.</w:t>
      </w:r>
      <w:r w:rsidR="009A2EB4" w:rsidRPr="0093692A">
        <w:t xml:space="preserve"> Any proposed increase above 10% (including the </w:t>
      </w:r>
      <w:r w:rsidR="00AD215D">
        <w:t>Across the Board</w:t>
      </w:r>
      <w:r w:rsidR="009A2EB4" w:rsidRPr="0093692A">
        <w:t xml:space="preserve"> component) must be supported with a brief narrat</w:t>
      </w:r>
      <w:r w:rsidR="006F7A61">
        <w:t xml:space="preserve">ive justification based on Department or Program criteria.  Such </w:t>
      </w:r>
      <w:r w:rsidR="009A2EB4" w:rsidRPr="0093692A">
        <w:t xml:space="preserve">increases will need to be </w:t>
      </w:r>
      <w:r w:rsidR="006F7A61">
        <w:t xml:space="preserve">individually </w:t>
      </w:r>
      <w:r w:rsidR="009A2EB4" w:rsidRPr="0093692A">
        <w:t>approved by the Provost.</w:t>
      </w:r>
    </w:p>
    <w:p w:rsidR="00E2372D" w:rsidRDefault="00E2372D" w:rsidP="00E2372D">
      <w:pPr>
        <w:pStyle w:val="ListParagraph"/>
        <w:spacing w:after="0"/>
      </w:pPr>
    </w:p>
    <w:p w:rsidR="00E2372D" w:rsidRPr="0093692A" w:rsidRDefault="00E2372D" w:rsidP="00E2372D">
      <w:pPr>
        <w:spacing w:after="0"/>
        <w:ind w:left="360"/>
        <w:jc w:val="center"/>
      </w:pPr>
    </w:p>
    <w:p w:rsidR="00036BE5" w:rsidRDefault="00036BE5" w:rsidP="00C0068D">
      <w:pPr>
        <w:spacing w:after="0"/>
      </w:pPr>
    </w:p>
    <w:p w:rsidR="00036BE5" w:rsidRDefault="00036BE5" w:rsidP="00C0068D">
      <w:pPr>
        <w:spacing w:after="0"/>
      </w:pPr>
    </w:p>
    <w:p w:rsidR="00036BE5" w:rsidRDefault="00036BE5" w:rsidP="00C0068D">
      <w:pPr>
        <w:spacing w:after="0"/>
      </w:pPr>
      <w:r>
        <w:rPr>
          <w:noProof/>
        </w:rPr>
        <w:lastRenderedPageBreak/>
        <w:drawing>
          <wp:inline distT="0" distB="0" distL="0" distR="0">
            <wp:extent cx="6391275" cy="3267075"/>
            <wp:effectExtent l="19050" t="19050" r="28575" b="28575"/>
            <wp:docPr id="8" name="Picture 8" descr="C:\Users\apuh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uh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6BE5" w:rsidRDefault="00036BE5" w:rsidP="00C0068D">
      <w:pPr>
        <w:spacing w:after="0"/>
      </w:pPr>
    </w:p>
    <w:p w:rsidR="00036BE5" w:rsidRDefault="00036BE5" w:rsidP="00C0068D">
      <w:pPr>
        <w:spacing w:after="0"/>
      </w:pPr>
    </w:p>
    <w:p w:rsidR="007F5429" w:rsidRDefault="007F5429" w:rsidP="00C0068D">
      <w:pPr>
        <w:spacing w:after="0"/>
      </w:pPr>
      <w:r w:rsidRPr="0093692A">
        <w:t>7. As you ent</w:t>
      </w:r>
      <w:r w:rsidR="009A2EB4" w:rsidRPr="0093692A">
        <w:t xml:space="preserve">er </w:t>
      </w:r>
      <w:r w:rsidR="006F7A61">
        <w:t>your merit</w:t>
      </w:r>
      <w:r w:rsidR="009A2EB4" w:rsidRPr="0093692A">
        <w:t xml:space="preserve"> increases, the “Merit/Equity </w:t>
      </w:r>
      <w:r w:rsidRPr="0093692A">
        <w:t>Increase Used” will keep a running total of the amou</w:t>
      </w:r>
      <w:r w:rsidR="00F07B20" w:rsidRPr="0093692A">
        <w:t>nt of the 2% p</w:t>
      </w:r>
      <w:r w:rsidR="009A2EB4" w:rsidRPr="0093692A">
        <w:t>ool you h</w:t>
      </w:r>
      <w:r w:rsidR="009E482B">
        <w:t xml:space="preserve">ave used, </w:t>
      </w:r>
      <w:r w:rsidR="009A2EB4" w:rsidRPr="0093692A">
        <w:t>and the “Merit/Equity</w:t>
      </w:r>
      <w:r w:rsidR="00F07B20" w:rsidRPr="0093692A">
        <w:t xml:space="preserve"> </w:t>
      </w:r>
      <w:r w:rsidR="009A2EB4" w:rsidRPr="0093692A">
        <w:t xml:space="preserve">Available Balance” </w:t>
      </w:r>
      <w:r w:rsidR="00F07B20" w:rsidRPr="0093692A">
        <w:t>will display the amount</w:t>
      </w:r>
      <w:r w:rsidR="009E482B">
        <w:t xml:space="preserve"> of the pool that remains to be allocated</w:t>
      </w:r>
      <w:r w:rsidR="00F07B20" w:rsidRPr="0093692A">
        <w:t>.</w:t>
      </w:r>
      <w:r w:rsidR="009E482B">
        <w:t xml:space="preserve">  There is no advantage to your Department or Program not to allocate the full 2%.</w:t>
      </w:r>
    </w:p>
    <w:p w:rsidR="00297F27" w:rsidRDefault="00297F27" w:rsidP="00C0068D">
      <w:pPr>
        <w:spacing w:after="0"/>
      </w:pPr>
    </w:p>
    <w:p w:rsidR="00297F27" w:rsidRPr="0093692A" w:rsidRDefault="00297F27" w:rsidP="00C0068D">
      <w:pPr>
        <w:spacing w:after="0"/>
      </w:pPr>
      <w:r>
        <w:t>If the “Merit/Equity Available Balance” becomes a red number in parentheses, you will have exceeded your 2% allocation.  You will need to adjust your increase awards until the “Merit/Equity Available Balance” is green or zero.</w:t>
      </w:r>
    </w:p>
    <w:p w:rsidR="008D16BA" w:rsidRDefault="008D16BA" w:rsidP="00C0068D">
      <w:pPr>
        <w:spacing w:after="0"/>
        <w:rPr>
          <w:sz w:val="24"/>
          <w:szCs w:val="24"/>
        </w:rPr>
      </w:pPr>
    </w:p>
    <w:p w:rsidR="008D16BA" w:rsidRPr="00297F27" w:rsidRDefault="007F5429" w:rsidP="00297F27">
      <w:pPr>
        <w:rPr>
          <w:sz w:val="24"/>
          <w:szCs w:val="24"/>
        </w:rPr>
      </w:pPr>
      <w:r w:rsidRPr="0093692A">
        <w:t xml:space="preserve">8. </w:t>
      </w:r>
      <w:r w:rsidR="009E482B">
        <w:t>When you have</w:t>
      </w:r>
      <w:r w:rsidR="008D16BA" w:rsidRPr="0093692A">
        <w:t xml:space="preserve"> finished entering</w:t>
      </w:r>
      <w:r w:rsidR="009E482B">
        <w:t xml:space="preserve"> your merit</w:t>
      </w:r>
      <w:r w:rsidR="008D16BA" w:rsidRPr="0093692A">
        <w:t xml:space="preserve"> increase percentages/amounts for </w:t>
      </w:r>
      <w:r w:rsidR="009E482B">
        <w:t xml:space="preserve">all </w:t>
      </w:r>
      <w:r w:rsidR="008D16BA" w:rsidRPr="0093692A">
        <w:t xml:space="preserve">eligible employees, click </w:t>
      </w:r>
      <w:r w:rsidR="009E482B">
        <w:t>“</w:t>
      </w:r>
      <w:r w:rsidR="008D16BA" w:rsidRPr="0093692A">
        <w:t>Submit</w:t>
      </w:r>
      <w:r w:rsidR="009E482B">
        <w:t>”</w:t>
      </w:r>
      <w:r w:rsidR="008D16BA" w:rsidRPr="0093692A">
        <w:t xml:space="preserve"> at the bottom of the page.</w:t>
      </w:r>
    </w:p>
    <w:p w:rsidR="00810467" w:rsidRPr="0093692A" w:rsidRDefault="00810467" w:rsidP="00C0068D">
      <w:pPr>
        <w:spacing w:after="0"/>
      </w:pPr>
    </w:p>
    <w:p w:rsidR="00810467" w:rsidRDefault="00810467" w:rsidP="00C0068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171575"/>
            <wp:effectExtent l="19050" t="19050" r="28575" b="28575"/>
            <wp:docPr id="6" name="Picture 6" descr="C:\Users\apuhn\Desktop\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uhn\Desktop\sub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18F2" w:rsidRDefault="002718F2" w:rsidP="00C0068D">
      <w:pPr>
        <w:spacing w:after="0"/>
        <w:rPr>
          <w:sz w:val="24"/>
          <w:szCs w:val="24"/>
        </w:rPr>
      </w:pPr>
    </w:p>
    <w:p w:rsidR="00474C93" w:rsidRPr="0093692A" w:rsidRDefault="00474C93" w:rsidP="00C0068D">
      <w:pPr>
        <w:spacing w:after="0"/>
      </w:pPr>
      <w:r w:rsidRPr="0093692A">
        <w:t>9. If you have exceeded your 2% allocation you will receive an error message “You have exceeded your allocation; please correct. Submit failed”. Please make the necessary adjustments</w:t>
      </w:r>
      <w:r w:rsidR="009E482B">
        <w:t xml:space="preserve"> to your merit increase percentages/amounts</w:t>
      </w:r>
      <w:r w:rsidRPr="0093692A">
        <w:t xml:space="preserve"> and click </w:t>
      </w:r>
      <w:r w:rsidR="009E482B">
        <w:t>“</w:t>
      </w:r>
      <w:r w:rsidRPr="0093692A">
        <w:t>Submit</w:t>
      </w:r>
      <w:r w:rsidR="009E482B">
        <w:t>”</w:t>
      </w:r>
      <w:r w:rsidRPr="0093692A">
        <w:t xml:space="preserve"> again.</w:t>
      </w:r>
    </w:p>
    <w:p w:rsidR="00474C93" w:rsidRPr="0093692A" w:rsidRDefault="00474C93" w:rsidP="00C0068D">
      <w:pPr>
        <w:spacing w:after="0"/>
      </w:pPr>
    </w:p>
    <w:p w:rsidR="00F07B20" w:rsidRPr="0093692A" w:rsidRDefault="00474C93" w:rsidP="00C0068D">
      <w:pPr>
        <w:spacing w:after="0"/>
      </w:pPr>
      <w:r w:rsidRPr="0093692A">
        <w:t>10</w:t>
      </w:r>
      <w:r w:rsidR="002718F2" w:rsidRPr="0093692A">
        <w:t xml:space="preserve">. </w:t>
      </w:r>
      <w:r w:rsidR="00F07B20" w:rsidRPr="0093692A">
        <w:t>Click on “Return to the Unclassified Salary Increases July 2013 home page</w:t>
      </w:r>
      <w:r w:rsidR="009E482B">
        <w:t xml:space="preserve">” </w:t>
      </w:r>
      <w:r w:rsidR="00F07B20" w:rsidRPr="0093692A">
        <w:t>and repeat this process f</w:t>
      </w:r>
      <w:r w:rsidR="009E482B">
        <w:t>or each employee group in your D</w:t>
      </w:r>
      <w:r w:rsidR="00F07B20" w:rsidRPr="0093692A">
        <w:t>epartment</w:t>
      </w:r>
      <w:r w:rsidR="009E482B">
        <w:t xml:space="preserve"> or Program</w:t>
      </w:r>
      <w:r w:rsidR="00F07B20" w:rsidRPr="0093692A">
        <w:t>.</w:t>
      </w:r>
    </w:p>
    <w:p w:rsidR="003E5555" w:rsidRPr="0093692A" w:rsidRDefault="003E5555" w:rsidP="00C0068D">
      <w:pPr>
        <w:spacing w:after="0"/>
      </w:pPr>
    </w:p>
    <w:p w:rsidR="003E5555" w:rsidRPr="0093692A" w:rsidRDefault="003E5555" w:rsidP="00C0068D">
      <w:pPr>
        <w:spacing w:after="0"/>
      </w:pPr>
      <w:r w:rsidRPr="0093692A">
        <w:t xml:space="preserve">11. Once </w:t>
      </w:r>
      <w:r w:rsidR="009E482B">
        <w:t xml:space="preserve">you have entered and submitted merit increases for </w:t>
      </w:r>
      <w:r w:rsidRPr="0093692A">
        <w:t xml:space="preserve">all </w:t>
      </w:r>
      <w:r w:rsidR="009E482B">
        <w:t xml:space="preserve">of your </w:t>
      </w:r>
      <w:r w:rsidRPr="0093692A">
        <w:t>emp</w:t>
      </w:r>
      <w:r w:rsidR="009E482B">
        <w:t>loyee groups</w:t>
      </w:r>
      <w:r w:rsidR="00077D5C">
        <w:t>, select “Create Document for Department Head Signature</w:t>
      </w:r>
      <w:proofErr w:type="gramStart"/>
      <w:r w:rsidR="00077D5C">
        <w:t xml:space="preserve">” </w:t>
      </w:r>
      <w:r w:rsidR="009E482B">
        <w:t>,</w:t>
      </w:r>
      <w:proofErr w:type="gramEnd"/>
      <w:r w:rsidR="00077D5C">
        <w:t xml:space="preserve"> click “create word document”, print and</w:t>
      </w:r>
      <w:r w:rsidR="009E482B">
        <w:t xml:space="preserve"> </w:t>
      </w:r>
      <w:r w:rsidRPr="0093692A">
        <w:t>obtain the Department</w:t>
      </w:r>
      <w:r w:rsidR="009E482B">
        <w:t xml:space="preserve"> or Program </w:t>
      </w:r>
      <w:r w:rsidRPr="0093692A">
        <w:t xml:space="preserve"> Head’s signature</w:t>
      </w:r>
      <w:r w:rsidR="00077D5C">
        <w:t xml:space="preserve"> </w:t>
      </w:r>
      <w:r w:rsidRPr="0093692A">
        <w:t>and submit to the Dean</w:t>
      </w:r>
      <w:r w:rsidR="009E482B">
        <w:t>’s O</w:t>
      </w:r>
      <w:r w:rsidRPr="0093692A">
        <w:t xml:space="preserve">ffice. </w:t>
      </w:r>
    </w:p>
    <w:p w:rsidR="002718F2" w:rsidRPr="0093692A" w:rsidRDefault="002718F2" w:rsidP="00C0068D">
      <w:pPr>
        <w:spacing w:after="0"/>
      </w:pPr>
    </w:p>
    <w:sectPr w:rsidR="002718F2" w:rsidRPr="0093692A" w:rsidSect="001142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7DA"/>
    <w:multiLevelType w:val="hybridMultilevel"/>
    <w:tmpl w:val="204C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74707"/>
    <w:multiLevelType w:val="hybridMultilevel"/>
    <w:tmpl w:val="20A2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E0"/>
    <w:rsid w:val="00036BE5"/>
    <w:rsid w:val="000611EB"/>
    <w:rsid w:val="00077D5C"/>
    <w:rsid w:val="000E27F6"/>
    <w:rsid w:val="001142F9"/>
    <w:rsid w:val="00117555"/>
    <w:rsid w:val="00131713"/>
    <w:rsid w:val="0016408F"/>
    <w:rsid w:val="00172253"/>
    <w:rsid w:val="00192B17"/>
    <w:rsid w:val="001C2ACB"/>
    <w:rsid w:val="002060E3"/>
    <w:rsid w:val="0025276C"/>
    <w:rsid w:val="00254495"/>
    <w:rsid w:val="00262A8C"/>
    <w:rsid w:val="002718F2"/>
    <w:rsid w:val="00287A29"/>
    <w:rsid w:val="00292BD4"/>
    <w:rsid w:val="00297F27"/>
    <w:rsid w:val="002F2A4A"/>
    <w:rsid w:val="0031331A"/>
    <w:rsid w:val="00366467"/>
    <w:rsid w:val="00370808"/>
    <w:rsid w:val="003717C5"/>
    <w:rsid w:val="00377429"/>
    <w:rsid w:val="003E5555"/>
    <w:rsid w:val="0042064B"/>
    <w:rsid w:val="00474C93"/>
    <w:rsid w:val="004872BC"/>
    <w:rsid w:val="00492239"/>
    <w:rsid w:val="004A3FC5"/>
    <w:rsid w:val="005160DE"/>
    <w:rsid w:val="005958AA"/>
    <w:rsid w:val="00597DE9"/>
    <w:rsid w:val="005C14E2"/>
    <w:rsid w:val="00607397"/>
    <w:rsid w:val="0061327D"/>
    <w:rsid w:val="00615577"/>
    <w:rsid w:val="0067490D"/>
    <w:rsid w:val="00697E6B"/>
    <w:rsid w:val="006A6A8B"/>
    <w:rsid w:val="006D058B"/>
    <w:rsid w:val="006F7A61"/>
    <w:rsid w:val="007157F0"/>
    <w:rsid w:val="0073134E"/>
    <w:rsid w:val="00761D8B"/>
    <w:rsid w:val="007B3F8A"/>
    <w:rsid w:val="007D7E43"/>
    <w:rsid w:val="007E326F"/>
    <w:rsid w:val="007F5429"/>
    <w:rsid w:val="007F692B"/>
    <w:rsid w:val="00810467"/>
    <w:rsid w:val="008235D1"/>
    <w:rsid w:val="00835D1A"/>
    <w:rsid w:val="008657C3"/>
    <w:rsid w:val="00865DC4"/>
    <w:rsid w:val="00883722"/>
    <w:rsid w:val="008D16BA"/>
    <w:rsid w:val="008F23FA"/>
    <w:rsid w:val="00903D0D"/>
    <w:rsid w:val="00903D45"/>
    <w:rsid w:val="0093692A"/>
    <w:rsid w:val="0095021D"/>
    <w:rsid w:val="0096345D"/>
    <w:rsid w:val="00965085"/>
    <w:rsid w:val="009A2EB4"/>
    <w:rsid w:val="009E482B"/>
    <w:rsid w:val="00A113E0"/>
    <w:rsid w:val="00A25A1C"/>
    <w:rsid w:val="00A81545"/>
    <w:rsid w:val="00AB226D"/>
    <w:rsid w:val="00AD215D"/>
    <w:rsid w:val="00AF098A"/>
    <w:rsid w:val="00B5298C"/>
    <w:rsid w:val="00B54E34"/>
    <w:rsid w:val="00B85AC2"/>
    <w:rsid w:val="00BA6A88"/>
    <w:rsid w:val="00BC2385"/>
    <w:rsid w:val="00BD40EB"/>
    <w:rsid w:val="00BF01D6"/>
    <w:rsid w:val="00C0068D"/>
    <w:rsid w:val="00C00B5B"/>
    <w:rsid w:val="00C06012"/>
    <w:rsid w:val="00C56C61"/>
    <w:rsid w:val="00CE5569"/>
    <w:rsid w:val="00D50111"/>
    <w:rsid w:val="00D82B3A"/>
    <w:rsid w:val="00DD797E"/>
    <w:rsid w:val="00E120FC"/>
    <w:rsid w:val="00E20BDA"/>
    <w:rsid w:val="00E2372D"/>
    <w:rsid w:val="00E27009"/>
    <w:rsid w:val="00E8077A"/>
    <w:rsid w:val="00E8201B"/>
    <w:rsid w:val="00E83B7F"/>
    <w:rsid w:val="00E87586"/>
    <w:rsid w:val="00ED361B"/>
    <w:rsid w:val="00F07B20"/>
    <w:rsid w:val="00F3464D"/>
    <w:rsid w:val="00F45936"/>
    <w:rsid w:val="00F90A1D"/>
    <w:rsid w:val="00F91116"/>
    <w:rsid w:val="00F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3D0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40E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42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3D0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40E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4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4240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Puhn</dc:creator>
  <cp:lastModifiedBy>Sherri Nelson</cp:lastModifiedBy>
  <cp:revision>2</cp:revision>
  <dcterms:created xsi:type="dcterms:W3CDTF">2013-05-22T19:21:00Z</dcterms:created>
  <dcterms:modified xsi:type="dcterms:W3CDTF">2013-05-22T19:21:00Z</dcterms:modified>
</cp:coreProperties>
</file>