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EB" w:rsidRDefault="00DA24EB" w:rsidP="00133C4E">
      <w:pPr>
        <w:pStyle w:val="Heading1"/>
        <w:spacing w:before="0"/>
        <w:jc w:val="center"/>
      </w:pPr>
      <w:r>
        <w:t>TENURE RELATED FACULTY REVIEWS</w:t>
      </w:r>
    </w:p>
    <w:p w:rsidR="00DA24EB" w:rsidRPr="00DA24EB" w:rsidRDefault="00DA24EB" w:rsidP="00133C4E"/>
    <w:p w:rsidR="00DA24EB" w:rsidRDefault="00DA24EB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contains many important details concerning reviews for tenure related faculty.   </w:t>
      </w:r>
      <w:r w:rsid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information you need for reviews is all conveniently located on CAS Web.  This document should help you quickly and easily access these resources.  </w:t>
      </w:r>
      <w:r w:rsidR="00171DB7">
        <w:rPr>
          <w:rFonts w:ascii="Times New Roman" w:hAnsi="Times New Roman" w:cs="Times New Roman"/>
          <w:color w:val="000000" w:themeColor="text1"/>
          <w:sz w:val="24"/>
          <w:szCs w:val="24"/>
        </w:rPr>
        <w:t>You are e</w:t>
      </w:r>
      <w:r w:rsidR="0063740D">
        <w:rPr>
          <w:rFonts w:ascii="Times New Roman" w:hAnsi="Times New Roman" w:cs="Times New Roman"/>
          <w:color w:val="000000" w:themeColor="text1"/>
          <w:sz w:val="24"/>
          <w:szCs w:val="24"/>
        </w:rPr>
        <w:t>ncourage</w:t>
      </w:r>
      <w:r w:rsidR="00171DB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read it carefully.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October 1, you should 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consult CAS web </w:t>
      </w:r>
      <w:hyperlink r:id="rId5" w:history="1">
        <w:r w:rsidR="0048415A" w:rsidRPr="00DA24EB">
          <w:rPr>
            <w:rStyle w:val="Hyperlink"/>
            <w:rFonts w:ascii="Times New Roman" w:hAnsi="Times New Roman" w:cs="Times New Roman"/>
            <w:sz w:val="24"/>
            <w:szCs w:val="24"/>
          </w:rPr>
          <w:t>https://casweb.uoregon.edu/</w:t>
        </w:r>
      </w:hyperlink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determine </w:t>
      </w:r>
      <w:r w:rsidR="0063740D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tenure related faculty are due for various reviews: annual or contract renewal reviews for untenured faculty and 3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6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Post Tenure Reviews for tenured faculty. </w:t>
      </w: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48415A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You can access this information by going to the “Reports” link in the left hand column called CASweb resources</w:t>
      </w: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15A" w:rsidRDefault="00171DB7" w:rsidP="00171D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DF5356" wp14:editId="268CCFDA">
                <wp:simplePos x="0" y="0"/>
                <wp:positionH relativeFrom="column">
                  <wp:posOffset>371475</wp:posOffset>
                </wp:positionH>
                <wp:positionV relativeFrom="paragraph">
                  <wp:posOffset>3362325</wp:posOffset>
                </wp:positionV>
                <wp:extent cx="800100" cy="238125"/>
                <wp:effectExtent l="0" t="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381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EE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.25pt;margin-top:264.75pt;width:63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" strokecolor="red" strokeweight="1pt">
                <v:stroke endarrow="open"/>
              </v:shape>
            </w:pict>
          </mc:Fallback>
        </mc:AlternateConten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EDDBC1" wp14:editId="7C147817">
            <wp:extent cx="4246245" cy="4267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705A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4" r="19533"/>
                    <a:stretch/>
                  </pic:blipFill>
                  <pic:spPr bwMode="auto">
                    <a:xfrm>
                      <a:off x="0" y="0"/>
                      <a:ext cx="424624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362" w:rsidRDefault="0098336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24EB" w:rsidRDefault="00DA24EB" w:rsidP="00DA24EB"/>
    <w:p w:rsidR="00983362" w:rsidRDefault="0098336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3362" w:rsidRPr="0048415A" w:rsidRDefault="0098336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24EB" w:rsidRDefault="00DA24EB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A24EB" w:rsidRPr="0048415A" w:rsidRDefault="00DA24EB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63740D" w:rsidP="009833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009A9" wp14:editId="718F633F">
                <wp:simplePos x="0" y="0"/>
                <wp:positionH relativeFrom="column">
                  <wp:posOffset>-4200525</wp:posOffset>
                </wp:positionH>
                <wp:positionV relativeFrom="paragraph">
                  <wp:posOffset>130175</wp:posOffset>
                </wp:positionV>
                <wp:extent cx="485775" cy="219075"/>
                <wp:effectExtent l="0" t="0" r="8572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19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5151" id="Straight Arrow Connector 2" o:spid="_x0000_s1026" type="#_x0000_t32" style="position:absolute;margin-left:-330.75pt;margin-top:10.25pt;width:38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" strokecolor="red" strokeweight="1pt">
                <v:stroke endarrow="open"/>
              </v:shape>
            </w:pict>
          </mc:Fallback>
        </mc:AlternateContent>
      </w:r>
      <w:r w:rsidR="00983362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DA24EB">
        <w:rPr>
          <w:rFonts w:ascii="Times New Roman" w:hAnsi="Times New Roman" w:cs="Times New Roman"/>
          <w:color w:val="000000" w:themeColor="text1"/>
          <w:sz w:val="24"/>
          <w:szCs w:val="24"/>
        </w:rPr>
        <w:t>clicking on</w:t>
      </w:r>
      <w:r w:rsidR="00983362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Reports, then go to the “Review Schedules for Tenure Related Faculty” </w:t>
      </w:r>
      <w:r w:rsidR="00171DB7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</w:p>
    <w:p w:rsidR="00983362" w:rsidRDefault="00983362" w:rsidP="009833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 the Faculty heading.   </w:t>
      </w:r>
    </w:p>
    <w:p w:rsidR="00171DB7" w:rsidRDefault="00171DB7" w:rsidP="009833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3C4E" w:rsidRDefault="00171DB7" w:rsidP="00171D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E51FD" wp14:editId="3CBC0CDC">
                <wp:simplePos x="0" y="0"/>
                <wp:positionH relativeFrom="column">
                  <wp:posOffset>276225</wp:posOffset>
                </wp:positionH>
                <wp:positionV relativeFrom="paragraph">
                  <wp:posOffset>2537460</wp:posOffset>
                </wp:positionV>
                <wp:extent cx="800100" cy="238125"/>
                <wp:effectExtent l="0" t="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3812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BFD9" id="Straight Arrow Connector 10" o:spid="_x0000_s1026" type="#_x0000_t32" style="position:absolute;margin-left:21.75pt;margin-top:199.8pt;width:63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" strokecolor="red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28739E" wp14:editId="53E83E5A">
            <wp:extent cx="4666770" cy="41338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14F2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6" r="18398"/>
                    <a:stretch/>
                  </pic:blipFill>
                  <pic:spPr bwMode="auto">
                    <a:xfrm>
                      <a:off x="0" y="0"/>
                      <a:ext cx="4670133" cy="413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DB7" w:rsidRDefault="00171DB7" w:rsidP="006374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40D" w:rsidRDefault="00171DB7" w:rsidP="006374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CAAA42" wp14:editId="22F26BF6">
                <wp:simplePos x="0" y="0"/>
                <wp:positionH relativeFrom="column">
                  <wp:posOffset>-2590165</wp:posOffset>
                </wp:positionH>
                <wp:positionV relativeFrom="paragraph">
                  <wp:posOffset>443230</wp:posOffset>
                </wp:positionV>
                <wp:extent cx="342900" cy="285750"/>
                <wp:effectExtent l="38100" t="0" r="190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6A11" id="Straight Arrow Connector 8" o:spid="_x0000_s1026" type="#_x0000_t32" style="position:absolute;margin-left:-203.95pt;margin-top:34.9pt;width:27pt;height:22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" strokecolor="red" strokeweight="1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63740D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hen you go to this link you will be prompted to enter your user name &amp; DUCK ID password.   Please note that your Duck ID user name and password </w:t>
      </w:r>
      <w:r w:rsidR="0063740D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63740D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one</w:t>
      </w:r>
      <w:r w:rsidR="0063740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3740D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</w:t>
      </w:r>
      <w:r w:rsidR="0063740D">
        <w:rPr>
          <w:rFonts w:ascii="Times New Roman" w:hAnsi="Times New Roman" w:cs="Times New Roman"/>
          <w:color w:val="000000" w:themeColor="text1"/>
          <w:sz w:val="24"/>
          <w:szCs w:val="24"/>
        </w:rPr>
        <w:t>use to log in to get your UO</w:t>
      </w:r>
      <w:r w:rsidR="0063740D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e-mail. If you have problems with your Duck user name &amp; ID, please contact Central IT’s Help Desk at 6-4357.</w:t>
      </w:r>
    </w:p>
    <w:p w:rsidR="00171DB7" w:rsidRDefault="00171DB7" w:rsidP="006374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40D" w:rsidRDefault="00171DB7" w:rsidP="006374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52E4D1B" wp14:editId="5C50A866">
            <wp:simplePos x="0" y="0"/>
            <wp:positionH relativeFrom="column">
              <wp:posOffset>561975</wp:posOffset>
            </wp:positionH>
            <wp:positionV relativeFrom="paragraph">
              <wp:posOffset>72390</wp:posOffset>
            </wp:positionV>
            <wp:extent cx="480250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06" y="21431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4BB6F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06" b="19602"/>
                    <a:stretch/>
                  </pic:blipFill>
                  <pic:spPr bwMode="auto">
                    <a:xfrm>
                      <a:off x="0" y="0"/>
                      <a:ext cx="480250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40D" w:rsidRDefault="0063740D" w:rsidP="006374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40D" w:rsidRDefault="0063740D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740D" w:rsidRDefault="0063740D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1DB7" w:rsidRDefault="00171DB7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3952" w:rsidRDefault="0048415A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Once you’ve logged in you will then see two links</w:t>
      </w:r>
      <w:r w:rsidR="000E3952">
        <w:rPr>
          <w:rFonts w:ascii="Times New Roman" w:hAnsi="Times New Roman" w:cs="Times New Roman"/>
          <w:color w:val="000000" w:themeColor="text1"/>
          <w:sz w:val="24"/>
          <w:szCs w:val="24"/>
        </w:rPr>
        <w:t>. One for tenure-related faculty reviews by department and the other for tenure-related faculty review by review type.</w:t>
      </w:r>
    </w:p>
    <w:p w:rsidR="000E3952" w:rsidRDefault="000E395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3952" w:rsidRDefault="0048415A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note </w:t>
      </w:r>
      <w:r w:rsidR="000E3952">
        <w:rPr>
          <w:rFonts w:ascii="Times New Roman" w:hAnsi="Times New Roman" w:cs="Times New Roman"/>
          <w:color w:val="000000" w:themeColor="text1"/>
          <w:sz w:val="24"/>
          <w:szCs w:val="24"/>
        </w:rPr>
        <w:t>the following:</w:t>
      </w:r>
    </w:p>
    <w:p w:rsidR="000E3952" w:rsidRDefault="000E395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3952" w:rsidRPr="00171DB7" w:rsidRDefault="000E3952" w:rsidP="004841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>uture scheduled review dates may change pending changes in faculty status such as promotion to full professor or leaves without pay.</w:t>
      </w:r>
    </w:p>
    <w:p w:rsidR="00171DB7" w:rsidRPr="000E3952" w:rsidRDefault="00171DB7" w:rsidP="00171DB7">
      <w:pPr>
        <w:pStyle w:val="ListParagraph"/>
        <w:rPr>
          <w:color w:val="000000" w:themeColor="text1"/>
        </w:rPr>
      </w:pPr>
    </w:p>
    <w:p w:rsidR="000E3952" w:rsidRPr="00171DB7" w:rsidRDefault="000E3952" w:rsidP="004841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aculty members whose files will be submitted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>Fall</w:t>
      </w:r>
      <w:proofErr w:type="gramEnd"/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promotion to Full Professor may appear on a 3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6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PTR list.   The promotion review takes precedence and you do not need to submit a post tenure review.   </w:t>
      </w:r>
    </w:p>
    <w:p w:rsidR="00171DB7" w:rsidRPr="00171DB7" w:rsidRDefault="00171DB7" w:rsidP="00171DB7">
      <w:pPr>
        <w:rPr>
          <w:color w:val="000000" w:themeColor="text1"/>
        </w:rPr>
      </w:pPr>
    </w:p>
    <w:p w:rsidR="0048415A" w:rsidRPr="000E3952" w:rsidRDefault="000E3952" w:rsidP="0048415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>ntenured faculty member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8415A"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coming forward for tenure in advance of the required tenure date, may appear on a list for annual or contract renewal date; the tenure process takes precedence and you do not need to do any other review.</w:t>
      </w:r>
    </w:p>
    <w:p w:rsidR="0048415A" w:rsidRPr="0048415A" w:rsidRDefault="0048415A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15A" w:rsidRPr="0048415A" w:rsidRDefault="0048415A" w:rsidP="0048415A">
      <w:pPr>
        <w:rPr>
          <w:color w:val="000000" w:themeColor="text1"/>
        </w:rPr>
      </w:pPr>
    </w:p>
    <w:p w:rsidR="000E3952" w:rsidRDefault="000E395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Heads are responsible for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completing all reviews listed in the 201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/1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 by the </w:t>
      </w:r>
      <w:proofErr w:type="gramStart"/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Spring</w:t>
      </w:r>
      <w:proofErr w:type="gramEnd"/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deadlines.  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For AY 201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deadlines are as follows:</w:t>
      </w:r>
    </w:p>
    <w:p w:rsidR="000E3952" w:rsidRDefault="000E3952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3952" w:rsidRDefault="000E3952" w:rsidP="000E39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Contract 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enewal reviews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E39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Thursda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y, April 10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, 2014</w:t>
      </w:r>
    </w:p>
    <w:p w:rsidR="000E3952" w:rsidRDefault="000E3952" w:rsidP="000E3952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 tenure reviews: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Tuesday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, April 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48415A"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8415A" w:rsidRDefault="000E3952" w:rsidP="00133C4E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Annual reviews: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Thurs</w:t>
      </w:r>
      <w:r w:rsidR="00133C4E">
        <w:rPr>
          <w:rFonts w:ascii="Times New Roman" w:hAnsi="Times New Roman" w:cs="Times New Roman"/>
          <w:color w:val="000000" w:themeColor="text1"/>
          <w:sz w:val="24"/>
          <w:szCs w:val="24"/>
        </w:rPr>
        <w:t>day, May 1, 201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:rsidR="00133C4E" w:rsidRPr="0048415A" w:rsidRDefault="00133C4E" w:rsidP="00133C4E">
      <w:pPr>
        <w:ind w:firstLine="720"/>
        <w:rPr>
          <w:color w:val="000000" w:themeColor="text1"/>
        </w:rPr>
      </w:pPr>
    </w:p>
    <w:p w:rsidR="00133C4E" w:rsidRDefault="00133C4E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things to be aware of:</w:t>
      </w:r>
    </w:p>
    <w:p w:rsidR="00133C4E" w:rsidRDefault="00133C4E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8415A" w:rsidRPr="00133C4E" w:rsidRDefault="0048415A" w:rsidP="00133C4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asterisk (*) next to the faculty member’s name denotes that the faculty member has a joint appointment and must be reviewed by multiple departments.   The </w:t>
      </w:r>
      <w:r w:rsidRPr="00133C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primary </w:t>
      </w:r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>department assumes responsibility for initiating the review.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133C4E" w:rsidRDefault="0048415A" w:rsidP="00133C4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hash mark (#) next to the faculty name is used to identify administrators (department heads, program directors, associate deans, </w:t>
      </w:r>
      <w:proofErr w:type="spellStart"/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if that symbol appears, please refer to the posted CAS policy for </w:t>
      </w:r>
      <w:hyperlink r:id="rId9" w:history="1">
        <w:r w:rsidR="00133C4E" w:rsidRPr="00133C4E">
          <w:rPr>
            <w:rStyle w:val="Hyperlink"/>
            <w:rFonts w:ascii="Times New Roman" w:hAnsi="Times New Roman" w:cs="Times New Roman"/>
            <w:sz w:val="24"/>
            <w:szCs w:val="24"/>
          </w:rPr>
          <w:t>Review of Faculty who hold Current or recent Administrative Appointments</w:t>
        </w:r>
      </w:hyperlink>
      <w:r w:rsidR="00133C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133C4E" w:rsidRDefault="00133C4E" w:rsidP="00133C4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48415A"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>ull professors and tenured senior instructors who are due for a 6</w:t>
      </w:r>
      <w:r w:rsidR="0048415A" w:rsidRPr="00133C4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48415A"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Post Tenure Review, </w:t>
      </w:r>
      <w:r w:rsidR="0048415A" w:rsidRPr="00133C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and therefore eligible for a salary increase</w:t>
      </w:r>
      <w:r w:rsidR="0048415A"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are listed in </w:t>
      </w:r>
      <w:r w:rsidR="0048415A" w:rsidRPr="00133C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bold</w:t>
      </w:r>
      <w:r w:rsidR="0048415A"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font.  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48415A" w:rsidRDefault="0048415A" w:rsidP="00133C4E">
      <w:pPr>
        <w:ind w:left="720"/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Also note that for 6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Post Tenure Reviews, UO legislation states that the faculty member to be reviewed will be notified of review </w:t>
      </w:r>
      <w:r w:rsidRPr="0048415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no later than October 15</w:t>
      </w:r>
      <w:r w:rsidRPr="004841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th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.    </w:t>
      </w:r>
      <w:r w:rsidRPr="004841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Department Heads and Program directors are responsible for notifying affected faculty of scheduled reviews.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133C4E" w:rsidRDefault="0048415A" w:rsidP="00133C4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>In the event that adjustments to the schedule are needed please consult with your Associate Dean.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bookmarkStart w:id="0" w:name="_GoBack"/>
      <w:bookmarkEnd w:id="0"/>
    </w:p>
    <w:p w:rsidR="0048415A" w:rsidRPr="0048415A" w:rsidRDefault="0048415A" w:rsidP="00484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Additional information the CAS policies for Post-Tenure Review of Administrative Faculty and Post-Tenure Review Salary Increases can be found in the Alphabetical list of</w:t>
      </w:r>
      <w:proofErr w:type="gramStart"/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 CAS</w:t>
      </w:r>
      <w:proofErr w:type="gramEnd"/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policies and guidelines:  </w:t>
      </w:r>
      <w:hyperlink r:id="rId10" w:history="1">
        <w:r w:rsidRPr="00133C4E">
          <w:rPr>
            <w:rStyle w:val="Hyperlink"/>
            <w:rFonts w:ascii="Times New Roman" w:hAnsi="Times New Roman" w:cs="Times New Roman"/>
            <w:sz w:val="24"/>
            <w:szCs w:val="24"/>
          </w:rPr>
          <w:t>https://casweb.uoregon.edu/anon/home/policiesalpha.shtml</w:t>
        </w:r>
      </w:hyperlink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8415A" w:rsidRPr="0048415A" w:rsidRDefault="0048415A" w:rsidP="0048415A">
      <w:pPr>
        <w:rPr>
          <w:color w:val="000000" w:themeColor="text1"/>
        </w:rPr>
      </w:pPr>
    </w:p>
    <w:p w:rsidR="0048415A" w:rsidRPr="0048415A" w:rsidRDefault="0048415A" w:rsidP="0048415A">
      <w:pPr>
        <w:rPr>
          <w:color w:val="000000" w:themeColor="text1"/>
        </w:rPr>
      </w:pP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UO Post-Tenure Review Policy can be found </w:t>
      </w:r>
      <w:r w:rsidR="00133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UO website 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at:  </w:t>
      </w:r>
      <w:hyperlink r:id="rId11" w:history="1">
        <w:r w:rsidRPr="00133C4E">
          <w:rPr>
            <w:rStyle w:val="Hyperlink"/>
            <w:rFonts w:ascii="Times New Roman" w:hAnsi="Times New Roman" w:cs="Times New Roman"/>
            <w:sz w:val="24"/>
            <w:szCs w:val="24"/>
          </w:rPr>
          <w:t>http://policies.uoregon.edu/policy/by/1/03000-human-resources/post-tenure-review</w:t>
        </w:r>
      </w:hyperlink>
      <w:r w:rsidRPr="00133C4E">
        <w:rPr>
          <w:rFonts w:ascii="Times New Roman" w:hAnsi="Times New Roman" w:cs="Times New Roman"/>
          <w:color w:val="0000FF"/>
          <w:sz w:val="24"/>
          <w:szCs w:val="24"/>
        </w:rPr>
        <w:t xml:space="preserve">      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problems or questions concerning contract renewal reviews, please contact 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Anna Puhn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6-</w:t>
      </w:r>
      <w:r w:rsidR="001B6B56">
        <w:rPr>
          <w:rFonts w:ascii="Times New Roman" w:hAnsi="Times New Roman" w:cs="Times New Roman"/>
          <w:color w:val="000000" w:themeColor="text1"/>
          <w:sz w:val="24"/>
          <w:szCs w:val="24"/>
        </w:rPr>
        <w:t>4441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    For question concerning annual and post tenure reviews please contact </w:t>
      </w:r>
      <w:r w:rsidR="00133C4E" w:rsidRPr="00133C4E">
        <w:rPr>
          <w:rFonts w:ascii="Times New Roman" w:hAnsi="Times New Roman" w:cs="Times New Roman"/>
          <w:color w:val="000000" w:themeColor="text1"/>
          <w:sz w:val="24"/>
          <w:szCs w:val="24"/>
        </w:rPr>
        <w:t>Miriam Bolton</w:t>
      </w: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6-3285.      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48415A" w:rsidRDefault="0048415A" w:rsidP="00133C4E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8415A" w:rsidRPr="0048415A" w:rsidRDefault="0048415A" w:rsidP="0048415A">
      <w:pPr>
        <w:rPr>
          <w:color w:val="000000" w:themeColor="text1"/>
        </w:rPr>
      </w:pPr>
      <w:r w:rsidRPr="0048415A">
        <w:rPr>
          <w:color w:val="000000" w:themeColor="text1"/>
          <w:sz w:val="24"/>
          <w:szCs w:val="24"/>
        </w:rPr>
        <w:t> </w:t>
      </w:r>
    </w:p>
    <w:p w:rsidR="0074383C" w:rsidRPr="0048415A" w:rsidRDefault="0074383C">
      <w:pPr>
        <w:rPr>
          <w:color w:val="000000" w:themeColor="text1"/>
        </w:rPr>
      </w:pPr>
    </w:p>
    <w:sectPr w:rsidR="0074383C" w:rsidRPr="0048415A" w:rsidSect="0013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61B1"/>
    <w:multiLevelType w:val="hybridMultilevel"/>
    <w:tmpl w:val="408E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807FE"/>
    <w:multiLevelType w:val="hybridMultilevel"/>
    <w:tmpl w:val="5410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15A"/>
    <w:rsid w:val="000E3952"/>
    <w:rsid w:val="00133C4E"/>
    <w:rsid w:val="00171DB7"/>
    <w:rsid w:val="001B6B56"/>
    <w:rsid w:val="0048415A"/>
    <w:rsid w:val="0063740D"/>
    <w:rsid w:val="0074383C"/>
    <w:rsid w:val="008E0DB7"/>
    <w:rsid w:val="00983362"/>
    <w:rsid w:val="00D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80A76-742C-48D4-ABBE-B12E26F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15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4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1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3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2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://policies.uoregon.edu/policy/by/1/03000-human-resources/post-tenure-review" TargetMode="External"/><Relationship Id="rId5" Type="http://schemas.openxmlformats.org/officeDocument/2006/relationships/hyperlink" Target="https://casweb.uoregon.edu/" TargetMode="External"/><Relationship Id="rId10" Type="http://schemas.openxmlformats.org/officeDocument/2006/relationships/hyperlink" Target="https://casweb.uoregon.edu/anon/home/policiesalpha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web.uoregon.edu/anon/displaypdf/display.aspx?DocNr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Bolton</dc:creator>
  <cp:lastModifiedBy>Miriam Bolton</cp:lastModifiedBy>
  <cp:revision>2</cp:revision>
  <dcterms:created xsi:type="dcterms:W3CDTF">2013-10-11T19:04:00Z</dcterms:created>
  <dcterms:modified xsi:type="dcterms:W3CDTF">2013-10-11T19:04:00Z</dcterms:modified>
</cp:coreProperties>
</file>