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55EFB87" w14:textId="3AD6BDBE" w:rsidR="00EE2D7F" w:rsidRPr="00905846" w:rsidRDefault="00DB34E0" w:rsidP="00EE2D7F">
      <w:pPr>
        <w:rPr>
          <w:sz w:val="22"/>
          <w:szCs w:val="22"/>
        </w:rPr>
      </w:pPr>
      <w:r w:rsidRPr="00905846">
        <w:rPr>
          <w:sz w:val="22"/>
          <w:szCs w:val="22"/>
        </w:rPr>
        <w:t xml:space="preserve">May </w:t>
      </w:r>
      <w:r w:rsidR="00C47537">
        <w:rPr>
          <w:sz w:val="22"/>
          <w:szCs w:val="22"/>
        </w:rPr>
        <w:t>15</w:t>
      </w:r>
      <w:r w:rsidR="006F71C3" w:rsidRPr="00905846">
        <w:rPr>
          <w:sz w:val="22"/>
          <w:szCs w:val="22"/>
        </w:rPr>
        <w:t>, 2015</w:t>
      </w:r>
    </w:p>
    <w:p w14:paraId="77E42442" w14:textId="77777777" w:rsidR="001B30AA" w:rsidRPr="00905846" w:rsidRDefault="001B30AA" w:rsidP="00EE2D7F">
      <w:pPr>
        <w:rPr>
          <w:sz w:val="22"/>
          <w:szCs w:val="22"/>
        </w:rPr>
        <w:sectPr w:rsidR="001B30AA" w:rsidRPr="00905846" w:rsidSect="001B30AA">
          <w:headerReference w:type="default" r:id="rId9"/>
          <w:footerReference w:type="default" r:id="rId10"/>
          <w:headerReference w:type="first" r:id="rId11"/>
          <w:footerReference w:type="first" r:id="rId12"/>
          <w:pgSz w:w="12240" w:h="15840" w:code="1"/>
          <w:pgMar w:top="2160" w:right="1800" w:bottom="2160" w:left="1800" w:header="1080" w:footer="907" w:gutter="0"/>
          <w:cols w:space="720"/>
          <w:titlePg/>
        </w:sectPr>
      </w:pPr>
    </w:p>
    <w:p w14:paraId="2EA24A28" w14:textId="77777777" w:rsidR="00535A21" w:rsidRPr="00905846" w:rsidRDefault="00535A21" w:rsidP="00EE2D7F">
      <w:pPr>
        <w:rPr>
          <w:sz w:val="22"/>
          <w:szCs w:val="22"/>
        </w:rPr>
        <w:sectPr w:rsidR="00535A21" w:rsidRPr="00905846" w:rsidSect="001B30AA">
          <w:type w:val="continuous"/>
          <w:pgSz w:w="12240" w:h="15840" w:code="1"/>
          <w:pgMar w:top="1440" w:right="1800" w:bottom="1440" w:left="1800" w:header="1080" w:footer="907" w:gutter="0"/>
          <w:cols w:space="720"/>
          <w:titlePg/>
        </w:sectPr>
      </w:pPr>
    </w:p>
    <w:p w14:paraId="45B72576" w14:textId="77777777" w:rsidR="00EE2D7F" w:rsidRPr="00905846" w:rsidRDefault="004265BE" w:rsidP="00EF224F">
      <w:pPr>
        <w:rPr>
          <w:b/>
          <w:sz w:val="22"/>
          <w:szCs w:val="22"/>
        </w:rPr>
      </w:pPr>
      <w:r w:rsidRPr="00905846">
        <w:rPr>
          <w:b/>
          <w:sz w:val="22"/>
          <w:szCs w:val="22"/>
        </w:rPr>
        <w:lastRenderedPageBreak/>
        <w:t>TO:</w:t>
      </w:r>
      <w:r w:rsidRPr="00905846">
        <w:rPr>
          <w:b/>
          <w:sz w:val="22"/>
          <w:szCs w:val="22"/>
        </w:rPr>
        <w:tab/>
      </w:r>
      <w:r w:rsidRPr="00905846">
        <w:rPr>
          <w:b/>
          <w:sz w:val="22"/>
          <w:szCs w:val="22"/>
        </w:rPr>
        <w:tab/>
      </w:r>
      <w:r w:rsidR="006F71C3" w:rsidRPr="00905846">
        <w:rPr>
          <w:b/>
          <w:sz w:val="22"/>
          <w:szCs w:val="22"/>
        </w:rPr>
        <w:t xml:space="preserve">CAS Department </w:t>
      </w:r>
      <w:r w:rsidR="00D8519B" w:rsidRPr="00905846">
        <w:rPr>
          <w:b/>
          <w:sz w:val="22"/>
          <w:szCs w:val="22"/>
        </w:rPr>
        <w:t xml:space="preserve">and Program </w:t>
      </w:r>
      <w:r w:rsidR="006F71C3" w:rsidRPr="00905846">
        <w:rPr>
          <w:b/>
          <w:sz w:val="22"/>
          <w:szCs w:val="22"/>
        </w:rPr>
        <w:t>Heads</w:t>
      </w:r>
    </w:p>
    <w:p w14:paraId="1E24E973" w14:textId="102E95D2" w:rsidR="004265BE" w:rsidRPr="00905846" w:rsidRDefault="004265BE" w:rsidP="00EF224F">
      <w:pPr>
        <w:rPr>
          <w:b/>
          <w:sz w:val="22"/>
          <w:szCs w:val="22"/>
        </w:rPr>
      </w:pPr>
      <w:r w:rsidRPr="00905846">
        <w:rPr>
          <w:b/>
          <w:sz w:val="22"/>
          <w:szCs w:val="22"/>
        </w:rPr>
        <w:t>FROM:</w:t>
      </w:r>
      <w:r w:rsidR="00905846">
        <w:rPr>
          <w:b/>
          <w:sz w:val="22"/>
          <w:szCs w:val="22"/>
        </w:rPr>
        <w:tab/>
      </w:r>
      <w:r w:rsidRPr="00905846">
        <w:rPr>
          <w:b/>
          <w:sz w:val="22"/>
          <w:szCs w:val="22"/>
        </w:rPr>
        <w:tab/>
      </w:r>
      <w:r w:rsidR="006F71C3" w:rsidRPr="00905846">
        <w:rPr>
          <w:b/>
          <w:sz w:val="22"/>
          <w:szCs w:val="22"/>
        </w:rPr>
        <w:t>W. Andrew Marcus, Interim Tykeson Dean</w:t>
      </w:r>
    </w:p>
    <w:p w14:paraId="091CA27E" w14:textId="77777777" w:rsidR="004265BE" w:rsidRPr="00905846" w:rsidRDefault="004265BE" w:rsidP="00EF224F">
      <w:pPr>
        <w:rPr>
          <w:sz w:val="22"/>
          <w:szCs w:val="22"/>
        </w:rPr>
      </w:pPr>
      <w:r w:rsidRPr="00905846">
        <w:rPr>
          <w:b/>
          <w:sz w:val="22"/>
          <w:szCs w:val="22"/>
        </w:rPr>
        <w:t>RE:</w:t>
      </w:r>
      <w:r w:rsidRPr="00905846">
        <w:rPr>
          <w:b/>
          <w:sz w:val="22"/>
          <w:szCs w:val="22"/>
        </w:rPr>
        <w:tab/>
      </w:r>
      <w:r w:rsidRPr="00905846">
        <w:rPr>
          <w:b/>
          <w:sz w:val="22"/>
          <w:szCs w:val="22"/>
        </w:rPr>
        <w:tab/>
      </w:r>
      <w:r w:rsidR="00233BD9" w:rsidRPr="00905846">
        <w:rPr>
          <w:b/>
          <w:sz w:val="22"/>
          <w:szCs w:val="22"/>
        </w:rPr>
        <w:t>Input on p</w:t>
      </w:r>
      <w:r w:rsidR="006F71C3" w:rsidRPr="00905846">
        <w:rPr>
          <w:b/>
          <w:sz w:val="22"/>
          <w:szCs w:val="22"/>
        </w:rPr>
        <w:t>rofessional responsibilities policies</w:t>
      </w:r>
      <w:r w:rsidR="00233BD9" w:rsidRPr="00905846">
        <w:rPr>
          <w:b/>
          <w:sz w:val="22"/>
          <w:szCs w:val="22"/>
        </w:rPr>
        <w:t xml:space="preserve"> for TTF</w:t>
      </w:r>
    </w:p>
    <w:p w14:paraId="2A927AB7" w14:textId="77777777" w:rsidR="006F71C3" w:rsidRPr="00905846" w:rsidRDefault="006F71C3" w:rsidP="00EF224F">
      <w:pPr>
        <w:rPr>
          <w:sz w:val="22"/>
          <w:szCs w:val="22"/>
        </w:rPr>
      </w:pPr>
    </w:p>
    <w:p w14:paraId="3B1C9277" w14:textId="510A83E8" w:rsidR="00F852EF" w:rsidRPr="00905846" w:rsidRDefault="006F71C3" w:rsidP="00EF224F">
      <w:pPr>
        <w:rPr>
          <w:sz w:val="22"/>
          <w:szCs w:val="22"/>
        </w:rPr>
      </w:pPr>
      <w:r w:rsidRPr="00905846">
        <w:rPr>
          <w:sz w:val="22"/>
          <w:szCs w:val="22"/>
        </w:rPr>
        <w:t xml:space="preserve">Please share this memorandum </w:t>
      </w:r>
      <w:r w:rsidR="00233BD9" w:rsidRPr="00905846">
        <w:rPr>
          <w:sz w:val="22"/>
          <w:szCs w:val="22"/>
        </w:rPr>
        <w:t xml:space="preserve">and the attached TTF policy template with your faculty. They are intended as input from the Dean’s Office to initiate the faculty-led process of developing </w:t>
      </w:r>
      <w:r w:rsidR="006D51C6" w:rsidRPr="00905846">
        <w:rPr>
          <w:sz w:val="22"/>
          <w:szCs w:val="22"/>
        </w:rPr>
        <w:t xml:space="preserve">TTF </w:t>
      </w:r>
      <w:r w:rsidR="00233BD9" w:rsidRPr="00905846">
        <w:rPr>
          <w:sz w:val="22"/>
          <w:szCs w:val="22"/>
        </w:rPr>
        <w:t>professional responsibilities policies.</w:t>
      </w:r>
      <w:r w:rsidR="00F852EF" w:rsidRPr="00905846">
        <w:rPr>
          <w:sz w:val="22"/>
          <w:szCs w:val="22"/>
        </w:rPr>
        <w:t xml:space="preserve"> We have conferred extensively with Academic Affairs and the leadership of United Academics in developing th</w:t>
      </w:r>
      <w:r w:rsidR="00643B03" w:rsidRPr="00905846">
        <w:rPr>
          <w:sz w:val="22"/>
          <w:szCs w:val="22"/>
        </w:rPr>
        <w:t>ese materials</w:t>
      </w:r>
      <w:r w:rsidR="00F852EF" w:rsidRPr="00905846">
        <w:rPr>
          <w:sz w:val="22"/>
          <w:szCs w:val="22"/>
        </w:rPr>
        <w:t xml:space="preserve">. </w:t>
      </w:r>
      <w:r w:rsidR="00643B03" w:rsidRPr="00905846">
        <w:rPr>
          <w:sz w:val="22"/>
          <w:szCs w:val="22"/>
        </w:rPr>
        <w:t>While the content remains my responsibility, I believe these conversations have significantly improved th</w:t>
      </w:r>
      <w:r w:rsidR="002B7878" w:rsidRPr="00905846">
        <w:rPr>
          <w:sz w:val="22"/>
          <w:szCs w:val="22"/>
        </w:rPr>
        <w:t>is cover</w:t>
      </w:r>
      <w:r w:rsidR="00643B03" w:rsidRPr="00905846">
        <w:rPr>
          <w:sz w:val="22"/>
          <w:szCs w:val="22"/>
        </w:rPr>
        <w:t xml:space="preserve"> memo and </w:t>
      </w:r>
      <w:r w:rsidR="00B75667" w:rsidRPr="00905846">
        <w:rPr>
          <w:sz w:val="22"/>
          <w:szCs w:val="22"/>
        </w:rPr>
        <w:t xml:space="preserve">the </w:t>
      </w:r>
      <w:r w:rsidR="00643B03" w:rsidRPr="00905846">
        <w:rPr>
          <w:sz w:val="22"/>
          <w:szCs w:val="22"/>
        </w:rPr>
        <w:t>template.</w:t>
      </w:r>
    </w:p>
    <w:p w14:paraId="7222BC50" w14:textId="77777777" w:rsidR="00F852EF" w:rsidRPr="00905846" w:rsidRDefault="00F852EF" w:rsidP="00EF224F">
      <w:pPr>
        <w:rPr>
          <w:sz w:val="22"/>
          <w:szCs w:val="22"/>
        </w:rPr>
      </w:pPr>
    </w:p>
    <w:p w14:paraId="507A8822" w14:textId="42EFED97" w:rsidR="00233BD9" w:rsidRPr="00905846" w:rsidRDefault="00541E55" w:rsidP="00EF224F">
      <w:pPr>
        <w:rPr>
          <w:b/>
          <w:sz w:val="22"/>
          <w:szCs w:val="22"/>
        </w:rPr>
      </w:pPr>
      <w:r w:rsidRPr="00905846">
        <w:rPr>
          <w:b/>
          <w:sz w:val="22"/>
          <w:szCs w:val="22"/>
        </w:rPr>
        <w:t>If possible</w:t>
      </w:r>
      <w:r w:rsidRPr="00905846">
        <w:rPr>
          <w:sz w:val="22"/>
          <w:szCs w:val="22"/>
        </w:rPr>
        <w:t xml:space="preserve">, </w:t>
      </w:r>
      <w:r w:rsidRPr="00905846">
        <w:rPr>
          <w:b/>
          <w:sz w:val="22"/>
          <w:szCs w:val="22"/>
        </w:rPr>
        <w:t>y</w:t>
      </w:r>
      <w:r w:rsidR="007C4616" w:rsidRPr="00905846">
        <w:rPr>
          <w:b/>
          <w:sz w:val="22"/>
          <w:szCs w:val="22"/>
        </w:rPr>
        <w:t xml:space="preserve">our department’s policy should be sent </w:t>
      </w:r>
      <w:r w:rsidR="00233BD9" w:rsidRPr="00905846">
        <w:rPr>
          <w:b/>
          <w:sz w:val="22"/>
          <w:szCs w:val="22"/>
        </w:rPr>
        <w:t xml:space="preserve">to </w:t>
      </w:r>
      <w:r w:rsidR="009C76C6" w:rsidRPr="00905846">
        <w:rPr>
          <w:b/>
          <w:sz w:val="22"/>
          <w:szCs w:val="22"/>
        </w:rPr>
        <w:t xml:space="preserve">your </w:t>
      </w:r>
      <w:r w:rsidR="00643B03" w:rsidRPr="00905846">
        <w:rPr>
          <w:b/>
          <w:sz w:val="22"/>
          <w:szCs w:val="22"/>
        </w:rPr>
        <w:t xml:space="preserve">divisional </w:t>
      </w:r>
      <w:r w:rsidR="009C76C6" w:rsidRPr="00905846">
        <w:rPr>
          <w:b/>
          <w:sz w:val="22"/>
          <w:szCs w:val="22"/>
        </w:rPr>
        <w:t xml:space="preserve">associate dean </w:t>
      </w:r>
      <w:r w:rsidR="00233BD9" w:rsidRPr="00905846">
        <w:rPr>
          <w:b/>
          <w:sz w:val="22"/>
          <w:szCs w:val="22"/>
        </w:rPr>
        <w:t xml:space="preserve">by </w:t>
      </w:r>
      <w:r w:rsidR="00CC2AAE" w:rsidRPr="00905846">
        <w:rPr>
          <w:b/>
          <w:sz w:val="22"/>
          <w:szCs w:val="22"/>
        </w:rPr>
        <w:t>Monday</w:t>
      </w:r>
      <w:r w:rsidR="00653FEA" w:rsidRPr="00905846">
        <w:rPr>
          <w:b/>
          <w:sz w:val="22"/>
          <w:szCs w:val="22"/>
        </w:rPr>
        <w:t xml:space="preserve">, </w:t>
      </w:r>
      <w:r w:rsidR="00DB34E0" w:rsidRPr="00905846">
        <w:rPr>
          <w:b/>
          <w:sz w:val="22"/>
          <w:szCs w:val="22"/>
        </w:rPr>
        <w:t xml:space="preserve">June </w:t>
      </w:r>
      <w:r w:rsidRPr="00905846">
        <w:rPr>
          <w:b/>
          <w:sz w:val="22"/>
          <w:szCs w:val="22"/>
        </w:rPr>
        <w:t>15</w:t>
      </w:r>
      <w:r w:rsidR="00643B03" w:rsidRPr="00905846">
        <w:rPr>
          <w:b/>
          <w:sz w:val="22"/>
          <w:szCs w:val="22"/>
        </w:rPr>
        <w:t xml:space="preserve">.  However, in acknowledgement of the tremendous work load </w:t>
      </w:r>
      <w:r w:rsidR="00B75667" w:rsidRPr="00905846">
        <w:rPr>
          <w:b/>
          <w:sz w:val="22"/>
          <w:szCs w:val="22"/>
        </w:rPr>
        <w:t>departments are</w:t>
      </w:r>
      <w:r w:rsidR="00643B03" w:rsidRPr="00905846">
        <w:rPr>
          <w:b/>
          <w:sz w:val="22"/>
          <w:szCs w:val="22"/>
        </w:rPr>
        <w:t xml:space="preserve"> experiencing this year, we will accept </w:t>
      </w:r>
      <w:r w:rsidRPr="00905846">
        <w:rPr>
          <w:b/>
          <w:sz w:val="22"/>
          <w:szCs w:val="22"/>
        </w:rPr>
        <w:t xml:space="preserve">policies </w:t>
      </w:r>
      <w:r w:rsidR="00643B03" w:rsidRPr="00905846">
        <w:rPr>
          <w:b/>
          <w:sz w:val="22"/>
          <w:szCs w:val="22"/>
        </w:rPr>
        <w:t>through M</w:t>
      </w:r>
      <w:r w:rsidRPr="00905846">
        <w:rPr>
          <w:b/>
          <w:sz w:val="22"/>
          <w:szCs w:val="22"/>
        </w:rPr>
        <w:t>onday, October 12</w:t>
      </w:r>
      <w:r w:rsidR="00233BD9" w:rsidRPr="00905846">
        <w:rPr>
          <w:b/>
          <w:sz w:val="22"/>
          <w:szCs w:val="22"/>
        </w:rPr>
        <w:t>.</w:t>
      </w:r>
    </w:p>
    <w:p w14:paraId="07C56F66" w14:textId="77777777" w:rsidR="00233BD9" w:rsidRPr="00905846" w:rsidRDefault="00233BD9" w:rsidP="00EF224F">
      <w:pPr>
        <w:rPr>
          <w:sz w:val="22"/>
          <w:szCs w:val="22"/>
        </w:rPr>
      </w:pPr>
    </w:p>
    <w:p w14:paraId="3C4F56E0" w14:textId="2C10A5D8" w:rsidR="00C85141" w:rsidRPr="00905846" w:rsidRDefault="00BC0BF7" w:rsidP="006F71C3">
      <w:pPr>
        <w:rPr>
          <w:sz w:val="22"/>
          <w:szCs w:val="22"/>
        </w:rPr>
      </w:pPr>
      <w:r w:rsidRPr="00905846">
        <w:rPr>
          <w:b/>
          <w:sz w:val="22"/>
          <w:szCs w:val="22"/>
        </w:rPr>
        <w:t>It is the intent of the C</w:t>
      </w:r>
      <w:r w:rsidR="00541E55" w:rsidRPr="00905846">
        <w:rPr>
          <w:b/>
          <w:sz w:val="22"/>
          <w:szCs w:val="22"/>
        </w:rPr>
        <w:t>ollege to honor existing practice</w:t>
      </w:r>
      <w:r w:rsidR="00B1018E" w:rsidRPr="00905846">
        <w:rPr>
          <w:b/>
          <w:sz w:val="22"/>
          <w:szCs w:val="22"/>
        </w:rPr>
        <w:t xml:space="preserve"> and </w:t>
      </w:r>
      <w:r w:rsidR="00031B83" w:rsidRPr="00905846">
        <w:rPr>
          <w:b/>
          <w:sz w:val="22"/>
          <w:szCs w:val="22"/>
        </w:rPr>
        <w:t xml:space="preserve">maintain </w:t>
      </w:r>
      <w:r w:rsidR="00B1018E" w:rsidRPr="00905846">
        <w:rPr>
          <w:b/>
          <w:sz w:val="22"/>
          <w:szCs w:val="22"/>
        </w:rPr>
        <w:t xml:space="preserve">the flexibility and autonomy that TTF enjoy; much </w:t>
      </w:r>
      <w:r w:rsidR="005A77D3" w:rsidRPr="00905846">
        <w:rPr>
          <w:b/>
          <w:sz w:val="22"/>
          <w:szCs w:val="22"/>
        </w:rPr>
        <w:t xml:space="preserve">of </w:t>
      </w:r>
      <w:r w:rsidR="00194513" w:rsidRPr="00905846">
        <w:rPr>
          <w:b/>
          <w:sz w:val="22"/>
          <w:szCs w:val="22"/>
        </w:rPr>
        <w:t xml:space="preserve">the template </w:t>
      </w:r>
      <w:r w:rsidR="005A77D3" w:rsidRPr="00905846">
        <w:rPr>
          <w:b/>
          <w:sz w:val="22"/>
          <w:szCs w:val="22"/>
        </w:rPr>
        <w:t xml:space="preserve">is designed </w:t>
      </w:r>
      <w:r w:rsidR="00541E55" w:rsidRPr="00905846">
        <w:rPr>
          <w:b/>
          <w:sz w:val="22"/>
          <w:szCs w:val="22"/>
        </w:rPr>
        <w:t xml:space="preserve">with that </w:t>
      </w:r>
      <w:r w:rsidRPr="00905846">
        <w:rPr>
          <w:b/>
          <w:sz w:val="22"/>
          <w:szCs w:val="22"/>
        </w:rPr>
        <w:t xml:space="preserve">goal </w:t>
      </w:r>
      <w:r w:rsidR="00541E55" w:rsidRPr="00905846">
        <w:rPr>
          <w:b/>
          <w:sz w:val="22"/>
          <w:szCs w:val="22"/>
        </w:rPr>
        <w:t>in mind</w:t>
      </w:r>
      <w:r w:rsidRPr="00905846">
        <w:rPr>
          <w:sz w:val="22"/>
          <w:szCs w:val="22"/>
        </w:rPr>
        <w:t xml:space="preserve">. </w:t>
      </w:r>
      <w:r w:rsidR="00B1018E" w:rsidRPr="00905846">
        <w:rPr>
          <w:sz w:val="22"/>
          <w:szCs w:val="22"/>
        </w:rPr>
        <w:t xml:space="preserve">It is our hope that </w:t>
      </w:r>
      <w:r w:rsidR="007A173F" w:rsidRPr="00905846">
        <w:rPr>
          <w:sz w:val="22"/>
          <w:szCs w:val="22"/>
        </w:rPr>
        <w:t>much of</w:t>
      </w:r>
      <w:r w:rsidR="00B1018E" w:rsidRPr="00905846">
        <w:rPr>
          <w:sz w:val="22"/>
          <w:szCs w:val="22"/>
        </w:rPr>
        <w:t xml:space="preserve"> the template provide</w:t>
      </w:r>
      <w:r w:rsidR="007A173F" w:rsidRPr="00905846">
        <w:rPr>
          <w:sz w:val="22"/>
          <w:szCs w:val="22"/>
        </w:rPr>
        <w:t>s</w:t>
      </w:r>
      <w:r w:rsidR="00B1018E" w:rsidRPr="00905846">
        <w:rPr>
          <w:sz w:val="22"/>
          <w:szCs w:val="22"/>
        </w:rPr>
        <w:t xml:space="preserve"> language</w:t>
      </w:r>
      <w:r w:rsidR="007A173F" w:rsidRPr="00905846">
        <w:rPr>
          <w:sz w:val="22"/>
          <w:szCs w:val="22"/>
        </w:rPr>
        <w:t xml:space="preserve"> </w:t>
      </w:r>
      <w:r w:rsidR="00B1018E" w:rsidRPr="00905846">
        <w:rPr>
          <w:sz w:val="22"/>
          <w:szCs w:val="22"/>
        </w:rPr>
        <w:t>that departments can adopt with few changes</w:t>
      </w:r>
      <w:r w:rsidR="007A173F" w:rsidRPr="00905846">
        <w:rPr>
          <w:sz w:val="22"/>
          <w:szCs w:val="22"/>
        </w:rPr>
        <w:t xml:space="preserve">, thus facilitating development of </w:t>
      </w:r>
      <w:r w:rsidRPr="00905846">
        <w:rPr>
          <w:sz w:val="22"/>
          <w:szCs w:val="22"/>
        </w:rPr>
        <w:t xml:space="preserve">department policy. </w:t>
      </w:r>
      <w:r w:rsidR="00F852EF" w:rsidRPr="00905846">
        <w:rPr>
          <w:sz w:val="22"/>
          <w:szCs w:val="22"/>
        </w:rPr>
        <w:t>W</w:t>
      </w:r>
      <w:r w:rsidR="00B1018E" w:rsidRPr="00905846">
        <w:rPr>
          <w:sz w:val="22"/>
          <w:szCs w:val="22"/>
        </w:rPr>
        <w:t xml:space="preserve">e have highlighted </w:t>
      </w:r>
      <w:r w:rsidR="00C85141" w:rsidRPr="00905846">
        <w:rPr>
          <w:sz w:val="22"/>
          <w:szCs w:val="22"/>
        </w:rPr>
        <w:t>several sections</w:t>
      </w:r>
      <w:r w:rsidR="00D00BD6" w:rsidRPr="00905846">
        <w:rPr>
          <w:sz w:val="22"/>
          <w:szCs w:val="22"/>
        </w:rPr>
        <w:t xml:space="preserve"> (e.g. advising and service</w:t>
      </w:r>
      <w:r w:rsidR="00497D7F" w:rsidRPr="00905846">
        <w:rPr>
          <w:sz w:val="22"/>
          <w:szCs w:val="22"/>
        </w:rPr>
        <w:t xml:space="preserve"> expectations</w:t>
      </w:r>
      <w:r w:rsidR="00D00BD6" w:rsidRPr="00905846">
        <w:rPr>
          <w:sz w:val="22"/>
          <w:szCs w:val="22"/>
        </w:rPr>
        <w:t>)</w:t>
      </w:r>
      <w:r w:rsidR="00C85141" w:rsidRPr="00905846">
        <w:rPr>
          <w:sz w:val="22"/>
          <w:szCs w:val="22"/>
        </w:rPr>
        <w:t xml:space="preserve">, </w:t>
      </w:r>
      <w:r w:rsidR="00F852EF" w:rsidRPr="00905846">
        <w:rPr>
          <w:sz w:val="22"/>
          <w:szCs w:val="22"/>
        </w:rPr>
        <w:t>however, w</w:t>
      </w:r>
      <w:r w:rsidR="00B1018E" w:rsidRPr="00905846">
        <w:rPr>
          <w:sz w:val="22"/>
          <w:szCs w:val="22"/>
        </w:rPr>
        <w:t>here we believe local practice</w:t>
      </w:r>
      <w:r w:rsidR="00F852EF" w:rsidRPr="00905846">
        <w:rPr>
          <w:sz w:val="22"/>
          <w:szCs w:val="22"/>
        </w:rPr>
        <w:t xml:space="preserve">s </w:t>
      </w:r>
      <w:r w:rsidR="00B1018E" w:rsidRPr="00905846">
        <w:rPr>
          <w:sz w:val="22"/>
          <w:szCs w:val="22"/>
        </w:rPr>
        <w:t>var</w:t>
      </w:r>
      <w:r w:rsidR="00F852EF" w:rsidRPr="00905846">
        <w:rPr>
          <w:sz w:val="22"/>
          <w:szCs w:val="22"/>
        </w:rPr>
        <w:t>y</w:t>
      </w:r>
      <w:r w:rsidR="00B1018E" w:rsidRPr="00905846">
        <w:rPr>
          <w:sz w:val="22"/>
          <w:szCs w:val="22"/>
        </w:rPr>
        <w:t xml:space="preserve"> widely and </w:t>
      </w:r>
      <w:r w:rsidR="00C85141" w:rsidRPr="00905846">
        <w:rPr>
          <w:sz w:val="22"/>
          <w:szCs w:val="22"/>
        </w:rPr>
        <w:t xml:space="preserve">departments </w:t>
      </w:r>
      <w:r w:rsidR="00B1018E" w:rsidRPr="00905846">
        <w:rPr>
          <w:sz w:val="22"/>
          <w:szCs w:val="22"/>
        </w:rPr>
        <w:t xml:space="preserve">are likely </w:t>
      </w:r>
      <w:r w:rsidR="00C85141" w:rsidRPr="00905846">
        <w:rPr>
          <w:sz w:val="22"/>
          <w:szCs w:val="22"/>
        </w:rPr>
        <w:t xml:space="preserve">to </w:t>
      </w:r>
      <w:r w:rsidR="00A6306F" w:rsidRPr="00905846">
        <w:rPr>
          <w:sz w:val="22"/>
          <w:szCs w:val="22"/>
        </w:rPr>
        <w:t>make modifications</w:t>
      </w:r>
      <w:r w:rsidRPr="00905846">
        <w:rPr>
          <w:sz w:val="22"/>
          <w:szCs w:val="22"/>
        </w:rPr>
        <w:t>.</w:t>
      </w:r>
      <w:r w:rsidR="007A173F" w:rsidRPr="00905846">
        <w:rPr>
          <w:sz w:val="22"/>
          <w:szCs w:val="22"/>
        </w:rPr>
        <w:t xml:space="preserve"> </w:t>
      </w:r>
      <w:r w:rsidR="00F852EF" w:rsidRPr="00905846">
        <w:rPr>
          <w:sz w:val="22"/>
          <w:szCs w:val="22"/>
        </w:rPr>
        <w:t>In addition, t</w:t>
      </w:r>
      <w:r w:rsidR="007A173F" w:rsidRPr="00905846">
        <w:rPr>
          <w:sz w:val="22"/>
          <w:szCs w:val="22"/>
        </w:rPr>
        <w:t xml:space="preserve">here may be some workload issues, especially around course releases, that </w:t>
      </w:r>
      <w:r w:rsidR="00031B83" w:rsidRPr="00905846">
        <w:rPr>
          <w:sz w:val="22"/>
          <w:szCs w:val="22"/>
        </w:rPr>
        <w:t xml:space="preserve">will </w:t>
      </w:r>
      <w:r w:rsidR="007A173F" w:rsidRPr="00905846">
        <w:rPr>
          <w:sz w:val="22"/>
          <w:szCs w:val="22"/>
        </w:rPr>
        <w:t>require fo</w:t>
      </w:r>
      <w:r w:rsidRPr="00905846">
        <w:rPr>
          <w:sz w:val="22"/>
          <w:szCs w:val="22"/>
        </w:rPr>
        <w:t>llow-up conversations with the Dean’s O</w:t>
      </w:r>
      <w:r w:rsidR="007A173F" w:rsidRPr="00905846">
        <w:rPr>
          <w:sz w:val="22"/>
          <w:szCs w:val="22"/>
        </w:rPr>
        <w:t xml:space="preserve">ffice.   </w:t>
      </w:r>
    </w:p>
    <w:p w14:paraId="4AC49967" w14:textId="77777777" w:rsidR="00C85141" w:rsidRPr="00905846" w:rsidRDefault="00C85141" w:rsidP="006F71C3">
      <w:pPr>
        <w:rPr>
          <w:sz w:val="22"/>
          <w:szCs w:val="22"/>
        </w:rPr>
      </w:pPr>
    </w:p>
    <w:p w14:paraId="733DEFF0" w14:textId="52E54A46" w:rsidR="005A77D3" w:rsidRPr="00905846" w:rsidRDefault="006B5AC4" w:rsidP="006F71C3">
      <w:pPr>
        <w:rPr>
          <w:sz w:val="22"/>
          <w:szCs w:val="22"/>
        </w:rPr>
      </w:pPr>
      <w:r w:rsidRPr="00905846">
        <w:rPr>
          <w:sz w:val="22"/>
          <w:szCs w:val="22"/>
        </w:rPr>
        <w:t xml:space="preserve">Three </w:t>
      </w:r>
      <w:r w:rsidR="00C85141" w:rsidRPr="00905846">
        <w:rPr>
          <w:sz w:val="22"/>
          <w:szCs w:val="22"/>
        </w:rPr>
        <w:t xml:space="preserve">specific areas </w:t>
      </w:r>
      <w:r w:rsidR="00DB6746" w:rsidRPr="00905846">
        <w:rPr>
          <w:sz w:val="22"/>
          <w:szCs w:val="22"/>
        </w:rPr>
        <w:t xml:space="preserve">may </w:t>
      </w:r>
      <w:r w:rsidR="00C85141" w:rsidRPr="00905846">
        <w:rPr>
          <w:sz w:val="22"/>
          <w:szCs w:val="22"/>
        </w:rPr>
        <w:t xml:space="preserve">require </w:t>
      </w:r>
      <w:r w:rsidR="00784691" w:rsidRPr="00905846">
        <w:rPr>
          <w:sz w:val="22"/>
          <w:szCs w:val="22"/>
        </w:rPr>
        <w:t xml:space="preserve">particular </w:t>
      </w:r>
      <w:r w:rsidR="00C85141" w:rsidRPr="00905846">
        <w:rPr>
          <w:sz w:val="22"/>
          <w:szCs w:val="22"/>
        </w:rPr>
        <w:t xml:space="preserve">departmental </w:t>
      </w:r>
      <w:r w:rsidR="00784691" w:rsidRPr="00905846">
        <w:rPr>
          <w:sz w:val="22"/>
          <w:szCs w:val="22"/>
        </w:rPr>
        <w:t>focus</w:t>
      </w:r>
      <w:r w:rsidR="00C85141" w:rsidRPr="00905846">
        <w:rPr>
          <w:sz w:val="22"/>
          <w:szCs w:val="22"/>
        </w:rPr>
        <w:t>:</w:t>
      </w:r>
    </w:p>
    <w:p w14:paraId="2A2ABD21" w14:textId="77777777" w:rsidR="005A77D3" w:rsidRPr="00905846" w:rsidRDefault="005A77D3" w:rsidP="006F71C3">
      <w:pPr>
        <w:rPr>
          <w:sz w:val="22"/>
          <w:szCs w:val="22"/>
        </w:rPr>
      </w:pPr>
    </w:p>
    <w:p w14:paraId="21139CFE" w14:textId="15B7203F" w:rsidR="006B5AC4" w:rsidRPr="00905846" w:rsidRDefault="006B5AC4" w:rsidP="006B5AC4">
      <w:pPr>
        <w:numPr>
          <w:ilvl w:val="0"/>
          <w:numId w:val="11"/>
        </w:numPr>
        <w:rPr>
          <w:b/>
          <w:sz w:val="22"/>
          <w:szCs w:val="22"/>
        </w:rPr>
      </w:pPr>
      <w:r w:rsidRPr="00905846">
        <w:rPr>
          <w:b/>
          <w:sz w:val="22"/>
          <w:szCs w:val="22"/>
        </w:rPr>
        <w:t xml:space="preserve">Section II.B.1  Standard course load.  </w:t>
      </w:r>
      <w:r w:rsidRPr="00905846">
        <w:rPr>
          <w:sz w:val="22"/>
          <w:szCs w:val="22"/>
        </w:rPr>
        <w:t xml:space="preserve">In this section we ask that faculty state the current TTF course load in their department.  CAS will compare standard TTF course loads in each department to practices documented in 2007 and 2014 surveys </w:t>
      </w:r>
      <w:r w:rsidR="000F19BD" w:rsidRPr="00905846">
        <w:rPr>
          <w:sz w:val="22"/>
          <w:szCs w:val="22"/>
        </w:rPr>
        <w:t>and</w:t>
      </w:r>
      <w:r w:rsidRPr="00905846">
        <w:rPr>
          <w:sz w:val="22"/>
          <w:szCs w:val="22"/>
        </w:rPr>
        <w:t xml:space="preserve"> our own follow-up studies.</w:t>
      </w:r>
    </w:p>
    <w:p w14:paraId="7FC87718" w14:textId="77777777" w:rsidR="006B5AC4" w:rsidRPr="00905846" w:rsidRDefault="006B5AC4" w:rsidP="006B5AC4">
      <w:pPr>
        <w:ind w:left="720"/>
        <w:rPr>
          <w:b/>
          <w:sz w:val="22"/>
          <w:szCs w:val="22"/>
        </w:rPr>
      </w:pPr>
    </w:p>
    <w:p w14:paraId="44A6670A" w14:textId="6013DC66" w:rsidR="00D00BD6" w:rsidRPr="00905846" w:rsidRDefault="005A77D3" w:rsidP="00233BD9">
      <w:pPr>
        <w:numPr>
          <w:ilvl w:val="0"/>
          <w:numId w:val="11"/>
        </w:numPr>
        <w:rPr>
          <w:sz w:val="22"/>
          <w:szCs w:val="22"/>
        </w:rPr>
      </w:pPr>
      <w:r w:rsidRPr="00905846">
        <w:rPr>
          <w:b/>
          <w:sz w:val="22"/>
          <w:szCs w:val="22"/>
        </w:rPr>
        <w:t xml:space="preserve">Section II.B.5: Course load </w:t>
      </w:r>
      <w:r w:rsidR="00E05E4C" w:rsidRPr="00905846">
        <w:rPr>
          <w:b/>
          <w:sz w:val="22"/>
          <w:szCs w:val="22"/>
        </w:rPr>
        <w:t>increase</w:t>
      </w:r>
      <w:r w:rsidRPr="00905846">
        <w:rPr>
          <w:b/>
          <w:sz w:val="22"/>
          <w:szCs w:val="22"/>
        </w:rPr>
        <w:t xml:space="preserve"> for research inactivity</w:t>
      </w:r>
      <w:r w:rsidR="00AE1C45" w:rsidRPr="00905846">
        <w:rPr>
          <w:b/>
          <w:sz w:val="22"/>
          <w:szCs w:val="22"/>
        </w:rPr>
        <w:t>.</w:t>
      </w:r>
      <w:r w:rsidR="00AE1C45" w:rsidRPr="00905846">
        <w:rPr>
          <w:sz w:val="22"/>
          <w:szCs w:val="22"/>
        </w:rPr>
        <w:t xml:space="preserve"> Tenured faculty members </w:t>
      </w:r>
      <w:r w:rsidR="00D00BD6" w:rsidRPr="00905846">
        <w:rPr>
          <w:sz w:val="22"/>
          <w:szCs w:val="22"/>
        </w:rPr>
        <w:t xml:space="preserve">should continue to </w:t>
      </w:r>
      <w:r w:rsidR="00A12320" w:rsidRPr="00905846">
        <w:rPr>
          <w:sz w:val="22"/>
          <w:szCs w:val="22"/>
        </w:rPr>
        <w:t xml:space="preserve">enjoy the freedom to undertake research projects that </w:t>
      </w:r>
      <w:r w:rsidR="0092457E" w:rsidRPr="00905846">
        <w:rPr>
          <w:sz w:val="22"/>
          <w:szCs w:val="22"/>
        </w:rPr>
        <w:t xml:space="preserve">may </w:t>
      </w:r>
      <w:r w:rsidR="00233BD9" w:rsidRPr="00905846">
        <w:rPr>
          <w:sz w:val="22"/>
          <w:szCs w:val="22"/>
        </w:rPr>
        <w:t xml:space="preserve">require </w:t>
      </w:r>
      <w:r w:rsidR="0092457E" w:rsidRPr="00905846">
        <w:rPr>
          <w:sz w:val="22"/>
          <w:szCs w:val="22"/>
        </w:rPr>
        <w:t>many years to complete and/or enta</w:t>
      </w:r>
      <w:r w:rsidR="00D00BD6" w:rsidRPr="00905846">
        <w:rPr>
          <w:sz w:val="22"/>
          <w:szCs w:val="22"/>
        </w:rPr>
        <w:t xml:space="preserve">il </w:t>
      </w:r>
      <w:r w:rsidR="00E05E4C" w:rsidRPr="00905846">
        <w:rPr>
          <w:sz w:val="22"/>
          <w:szCs w:val="22"/>
        </w:rPr>
        <w:t xml:space="preserve">a </w:t>
      </w:r>
      <w:r w:rsidR="00D00BD6" w:rsidRPr="00905846">
        <w:rPr>
          <w:sz w:val="22"/>
          <w:szCs w:val="22"/>
        </w:rPr>
        <w:t>considerable risk of failure</w:t>
      </w:r>
      <w:r w:rsidR="00A12320" w:rsidRPr="00905846">
        <w:rPr>
          <w:sz w:val="22"/>
          <w:szCs w:val="22"/>
        </w:rPr>
        <w:t xml:space="preserve">. But in </w:t>
      </w:r>
      <w:r w:rsidR="003819AC" w:rsidRPr="00905846">
        <w:rPr>
          <w:sz w:val="22"/>
          <w:szCs w:val="22"/>
        </w:rPr>
        <w:t xml:space="preserve">some </w:t>
      </w:r>
      <w:r w:rsidR="00A12320" w:rsidRPr="00905846">
        <w:rPr>
          <w:sz w:val="22"/>
          <w:szCs w:val="22"/>
        </w:rPr>
        <w:t xml:space="preserve">cases, </w:t>
      </w:r>
      <w:r w:rsidR="00353978" w:rsidRPr="00905846">
        <w:rPr>
          <w:sz w:val="22"/>
          <w:szCs w:val="22"/>
        </w:rPr>
        <w:t xml:space="preserve">they </w:t>
      </w:r>
      <w:r w:rsidR="00A12320" w:rsidRPr="00905846">
        <w:rPr>
          <w:sz w:val="22"/>
          <w:szCs w:val="22"/>
        </w:rPr>
        <w:t xml:space="preserve">may cease </w:t>
      </w:r>
      <w:r w:rsidR="00B6148D" w:rsidRPr="00905846">
        <w:rPr>
          <w:sz w:val="22"/>
          <w:szCs w:val="22"/>
        </w:rPr>
        <w:t>research productivity</w:t>
      </w:r>
      <w:r w:rsidR="00864ED3" w:rsidRPr="00905846">
        <w:rPr>
          <w:sz w:val="22"/>
          <w:szCs w:val="22"/>
        </w:rPr>
        <w:t xml:space="preserve"> altogether</w:t>
      </w:r>
      <w:r w:rsidR="00D00BD6" w:rsidRPr="00905846">
        <w:rPr>
          <w:sz w:val="22"/>
          <w:szCs w:val="22"/>
        </w:rPr>
        <w:t xml:space="preserve">, or persist in projects that are unlikely </w:t>
      </w:r>
      <w:r w:rsidR="00E05E4C" w:rsidRPr="00905846">
        <w:rPr>
          <w:sz w:val="22"/>
          <w:szCs w:val="22"/>
        </w:rPr>
        <w:t xml:space="preserve">ever </w:t>
      </w:r>
      <w:r w:rsidR="00D00BD6" w:rsidRPr="00905846">
        <w:rPr>
          <w:sz w:val="22"/>
          <w:szCs w:val="22"/>
        </w:rPr>
        <w:t>to come to fruition. Post-tenure reviews provide</w:t>
      </w:r>
      <w:r w:rsidR="00E05E4C" w:rsidRPr="00905846">
        <w:rPr>
          <w:sz w:val="22"/>
          <w:szCs w:val="22"/>
        </w:rPr>
        <w:t xml:space="preserve"> an occasion to </w:t>
      </w:r>
      <w:r w:rsidR="00233BD9" w:rsidRPr="00905846">
        <w:rPr>
          <w:sz w:val="22"/>
          <w:szCs w:val="22"/>
        </w:rPr>
        <w:t xml:space="preserve">demonstrate productivity towards long-term projects, </w:t>
      </w:r>
      <w:r w:rsidR="00E05E4C" w:rsidRPr="00905846">
        <w:rPr>
          <w:sz w:val="22"/>
          <w:szCs w:val="22"/>
        </w:rPr>
        <w:t xml:space="preserve">reevaluate research agendas, </w:t>
      </w:r>
      <w:r w:rsidR="00233BD9" w:rsidRPr="00905846">
        <w:rPr>
          <w:sz w:val="22"/>
          <w:szCs w:val="22"/>
        </w:rPr>
        <w:t xml:space="preserve">refocus energies, or acknowledge research inactivity. Departments should outline a policy for increasing a course load if a faculty member has been research-inactive during the review period. </w:t>
      </w:r>
      <w:r w:rsidR="00E05E4C" w:rsidRPr="00905846">
        <w:rPr>
          <w:sz w:val="22"/>
          <w:szCs w:val="22"/>
        </w:rPr>
        <w:t xml:space="preserve">We ask departments to modify </w:t>
      </w:r>
      <w:r w:rsidR="00E05E4C" w:rsidRPr="00905846">
        <w:rPr>
          <w:sz w:val="22"/>
          <w:szCs w:val="22"/>
        </w:rPr>
        <w:lastRenderedPageBreak/>
        <w:t>the language in this section, i</w:t>
      </w:r>
      <w:r w:rsidR="002C5556" w:rsidRPr="00905846">
        <w:rPr>
          <w:sz w:val="22"/>
          <w:szCs w:val="22"/>
        </w:rPr>
        <w:t>f needed, to address such cases in ways that are appropriate to the expectations of their disciplines.</w:t>
      </w:r>
    </w:p>
    <w:p w14:paraId="3ECBD27C" w14:textId="77777777" w:rsidR="00A12320" w:rsidRPr="00905846" w:rsidRDefault="00A12320" w:rsidP="00A12320">
      <w:pPr>
        <w:rPr>
          <w:sz w:val="22"/>
          <w:szCs w:val="22"/>
        </w:rPr>
      </w:pPr>
    </w:p>
    <w:p w14:paraId="2C56AF72" w14:textId="6E9CCF90" w:rsidR="000458A9" w:rsidRPr="00905846" w:rsidRDefault="00C85141" w:rsidP="00A440AC">
      <w:pPr>
        <w:numPr>
          <w:ilvl w:val="0"/>
          <w:numId w:val="11"/>
        </w:numPr>
        <w:rPr>
          <w:b/>
          <w:sz w:val="22"/>
          <w:szCs w:val="22"/>
        </w:rPr>
      </w:pPr>
      <w:r w:rsidRPr="00905846">
        <w:rPr>
          <w:b/>
          <w:sz w:val="22"/>
          <w:szCs w:val="22"/>
        </w:rPr>
        <w:t xml:space="preserve">Section IV: Course </w:t>
      </w:r>
      <w:r w:rsidR="00AE1C45" w:rsidRPr="00905846">
        <w:rPr>
          <w:b/>
          <w:sz w:val="22"/>
          <w:szCs w:val="22"/>
        </w:rPr>
        <w:t>release policy</w:t>
      </w:r>
      <w:r w:rsidR="00D00BD6" w:rsidRPr="00905846">
        <w:rPr>
          <w:b/>
          <w:sz w:val="22"/>
          <w:szCs w:val="22"/>
        </w:rPr>
        <w:t xml:space="preserve">. </w:t>
      </w:r>
      <w:r w:rsidR="000458A9" w:rsidRPr="00905846">
        <w:rPr>
          <w:sz w:val="22"/>
          <w:szCs w:val="22"/>
        </w:rPr>
        <w:t xml:space="preserve">Most departments already rely on a mixture of formal and </w:t>
      </w:r>
      <w:r w:rsidR="000458A9" w:rsidRPr="00905846">
        <w:rPr>
          <w:i/>
          <w:sz w:val="22"/>
          <w:szCs w:val="22"/>
        </w:rPr>
        <w:t>ad hoc</w:t>
      </w:r>
      <w:r w:rsidR="000458A9" w:rsidRPr="00905846">
        <w:rPr>
          <w:sz w:val="22"/>
          <w:szCs w:val="22"/>
        </w:rPr>
        <w:t xml:space="preserve"> criteria to </w:t>
      </w:r>
      <w:r w:rsidR="001B601F" w:rsidRPr="00905846">
        <w:rPr>
          <w:sz w:val="22"/>
          <w:szCs w:val="22"/>
        </w:rPr>
        <w:t xml:space="preserve">award </w:t>
      </w:r>
      <w:r w:rsidR="000458A9" w:rsidRPr="00905846">
        <w:rPr>
          <w:sz w:val="22"/>
          <w:szCs w:val="22"/>
        </w:rPr>
        <w:t>release</w:t>
      </w:r>
      <w:r w:rsidR="005F50D2" w:rsidRPr="00905846">
        <w:rPr>
          <w:sz w:val="22"/>
          <w:szCs w:val="22"/>
        </w:rPr>
        <w:t>s</w:t>
      </w:r>
      <w:r w:rsidR="00503604" w:rsidRPr="00905846">
        <w:rPr>
          <w:sz w:val="22"/>
          <w:szCs w:val="22"/>
        </w:rPr>
        <w:t xml:space="preserve"> from the department’s standard course load</w:t>
      </w:r>
      <w:r w:rsidR="00421E94" w:rsidRPr="00905846">
        <w:rPr>
          <w:sz w:val="22"/>
          <w:szCs w:val="22"/>
        </w:rPr>
        <w:t xml:space="preserve">. We are now </w:t>
      </w:r>
      <w:r w:rsidR="0074517D" w:rsidRPr="00905846">
        <w:rPr>
          <w:sz w:val="22"/>
          <w:szCs w:val="22"/>
        </w:rPr>
        <w:t xml:space="preserve">asking departments </w:t>
      </w:r>
      <w:r w:rsidR="00A440AC" w:rsidRPr="00905846">
        <w:rPr>
          <w:sz w:val="22"/>
          <w:szCs w:val="22"/>
        </w:rPr>
        <w:t xml:space="preserve">to </w:t>
      </w:r>
      <w:r w:rsidR="005F50D2" w:rsidRPr="00905846">
        <w:rPr>
          <w:sz w:val="22"/>
          <w:szCs w:val="22"/>
        </w:rPr>
        <w:t xml:space="preserve">reaffirm or modify </w:t>
      </w:r>
      <w:r w:rsidR="001C32AF" w:rsidRPr="00905846">
        <w:rPr>
          <w:sz w:val="22"/>
          <w:szCs w:val="22"/>
        </w:rPr>
        <w:t xml:space="preserve">their course release </w:t>
      </w:r>
      <w:r w:rsidR="00233BD9" w:rsidRPr="00905846">
        <w:rPr>
          <w:sz w:val="22"/>
          <w:szCs w:val="22"/>
        </w:rPr>
        <w:t>practices in a formal and transparent policy. Our approach is as follows:</w:t>
      </w:r>
    </w:p>
    <w:p w14:paraId="277F5C35" w14:textId="1141EBA3" w:rsidR="000F5C08" w:rsidRPr="00905846" w:rsidRDefault="000F5C08" w:rsidP="00CA04D5">
      <w:pPr>
        <w:ind w:left="720"/>
        <w:rPr>
          <w:b/>
          <w:sz w:val="22"/>
          <w:szCs w:val="22"/>
        </w:rPr>
      </w:pPr>
    </w:p>
    <w:p w14:paraId="4EF484FC" w14:textId="77777777" w:rsidR="00031B83" w:rsidRPr="00905846" w:rsidRDefault="00F90FE0" w:rsidP="00E4216B">
      <w:pPr>
        <w:numPr>
          <w:ilvl w:val="1"/>
          <w:numId w:val="11"/>
        </w:numPr>
        <w:rPr>
          <w:b/>
          <w:sz w:val="22"/>
          <w:szCs w:val="22"/>
        </w:rPr>
      </w:pPr>
      <w:r w:rsidRPr="00905846">
        <w:rPr>
          <w:sz w:val="22"/>
          <w:szCs w:val="22"/>
        </w:rPr>
        <w:t>Section IV</w:t>
      </w:r>
      <w:r w:rsidR="000F5C08" w:rsidRPr="00905846">
        <w:rPr>
          <w:sz w:val="22"/>
          <w:szCs w:val="22"/>
        </w:rPr>
        <w:t xml:space="preserve"> </w:t>
      </w:r>
      <w:r w:rsidRPr="00905846">
        <w:rPr>
          <w:sz w:val="22"/>
          <w:szCs w:val="22"/>
        </w:rPr>
        <w:t xml:space="preserve">invites </w:t>
      </w:r>
      <w:r w:rsidR="000F5C08" w:rsidRPr="00905846">
        <w:rPr>
          <w:sz w:val="22"/>
          <w:szCs w:val="22"/>
        </w:rPr>
        <w:t xml:space="preserve">departments to </w:t>
      </w:r>
      <w:r w:rsidR="00B85E81" w:rsidRPr="00905846">
        <w:rPr>
          <w:sz w:val="22"/>
          <w:szCs w:val="22"/>
        </w:rPr>
        <w:t xml:space="preserve">establish </w:t>
      </w:r>
      <w:r w:rsidR="000F5C08" w:rsidRPr="00905846">
        <w:rPr>
          <w:sz w:val="22"/>
          <w:szCs w:val="22"/>
        </w:rPr>
        <w:t xml:space="preserve">policies for </w:t>
      </w:r>
      <w:r w:rsidR="00971031" w:rsidRPr="00905846">
        <w:rPr>
          <w:i/>
          <w:sz w:val="22"/>
          <w:szCs w:val="22"/>
        </w:rPr>
        <w:t>internally allocated</w:t>
      </w:r>
      <w:r w:rsidR="00971031" w:rsidRPr="00905846">
        <w:rPr>
          <w:sz w:val="22"/>
          <w:szCs w:val="22"/>
        </w:rPr>
        <w:t xml:space="preserve"> course releases. These include </w:t>
      </w:r>
      <w:r w:rsidR="00C863A4" w:rsidRPr="00905846">
        <w:rPr>
          <w:sz w:val="22"/>
          <w:szCs w:val="22"/>
        </w:rPr>
        <w:t>course releases</w:t>
      </w:r>
      <w:r w:rsidR="00EA476A" w:rsidRPr="00905846">
        <w:rPr>
          <w:sz w:val="22"/>
          <w:szCs w:val="22"/>
        </w:rPr>
        <w:t xml:space="preserve"> for </w:t>
      </w:r>
      <w:r w:rsidR="00CA04D5" w:rsidRPr="00905846">
        <w:rPr>
          <w:sz w:val="22"/>
          <w:szCs w:val="22"/>
        </w:rPr>
        <w:t>major service</w:t>
      </w:r>
      <w:r w:rsidR="00E4216B" w:rsidRPr="00905846">
        <w:rPr>
          <w:sz w:val="22"/>
          <w:szCs w:val="22"/>
        </w:rPr>
        <w:t xml:space="preserve"> </w:t>
      </w:r>
      <w:r w:rsidR="00CA04D5" w:rsidRPr="00905846">
        <w:rPr>
          <w:sz w:val="22"/>
          <w:szCs w:val="22"/>
        </w:rPr>
        <w:t xml:space="preserve">positions besides the headship, </w:t>
      </w:r>
      <w:r w:rsidR="00861DBF" w:rsidRPr="00905846">
        <w:rPr>
          <w:sz w:val="22"/>
          <w:szCs w:val="22"/>
        </w:rPr>
        <w:t>as well as</w:t>
      </w:r>
      <w:r w:rsidR="000F5C08" w:rsidRPr="00905846">
        <w:rPr>
          <w:sz w:val="22"/>
          <w:szCs w:val="22"/>
        </w:rPr>
        <w:t xml:space="preserve"> </w:t>
      </w:r>
      <w:r w:rsidR="00E4216B" w:rsidRPr="00905846">
        <w:rPr>
          <w:sz w:val="22"/>
          <w:szCs w:val="22"/>
        </w:rPr>
        <w:t xml:space="preserve">other appropriate </w:t>
      </w:r>
      <w:r w:rsidR="00861DBF" w:rsidRPr="00905846">
        <w:rPr>
          <w:sz w:val="22"/>
          <w:szCs w:val="22"/>
        </w:rPr>
        <w:t xml:space="preserve">occasions </w:t>
      </w:r>
      <w:r w:rsidR="00775603" w:rsidRPr="00905846">
        <w:rPr>
          <w:sz w:val="22"/>
          <w:szCs w:val="22"/>
        </w:rPr>
        <w:t>to</w:t>
      </w:r>
      <w:r w:rsidR="00E4216B" w:rsidRPr="00905846">
        <w:rPr>
          <w:sz w:val="22"/>
          <w:szCs w:val="22"/>
        </w:rPr>
        <w:t xml:space="preserve"> promote the department’s </w:t>
      </w:r>
      <w:r w:rsidR="00513B68" w:rsidRPr="00905846">
        <w:rPr>
          <w:sz w:val="22"/>
          <w:szCs w:val="22"/>
        </w:rPr>
        <w:t xml:space="preserve">research, teaching, and service </w:t>
      </w:r>
      <w:r w:rsidR="00E4216B" w:rsidRPr="00905846">
        <w:rPr>
          <w:sz w:val="22"/>
          <w:szCs w:val="22"/>
        </w:rPr>
        <w:t>mission</w:t>
      </w:r>
      <w:r w:rsidR="00A9624B" w:rsidRPr="00905846">
        <w:rPr>
          <w:sz w:val="22"/>
          <w:szCs w:val="22"/>
        </w:rPr>
        <w:t>s</w:t>
      </w:r>
      <w:r w:rsidR="00E4216B" w:rsidRPr="00905846">
        <w:rPr>
          <w:sz w:val="22"/>
          <w:szCs w:val="22"/>
        </w:rPr>
        <w:t>.</w:t>
      </w:r>
    </w:p>
    <w:p w14:paraId="020DD42E" w14:textId="77777777" w:rsidR="00031B83" w:rsidRPr="00905846" w:rsidRDefault="00031B83" w:rsidP="00031B83">
      <w:pPr>
        <w:ind w:left="1440"/>
        <w:rPr>
          <w:b/>
          <w:sz w:val="22"/>
          <w:szCs w:val="22"/>
        </w:rPr>
      </w:pPr>
    </w:p>
    <w:p w14:paraId="687B3FCB" w14:textId="14738EE1" w:rsidR="00E4216B" w:rsidRPr="00905846" w:rsidRDefault="00031B83" w:rsidP="00E4216B">
      <w:pPr>
        <w:numPr>
          <w:ilvl w:val="1"/>
          <w:numId w:val="11"/>
        </w:numPr>
        <w:rPr>
          <w:b/>
          <w:sz w:val="22"/>
          <w:szCs w:val="22"/>
        </w:rPr>
      </w:pPr>
      <w:r w:rsidRPr="00905846">
        <w:rPr>
          <w:sz w:val="22"/>
          <w:szCs w:val="22"/>
        </w:rPr>
        <w:t xml:space="preserve">Internally allocated course releases </w:t>
      </w:r>
      <w:r w:rsidR="005A534C">
        <w:rPr>
          <w:sz w:val="22"/>
          <w:szCs w:val="22"/>
        </w:rPr>
        <w:t xml:space="preserve">described in Section IV </w:t>
      </w:r>
      <w:r w:rsidRPr="00905846">
        <w:rPr>
          <w:sz w:val="22"/>
          <w:szCs w:val="22"/>
        </w:rPr>
        <w:t xml:space="preserve">are in addition to </w:t>
      </w:r>
      <w:r w:rsidR="00D24E1A">
        <w:rPr>
          <w:sz w:val="22"/>
          <w:szCs w:val="22"/>
        </w:rPr>
        <w:t>course releases</w:t>
      </w:r>
      <w:r w:rsidRPr="00905846">
        <w:rPr>
          <w:sz w:val="22"/>
          <w:szCs w:val="22"/>
        </w:rPr>
        <w:t xml:space="preserve"> that originate outside departments, whether through grant or fellowship buyouts, teaching and/or service in other university units, or other reasons.</w:t>
      </w:r>
      <w:r w:rsidR="005A534C">
        <w:rPr>
          <w:sz w:val="22"/>
          <w:szCs w:val="22"/>
        </w:rPr>
        <w:t xml:space="preserve"> The latter occasions are treated in Sections III.B and III.C.</w:t>
      </w:r>
    </w:p>
    <w:p w14:paraId="2722EF41" w14:textId="77777777" w:rsidR="00E4216B" w:rsidRPr="00905846" w:rsidRDefault="00E4216B" w:rsidP="00E4216B">
      <w:pPr>
        <w:rPr>
          <w:b/>
          <w:sz w:val="22"/>
          <w:szCs w:val="22"/>
        </w:rPr>
      </w:pPr>
    </w:p>
    <w:p w14:paraId="0C72E6B6" w14:textId="21419CE7" w:rsidR="00AE4741" w:rsidRPr="00905846" w:rsidRDefault="00905846" w:rsidP="00905846">
      <w:pPr>
        <w:numPr>
          <w:ilvl w:val="1"/>
          <w:numId w:val="11"/>
        </w:numPr>
        <w:rPr>
          <w:sz w:val="22"/>
          <w:szCs w:val="22"/>
        </w:rPr>
      </w:pPr>
      <w:r w:rsidRPr="00905846">
        <w:rPr>
          <w:sz w:val="22"/>
          <w:szCs w:val="22"/>
        </w:rPr>
        <w:t>In Section IV, d</w:t>
      </w:r>
      <w:r w:rsidR="00045369" w:rsidRPr="00905846">
        <w:rPr>
          <w:sz w:val="22"/>
          <w:szCs w:val="22"/>
        </w:rPr>
        <w:t xml:space="preserve">epartments may </w:t>
      </w:r>
      <w:r w:rsidR="00D5349B" w:rsidRPr="00905846">
        <w:rPr>
          <w:sz w:val="22"/>
          <w:szCs w:val="22"/>
        </w:rPr>
        <w:t xml:space="preserve">choose to </w:t>
      </w:r>
      <w:r w:rsidR="00045369" w:rsidRPr="00905846">
        <w:rPr>
          <w:sz w:val="22"/>
          <w:szCs w:val="22"/>
        </w:rPr>
        <w:t xml:space="preserve">reaffirm their current policies, but we encourage them to </w:t>
      </w:r>
      <w:r w:rsidR="00072C42" w:rsidRPr="00905846">
        <w:rPr>
          <w:sz w:val="22"/>
          <w:szCs w:val="22"/>
        </w:rPr>
        <w:t xml:space="preserve">use this occasion to </w:t>
      </w:r>
      <w:r w:rsidR="00A552FC" w:rsidRPr="00905846">
        <w:rPr>
          <w:sz w:val="22"/>
          <w:szCs w:val="22"/>
        </w:rPr>
        <w:t xml:space="preserve">make any changes that will </w:t>
      </w:r>
      <w:r w:rsidR="00072C42" w:rsidRPr="00905846">
        <w:rPr>
          <w:sz w:val="22"/>
          <w:szCs w:val="22"/>
        </w:rPr>
        <w:t>maximize the strategic use of course releases.</w:t>
      </w:r>
    </w:p>
    <w:p w14:paraId="7B25FE0D" w14:textId="77777777" w:rsidR="0074517D" w:rsidRPr="00905846" w:rsidRDefault="0074517D" w:rsidP="0074517D">
      <w:pPr>
        <w:rPr>
          <w:b/>
          <w:sz w:val="22"/>
          <w:szCs w:val="22"/>
        </w:rPr>
      </w:pPr>
    </w:p>
    <w:p w14:paraId="13143601" w14:textId="16834FB6" w:rsidR="00F425BE" w:rsidRPr="00905846" w:rsidRDefault="0074517D" w:rsidP="00905846">
      <w:pPr>
        <w:numPr>
          <w:ilvl w:val="1"/>
          <w:numId w:val="11"/>
        </w:numPr>
        <w:rPr>
          <w:b/>
          <w:sz w:val="22"/>
          <w:szCs w:val="22"/>
        </w:rPr>
      </w:pPr>
      <w:r w:rsidRPr="00905846">
        <w:rPr>
          <w:sz w:val="22"/>
          <w:szCs w:val="22"/>
        </w:rPr>
        <w:t>CAS will evaluate proposed course release policies over the summer</w:t>
      </w:r>
      <w:r w:rsidR="00527305" w:rsidRPr="00905846">
        <w:rPr>
          <w:sz w:val="22"/>
          <w:szCs w:val="22"/>
        </w:rPr>
        <w:t xml:space="preserve"> in consultation wit</w:t>
      </w:r>
      <w:r w:rsidR="001A704A">
        <w:rPr>
          <w:sz w:val="22"/>
          <w:szCs w:val="22"/>
        </w:rPr>
        <w:t xml:space="preserve">h department heads and through </w:t>
      </w:r>
      <w:r w:rsidR="00527305" w:rsidRPr="00905846">
        <w:rPr>
          <w:sz w:val="22"/>
          <w:szCs w:val="22"/>
        </w:rPr>
        <w:t xml:space="preserve">careful </w:t>
      </w:r>
      <w:r w:rsidR="005A0FCE" w:rsidRPr="00905846">
        <w:rPr>
          <w:sz w:val="22"/>
          <w:szCs w:val="22"/>
        </w:rPr>
        <w:t xml:space="preserve">study </w:t>
      </w:r>
      <w:r w:rsidR="00527305" w:rsidRPr="00905846">
        <w:rPr>
          <w:sz w:val="22"/>
          <w:szCs w:val="22"/>
        </w:rPr>
        <w:t>of past practices.</w:t>
      </w:r>
      <w:r w:rsidRPr="00905846">
        <w:rPr>
          <w:sz w:val="22"/>
          <w:szCs w:val="22"/>
        </w:rPr>
        <w:t xml:space="preserve"> </w:t>
      </w:r>
      <w:r w:rsidR="005A0FCE" w:rsidRPr="00905846">
        <w:rPr>
          <w:sz w:val="22"/>
          <w:szCs w:val="22"/>
        </w:rPr>
        <w:t xml:space="preserve">Special </w:t>
      </w:r>
      <w:r w:rsidR="00F425BE" w:rsidRPr="00905846">
        <w:rPr>
          <w:sz w:val="22"/>
          <w:szCs w:val="22"/>
        </w:rPr>
        <w:t xml:space="preserve">scrutiny will be given to any proposed </w:t>
      </w:r>
      <w:r w:rsidR="00DF5216" w:rsidRPr="00905846">
        <w:rPr>
          <w:sz w:val="22"/>
          <w:szCs w:val="22"/>
        </w:rPr>
        <w:t xml:space="preserve">policies </w:t>
      </w:r>
      <w:r w:rsidR="00F425BE" w:rsidRPr="00905846">
        <w:rPr>
          <w:sz w:val="22"/>
          <w:szCs w:val="22"/>
        </w:rPr>
        <w:t xml:space="preserve">that may expand the number of internal course releases given </w:t>
      </w:r>
      <w:r w:rsidR="00340E50" w:rsidRPr="00905846">
        <w:rPr>
          <w:sz w:val="22"/>
          <w:szCs w:val="22"/>
        </w:rPr>
        <w:t>with</w:t>
      </w:r>
      <w:r w:rsidR="00F06E0E" w:rsidRPr="00905846">
        <w:rPr>
          <w:sz w:val="22"/>
          <w:szCs w:val="22"/>
        </w:rPr>
        <w:t>in a department.</w:t>
      </w:r>
    </w:p>
    <w:p w14:paraId="6CF77EBA" w14:textId="77777777" w:rsidR="00527305" w:rsidRPr="00905846" w:rsidRDefault="00527305" w:rsidP="00527305">
      <w:pPr>
        <w:rPr>
          <w:b/>
          <w:sz w:val="22"/>
          <w:szCs w:val="22"/>
        </w:rPr>
      </w:pPr>
    </w:p>
    <w:p w14:paraId="02CC0B2E" w14:textId="7BB0D123" w:rsidR="0074517D" w:rsidRPr="00905846" w:rsidRDefault="002775A8" w:rsidP="00905846">
      <w:pPr>
        <w:numPr>
          <w:ilvl w:val="1"/>
          <w:numId w:val="11"/>
        </w:numPr>
        <w:rPr>
          <w:b/>
          <w:sz w:val="22"/>
          <w:szCs w:val="22"/>
        </w:rPr>
      </w:pPr>
      <w:r w:rsidRPr="00905846">
        <w:rPr>
          <w:sz w:val="22"/>
          <w:szCs w:val="22"/>
        </w:rPr>
        <w:t>In evalu</w:t>
      </w:r>
      <w:r w:rsidR="008C0C5E" w:rsidRPr="00905846">
        <w:rPr>
          <w:sz w:val="22"/>
          <w:szCs w:val="22"/>
        </w:rPr>
        <w:t xml:space="preserve">ating </w:t>
      </w:r>
      <w:r w:rsidR="009079DC" w:rsidRPr="00905846">
        <w:rPr>
          <w:sz w:val="22"/>
          <w:szCs w:val="22"/>
        </w:rPr>
        <w:t xml:space="preserve">and editing </w:t>
      </w:r>
      <w:r w:rsidR="008C0C5E" w:rsidRPr="00905846">
        <w:rPr>
          <w:sz w:val="22"/>
          <w:szCs w:val="22"/>
        </w:rPr>
        <w:t>course release policies, w</w:t>
      </w:r>
      <w:r w:rsidR="00527305" w:rsidRPr="00905846">
        <w:rPr>
          <w:sz w:val="22"/>
          <w:szCs w:val="22"/>
        </w:rPr>
        <w:t>e pledge to avoid significant increases to faculty workloads relative to past practice</w:t>
      </w:r>
      <w:r w:rsidR="007B0A14" w:rsidRPr="00905846">
        <w:rPr>
          <w:sz w:val="22"/>
          <w:szCs w:val="22"/>
        </w:rPr>
        <w:t>s</w:t>
      </w:r>
      <w:r w:rsidR="00527305" w:rsidRPr="00905846">
        <w:rPr>
          <w:sz w:val="22"/>
          <w:szCs w:val="22"/>
        </w:rPr>
        <w:t>.</w:t>
      </w:r>
      <w:r w:rsidR="008C0C5E" w:rsidRPr="00905846">
        <w:rPr>
          <w:sz w:val="22"/>
          <w:szCs w:val="22"/>
        </w:rPr>
        <w:t xml:space="preserve"> But w</w:t>
      </w:r>
      <w:r w:rsidR="00527305" w:rsidRPr="00905846">
        <w:rPr>
          <w:sz w:val="22"/>
          <w:szCs w:val="22"/>
        </w:rPr>
        <w:t xml:space="preserve">e </w:t>
      </w:r>
      <w:r w:rsidR="0074517D" w:rsidRPr="00905846">
        <w:rPr>
          <w:sz w:val="22"/>
          <w:szCs w:val="22"/>
        </w:rPr>
        <w:t xml:space="preserve">reserve the right </w:t>
      </w:r>
      <w:r w:rsidR="00905846" w:rsidRPr="00905846">
        <w:rPr>
          <w:sz w:val="22"/>
          <w:szCs w:val="22"/>
        </w:rPr>
        <w:t>for the D</w:t>
      </w:r>
      <w:r w:rsidR="00E771BB" w:rsidRPr="00905846">
        <w:rPr>
          <w:sz w:val="22"/>
          <w:szCs w:val="22"/>
        </w:rPr>
        <w:t xml:space="preserve">ean </w:t>
      </w:r>
      <w:r w:rsidR="0074517D" w:rsidRPr="00905846">
        <w:rPr>
          <w:sz w:val="22"/>
          <w:szCs w:val="22"/>
        </w:rPr>
        <w:t>to make adjustments</w:t>
      </w:r>
      <w:r w:rsidR="00E771BB" w:rsidRPr="00905846">
        <w:rPr>
          <w:sz w:val="22"/>
          <w:szCs w:val="22"/>
        </w:rPr>
        <w:t>:</w:t>
      </w:r>
    </w:p>
    <w:p w14:paraId="68D586A0" w14:textId="77777777" w:rsidR="0074517D" w:rsidRPr="00905846" w:rsidRDefault="0074517D" w:rsidP="0074517D">
      <w:pPr>
        <w:rPr>
          <w:sz w:val="22"/>
          <w:szCs w:val="22"/>
        </w:rPr>
      </w:pPr>
    </w:p>
    <w:p w14:paraId="629A9AB1" w14:textId="11089F1C" w:rsidR="0074517D" w:rsidRPr="00905846" w:rsidRDefault="00527305" w:rsidP="00905846">
      <w:pPr>
        <w:numPr>
          <w:ilvl w:val="2"/>
          <w:numId w:val="11"/>
        </w:numPr>
        <w:rPr>
          <w:b/>
          <w:sz w:val="22"/>
          <w:szCs w:val="22"/>
        </w:rPr>
      </w:pPr>
      <w:r w:rsidRPr="00905846">
        <w:rPr>
          <w:sz w:val="22"/>
          <w:szCs w:val="22"/>
        </w:rPr>
        <w:t>where past practices have</w:t>
      </w:r>
      <w:r w:rsidR="0074517D" w:rsidRPr="00905846">
        <w:rPr>
          <w:sz w:val="22"/>
          <w:szCs w:val="22"/>
        </w:rPr>
        <w:t xml:space="preserve"> been inconsistent, inappropriate, or impossible to document</w:t>
      </w:r>
    </w:p>
    <w:p w14:paraId="602D5EBA" w14:textId="77777777" w:rsidR="0074517D" w:rsidRPr="00905846" w:rsidRDefault="0074517D" w:rsidP="00905846">
      <w:pPr>
        <w:numPr>
          <w:ilvl w:val="2"/>
          <w:numId w:val="11"/>
        </w:numPr>
        <w:rPr>
          <w:sz w:val="22"/>
          <w:szCs w:val="22"/>
        </w:rPr>
      </w:pPr>
      <w:r w:rsidRPr="00905846">
        <w:rPr>
          <w:sz w:val="22"/>
          <w:szCs w:val="22"/>
        </w:rPr>
        <w:t>to promote greater equity in access to course releases among similar departments</w:t>
      </w:r>
    </w:p>
    <w:p w14:paraId="4518AA45" w14:textId="16C49776" w:rsidR="00C87569" w:rsidRPr="00905846" w:rsidRDefault="00C87569" w:rsidP="00905846">
      <w:pPr>
        <w:numPr>
          <w:ilvl w:val="2"/>
          <w:numId w:val="11"/>
        </w:numPr>
        <w:rPr>
          <w:b/>
          <w:sz w:val="22"/>
          <w:szCs w:val="22"/>
        </w:rPr>
      </w:pPr>
      <w:r w:rsidRPr="00905846">
        <w:rPr>
          <w:sz w:val="22"/>
          <w:szCs w:val="22"/>
        </w:rPr>
        <w:t>to reflect disciplinary norms at peer institutions</w:t>
      </w:r>
    </w:p>
    <w:p w14:paraId="7DE8E438" w14:textId="5013E9ED" w:rsidR="00BB147A" w:rsidRPr="00905846" w:rsidRDefault="0074517D" w:rsidP="00905846">
      <w:pPr>
        <w:numPr>
          <w:ilvl w:val="2"/>
          <w:numId w:val="11"/>
        </w:numPr>
        <w:rPr>
          <w:b/>
          <w:sz w:val="22"/>
          <w:szCs w:val="22"/>
        </w:rPr>
      </w:pPr>
      <w:r w:rsidRPr="00905846">
        <w:rPr>
          <w:sz w:val="22"/>
          <w:szCs w:val="22"/>
        </w:rPr>
        <w:t>to ensure that departments continue to fulfill the curricular</w:t>
      </w:r>
      <w:r w:rsidR="00C87569" w:rsidRPr="00905846">
        <w:rPr>
          <w:sz w:val="22"/>
          <w:szCs w:val="22"/>
        </w:rPr>
        <w:t xml:space="preserve">, </w:t>
      </w:r>
      <w:r w:rsidRPr="00905846">
        <w:rPr>
          <w:sz w:val="22"/>
          <w:szCs w:val="22"/>
        </w:rPr>
        <w:t xml:space="preserve"> enrollment </w:t>
      </w:r>
      <w:r w:rsidR="000F19BD" w:rsidRPr="00905846">
        <w:rPr>
          <w:sz w:val="22"/>
          <w:szCs w:val="22"/>
        </w:rPr>
        <w:t xml:space="preserve">and financial </w:t>
      </w:r>
      <w:r w:rsidRPr="00905846">
        <w:rPr>
          <w:sz w:val="22"/>
          <w:szCs w:val="22"/>
        </w:rPr>
        <w:t xml:space="preserve">needs of the </w:t>
      </w:r>
      <w:r w:rsidR="00C87569" w:rsidRPr="00905846">
        <w:rPr>
          <w:sz w:val="22"/>
          <w:szCs w:val="22"/>
        </w:rPr>
        <w:t>college</w:t>
      </w:r>
      <w:r w:rsidRPr="00905846">
        <w:rPr>
          <w:sz w:val="22"/>
          <w:szCs w:val="22"/>
        </w:rPr>
        <w:t>, in which TTF perform a central role through the courses they teach.</w:t>
      </w:r>
    </w:p>
    <w:p w14:paraId="2DD6E9B0" w14:textId="77777777" w:rsidR="00393FDC" w:rsidRPr="00905846" w:rsidRDefault="00393FDC" w:rsidP="00393FDC">
      <w:pPr>
        <w:rPr>
          <w:sz w:val="22"/>
          <w:szCs w:val="22"/>
        </w:rPr>
      </w:pPr>
    </w:p>
    <w:p w14:paraId="59C22EF6" w14:textId="5B19740B" w:rsidR="006F41BF" w:rsidRPr="00905846" w:rsidRDefault="006F41BF" w:rsidP="006F41BF">
      <w:pPr>
        <w:numPr>
          <w:ilvl w:val="1"/>
          <w:numId w:val="11"/>
        </w:numPr>
        <w:rPr>
          <w:b/>
          <w:sz w:val="22"/>
          <w:szCs w:val="22"/>
        </w:rPr>
      </w:pPr>
      <w:r w:rsidRPr="00905846">
        <w:rPr>
          <w:sz w:val="22"/>
          <w:szCs w:val="22"/>
        </w:rPr>
        <w:t xml:space="preserve">In the fall, </w:t>
      </w:r>
      <w:bookmarkStart w:id="0" w:name="_GoBack"/>
      <w:bookmarkEnd w:id="0"/>
      <w:r w:rsidRPr="00905846">
        <w:rPr>
          <w:sz w:val="22"/>
          <w:szCs w:val="22"/>
        </w:rPr>
        <w:t xml:space="preserve">we will document and discuss with departments any changes we make to proposed course release policies, together with any other changes we </w:t>
      </w:r>
      <w:r w:rsidR="004D5398" w:rsidRPr="00905846">
        <w:rPr>
          <w:sz w:val="22"/>
          <w:szCs w:val="22"/>
        </w:rPr>
        <w:t xml:space="preserve">may </w:t>
      </w:r>
      <w:r w:rsidRPr="00905846">
        <w:rPr>
          <w:sz w:val="22"/>
          <w:szCs w:val="22"/>
        </w:rPr>
        <w:t>make to the rest of the professional responsibilities draft documents.</w:t>
      </w:r>
    </w:p>
    <w:p w14:paraId="0B731A3C" w14:textId="77777777" w:rsidR="006F41BF" w:rsidRPr="00905846" w:rsidRDefault="006F41BF" w:rsidP="006F41BF">
      <w:pPr>
        <w:ind w:left="1440"/>
        <w:rPr>
          <w:sz w:val="22"/>
          <w:szCs w:val="22"/>
        </w:rPr>
      </w:pPr>
    </w:p>
    <w:p w14:paraId="5A3978F0" w14:textId="5A27A5E2" w:rsidR="009928F7" w:rsidRPr="00905846" w:rsidRDefault="00393FDC" w:rsidP="009928F7">
      <w:pPr>
        <w:numPr>
          <w:ilvl w:val="1"/>
          <w:numId w:val="11"/>
        </w:numPr>
        <w:rPr>
          <w:sz w:val="22"/>
          <w:szCs w:val="22"/>
        </w:rPr>
      </w:pPr>
      <w:r w:rsidRPr="00905846">
        <w:rPr>
          <w:sz w:val="22"/>
          <w:szCs w:val="22"/>
        </w:rPr>
        <w:t xml:space="preserve">For AY 2015-16, departments </w:t>
      </w:r>
      <w:r w:rsidR="00340E50" w:rsidRPr="00905846">
        <w:rPr>
          <w:sz w:val="22"/>
          <w:szCs w:val="22"/>
        </w:rPr>
        <w:t xml:space="preserve">should </w:t>
      </w:r>
      <w:r w:rsidRPr="00905846">
        <w:rPr>
          <w:sz w:val="22"/>
          <w:szCs w:val="22"/>
        </w:rPr>
        <w:t xml:space="preserve">follow </w:t>
      </w:r>
      <w:r w:rsidR="004671AC" w:rsidRPr="00905846">
        <w:rPr>
          <w:sz w:val="22"/>
          <w:szCs w:val="22"/>
        </w:rPr>
        <w:t>current</w:t>
      </w:r>
      <w:r w:rsidRPr="00905846">
        <w:rPr>
          <w:sz w:val="22"/>
          <w:szCs w:val="22"/>
        </w:rPr>
        <w:t xml:space="preserve"> practice</w:t>
      </w:r>
      <w:r w:rsidR="00F06E0E" w:rsidRPr="00905846">
        <w:rPr>
          <w:sz w:val="22"/>
          <w:szCs w:val="22"/>
        </w:rPr>
        <w:t>s</w:t>
      </w:r>
      <w:r w:rsidRPr="00905846">
        <w:rPr>
          <w:sz w:val="22"/>
          <w:szCs w:val="22"/>
        </w:rPr>
        <w:t xml:space="preserve"> in allocating course releases, since scheduling for</w:t>
      </w:r>
      <w:r w:rsidR="006C48BB" w:rsidRPr="00905846">
        <w:rPr>
          <w:sz w:val="22"/>
          <w:szCs w:val="22"/>
        </w:rPr>
        <w:t xml:space="preserve"> next year is already underway.</w:t>
      </w:r>
      <w:r w:rsidR="00340E50" w:rsidRPr="00905846">
        <w:rPr>
          <w:sz w:val="22"/>
          <w:szCs w:val="22"/>
        </w:rPr>
        <w:t xml:space="preserve"> </w:t>
      </w:r>
      <w:r w:rsidRPr="00905846">
        <w:rPr>
          <w:sz w:val="22"/>
          <w:szCs w:val="22"/>
        </w:rPr>
        <w:t xml:space="preserve">New policies </w:t>
      </w:r>
      <w:r w:rsidR="00340E50" w:rsidRPr="00905846">
        <w:rPr>
          <w:sz w:val="22"/>
          <w:szCs w:val="22"/>
        </w:rPr>
        <w:t xml:space="preserve">will </w:t>
      </w:r>
      <w:r w:rsidRPr="00905846">
        <w:rPr>
          <w:sz w:val="22"/>
          <w:szCs w:val="22"/>
        </w:rPr>
        <w:t xml:space="preserve">take effect </w:t>
      </w:r>
      <w:r w:rsidR="00340E50" w:rsidRPr="00905846">
        <w:rPr>
          <w:sz w:val="22"/>
          <w:szCs w:val="22"/>
        </w:rPr>
        <w:t xml:space="preserve">in </w:t>
      </w:r>
      <w:r w:rsidRPr="00905846">
        <w:rPr>
          <w:sz w:val="22"/>
          <w:szCs w:val="22"/>
        </w:rPr>
        <w:t>AY 2016-17 and beyond.</w:t>
      </w:r>
    </w:p>
    <w:sectPr w:rsidR="009928F7" w:rsidRPr="00905846" w:rsidSect="00535A21">
      <w:type w:val="continuous"/>
      <w:pgSz w:w="12240" w:h="15840" w:code="1"/>
      <w:pgMar w:top="1080" w:right="1800" w:bottom="1080" w:left="1800" w:header="1080" w:footer="907"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CFD8778" w14:textId="77777777" w:rsidR="00031B83" w:rsidRDefault="00031B83">
      <w:r>
        <w:separator/>
      </w:r>
    </w:p>
  </w:endnote>
  <w:endnote w:type="continuationSeparator" w:id="0">
    <w:p w14:paraId="74CDAFC8" w14:textId="77777777" w:rsidR="00031B83" w:rsidRDefault="00031B83">
      <w:r>
        <w:continuationSeparator/>
      </w:r>
    </w:p>
  </w:endnote>
  <w:endnote w:type="continuationNotice" w:id="1">
    <w:p w14:paraId="7AC70E9D" w14:textId="77777777" w:rsidR="00031B83" w:rsidRDefault="00031B8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2A87" w:usb1="80000000" w:usb2="00000008"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20005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Geneva">
    <w:panose1 w:val="020B0503030404040204"/>
    <w:charset w:val="00"/>
    <w:family w:val="auto"/>
    <w:pitch w:val="variable"/>
    <w:sig w:usb0="00000007" w:usb1="00000000" w:usb2="00000000" w:usb3="00000000" w:csb0="00000093" w:csb1="00000000"/>
  </w:font>
  <w:font w:name="Melior">
    <w:altName w:val="Times New Roman"/>
    <w:charset w:val="00"/>
    <w:family w:val="auto"/>
    <w:pitch w:val="variable"/>
    <w:sig w:usb0="80000027" w:usb1="00000000" w:usb2="00000000" w:usb3="00000000" w:csb0="00000001" w:csb1="00000000"/>
  </w:font>
  <w:font w:name="Arial Black">
    <w:panose1 w:val="020B0A040201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2A87" w:usb1="80000000" w:usb2="00000008" w:usb3="00000000" w:csb0="000001FF" w:csb1="00000000"/>
  </w:font>
  <w:font w:name="Melior Italic">
    <w:altName w:val="Courier New"/>
    <w:charset w:val="00"/>
    <w:family w:val="auto"/>
    <w:pitch w:val="variable"/>
    <w:sig w:usb0="00000000" w:usb1="00000000" w:usb2="00000000" w:usb3="00000000" w:csb0="00000001" w:csb1="00000000"/>
  </w:font>
  <w:font w:name="75 Helvetica Bold">
    <w:altName w:val="Courier New"/>
    <w:charset w:val="00"/>
    <w:family w:val="auto"/>
    <w:pitch w:val="variable"/>
    <w:sig w:usb0="03000000"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719F929A" w14:textId="77777777" w:rsidR="00031B83" w:rsidRDefault="00031B83">
    <w:pPr>
      <w:pStyle w:val="Footer"/>
      <w:ind w:left="720" w:right="-1800" w:hanging="720"/>
      <w:rPr>
        <w:sz w:val="20"/>
      </w:rPr>
    </w:pPr>
    <w:r>
      <w:rPr>
        <w:rFonts w:ascii="Melior Italic" w:hAnsi="Melior Italic"/>
        <w:sz w:val="12"/>
      </w:rPr>
      <w:tab/>
    </w:r>
    <w:r>
      <w:rPr>
        <w:rFonts w:ascii="Melior Italic" w:hAnsi="Melior Italic"/>
        <w:sz w:val="12"/>
      </w:rPr>
      <w:tab/>
    </w:r>
    <w:r>
      <w:rPr>
        <w:sz w:val="20"/>
      </w:rPr>
      <w:t xml:space="preserve">- </w:t>
    </w:r>
    <w:r>
      <w:rPr>
        <w:sz w:val="20"/>
      </w:rPr>
      <w:fldChar w:fldCharType="begin"/>
    </w:r>
    <w:r>
      <w:rPr>
        <w:sz w:val="20"/>
      </w:rPr>
      <w:instrText xml:space="preserve"> PAGE </w:instrText>
    </w:r>
    <w:r>
      <w:rPr>
        <w:sz w:val="20"/>
      </w:rPr>
      <w:fldChar w:fldCharType="separate"/>
    </w:r>
    <w:r w:rsidR="002F3D7D">
      <w:rPr>
        <w:noProof/>
        <w:sz w:val="20"/>
      </w:rPr>
      <w:t>2</w:t>
    </w:r>
    <w:r>
      <w:rPr>
        <w:sz w:val="20"/>
      </w:rPr>
      <w:fldChar w:fldCharType="end"/>
    </w:r>
    <w:r>
      <w:rPr>
        <w:sz w:val="20"/>
      </w:rPr>
      <w:t xml:space="preserve"> -</w:t>
    </w:r>
    <w:r>
      <w:rPr>
        <w:sz w:val="20"/>
      </w:rPr>
      <w:tab/>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11F9DE50" w14:textId="77777777" w:rsidR="00031B83" w:rsidRDefault="002F3D7D">
    <w:pPr>
      <w:pStyle w:val="OfficeorDepttitle"/>
      <w:rPr>
        <w:sz w:val="14"/>
      </w:rPr>
    </w:pPr>
    <w:r>
      <w:rPr>
        <w:rFonts w:ascii="75 Helvetica Bold" w:hAnsi="75 Helvetica Bold"/>
        <w:noProof/>
        <w:color w:val="000000"/>
        <w:sz w:val="20"/>
      </w:rPr>
      <w:pict w14:anchorId="70A991A0">
        <v:shapetype id="_x0000_t202" coordsize="21600,21600" o:spt="202" path="m0,0l0,21600,21600,21600,21600,0xe">
          <v:stroke joinstyle="miter"/>
          <v:path gradientshapeok="t" o:connecttype="rect"/>
        </v:shapetype>
        <v:shape id="_x0000_s2051" type="#_x0000_t202" style="position:absolute;margin-left:-121.95pt;margin-top:-272.1pt;width:108pt;height:324pt;z-index:251657216" o:allowincell="f" stroked="f">
          <v:textbox style="mso-next-textbox:#_x0000_s2051">
            <w:txbxContent>
              <w:p w14:paraId="34449B0A" w14:textId="77777777" w:rsidR="00031B83" w:rsidRDefault="00031B83">
                <w:pPr>
                  <w:pStyle w:val="BodyText2"/>
                </w:pPr>
              </w:p>
              <w:p w14:paraId="46FCA879" w14:textId="77777777" w:rsidR="00031B83" w:rsidRDefault="00031B83">
                <w:pPr>
                  <w:pStyle w:val="BodyText2"/>
                </w:pPr>
              </w:p>
            </w:txbxContent>
          </v:textbox>
        </v:shape>
      </w:pict>
    </w:r>
    <w:r w:rsidR="00031B83">
      <w:rPr>
        <w:sz w:val="14"/>
      </w:rPr>
      <w:t>College of Arts and Sciences</w:t>
    </w:r>
  </w:p>
  <w:p w14:paraId="39D270B0" w14:textId="77777777" w:rsidR="00031B83" w:rsidRDefault="00031B83">
    <w:pPr>
      <w:pStyle w:val="Footer"/>
      <w:spacing w:before="120" w:after="120"/>
      <w:ind w:right="-1800"/>
      <w:rPr>
        <w:rFonts w:eastAsia="Times New Roman"/>
        <w:color w:val="00754F"/>
        <w:spacing w:val="15"/>
        <w:sz w:val="14"/>
      </w:rPr>
    </w:pPr>
    <w:r>
      <w:rPr>
        <w:rFonts w:eastAsia="Times New Roman"/>
        <w:color w:val="00754F"/>
        <w:spacing w:val="15"/>
        <w:sz w:val="14"/>
      </w:rPr>
      <w:t xml:space="preserve">1245 University of Oregon, Eugene OR 97403 </w:t>
    </w:r>
  </w:p>
  <w:p w14:paraId="5939F0AB" w14:textId="77777777" w:rsidR="00031B83" w:rsidRDefault="00031B83">
    <w:pPr>
      <w:pStyle w:val="Footer"/>
      <w:spacing w:after="40"/>
      <w:ind w:right="-1800"/>
      <w:rPr>
        <w:rFonts w:ascii="75 Helvetica Bold" w:eastAsia="Times New Roman" w:hAnsi="75 Helvetica Bold"/>
        <w:color w:val="00754F"/>
        <w:spacing w:val="15"/>
        <w:sz w:val="14"/>
      </w:rPr>
    </w:pPr>
    <w:r>
      <w:rPr>
        <w:rFonts w:ascii="Arial" w:eastAsia="Times New Roman" w:hAnsi="Arial"/>
        <w:b/>
        <w:caps/>
        <w:color w:val="00754F"/>
        <w:spacing w:val="15"/>
        <w:sz w:val="13"/>
      </w:rPr>
      <w:t>t</w:t>
    </w:r>
    <w:r>
      <w:rPr>
        <w:rFonts w:eastAsia="Times New Roman"/>
        <w:color w:val="00754F"/>
        <w:spacing w:val="15"/>
        <w:sz w:val="14"/>
      </w:rPr>
      <w:t xml:space="preserve"> (541) 346-3902, </w:t>
    </w:r>
    <w:r>
      <w:rPr>
        <w:rFonts w:ascii="Arial" w:eastAsia="Times New Roman" w:hAnsi="Arial"/>
        <w:b/>
        <w:color w:val="00754F"/>
        <w:spacing w:val="15"/>
        <w:sz w:val="13"/>
      </w:rPr>
      <w:t>cas</w:t>
    </w:r>
    <w:r w:rsidRPr="00CD37EE">
      <w:rPr>
        <w:rFonts w:ascii="Arial" w:eastAsia="Times New Roman" w:hAnsi="Arial"/>
        <w:b/>
        <w:color w:val="00754F"/>
        <w:spacing w:val="15"/>
        <w:sz w:val="13"/>
      </w:rPr>
      <w:t>@uoregon.edu</w:t>
    </w:r>
    <w:r>
      <w:rPr>
        <w:rFonts w:ascii="Arial" w:eastAsia="Times New Roman" w:hAnsi="Arial"/>
        <w:b/>
        <w:color w:val="00754F"/>
        <w:spacing w:val="15"/>
        <w:sz w:val="13"/>
      </w:rPr>
      <w:t xml:space="preserve"> </w:t>
    </w:r>
  </w:p>
  <w:p w14:paraId="1ED2BD12" w14:textId="77777777" w:rsidR="00031B83" w:rsidRDefault="00031B83">
    <w:pPr>
      <w:pStyle w:val="Footer"/>
      <w:spacing w:before="160"/>
      <w:ind w:left="720" w:right="-1800" w:hanging="720"/>
    </w:pPr>
    <w:r>
      <w:rPr>
        <w:i/>
        <w:sz w:val="12"/>
      </w:rPr>
      <w:t>An equal-opportunity, affirmative-action institution committed to cultural diversity and compliance with the Americans with Disabilities Act</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3D11D70" w14:textId="77777777" w:rsidR="00031B83" w:rsidRDefault="00031B83">
      <w:r>
        <w:separator/>
      </w:r>
    </w:p>
  </w:footnote>
  <w:footnote w:type="continuationSeparator" w:id="0">
    <w:p w14:paraId="41A61367" w14:textId="77777777" w:rsidR="00031B83" w:rsidRDefault="00031B83">
      <w:r>
        <w:continuationSeparator/>
      </w:r>
    </w:p>
  </w:footnote>
  <w:footnote w:type="continuationNotice" w:id="1">
    <w:p w14:paraId="7A6E735B" w14:textId="77777777" w:rsidR="00031B83" w:rsidRDefault="00031B83"/>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434AB5E2" w14:textId="77777777" w:rsidR="00031B83" w:rsidRDefault="00031B83">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42034E8A" w14:textId="77777777" w:rsidR="00031B83" w:rsidRDefault="002F3D7D">
    <w:pPr>
      <w:rPr>
        <w:sz w:val="20"/>
      </w:rPr>
    </w:pPr>
    <w:r>
      <w:rPr>
        <w:noProof/>
        <w:sz w:val="20"/>
      </w:rPr>
      <w:pict w14:anchorId="6BD8A11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8" type="#_x0000_t75" style="position:absolute;margin-left:-73.45pt;margin-top:54pt;width:213.85pt;height:38.05pt;z-index:-251658240;mso-position-vertical-relative:page">
          <v:imagedata r:id="rId1" o:title="uo_signature_green"/>
          <w10:wrap type="square" anchory="page"/>
          <w10:anchorlock/>
        </v:shape>
      </w:pict>
    </w:r>
  </w:p>
  <w:p w14:paraId="13E8D9DB" w14:textId="77777777" w:rsidR="00031B83" w:rsidRDefault="00031B83">
    <w:pPr>
      <w:rPr>
        <w:sz w:val="20"/>
      </w:rPr>
    </w:pPr>
  </w:p>
  <w:p w14:paraId="66FA523D" w14:textId="77777777" w:rsidR="00031B83" w:rsidRDefault="00031B83">
    <w:pPr>
      <w:pStyle w:val="OfficeorDepttitle"/>
      <w:rPr>
        <w:caps w:val="0"/>
      </w:rPr>
    </w:pPr>
    <w:r>
      <w:rPr>
        <w:caps w:val="0"/>
      </w:rPr>
      <w:t>College of Arts and Sciences</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209200B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89"/>
    <w:multiLevelType w:val="singleLevel"/>
    <w:tmpl w:val="A46EA5D4"/>
    <w:lvl w:ilvl="0">
      <w:start w:val="1"/>
      <w:numFmt w:val="bullet"/>
      <w:lvlText w:val=""/>
      <w:lvlJc w:val="left"/>
      <w:pPr>
        <w:tabs>
          <w:tab w:val="num" w:pos="360"/>
        </w:tabs>
        <w:ind w:left="360" w:hanging="360"/>
      </w:pPr>
      <w:rPr>
        <w:rFonts w:ascii="Symbol" w:hAnsi="Symbol" w:hint="default"/>
      </w:rPr>
    </w:lvl>
  </w:abstractNum>
  <w:abstractNum w:abstractNumId="2">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2"/>
    <w:multiLevelType w:val="singleLevel"/>
    <w:tmpl w:val="000F0409"/>
    <w:lvl w:ilvl="0">
      <w:start w:val="1"/>
      <w:numFmt w:val="decimal"/>
      <w:lvlText w:val="%1."/>
      <w:lvlJc w:val="left"/>
      <w:pPr>
        <w:tabs>
          <w:tab w:val="num" w:pos="360"/>
        </w:tabs>
        <w:ind w:left="360" w:hanging="360"/>
      </w:pPr>
    </w:lvl>
  </w:abstractNum>
  <w:abstractNum w:abstractNumId="4">
    <w:nsid w:val="00000003"/>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5">
    <w:nsid w:val="00000004"/>
    <w:multiLevelType w:val="singleLevel"/>
    <w:tmpl w:val="000F0409"/>
    <w:lvl w:ilvl="0">
      <w:start w:val="1"/>
      <w:numFmt w:val="decimal"/>
      <w:lvlText w:val="%1."/>
      <w:lvlJc w:val="left"/>
      <w:pPr>
        <w:tabs>
          <w:tab w:val="num" w:pos="360"/>
        </w:tabs>
        <w:ind w:left="360" w:hanging="360"/>
      </w:pPr>
    </w:lvl>
  </w:abstractNum>
  <w:abstractNum w:abstractNumId="6">
    <w:nsid w:val="2C0A4354"/>
    <w:multiLevelType w:val="hybridMultilevel"/>
    <w:tmpl w:val="552849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nsid w:val="35B942AB"/>
    <w:multiLevelType w:val="hybridMultilevel"/>
    <w:tmpl w:val="BB3CA7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6A7530F"/>
    <w:multiLevelType w:val="hybridMultilevel"/>
    <w:tmpl w:val="442CBB2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F845D80"/>
    <w:multiLevelType w:val="hybridMultilevel"/>
    <w:tmpl w:val="735895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B9A40D4"/>
    <w:multiLevelType w:val="hybridMultilevel"/>
    <w:tmpl w:val="442CBB2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5"/>
  </w:num>
  <w:num w:numId="4">
    <w:abstractNumId w:val="1"/>
  </w:num>
  <w:num w:numId="5">
    <w:abstractNumId w:val="0"/>
  </w:num>
  <w:num w:numId="6">
    <w:abstractNumId w:val="7"/>
  </w:num>
  <w:num w:numId="7">
    <w:abstractNumId w:val="8"/>
  </w:num>
  <w:num w:numId="8">
    <w:abstractNumId w:val="2"/>
  </w:num>
  <w:num w:numId="9">
    <w:abstractNumId w:val="9"/>
  </w:num>
  <w:num w:numId="10">
    <w:abstractNumId w:val="10"/>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doNotTrackMoves/>
  <w:defaultTabStop w:val="720"/>
  <w:displayHorizontalDrawingGridEvery w:val="0"/>
  <w:displayVerticalDrawingGridEvery w:val="0"/>
  <w:doNotUseMarginsForDrawingGridOrigin/>
  <w:noPunctuationKerning/>
  <w:characterSpacingControl w:val="doNotCompress"/>
  <w:hdrShapeDefaults>
    <o:shapedefaults v:ext="edit" spidmax="2062"/>
    <o:shapelayout v:ext="edit">
      <o:idmap v:ext="edit" data="2"/>
    </o:shapelayout>
  </w:hdrShapeDefaults>
  <w:footnotePr>
    <w:footnote w:id="-1"/>
    <w:footnote w:id="0"/>
    <w:footnote w:id="1"/>
  </w:footnotePr>
  <w:endnotePr>
    <w:endnote w:id="-1"/>
    <w:endnote w:id="0"/>
    <w:endnote w:id="1"/>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4"/>
  </w:compat>
  <w:rsids>
    <w:rsidRoot w:val="005909AA"/>
    <w:rsid w:val="00001BC3"/>
    <w:rsid w:val="00001C3A"/>
    <w:rsid w:val="00004F7F"/>
    <w:rsid w:val="000149FB"/>
    <w:rsid w:val="00015C15"/>
    <w:rsid w:val="0002025B"/>
    <w:rsid w:val="00021194"/>
    <w:rsid w:val="00031B83"/>
    <w:rsid w:val="00045369"/>
    <w:rsid w:val="000458A9"/>
    <w:rsid w:val="0004780B"/>
    <w:rsid w:val="00072C42"/>
    <w:rsid w:val="00073324"/>
    <w:rsid w:val="0008009C"/>
    <w:rsid w:val="000807E4"/>
    <w:rsid w:val="000854BC"/>
    <w:rsid w:val="00085912"/>
    <w:rsid w:val="000958D7"/>
    <w:rsid w:val="000A7AC5"/>
    <w:rsid w:val="000B1432"/>
    <w:rsid w:val="000B47C9"/>
    <w:rsid w:val="000C1E37"/>
    <w:rsid w:val="000D778D"/>
    <w:rsid w:val="000E4759"/>
    <w:rsid w:val="000F19BD"/>
    <w:rsid w:val="000F5C08"/>
    <w:rsid w:val="00101399"/>
    <w:rsid w:val="0010444C"/>
    <w:rsid w:val="00147FFE"/>
    <w:rsid w:val="00175F55"/>
    <w:rsid w:val="00181233"/>
    <w:rsid w:val="001848BA"/>
    <w:rsid w:val="001877AF"/>
    <w:rsid w:val="00194513"/>
    <w:rsid w:val="001A2C3F"/>
    <w:rsid w:val="001A704A"/>
    <w:rsid w:val="001B30AA"/>
    <w:rsid w:val="001B3787"/>
    <w:rsid w:val="001B601F"/>
    <w:rsid w:val="001B6115"/>
    <w:rsid w:val="001C32AF"/>
    <w:rsid w:val="001C3F76"/>
    <w:rsid w:val="001E0065"/>
    <w:rsid w:val="001E01DD"/>
    <w:rsid w:val="001E3037"/>
    <w:rsid w:val="001F1874"/>
    <w:rsid w:val="001F404E"/>
    <w:rsid w:val="00203636"/>
    <w:rsid w:val="00211382"/>
    <w:rsid w:val="00211F47"/>
    <w:rsid w:val="00217694"/>
    <w:rsid w:val="00222B35"/>
    <w:rsid w:val="00222E9B"/>
    <w:rsid w:val="002312C2"/>
    <w:rsid w:val="00233BD9"/>
    <w:rsid w:val="00236194"/>
    <w:rsid w:val="00246DBE"/>
    <w:rsid w:val="00252612"/>
    <w:rsid w:val="00253532"/>
    <w:rsid w:val="002775A8"/>
    <w:rsid w:val="00291723"/>
    <w:rsid w:val="0029519B"/>
    <w:rsid w:val="00297920"/>
    <w:rsid w:val="002A33E3"/>
    <w:rsid w:val="002A61D1"/>
    <w:rsid w:val="002A6253"/>
    <w:rsid w:val="002B7878"/>
    <w:rsid w:val="002C01F9"/>
    <w:rsid w:val="002C037D"/>
    <w:rsid w:val="002C5556"/>
    <w:rsid w:val="002D6E4F"/>
    <w:rsid w:val="002F0D2F"/>
    <w:rsid w:val="002F30B1"/>
    <w:rsid w:val="002F3D7D"/>
    <w:rsid w:val="00302A8B"/>
    <w:rsid w:val="003067E7"/>
    <w:rsid w:val="0033063B"/>
    <w:rsid w:val="00340E50"/>
    <w:rsid w:val="003422C6"/>
    <w:rsid w:val="00344B6A"/>
    <w:rsid w:val="00353978"/>
    <w:rsid w:val="00363AB6"/>
    <w:rsid w:val="00380894"/>
    <w:rsid w:val="00380E8A"/>
    <w:rsid w:val="003819AC"/>
    <w:rsid w:val="003918FA"/>
    <w:rsid w:val="00393FDC"/>
    <w:rsid w:val="003A1031"/>
    <w:rsid w:val="003A31E9"/>
    <w:rsid w:val="003A33E4"/>
    <w:rsid w:val="003A563E"/>
    <w:rsid w:val="003A705D"/>
    <w:rsid w:val="003B5427"/>
    <w:rsid w:val="003C67C6"/>
    <w:rsid w:val="00413880"/>
    <w:rsid w:val="004144EE"/>
    <w:rsid w:val="00414A8D"/>
    <w:rsid w:val="004170C0"/>
    <w:rsid w:val="00421E94"/>
    <w:rsid w:val="00423ECD"/>
    <w:rsid w:val="00423F00"/>
    <w:rsid w:val="004265BE"/>
    <w:rsid w:val="00444799"/>
    <w:rsid w:val="00452D51"/>
    <w:rsid w:val="00453DEF"/>
    <w:rsid w:val="00454821"/>
    <w:rsid w:val="00461922"/>
    <w:rsid w:val="00462526"/>
    <w:rsid w:val="004671AC"/>
    <w:rsid w:val="00474E4C"/>
    <w:rsid w:val="004822F0"/>
    <w:rsid w:val="004823CF"/>
    <w:rsid w:val="00485DAD"/>
    <w:rsid w:val="004909B7"/>
    <w:rsid w:val="00490BEA"/>
    <w:rsid w:val="004929ED"/>
    <w:rsid w:val="004967DD"/>
    <w:rsid w:val="00497D7F"/>
    <w:rsid w:val="004A56F6"/>
    <w:rsid w:val="004C3EC1"/>
    <w:rsid w:val="004C4D7F"/>
    <w:rsid w:val="004D36FD"/>
    <w:rsid w:val="004D4385"/>
    <w:rsid w:val="004D5398"/>
    <w:rsid w:val="004E727D"/>
    <w:rsid w:val="004F1F58"/>
    <w:rsid w:val="00503604"/>
    <w:rsid w:val="00513B68"/>
    <w:rsid w:val="0051420B"/>
    <w:rsid w:val="0052168E"/>
    <w:rsid w:val="0052513C"/>
    <w:rsid w:val="00527305"/>
    <w:rsid w:val="00535A21"/>
    <w:rsid w:val="00541E55"/>
    <w:rsid w:val="00543AEF"/>
    <w:rsid w:val="00543EB7"/>
    <w:rsid w:val="00544185"/>
    <w:rsid w:val="005473D8"/>
    <w:rsid w:val="00550605"/>
    <w:rsid w:val="0056606C"/>
    <w:rsid w:val="0058086A"/>
    <w:rsid w:val="005854BE"/>
    <w:rsid w:val="005909AA"/>
    <w:rsid w:val="005A0FCE"/>
    <w:rsid w:val="005A1C3D"/>
    <w:rsid w:val="005A534C"/>
    <w:rsid w:val="005A77D3"/>
    <w:rsid w:val="005C3D3C"/>
    <w:rsid w:val="005D6364"/>
    <w:rsid w:val="005F1542"/>
    <w:rsid w:val="005F50D2"/>
    <w:rsid w:val="00606CD2"/>
    <w:rsid w:val="00622CA2"/>
    <w:rsid w:val="00643B03"/>
    <w:rsid w:val="00653FEA"/>
    <w:rsid w:val="00654203"/>
    <w:rsid w:val="00655824"/>
    <w:rsid w:val="0065660C"/>
    <w:rsid w:val="006655A1"/>
    <w:rsid w:val="00680A2D"/>
    <w:rsid w:val="00680B6C"/>
    <w:rsid w:val="006910A5"/>
    <w:rsid w:val="006930AD"/>
    <w:rsid w:val="006A08EB"/>
    <w:rsid w:val="006B5AC4"/>
    <w:rsid w:val="006C388D"/>
    <w:rsid w:val="006C48BB"/>
    <w:rsid w:val="006D51C6"/>
    <w:rsid w:val="006D66E7"/>
    <w:rsid w:val="006E1797"/>
    <w:rsid w:val="006E2B11"/>
    <w:rsid w:val="006F41BF"/>
    <w:rsid w:val="006F71C3"/>
    <w:rsid w:val="00702433"/>
    <w:rsid w:val="00704BC9"/>
    <w:rsid w:val="007333E9"/>
    <w:rsid w:val="00734BE6"/>
    <w:rsid w:val="0074517D"/>
    <w:rsid w:val="00745821"/>
    <w:rsid w:val="007605B7"/>
    <w:rsid w:val="00762208"/>
    <w:rsid w:val="00775603"/>
    <w:rsid w:val="00784691"/>
    <w:rsid w:val="0079351B"/>
    <w:rsid w:val="0079585A"/>
    <w:rsid w:val="007A173F"/>
    <w:rsid w:val="007A217C"/>
    <w:rsid w:val="007A309D"/>
    <w:rsid w:val="007A7F37"/>
    <w:rsid w:val="007B0A14"/>
    <w:rsid w:val="007C4616"/>
    <w:rsid w:val="007E501B"/>
    <w:rsid w:val="007E6699"/>
    <w:rsid w:val="007F3F64"/>
    <w:rsid w:val="00804661"/>
    <w:rsid w:val="00830717"/>
    <w:rsid w:val="00831A90"/>
    <w:rsid w:val="00853FFB"/>
    <w:rsid w:val="00855FC9"/>
    <w:rsid w:val="00861DBF"/>
    <w:rsid w:val="00864ED3"/>
    <w:rsid w:val="00867814"/>
    <w:rsid w:val="0087086E"/>
    <w:rsid w:val="008803DE"/>
    <w:rsid w:val="00885172"/>
    <w:rsid w:val="008A6CB2"/>
    <w:rsid w:val="008C04B1"/>
    <w:rsid w:val="008C0C5E"/>
    <w:rsid w:val="008C1B59"/>
    <w:rsid w:val="008D7998"/>
    <w:rsid w:val="008E11BA"/>
    <w:rsid w:val="008E2185"/>
    <w:rsid w:val="008E7236"/>
    <w:rsid w:val="00900BB5"/>
    <w:rsid w:val="00905846"/>
    <w:rsid w:val="009079DC"/>
    <w:rsid w:val="00913C8F"/>
    <w:rsid w:val="009233BD"/>
    <w:rsid w:val="0092457E"/>
    <w:rsid w:val="00931828"/>
    <w:rsid w:val="00940888"/>
    <w:rsid w:val="00971031"/>
    <w:rsid w:val="009723CE"/>
    <w:rsid w:val="0098558E"/>
    <w:rsid w:val="00986032"/>
    <w:rsid w:val="009928F7"/>
    <w:rsid w:val="009A61C3"/>
    <w:rsid w:val="009B18E6"/>
    <w:rsid w:val="009C50E6"/>
    <w:rsid w:val="009C76C6"/>
    <w:rsid w:val="009D4B34"/>
    <w:rsid w:val="009D51A1"/>
    <w:rsid w:val="009E66ED"/>
    <w:rsid w:val="009F256B"/>
    <w:rsid w:val="00A036A7"/>
    <w:rsid w:val="00A12320"/>
    <w:rsid w:val="00A159DD"/>
    <w:rsid w:val="00A23A4F"/>
    <w:rsid w:val="00A24C36"/>
    <w:rsid w:val="00A30CD8"/>
    <w:rsid w:val="00A33BD7"/>
    <w:rsid w:val="00A4318E"/>
    <w:rsid w:val="00A440AC"/>
    <w:rsid w:val="00A539BA"/>
    <w:rsid w:val="00A552FC"/>
    <w:rsid w:val="00A604F1"/>
    <w:rsid w:val="00A6306F"/>
    <w:rsid w:val="00A675AD"/>
    <w:rsid w:val="00A76250"/>
    <w:rsid w:val="00A85326"/>
    <w:rsid w:val="00A853D0"/>
    <w:rsid w:val="00A864D1"/>
    <w:rsid w:val="00A9624B"/>
    <w:rsid w:val="00AA4F2A"/>
    <w:rsid w:val="00AC6C65"/>
    <w:rsid w:val="00AD479F"/>
    <w:rsid w:val="00AD6BFD"/>
    <w:rsid w:val="00AE1C45"/>
    <w:rsid w:val="00AE3847"/>
    <w:rsid w:val="00AE4741"/>
    <w:rsid w:val="00B020CC"/>
    <w:rsid w:val="00B1018E"/>
    <w:rsid w:val="00B12290"/>
    <w:rsid w:val="00B17053"/>
    <w:rsid w:val="00B27EE2"/>
    <w:rsid w:val="00B31B41"/>
    <w:rsid w:val="00B36F88"/>
    <w:rsid w:val="00B429E1"/>
    <w:rsid w:val="00B47C3E"/>
    <w:rsid w:val="00B60DEB"/>
    <w:rsid w:val="00B6148D"/>
    <w:rsid w:val="00B70BD0"/>
    <w:rsid w:val="00B75667"/>
    <w:rsid w:val="00B81934"/>
    <w:rsid w:val="00B85DE5"/>
    <w:rsid w:val="00B85E81"/>
    <w:rsid w:val="00B908EB"/>
    <w:rsid w:val="00B929C7"/>
    <w:rsid w:val="00B9705D"/>
    <w:rsid w:val="00BA0F90"/>
    <w:rsid w:val="00BA75E7"/>
    <w:rsid w:val="00BB147A"/>
    <w:rsid w:val="00BB61DD"/>
    <w:rsid w:val="00BC0BF7"/>
    <w:rsid w:val="00BC2523"/>
    <w:rsid w:val="00BC3D46"/>
    <w:rsid w:val="00BD0A40"/>
    <w:rsid w:val="00BD4814"/>
    <w:rsid w:val="00BD7476"/>
    <w:rsid w:val="00BE65FD"/>
    <w:rsid w:val="00BF3ACF"/>
    <w:rsid w:val="00C12D1D"/>
    <w:rsid w:val="00C15D8C"/>
    <w:rsid w:val="00C347F4"/>
    <w:rsid w:val="00C35838"/>
    <w:rsid w:val="00C35CC7"/>
    <w:rsid w:val="00C371AB"/>
    <w:rsid w:val="00C47537"/>
    <w:rsid w:val="00C50B2B"/>
    <w:rsid w:val="00C66777"/>
    <w:rsid w:val="00C67133"/>
    <w:rsid w:val="00C76F08"/>
    <w:rsid w:val="00C85141"/>
    <w:rsid w:val="00C8540B"/>
    <w:rsid w:val="00C863A4"/>
    <w:rsid w:val="00C87569"/>
    <w:rsid w:val="00C908D0"/>
    <w:rsid w:val="00CA04D5"/>
    <w:rsid w:val="00CA2957"/>
    <w:rsid w:val="00CA640F"/>
    <w:rsid w:val="00CA6F55"/>
    <w:rsid w:val="00CC2AAE"/>
    <w:rsid w:val="00CC2BC8"/>
    <w:rsid w:val="00CC4A65"/>
    <w:rsid w:val="00CC637A"/>
    <w:rsid w:val="00CD1190"/>
    <w:rsid w:val="00CD37EE"/>
    <w:rsid w:val="00CD4CAA"/>
    <w:rsid w:val="00CE3682"/>
    <w:rsid w:val="00D00BD6"/>
    <w:rsid w:val="00D1572D"/>
    <w:rsid w:val="00D2238A"/>
    <w:rsid w:val="00D23C12"/>
    <w:rsid w:val="00D24E1A"/>
    <w:rsid w:val="00D25A03"/>
    <w:rsid w:val="00D3337B"/>
    <w:rsid w:val="00D4460F"/>
    <w:rsid w:val="00D5349B"/>
    <w:rsid w:val="00D6047B"/>
    <w:rsid w:val="00D7672D"/>
    <w:rsid w:val="00D81F3A"/>
    <w:rsid w:val="00D82108"/>
    <w:rsid w:val="00D8519B"/>
    <w:rsid w:val="00D95EFA"/>
    <w:rsid w:val="00DA4D7B"/>
    <w:rsid w:val="00DB3445"/>
    <w:rsid w:val="00DB34E0"/>
    <w:rsid w:val="00DB4A94"/>
    <w:rsid w:val="00DB6746"/>
    <w:rsid w:val="00DD0949"/>
    <w:rsid w:val="00DD1F96"/>
    <w:rsid w:val="00DD5F69"/>
    <w:rsid w:val="00DE6B5E"/>
    <w:rsid w:val="00DF1BE9"/>
    <w:rsid w:val="00DF5216"/>
    <w:rsid w:val="00E0022C"/>
    <w:rsid w:val="00E05E4C"/>
    <w:rsid w:val="00E17F87"/>
    <w:rsid w:val="00E30D59"/>
    <w:rsid w:val="00E32B8C"/>
    <w:rsid w:val="00E32CE9"/>
    <w:rsid w:val="00E4216B"/>
    <w:rsid w:val="00E53DC0"/>
    <w:rsid w:val="00E7130B"/>
    <w:rsid w:val="00E771BB"/>
    <w:rsid w:val="00E864CB"/>
    <w:rsid w:val="00E92AD1"/>
    <w:rsid w:val="00E95DD2"/>
    <w:rsid w:val="00EA42CB"/>
    <w:rsid w:val="00EA476A"/>
    <w:rsid w:val="00EB2561"/>
    <w:rsid w:val="00EB438B"/>
    <w:rsid w:val="00EB4488"/>
    <w:rsid w:val="00EB56AF"/>
    <w:rsid w:val="00EB6B4B"/>
    <w:rsid w:val="00ED1219"/>
    <w:rsid w:val="00ED300F"/>
    <w:rsid w:val="00EE2D7F"/>
    <w:rsid w:val="00EF0CE0"/>
    <w:rsid w:val="00EF224F"/>
    <w:rsid w:val="00EF50EE"/>
    <w:rsid w:val="00F065E5"/>
    <w:rsid w:val="00F06E0E"/>
    <w:rsid w:val="00F10650"/>
    <w:rsid w:val="00F147A1"/>
    <w:rsid w:val="00F425BE"/>
    <w:rsid w:val="00F816F0"/>
    <w:rsid w:val="00F8334B"/>
    <w:rsid w:val="00F8491F"/>
    <w:rsid w:val="00F852EF"/>
    <w:rsid w:val="00F90B58"/>
    <w:rsid w:val="00F90FE0"/>
    <w:rsid w:val="00FE0162"/>
    <w:rsid w:val="00FE29CE"/>
    <w:rsid w:val="00FF40A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62"/>
    <o:shapelayout v:ext="edit">
      <o:idmap v:ext="edit" data="1"/>
    </o:shapelayout>
  </w:shapeDefaults>
  <w:decimalSymbol w:val="."/>
  <w:listSeparator w:val=","/>
  <w14:docId w14:val="6002887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w:hAnsi="Times"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0"/>
    <w:lsdException w:name="Body Text" w:uiPriority="0"/>
    <w:lsdException w:name="Subtitle" w:semiHidden="0" w:uiPriority="11" w:unhideWhenUsed="0" w:qFormat="1"/>
    <w:lsdException w:name="Body Text 2" w:uiPriority="0"/>
    <w:lsdException w:name="Hyperlink" w:uiPriority="0"/>
    <w:lsdException w:name="Strong" w:semiHidden="0" w:uiPriority="22" w:unhideWhenUsed="0" w:qFormat="1"/>
    <w:lsdException w:name="Emphasis" w:semiHidden="0" w:uiPriority="20" w:unhideWhenUsed="0" w:qFormat="1"/>
    <w:lsdException w:name="Document Map" w:uiPriority="0"/>
    <w:lsdException w:name="Table Grid" w:semiHidden="0" w:uiPriority="59"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224F"/>
    <w:rPr>
      <w:rFonts w:ascii="Cambria" w:hAnsi="Cambri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ascii="Geneva" w:hAnsi="Geneva"/>
    </w:rPr>
  </w:style>
  <w:style w:type="paragraph" w:styleId="BodyText">
    <w:name w:val="Body Text"/>
    <w:basedOn w:val="Normal"/>
    <w:semiHidden/>
    <w:pPr>
      <w:suppressAutoHyphens/>
      <w:spacing w:line="290" w:lineRule="exact"/>
    </w:pPr>
    <w:rPr>
      <w:rFonts w:ascii="Melior" w:hAnsi="Melior"/>
      <w:kern w:val="20"/>
      <w:sz w:val="19"/>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paragraph" w:customStyle="1" w:styleId="OfficeorDepttitle">
    <w:name w:val="Office or Dept title"/>
    <w:pPr>
      <w:spacing w:after="40" w:line="264" w:lineRule="atLeast"/>
    </w:pPr>
    <w:rPr>
      <w:rFonts w:ascii="Arial Black" w:eastAsia="Times New Roman" w:hAnsi="Arial Black"/>
      <w:caps/>
      <w:color w:val="00754F"/>
      <w:spacing w:val="15"/>
      <w:sz w:val="13"/>
    </w:rPr>
  </w:style>
  <w:style w:type="character" w:styleId="Hyperlink">
    <w:name w:val="Hyperlink"/>
    <w:rsid w:val="00FE0162"/>
    <w:rPr>
      <w:color w:val="0000FF"/>
      <w:u w:val="single"/>
    </w:rPr>
  </w:style>
  <w:style w:type="paragraph" w:styleId="BalloonText">
    <w:name w:val="Balloon Text"/>
    <w:basedOn w:val="Normal"/>
    <w:link w:val="BalloonTextChar"/>
    <w:uiPriority w:val="99"/>
    <w:semiHidden/>
    <w:unhideWhenUsed/>
    <w:rsid w:val="006C388D"/>
    <w:rPr>
      <w:rFonts w:ascii="Tahoma" w:hAnsi="Tahoma" w:cs="Tahoma"/>
      <w:sz w:val="16"/>
      <w:szCs w:val="16"/>
    </w:rPr>
  </w:style>
  <w:style w:type="paragraph" w:styleId="BodyText2">
    <w:name w:val="Body Text 2"/>
    <w:basedOn w:val="Normal"/>
    <w:semiHidden/>
    <w:pPr>
      <w:jc w:val="right"/>
    </w:pPr>
    <w:rPr>
      <w:rFonts w:ascii="Arial" w:eastAsia="Times New Roman" w:hAnsi="Arial"/>
      <w:color w:val="00754F"/>
      <w:sz w:val="13"/>
    </w:rPr>
  </w:style>
  <w:style w:type="character" w:customStyle="1" w:styleId="BalloonTextChar">
    <w:name w:val="Balloon Text Char"/>
    <w:basedOn w:val="DefaultParagraphFont"/>
    <w:link w:val="BalloonText"/>
    <w:uiPriority w:val="99"/>
    <w:semiHidden/>
    <w:rsid w:val="006C388D"/>
    <w:rPr>
      <w:rFonts w:ascii="Tahoma" w:hAnsi="Tahoma" w:cs="Tahoma"/>
      <w:sz w:val="16"/>
      <w:szCs w:val="16"/>
    </w:rPr>
  </w:style>
  <w:style w:type="character" w:styleId="CommentReference">
    <w:name w:val="annotation reference"/>
    <w:basedOn w:val="DefaultParagraphFont"/>
    <w:uiPriority w:val="99"/>
    <w:semiHidden/>
    <w:unhideWhenUsed/>
    <w:rsid w:val="006A08EB"/>
    <w:rPr>
      <w:sz w:val="18"/>
      <w:szCs w:val="18"/>
    </w:rPr>
  </w:style>
  <w:style w:type="paragraph" w:styleId="CommentText">
    <w:name w:val="annotation text"/>
    <w:basedOn w:val="Normal"/>
    <w:link w:val="CommentTextChar"/>
    <w:uiPriority w:val="99"/>
    <w:semiHidden/>
    <w:unhideWhenUsed/>
    <w:rsid w:val="006A08EB"/>
    <w:rPr>
      <w:szCs w:val="24"/>
    </w:rPr>
  </w:style>
  <w:style w:type="character" w:customStyle="1" w:styleId="CommentTextChar">
    <w:name w:val="Comment Text Char"/>
    <w:basedOn w:val="DefaultParagraphFont"/>
    <w:link w:val="CommentText"/>
    <w:uiPriority w:val="99"/>
    <w:semiHidden/>
    <w:rsid w:val="006A08EB"/>
    <w:rPr>
      <w:rFonts w:ascii="Cambria" w:hAnsi="Cambria"/>
      <w:sz w:val="24"/>
      <w:szCs w:val="24"/>
    </w:rPr>
  </w:style>
  <w:style w:type="paragraph" w:styleId="CommentSubject">
    <w:name w:val="annotation subject"/>
    <w:basedOn w:val="CommentText"/>
    <w:next w:val="CommentText"/>
    <w:link w:val="CommentSubjectChar"/>
    <w:uiPriority w:val="99"/>
    <w:semiHidden/>
    <w:unhideWhenUsed/>
    <w:rsid w:val="006A08EB"/>
    <w:rPr>
      <w:b/>
      <w:bCs/>
      <w:sz w:val="20"/>
      <w:szCs w:val="20"/>
    </w:rPr>
  </w:style>
  <w:style w:type="character" w:customStyle="1" w:styleId="CommentSubjectChar">
    <w:name w:val="Comment Subject Char"/>
    <w:basedOn w:val="CommentTextChar"/>
    <w:link w:val="CommentSubject"/>
    <w:uiPriority w:val="99"/>
    <w:semiHidden/>
    <w:rsid w:val="006A08EB"/>
    <w:rPr>
      <w:rFonts w:ascii="Cambria" w:hAnsi="Cambria"/>
      <w:b/>
      <w:bCs/>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w:hAnsi="Times"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0"/>
    <w:lsdException w:name="Body Text" w:uiPriority="0"/>
    <w:lsdException w:name="Subtitle" w:semiHidden="0" w:uiPriority="11" w:unhideWhenUsed="0" w:qFormat="1"/>
    <w:lsdException w:name="Body Text 2" w:uiPriority="0"/>
    <w:lsdException w:name="Hyperlink" w:uiPriority="0"/>
    <w:lsdException w:name="Strong" w:semiHidden="0" w:uiPriority="22" w:unhideWhenUsed="0" w:qFormat="1"/>
    <w:lsdException w:name="Emphasis" w:semiHidden="0" w:uiPriority="20" w:unhideWhenUsed="0" w:qFormat="1"/>
    <w:lsdException w:name="Document Map" w:uiPriority="0"/>
    <w:lsdException w:name="Table Grid" w:semiHidden="0" w:uiPriority="59"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224F"/>
    <w:rPr>
      <w:rFonts w:ascii="Cambria" w:hAnsi="Cambri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ascii="Geneva" w:hAnsi="Geneva"/>
    </w:rPr>
  </w:style>
  <w:style w:type="paragraph" w:styleId="BodyText">
    <w:name w:val="Body Text"/>
    <w:basedOn w:val="Normal"/>
    <w:semiHidden/>
    <w:pPr>
      <w:suppressAutoHyphens/>
      <w:spacing w:line="290" w:lineRule="exact"/>
    </w:pPr>
    <w:rPr>
      <w:rFonts w:ascii="Melior" w:hAnsi="Melior"/>
      <w:kern w:val="20"/>
      <w:sz w:val="19"/>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paragraph" w:customStyle="1" w:styleId="OfficeorDepttitle">
    <w:name w:val="Office or Dept title"/>
    <w:pPr>
      <w:spacing w:after="40" w:line="264" w:lineRule="atLeast"/>
    </w:pPr>
    <w:rPr>
      <w:rFonts w:ascii="Arial Black" w:eastAsia="Times New Roman" w:hAnsi="Arial Black"/>
      <w:caps/>
      <w:color w:val="00754F"/>
      <w:spacing w:val="15"/>
      <w:sz w:val="13"/>
    </w:rPr>
  </w:style>
  <w:style w:type="character" w:styleId="Hyperlink">
    <w:name w:val="Hyperlink"/>
    <w:rsid w:val="00FE0162"/>
    <w:rPr>
      <w:color w:val="0000FF"/>
      <w:u w:val="single"/>
    </w:rPr>
  </w:style>
  <w:style w:type="paragraph" w:styleId="BalloonText">
    <w:name w:val="Balloon Text"/>
    <w:basedOn w:val="Normal"/>
    <w:link w:val="BalloonTextChar"/>
    <w:uiPriority w:val="99"/>
    <w:semiHidden/>
    <w:unhideWhenUsed/>
    <w:rsid w:val="006C388D"/>
    <w:rPr>
      <w:rFonts w:ascii="Tahoma" w:hAnsi="Tahoma" w:cs="Tahoma"/>
      <w:sz w:val="16"/>
      <w:szCs w:val="16"/>
    </w:rPr>
  </w:style>
  <w:style w:type="paragraph" w:styleId="BodyText2">
    <w:name w:val="Body Text 2"/>
    <w:basedOn w:val="Normal"/>
    <w:semiHidden/>
    <w:pPr>
      <w:jc w:val="right"/>
    </w:pPr>
    <w:rPr>
      <w:rFonts w:ascii="Arial" w:eastAsia="Times New Roman" w:hAnsi="Arial"/>
      <w:color w:val="00754F"/>
      <w:sz w:val="13"/>
    </w:rPr>
  </w:style>
  <w:style w:type="character" w:customStyle="1" w:styleId="BalloonTextChar">
    <w:name w:val="Balloon Text Char"/>
    <w:basedOn w:val="DefaultParagraphFont"/>
    <w:link w:val="BalloonText"/>
    <w:uiPriority w:val="99"/>
    <w:semiHidden/>
    <w:rsid w:val="006C388D"/>
    <w:rPr>
      <w:rFonts w:ascii="Tahoma" w:hAnsi="Tahoma" w:cs="Tahoma"/>
      <w:sz w:val="16"/>
      <w:szCs w:val="16"/>
    </w:rPr>
  </w:style>
  <w:style w:type="character" w:styleId="CommentReference">
    <w:name w:val="annotation reference"/>
    <w:basedOn w:val="DefaultParagraphFont"/>
    <w:uiPriority w:val="99"/>
    <w:semiHidden/>
    <w:unhideWhenUsed/>
    <w:rsid w:val="006A08EB"/>
    <w:rPr>
      <w:sz w:val="18"/>
      <w:szCs w:val="18"/>
    </w:rPr>
  </w:style>
  <w:style w:type="paragraph" w:styleId="CommentText">
    <w:name w:val="annotation text"/>
    <w:basedOn w:val="Normal"/>
    <w:link w:val="CommentTextChar"/>
    <w:uiPriority w:val="99"/>
    <w:semiHidden/>
    <w:unhideWhenUsed/>
    <w:rsid w:val="006A08EB"/>
    <w:rPr>
      <w:szCs w:val="24"/>
    </w:rPr>
  </w:style>
  <w:style w:type="character" w:customStyle="1" w:styleId="CommentTextChar">
    <w:name w:val="Comment Text Char"/>
    <w:basedOn w:val="DefaultParagraphFont"/>
    <w:link w:val="CommentText"/>
    <w:uiPriority w:val="99"/>
    <w:semiHidden/>
    <w:rsid w:val="006A08EB"/>
    <w:rPr>
      <w:rFonts w:ascii="Cambria" w:hAnsi="Cambria"/>
      <w:sz w:val="24"/>
      <w:szCs w:val="24"/>
    </w:rPr>
  </w:style>
  <w:style w:type="paragraph" w:styleId="CommentSubject">
    <w:name w:val="annotation subject"/>
    <w:basedOn w:val="CommentText"/>
    <w:next w:val="CommentText"/>
    <w:link w:val="CommentSubjectChar"/>
    <w:uiPriority w:val="99"/>
    <w:semiHidden/>
    <w:unhideWhenUsed/>
    <w:rsid w:val="006A08EB"/>
    <w:rPr>
      <w:b/>
      <w:bCs/>
      <w:sz w:val="20"/>
      <w:szCs w:val="20"/>
    </w:rPr>
  </w:style>
  <w:style w:type="character" w:customStyle="1" w:styleId="CommentSubjectChar">
    <w:name w:val="Comment Subject Char"/>
    <w:basedOn w:val="CommentTextChar"/>
    <w:link w:val="CommentSubject"/>
    <w:uiPriority w:val="99"/>
    <w:semiHidden/>
    <w:rsid w:val="006A08EB"/>
    <w:rPr>
      <w:rFonts w:ascii="Cambria" w:hAnsi="Cambria"/>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23987546">
      <w:bodyDiv w:val="1"/>
      <w:marLeft w:val="0"/>
      <w:marRight w:val="0"/>
      <w:marTop w:val="0"/>
      <w:marBottom w:val="0"/>
      <w:divBdr>
        <w:top w:val="none" w:sz="0" w:space="0" w:color="auto"/>
        <w:left w:val="none" w:sz="0" w:space="0" w:color="auto"/>
        <w:bottom w:val="none" w:sz="0" w:space="0" w:color="auto"/>
        <w:right w:val="none" w:sz="0" w:space="0" w:color="auto"/>
      </w:divBdr>
    </w:div>
    <w:div w:id="1657027120">
      <w:bodyDiv w:val="1"/>
      <w:marLeft w:val="0"/>
      <w:marRight w:val="0"/>
      <w:marTop w:val="0"/>
      <w:marBottom w:val="0"/>
      <w:divBdr>
        <w:top w:val="none" w:sz="0" w:space="0" w:color="auto"/>
        <w:left w:val="none" w:sz="0" w:space="0" w:color="auto"/>
        <w:bottom w:val="none" w:sz="0" w:space="0" w:color="auto"/>
        <w:right w:val="none" w:sz="0" w:space="0" w:color="auto"/>
      </w:divBdr>
    </w:div>
    <w:div w:id="1955945325">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80AB43-68E9-8746-8295-840FAF0CBA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2</Pages>
  <Words>787</Words>
  <Characters>4402</Characters>
  <Application>Microsoft Macintosh Word</Application>
  <DocSecurity>0</DocSecurity>
  <Lines>93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5169</CharactersWithSpaces>
  <SharedDoc>false</SharedDoc>
  <HyperlinkBase/>
  <HLinks>
    <vt:vector size="6" baseType="variant">
      <vt:variant>
        <vt:i4>6684771</vt:i4>
      </vt:variant>
      <vt:variant>
        <vt:i4>-1</vt:i4>
      </vt:variant>
      <vt:variant>
        <vt:i4>2058</vt:i4>
      </vt:variant>
      <vt:variant>
        <vt:i4>1</vt:i4>
      </vt:variant>
      <vt:variant>
        <vt:lpwstr>uo_signature_green</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CAS Dean's Office</dc:creator>
  <cp:lastModifiedBy>Ian McNeely</cp:lastModifiedBy>
  <cp:revision>10</cp:revision>
  <cp:lastPrinted>2015-05-06T17:01:00Z</cp:lastPrinted>
  <dcterms:created xsi:type="dcterms:W3CDTF">2015-05-07T22:47:00Z</dcterms:created>
  <dcterms:modified xsi:type="dcterms:W3CDTF">2015-05-13T22:37:00Z</dcterms:modified>
</cp:coreProperties>
</file>