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895F7D" w14:textId="77777777" w:rsidR="00D770EC" w:rsidRPr="00323E00" w:rsidRDefault="00D770EC" w:rsidP="00D770EC">
      <w:pPr>
        <w:rPr>
          <w:b/>
          <w:color w:val="000000" w:themeColor="text1"/>
        </w:rPr>
      </w:pPr>
      <w:bookmarkStart w:id="0" w:name="_GoBack"/>
      <w:bookmarkEnd w:id="0"/>
      <w:r w:rsidRPr="00323E00">
        <w:rPr>
          <w:b/>
          <w:color w:val="000000" w:themeColor="text1"/>
        </w:rPr>
        <w:t>I.</w:t>
      </w:r>
      <w:r w:rsidRPr="00323E00">
        <w:rPr>
          <w:b/>
          <w:color w:val="000000" w:themeColor="text1"/>
        </w:rPr>
        <w:tab/>
        <w:t>Preamble</w:t>
      </w:r>
    </w:p>
    <w:p w14:paraId="7620FAF3" w14:textId="77777777" w:rsidR="00D770EC" w:rsidRPr="00323E00" w:rsidRDefault="00D770EC" w:rsidP="00D770EC">
      <w:pPr>
        <w:jc w:val="both"/>
        <w:rPr>
          <w:color w:val="000000" w:themeColor="text1"/>
        </w:rPr>
      </w:pPr>
    </w:p>
    <w:p w14:paraId="1C6474F4" w14:textId="7EE95992" w:rsidR="00D30A6B" w:rsidRPr="00D30A6B" w:rsidRDefault="00D30A6B" w:rsidP="000D70B4">
      <w:pPr>
        <w:widowControl w:val="0"/>
        <w:autoSpaceDE w:val="0"/>
        <w:autoSpaceDN w:val="0"/>
        <w:adjustRightInd w:val="0"/>
        <w:ind w:left="720"/>
        <w:rPr>
          <w:rFonts w:cs="Calibri"/>
          <w:color w:val="4F81BD" w:themeColor="accent1"/>
        </w:rPr>
      </w:pPr>
      <w:r w:rsidRPr="00D30A6B">
        <w:rPr>
          <w:rFonts w:cs="Calibri"/>
          <w:color w:val="4F81BD" w:themeColor="accent1"/>
        </w:rPr>
        <w:t xml:space="preserve">Dean’s Guidance: </w:t>
      </w:r>
      <w:r w:rsidR="00524358">
        <w:rPr>
          <w:rFonts w:cs="Calibri"/>
          <w:color w:val="4F81BD" w:themeColor="accent1"/>
        </w:rPr>
        <w:t>Departments may wish to adopt this paragraph without changes.</w:t>
      </w:r>
    </w:p>
    <w:p w14:paraId="54E76F9C" w14:textId="77777777" w:rsidR="00D30A6B" w:rsidRDefault="00D30A6B" w:rsidP="000D70B4">
      <w:pPr>
        <w:widowControl w:val="0"/>
        <w:autoSpaceDE w:val="0"/>
        <w:autoSpaceDN w:val="0"/>
        <w:adjustRightInd w:val="0"/>
        <w:ind w:left="720"/>
        <w:rPr>
          <w:rFonts w:cs="Calibri"/>
        </w:rPr>
      </w:pPr>
    </w:p>
    <w:p w14:paraId="327047DB" w14:textId="52ABC829" w:rsidR="00D770EC" w:rsidRDefault="00A4655B" w:rsidP="000D70B4">
      <w:pPr>
        <w:widowControl w:val="0"/>
        <w:autoSpaceDE w:val="0"/>
        <w:autoSpaceDN w:val="0"/>
        <w:adjustRightInd w:val="0"/>
        <w:ind w:left="720"/>
        <w:rPr>
          <w:rFonts w:cs="Calibri"/>
        </w:rPr>
      </w:pPr>
      <w:r>
        <w:rPr>
          <w:rFonts w:cs="Calibri"/>
        </w:rPr>
        <w:t xml:space="preserve">Tenure-track faculty (TTF) </w:t>
      </w:r>
      <w:r w:rsidR="00D265FF">
        <w:rPr>
          <w:color w:val="000000" w:themeColor="text1"/>
        </w:rPr>
        <w:t xml:space="preserve">are expected to attain—and maintain—a full spectrum of accomplishment in research, teaching, and service. They </w:t>
      </w:r>
      <w:r w:rsidR="00135C85">
        <w:rPr>
          <w:rFonts w:cs="Calibri"/>
        </w:rPr>
        <w:t xml:space="preserve">are </w:t>
      </w:r>
      <w:r w:rsidR="001D6976">
        <w:rPr>
          <w:rFonts w:cs="Calibri"/>
        </w:rPr>
        <w:t xml:space="preserve">evaluated according </w:t>
      </w:r>
      <w:r w:rsidR="00135C85">
        <w:rPr>
          <w:rFonts w:cs="Calibri"/>
        </w:rPr>
        <w:t xml:space="preserve">to </w:t>
      </w:r>
      <w:r w:rsidR="00B231A6">
        <w:rPr>
          <w:rFonts w:cs="Calibri"/>
        </w:rPr>
        <w:t>r</w:t>
      </w:r>
      <w:r w:rsidR="00B231A6">
        <w:rPr>
          <w:color w:val="000000" w:themeColor="text1"/>
        </w:rPr>
        <w:t>igorous academic standards</w:t>
      </w:r>
      <w:r w:rsidR="00135C85">
        <w:rPr>
          <w:color w:val="000000" w:themeColor="text1"/>
        </w:rPr>
        <w:t xml:space="preserve"> </w:t>
      </w:r>
      <w:r w:rsidR="001D6976">
        <w:rPr>
          <w:color w:val="000000" w:themeColor="text1"/>
        </w:rPr>
        <w:t xml:space="preserve">typical of other </w:t>
      </w:r>
      <w:r w:rsidR="00B231A6">
        <w:rPr>
          <w:color w:val="000000" w:themeColor="text1"/>
        </w:rPr>
        <w:t xml:space="preserve">major American research universities. The </w:t>
      </w:r>
      <w:r w:rsidR="00135C85">
        <w:rPr>
          <w:color w:val="000000" w:themeColor="text1"/>
        </w:rPr>
        <w:t xml:space="preserve">occupational security </w:t>
      </w:r>
      <w:r w:rsidR="00541A36">
        <w:rPr>
          <w:color w:val="000000" w:themeColor="text1"/>
        </w:rPr>
        <w:t xml:space="preserve">and flexibility </w:t>
      </w:r>
      <w:r w:rsidR="00B231A6">
        <w:rPr>
          <w:color w:val="000000" w:themeColor="text1"/>
        </w:rPr>
        <w:t xml:space="preserve">that TTF enjoy reflect </w:t>
      </w:r>
      <w:r w:rsidR="00B231A6">
        <w:rPr>
          <w:rFonts w:cs="Calibri"/>
        </w:rPr>
        <w:t>the combination of sustained</w:t>
      </w:r>
      <w:r w:rsidR="00A14D6B">
        <w:rPr>
          <w:rFonts w:cs="Calibri"/>
        </w:rPr>
        <w:t>, disciplined</w:t>
      </w:r>
      <w:r w:rsidR="00B231A6">
        <w:rPr>
          <w:rFonts w:cs="Calibri"/>
        </w:rPr>
        <w:t xml:space="preserve"> effort and intellectual freedom indispensable </w:t>
      </w:r>
      <w:r w:rsidR="009D46BE">
        <w:rPr>
          <w:rFonts w:cs="Calibri"/>
        </w:rPr>
        <w:t>to</w:t>
      </w:r>
      <w:r w:rsidR="00B231A6">
        <w:rPr>
          <w:rFonts w:cs="Calibri"/>
        </w:rPr>
        <w:t xml:space="preserve"> the creation </w:t>
      </w:r>
      <w:r w:rsidR="002D325A">
        <w:rPr>
          <w:rFonts w:cs="Calibri"/>
        </w:rPr>
        <w:t xml:space="preserve">and dissemination </w:t>
      </w:r>
      <w:r w:rsidR="00B231A6">
        <w:rPr>
          <w:rFonts w:cs="Calibri"/>
        </w:rPr>
        <w:t xml:space="preserve">of </w:t>
      </w:r>
      <w:r w:rsidR="00040B2A">
        <w:rPr>
          <w:rFonts w:cs="Calibri"/>
        </w:rPr>
        <w:t>new knowledge</w:t>
      </w:r>
      <w:r w:rsidR="00CA2182">
        <w:rPr>
          <w:rFonts w:cs="Calibri"/>
        </w:rPr>
        <w:t xml:space="preserve">, which are cardinal </w:t>
      </w:r>
      <w:r w:rsidR="00F53BED">
        <w:rPr>
          <w:rFonts w:cs="Calibri"/>
        </w:rPr>
        <w:t xml:space="preserve">missions </w:t>
      </w:r>
      <w:r w:rsidR="00CA2182">
        <w:rPr>
          <w:rFonts w:cs="Calibri"/>
        </w:rPr>
        <w:t>of any research university.</w:t>
      </w:r>
    </w:p>
    <w:p w14:paraId="663B0A67" w14:textId="77777777" w:rsidR="000D70B4" w:rsidRPr="000D70B4" w:rsidRDefault="000D70B4" w:rsidP="000D70B4">
      <w:pPr>
        <w:widowControl w:val="0"/>
        <w:autoSpaceDE w:val="0"/>
        <w:autoSpaceDN w:val="0"/>
        <w:adjustRightInd w:val="0"/>
        <w:ind w:left="720"/>
        <w:rPr>
          <w:rFonts w:cs="Calibri"/>
        </w:rPr>
      </w:pPr>
    </w:p>
    <w:p w14:paraId="4E7D4B19" w14:textId="1B80FB34" w:rsidR="00300BA0" w:rsidRPr="00323E00" w:rsidRDefault="00300BA0" w:rsidP="00B70949">
      <w:pPr>
        <w:rPr>
          <w:color w:val="000000" w:themeColor="text1"/>
        </w:rPr>
      </w:pPr>
    </w:p>
    <w:p w14:paraId="18817520" w14:textId="133375C0" w:rsidR="00D770EC" w:rsidRPr="00323E00" w:rsidRDefault="00D770EC" w:rsidP="00D770EC">
      <w:pPr>
        <w:rPr>
          <w:b/>
          <w:color w:val="000000" w:themeColor="text1"/>
        </w:rPr>
      </w:pPr>
      <w:r w:rsidRPr="00323E00">
        <w:rPr>
          <w:b/>
          <w:color w:val="000000" w:themeColor="text1"/>
        </w:rPr>
        <w:t>II.</w:t>
      </w:r>
      <w:r w:rsidRPr="00323E00">
        <w:rPr>
          <w:b/>
          <w:color w:val="000000" w:themeColor="text1"/>
        </w:rPr>
        <w:tab/>
        <w:t xml:space="preserve">Workload expectations for </w:t>
      </w:r>
      <w:r w:rsidR="00A4655B">
        <w:rPr>
          <w:b/>
          <w:color w:val="000000" w:themeColor="text1"/>
        </w:rPr>
        <w:t>TTF</w:t>
      </w:r>
    </w:p>
    <w:p w14:paraId="15652C99" w14:textId="77777777" w:rsidR="00CA31AB" w:rsidRPr="00CA31AB" w:rsidRDefault="00CA31AB" w:rsidP="00CA31AB">
      <w:pPr>
        <w:rPr>
          <w:color w:val="000000" w:themeColor="text1"/>
          <w:u w:val="single"/>
        </w:rPr>
      </w:pPr>
    </w:p>
    <w:p w14:paraId="56B4BEAF" w14:textId="361BD4F1" w:rsidR="00D30A6B" w:rsidRDefault="00D30A6B" w:rsidP="00FF70C3">
      <w:pPr>
        <w:ind w:left="720"/>
        <w:rPr>
          <w:color w:val="000000" w:themeColor="text1"/>
        </w:rPr>
      </w:pPr>
      <w:r w:rsidRPr="00D30A6B">
        <w:rPr>
          <w:rFonts w:cs="Calibri"/>
          <w:color w:val="4F81BD" w:themeColor="accent1"/>
        </w:rPr>
        <w:t>Dean’s Guidance:</w:t>
      </w:r>
      <w:r>
        <w:rPr>
          <w:rFonts w:cs="Calibri"/>
          <w:color w:val="4F81BD" w:themeColor="accent1"/>
        </w:rPr>
        <w:t xml:space="preserve"> </w:t>
      </w:r>
      <w:r w:rsidR="00FF70C3">
        <w:rPr>
          <w:rFonts w:cs="Calibri"/>
          <w:color w:val="4F81BD" w:themeColor="accent1"/>
        </w:rPr>
        <w:t xml:space="preserve">Departments </w:t>
      </w:r>
      <w:r w:rsidR="00FF70C3" w:rsidRPr="00524358">
        <w:rPr>
          <w:rFonts w:cs="Calibri"/>
          <w:i/>
          <w:color w:val="4F81BD" w:themeColor="accent1"/>
        </w:rPr>
        <w:t>may modify the percentages in the final sentence below</w:t>
      </w:r>
      <w:r w:rsidR="00FF70C3">
        <w:rPr>
          <w:rFonts w:cs="Calibri"/>
          <w:color w:val="4F81BD" w:themeColor="accent1"/>
        </w:rPr>
        <w:t xml:space="preserve">. </w:t>
      </w:r>
      <w:r w:rsidR="006E302E" w:rsidRPr="006E302E">
        <w:rPr>
          <w:rFonts w:cs="Calibri"/>
          <w:color w:val="4F81BD" w:themeColor="accent1"/>
        </w:rPr>
        <w:t xml:space="preserve">These percentages </w:t>
      </w:r>
      <w:r w:rsidR="00DB032F">
        <w:rPr>
          <w:rFonts w:cs="Calibri"/>
          <w:color w:val="4F81BD" w:themeColor="accent1"/>
        </w:rPr>
        <w:t xml:space="preserve">need </w:t>
      </w:r>
      <w:r w:rsidR="006E302E" w:rsidRPr="006E302E">
        <w:rPr>
          <w:rFonts w:cs="Calibri"/>
          <w:color w:val="4F81BD" w:themeColor="accent1"/>
        </w:rPr>
        <w:t xml:space="preserve">not correspond to </w:t>
      </w:r>
      <w:r w:rsidR="0028168B">
        <w:rPr>
          <w:rFonts w:cs="Calibri"/>
          <w:color w:val="4F81BD" w:themeColor="accent1"/>
        </w:rPr>
        <w:t xml:space="preserve">those </w:t>
      </w:r>
      <w:r w:rsidR="006E302E" w:rsidRPr="006E302E">
        <w:rPr>
          <w:rFonts w:cs="Calibri"/>
          <w:color w:val="4F81BD" w:themeColor="accent1"/>
        </w:rPr>
        <w:t xml:space="preserve">used to calculate merit increases </w:t>
      </w:r>
      <w:r w:rsidR="0026098E">
        <w:rPr>
          <w:rFonts w:cs="Calibri"/>
          <w:color w:val="4F81BD" w:themeColor="accent1"/>
        </w:rPr>
        <w:t xml:space="preserve">since </w:t>
      </w:r>
      <w:r w:rsidR="006E302E" w:rsidRPr="006E302E">
        <w:rPr>
          <w:rFonts w:cs="Calibri"/>
          <w:color w:val="4F81BD" w:themeColor="accent1"/>
        </w:rPr>
        <w:t xml:space="preserve">merit does not always correlate with </w:t>
      </w:r>
      <w:r w:rsidR="00FF70C3">
        <w:rPr>
          <w:rFonts w:cs="Calibri"/>
          <w:color w:val="4F81BD" w:themeColor="accent1"/>
        </w:rPr>
        <w:t>effort expended</w:t>
      </w:r>
      <w:r w:rsidR="006E302E" w:rsidRPr="006E302E">
        <w:rPr>
          <w:rFonts w:cs="Calibri"/>
          <w:color w:val="4F81BD" w:themeColor="accent1"/>
        </w:rPr>
        <w:t>.</w:t>
      </w:r>
      <w:r w:rsidR="00561CC6">
        <w:rPr>
          <w:rFonts w:cs="Calibri"/>
          <w:color w:val="4F81BD" w:themeColor="accent1"/>
        </w:rPr>
        <w:t xml:space="preserve"> </w:t>
      </w:r>
      <w:r w:rsidR="0039450C">
        <w:rPr>
          <w:rFonts w:cs="Calibri"/>
          <w:color w:val="4F81BD" w:themeColor="accent1"/>
        </w:rPr>
        <w:t>If they choose</w:t>
      </w:r>
      <w:r w:rsidR="00561CC6">
        <w:rPr>
          <w:rFonts w:cs="Calibri"/>
          <w:color w:val="4F81BD" w:themeColor="accent1"/>
        </w:rPr>
        <w:t>, departments may vary percentage</w:t>
      </w:r>
      <w:r w:rsidR="00FF70C3">
        <w:rPr>
          <w:rFonts w:cs="Calibri"/>
          <w:color w:val="4F81BD" w:themeColor="accent1"/>
        </w:rPr>
        <w:t>s</w:t>
      </w:r>
      <w:r w:rsidR="00561CC6">
        <w:rPr>
          <w:rFonts w:cs="Calibri"/>
          <w:color w:val="4F81BD" w:themeColor="accent1"/>
        </w:rPr>
        <w:t xml:space="preserve"> based on faculty rank.</w:t>
      </w:r>
    </w:p>
    <w:p w14:paraId="6F042AA5" w14:textId="77777777" w:rsidR="00D30A6B" w:rsidRDefault="00D30A6B" w:rsidP="00B65842">
      <w:pPr>
        <w:ind w:left="720"/>
        <w:rPr>
          <w:color w:val="000000" w:themeColor="text1"/>
        </w:rPr>
      </w:pPr>
    </w:p>
    <w:p w14:paraId="5F47B594" w14:textId="7E20570E" w:rsidR="00D770EC" w:rsidRDefault="00B65842" w:rsidP="00B65842">
      <w:pPr>
        <w:ind w:left="720"/>
        <w:rPr>
          <w:color w:val="000000" w:themeColor="text1"/>
        </w:rPr>
      </w:pPr>
      <w:r>
        <w:rPr>
          <w:color w:val="000000" w:themeColor="text1"/>
        </w:rPr>
        <w:t>Besides teaching their courses and guiding students in other ways, TTF should be engaged in research, scholarship, or creative activity during the academic year</w:t>
      </w:r>
      <w:r w:rsidR="00193B37">
        <w:rPr>
          <w:color w:val="000000" w:themeColor="text1"/>
        </w:rPr>
        <w:t xml:space="preserve">. </w:t>
      </w:r>
      <w:r w:rsidR="00B358A6">
        <w:rPr>
          <w:color w:val="000000" w:themeColor="text1"/>
        </w:rPr>
        <w:t xml:space="preserve">Service </w:t>
      </w:r>
      <w:r w:rsidR="00FB387C">
        <w:rPr>
          <w:color w:val="000000" w:themeColor="text1"/>
        </w:rPr>
        <w:t xml:space="preserve">duties are generally secondary, in particular for assistant professors, but increase significantly with each </w:t>
      </w:r>
      <w:r w:rsidR="0043201B">
        <w:rPr>
          <w:color w:val="000000" w:themeColor="text1"/>
        </w:rPr>
        <w:t xml:space="preserve">advance </w:t>
      </w:r>
      <w:r w:rsidR="005542D3">
        <w:rPr>
          <w:color w:val="000000" w:themeColor="text1"/>
        </w:rPr>
        <w:t>in rank</w:t>
      </w:r>
      <w:r w:rsidR="00BB6769">
        <w:rPr>
          <w:color w:val="000000" w:themeColor="text1"/>
        </w:rPr>
        <w:t>.</w:t>
      </w:r>
      <w:r w:rsidR="006E302E" w:rsidRPr="00F424A5">
        <w:t xml:space="preserve"> As a rou</w:t>
      </w:r>
      <w:r w:rsidR="00680AB6" w:rsidRPr="00F424A5">
        <w:t xml:space="preserve">gh guideline, </w:t>
      </w:r>
      <w:r w:rsidR="00FF70C3" w:rsidRPr="00F424A5">
        <w:t xml:space="preserve">full-time </w:t>
      </w:r>
      <w:r w:rsidR="00680AB6" w:rsidRPr="00F424A5">
        <w:t>TTF should spend 40% of their effort on research, 40</w:t>
      </w:r>
      <w:r w:rsidR="006E302E" w:rsidRPr="00F424A5">
        <w:t>% o</w:t>
      </w:r>
      <w:r w:rsidR="00680AB6" w:rsidRPr="00F424A5">
        <w:t>n teaching, and 20</w:t>
      </w:r>
      <w:r w:rsidR="006E302E" w:rsidRPr="00F424A5">
        <w:t>% on service</w:t>
      </w:r>
      <w:r w:rsidR="00FF70C3" w:rsidRPr="00F424A5">
        <w:t xml:space="preserve"> over the academic year.</w:t>
      </w:r>
    </w:p>
    <w:p w14:paraId="5D0DE214" w14:textId="77777777" w:rsidR="00D770EC" w:rsidRPr="00323E00" w:rsidRDefault="00D770EC" w:rsidP="00D770EC">
      <w:pPr>
        <w:rPr>
          <w:color w:val="000000" w:themeColor="text1"/>
        </w:rPr>
      </w:pPr>
    </w:p>
    <w:p w14:paraId="061AAFFD" w14:textId="05B9FE4E" w:rsidR="004304D4" w:rsidRDefault="004304D4" w:rsidP="00D770EC">
      <w:pPr>
        <w:rPr>
          <w:color w:val="000000" w:themeColor="text1"/>
        </w:rPr>
      </w:pPr>
      <w:r>
        <w:rPr>
          <w:color w:val="000000" w:themeColor="text1"/>
        </w:rPr>
        <w:tab/>
      </w:r>
      <w:r w:rsidR="00CA31AB">
        <w:rPr>
          <w:b/>
          <w:color w:val="000000" w:themeColor="text1"/>
        </w:rPr>
        <w:t>A</w:t>
      </w:r>
      <w:r>
        <w:rPr>
          <w:b/>
          <w:color w:val="000000" w:themeColor="text1"/>
        </w:rPr>
        <w:t>.</w:t>
      </w:r>
      <w:r>
        <w:rPr>
          <w:b/>
          <w:color w:val="000000" w:themeColor="text1"/>
        </w:rPr>
        <w:tab/>
        <w:t>Research</w:t>
      </w:r>
    </w:p>
    <w:p w14:paraId="06C89006" w14:textId="77777777" w:rsidR="004304D4" w:rsidRDefault="004304D4" w:rsidP="00D770EC">
      <w:pPr>
        <w:rPr>
          <w:color w:val="000000" w:themeColor="text1"/>
        </w:rPr>
      </w:pPr>
    </w:p>
    <w:p w14:paraId="1BDDAFC6" w14:textId="2D9453B5" w:rsidR="00561CC6" w:rsidRDefault="00561CC6" w:rsidP="004304D4">
      <w:pPr>
        <w:ind w:left="1440"/>
        <w:rPr>
          <w:color w:val="000000" w:themeColor="text1"/>
        </w:rPr>
      </w:pPr>
      <w:r w:rsidRPr="00D30A6B">
        <w:rPr>
          <w:rFonts w:cs="Calibri"/>
          <w:color w:val="4F81BD" w:themeColor="accent1"/>
        </w:rPr>
        <w:t>Dean’s Guidance:</w:t>
      </w:r>
      <w:r>
        <w:rPr>
          <w:rFonts w:cs="Calibri"/>
          <w:color w:val="4F81BD" w:themeColor="accent1"/>
        </w:rPr>
        <w:t xml:space="preserve"> </w:t>
      </w:r>
      <w:r w:rsidR="00524358">
        <w:rPr>
          <w:rFonts w:cs="Calibri"/>
          <w:color w:val="4F81BD" w:themeColor="accent1"/>
        </w:rPr>
        <w:t>Departments may wish to adopt this paragraph without changes.</w:t>
      </w:r>
      <w:r w:rsidR="0014654C">
        <w:rPr>
          <w:rFonts w:cs="Calibri"/>
          <w:color w:val="4F81BD" w:themeColor="accent1"/>
        </w:rPr>
        <w:t xml:space="preserve"> TTF research is a matter of individual discretion as part of one’s socialization to a discipline, and is </w:t>
      </w:r>
      <w:r w:rsidR="00132591">
        <w:rPr>
          <w:rFonts w:cs="Calibri"/>
          <w:color w:val="4F81BD" w:themeColor="accent1"/>
        </w:rPr>
        <w:t xml:space="preserve">monitored </w:t>
      </w:r>
      <w:r w:rsidR="0014654C">
        <w:rPr>
          <w:rFonts w:cs="Calibri"/>
          <w:color w:val="4F81BD" w:themeColor="accent1"/>
        </w:rPr>
        <w:t>and incentivized through the other policies mentioned</w:t>
      </w:r>
      <w:r w:rsidR="0028168B">
        <w:rPr>
          <w:rFonts w:cs="Calibri"/>
          <w:color w:val="4F81BD" w:themeColor="accent1"/>
        </w:rPr>
        <w:t xml:space="preserve"> in the paragraph below</w:t>
      </w:r>
      <w:r w:rsidR="0014654C">
        <w:rPr>
          <w:rFonts w:cs="Calibri"/>
          <w:color w:val="4F81BD" w:themeColor="accent1"/>
        </w:rPr>
        <w:t>.</w:t>
      </w:r>
    </w:p>
    <w:p w14:paraId="22ACFEB2" w14:textId="77777777" w:rsidR="00561CC6" w:rsidRDefault="00561CC6" w:rsidP="004304D4">
      <w:pPr>
        <w:ind w:left="1440"/>
        <w:rPr>
          <w:color w:val="000000" w:themeColor="text1"/>
        </w:rPr>
      </w:pPr>
    </w:p>
    <w:p w14:paraId="7A101A29" w14:textId="22B1F07F" w:rsidR="004304D4" w:rsidRPr="004304D4" w:rsidRDefault="00D60D2E" w:rsidP="004304D4">
      <w:pPr>
        <w:ind w:left="1440"/>
        <w:rPr>
          <w:color w:val="000000" w:themeColor="text1"/>
        </w:rPr>
      </w:pPr>
      <w:r>
        <w:rPr>
          <w:color w:val="000000" w:themeColor="text1"/>
        </w:rPr>
        <w:t>Tenure-track faculty</w:t>
      </w:r>
      <w:r w:rsidR="004304D4">
        <w:rPr>
          <w:color w:val="000000" w:themeColor="text1"/>
        </w:rPr>
        <w:t xml:space="preserve"> </w:t>
      </w:r>
      <w:r>
        <w:rPr>
          <w:color w:val="000000" w:themeColor="text1"/>
        </w:rPr>
        <w:t>are</w:t>
      </w:r>
      <w:r w:rsidRPr="004304D4">
        <w:rPr>
          <w:color w:val="000000" w:themeColor="text1"/>
        </w:rPr>
        <w:t xml:space="preserve"> </w:t>
      </w:r>
      <w:r w:rsidR="004304D4" w:rsidRPr="004304D4">
        <w:rPr>
          <w:color w:val="000000" w:themeColor="text1"/>
        </w:rPr>
        <w:t xml:space="preserve">expected to pursue an active program of research, scholarship, and/or creative activity appropriate to </w:t>
      </w:r>
      <w:r>
        <w:rPr>
          <w:color w:val="000000" w:themeColor="text1"/>
        </w:rPr>
        <w:t xml:space="preserve">their </w:t>
      </w:r>
      <w:r w:rsidR="004304D4" w:rsidRPr="004304D4">
        <w:rPr>
          <w:color w:val="000000" w:themeColor="text1"/>
        </w:rPr>
        <w:t>professional qualifications, expertise, and evolving professional interests</w:t>
      </w:r>
      <w:r w:rsidR="006A0065">
        <w:rPr>
          <w:color w:val="000000" w:themeColor="text1"/>
        </w:rPr>
        <w:t>; and to disseminate the fruits of this effort to appropriate scholarly and lay audiences</w:t>
      </w:r>
      <w:r w:rsidR="00536421">
        <w:rPr>
          <w:color w:val="000000" w:themeColor="text1"/>
        </w:rPr>
        <w:t xml:space="preserve"> through publication and other forms of presentation</w:t>
      </w:r>
      <w:r w:rsidR="004304D4" w:rsidRPr="004304D4">
        <w:rPr>
          <w:color w:val="000000" w:themeColor="text1"/>
        </w:rPr>
        <w:t xml:space="preserve">. </w:t>
      </w:r>
      <w:r w:rsidR="004304D4">
        <w:rPr>
          <w:color w:val="000000" w:themeColor="text1"/>
        </w:rPr>
        <w:t>I</w:t>
      </w:r>
      <w:r w:rsidR="004304D4" w:rsidRPr="004304D4">
        <w:rPr>
          <w:color w:val="000000" w:themeColor="text1"/>
        </w:rPr>
        <w:t xml:space="preserve">ndividual faculty research programs are monitored, evaluated, and rewarded through established </w:t>
      </w:r>
      <w:r w:rsidR="003E3625">
        <w:rPr>
          <w:color w:val="000000" w:themeColor="text1"/>
        </w:rPr>
        <w:t xml:space="preserve">contract review, </w:t>
      </w:r>
      <w:r w:rsidR="004304D4" w:rsidRPr="004304D4">
        <w:rPr>
          <w:color w:val="000000" w:themeColor="text1"/>
        </w:rPr>
        <w:t>promotion and tenure, post-tenure review, and merit review processes</w:t>
      </w:r>
      <w:r w:rsidR="000F3FE2">
        <w:rPr>
          <w:color w:val="000000" w:themeColor="text1"/>
        </w:rPr>
        <w:t xml:space="preserve"> and</w:t>
      </w:r>
      <w:r w:rsidR="007B3567">
        <w:rPr>
          <w:color w:val="000000" w:themeColor="text1"/>
        </w:rPr>
        <w:t>, through peer review,</w:t>
      </w:r>
      <w:r w:rsidR="000F3FE2">
        <w:rPr>
          <w:color w:val="000000" w:themeColor="text1"/>
        </w:rPr>
        <w:t xml:space="preserve"> </w:t>
      </w:r>
      <w:r w:rsidR="008E730E">
        <w:rPr>
          <w:color w:val="000000" w:themeColor="text1"/>
        </w:rPr>
        <w:t xml:space="preserve">held </w:t>
      </w:r>
      <w:r w:rsidR="004304D4" w:rsidRPr="004304D4">
        <w:rPr>
          <w:color w:val="000000" w:themeColor="text1"/>
        </w:rPr>
        <w:t xml:space="preserve">to </w:t>
      </w:r>
      <w:r w:rsidR="007B3567">
        <w:rPr>
          <w:color w:val="000000" w:themeColor="text1"/>
        </w:rPr>
        <w:t xml:space="preserve">the national and international standards of </w:t>
      </w:r>
      <w:r w:rsidR="00BB6769">
        <w:rPr>
          <w:color w:val="000000" w:themeColor="text1"/>
        </w:rPr>
        <w:t xml:space="preserve">the relevant </w:t>
      </w:r>
      <w:r w:rsidR="007B3567">
        <w:rPr>
          <w:color w:val="000000" w:themeColor="text1"/>
        </w:rPr>
        <w:t xml:space="preserve">scholarly </w:t>
      </w:r>
      <w:r w:rsidR="005A29DD">
        <w:rPr>
          <w:color w:val="000000" w:themeColor="text1"/>
        </w:rPr>
        <w:t>disciplines</w:t>
      </w:r>
      <w:r w:rsidR="004304D4" w:rsidRPr="004304D4">
        <w:rPr>
          <w:color w:val="000000" w:themeColor="text1"/>
        </w:rPr>
        <w:t>.</w:t>
      </w:r>
    </w:p>
    <w:p w14:paraId="76DFEF3B" w14:textId="77777777" w:rsidR="004304D4" w:rsidRPr="004304D4" w:rsidRDefault="004304D4" w:rsidP="00D770EC">
      <w:pPr>
        <w:rPr>
          <w:color w:val="000000" w:themeColor="text1"/>
        </w:rPr>
      </w:pPr>
    </w:p>
    <w:p w14:paraId="78A70802" w14:textId="394CF0D4" w:rsidR="00D770EC" w:rsidRPr="00323E00" w:rsidRDefault="00D770EC" w:rsidP="00561CC6">
      <w:pPr>
        <w:keepNext/>
        <w:keepLines/>
        <w:rPr>
          <w:b/>
          <w:color w:val="000000" w:themeColor="text1"/>
        </w:rPr>
      </w:pPr>
      <w:r w:rsidRPr="00323E00">
        <w:rPr>
          <w:color w:val="000000" w:themeColor="text1"/>
        </w:rPr>
        <w:lastRenderedPageBreak/>
        <w:tab/>
      </w:r>
      <w:r w:rsidR="007D19AD">
        <w:rPr>
          <w:b/>
          <w:color w:val="000000" w:themeColor="text1"/>
        </w:rPr>
        <w:t>B</w:t>
      </w:r>
      <w:r w:rsidRPr="00323E00">
        <w:rPr>
          <w:b/>
          <w:color w:val="000000" w:themeColor="text1"/>
        </w:rPr>
        <w:t>.</w:t>
      </w:r>
      <w:r w:rsidRPr="00323E00">
        <w:rPr>
          <w:b/>
          <w:color w:val="000000" w:themeColor="text1"/>
        </w:rPr>
        <w:tab/>
      </w:r>
      <w:r w:rsidR="009052D3">
        <w:rPr>
          <w:b/>
          <w:color w:val="000000" w:themeColor="text1"/>
        </w:rPr>
        <w:t>Course load</w:t>
      </w:r>
    </w:p>
    <w:p w14:paraId="5ACC5B92" w14:textId="77777777" w:rsidR="00D770EC" w:rsidRDefault="00D770EC" w:rsidP="00561CC6">
      <w:pPr>
        <w:keepNext/>
        <w:keepLines/>
        <w:rPr>
          <w:color w:val="000000" w:themeColor="text1"/>
        </w:rPr>
      </w:pPr>
    </w:p>
    <w:p w14:paraId="4FAE478A" w14:textId="6923A1ED" w:rsidR="0014654C" w:rsidRPr="0014654C" w:rsidRDefault="0014654C" w:rsidP="00B74DC4">
      <w:pPr>
        <w:keepNext/>
        <w:keepLines/>
        <w:ind w:left="1440" w:hanging="1440"/>
        <w:rPr>
          <w:color w:val="4F81BD" w:themeColor="accent1"/>
        </w:rPr>
      </w:pPr>
      <w:r>
        <w:rPr>
          <w:color w:val="000000" w:themeColor="text1"/>
        </w:rPr>
        <w:tab/>
      </w:r>
      <w:r>
        <w:rPr>
          <w:color w:val="4F81BD" w:themeColor="accent1"/>
        </w:rPr>
        <w:t xml:space="preserve">Dean’s Guidance: </w:t>
      </w:r>
      <w:r w:rsidR="0025527C">
        <w:rPr>
          <w:color w:val="4F81BD" w:themeColor="accent1"/>
        </w:rPr>
        <w:t xml:space="preserve">Few if any </w:t>
      </w:r>
      <w:r w:rsidR="00B74DC4">
        <w:rPr>
          <w:color w:val="4F81BD" w:themeColor="accent1"/>
        </w:rPr>
        <w:t>changes to paragra</w:t>
      </w:r>
      <w:r w:rsidR="00DD219C">
        <w:rPr>
          <w:color w:val="4F81BD" w:themeColor="accent1"/>
        </w:rPr>
        <w:t>phs 1-</w:t>
      </w:r>
      <w:r w:rsidR="00BC3A70">
        <w:rPr>
          <w:color w:val="4F81BD" w:themeColor="accent1"/>
        </w:rPr>
        <w:t>5</w:t>
      </w:r>
      <w:r w:rsidR="00DD219C">
        <w:rPr>
          <w:color w:val="4F81BD" w:themeColor="accent1"/>
        </w:rPr>
        <w:t xml:space="preserve"> below </w:t>
      </w:r>
      <w:r w:rsidR="0058249E">
        <w:rPr>
          <w:color w:val="4F81BD" w:themeColor="accent1"/>
        </w:rPr>
        <w:t>are likely to</w:t>
      </w:r>
      <w:r w:rsidR="00DD219C">
        <w:rPr>
          <w:color w:val="4F81BD" w:themeColor="accent1"/>
        </w:rPr>
        <w:t xml:space="preserve"> be needed</w:t>
      </w:r>
      <w:r w:rsidR="002C0EF3">
        <w:rPr>
          <w:color w:val="4F81BD" w:themeColor="accent1"/>
        </w:rPr>
        <w:t xml:space="preserve"> since our intent is to maintain historical teaching loads</w:t>
      </w:r>
      <w:r w:rsidR="00865276">
        <w:rPr>
          <w:color w:val="4F81BD" w:themeColor="accent1"/>
        </w:rPr>
        <w:t xml:space="preserve">. </w:t>
      </w:r>
      <w:r w:rsidR="004B177C">
        <w:rPr>
          <w:color w:val="4F81BD" w:themeColor="accent1"/>
        </w:rPr>
        <w:t xml:space="preserve">Departments are invited to modify paragraph </w:t>
      </w:r>
      <w:r w:rsidR="00BC3A70">
        <w:rPr>
          <w:color w:val="4F81BD" w:themeColor="accent1"/>
        </w:rPr>
        <w:t>6</w:t>
      </w:r>
      <w:r w:rsidR="004B177C">
        <w:rPr>
          <w:color w:val="4F81BD" w:themeColor="accent1"/>
        </w:rPr>
        <w:t xml:space="preserve"> to adjust course loads for faculty members who remain research-inactive for a protracted period of time, as judged by the standards of the discipline.</w:t>
      </w:r>
    </w:p>
    <w:p w14:paraId="6BFB6062" w14:textId="77777777" w:rsidR="0014654C" w:rsidRPr="00323E00" w:rsidRDefault="0014654C" w:rsidP="00561CC6">
      <w:pPr>
        <w:keepNext/>
        <w:keepLines/>
        <w:rPr>
          <w:color w:val="000000" w:themeColor="text1"/>
        </w:rPr>
      </w:pPr>
    </w:p>
    <w:p w14:paraId="226D256D" w14:textId="0D0B351A" w:rsidR="0019573B" w:rsidRPr="0019573B" w:rsidRDefault="00C8544C" w:rsidP="00561CC6">
      <w:pPr>
        <w:keepLines/>
        <w:ind w:left="1440"/>
        <w:rPr>
          <w:rFonts w:eastAsia="Times New Roman"/>
          <w:color w:val="C0504D" w:themeColor="accent2"/>
        </w:rPr>
      </w:pPr>
      <w:r w:rsidRPr="00C8544C">
        <w:rPr>
          <w:b/>
          <w:color w:val="000000" w:themeColor="text1"/>
        </w:rPr>
        <w:t>1. Standard load.</w:t>
      </w:r>
      <w:r>
        <w:rPr>
          <w:i/>
          <w:color w:val="000000" w:themeColor="text1"/>
        </w:rPr>
        <w:t xml:space="preserve"> </w:t>
      </w:r>
      <w:r w:rsidR="00D770EC" w:rsidRPr="00323E00">
        <w:rPr>
          <w:color w:val="000000" w:themeColor="text1"/>
        </w:rPr>
        <w:t xml:space="preserve">The standard course load </w:t>
      </w:r>
      <w:r w:rsidR="00612D0C">
        <w:rPr>
          <w:color w:val="000000" w:themeColor="text1"/>
        </w:rPr>
        <w:t xml:space="preserve">for TTF </w:t>
      </w:r>
      <w:r w:rsidR="00D770EC" w:rsidRPr="00323E00">
        <w:rPr>
          <w:color w:val="000000" w:themeColor="text1"/>
        </w:rPr>
        <w:t xml:space="preserve">in the department is </w:t>
      </w:r>
      <w:r w:rsidR="00B70949" w:rsidRPr="0005743D">
        <w:rPr>
          <w:color w:val="FF0000"/>
        </w:rPr>
        <w:t>[insert value</w:t>
      </w:r>
      <w:r w:rsidR="00257A35" w:rsidRPr="0005743D">
        <w:rPr>
          <w:color w:val="FF0000"/>
        </w:rPr>
        <w:t>]</w:t>
      </w:r>
      <w:r w:rsidR="00B70949">
        <w:rPr>
          <w:color w:val="000000" w:themeColor="text1"/>
        </w:rPr>
        <w:t xml:space="preserve"> </w:t>
      </w:r>
      <w:r w:rsidR="00D770EC" w:rsidRPr="00323E00">
        <w:rPr>
          <w:color w:val="000000" w:themeColor="text1"/>
        </w:rPr>
        <w:t xml:space="preserve">courses </w:t>
      </w:r>
      <w:r w:rsidR="00303169">
        <w:rPr>
          <w:color w:val="000000" w:themeColor="text1"/>
        </w:rPr>
        <w:t xml:space="preserve">of </w:t>
      </w:r>
      <w:r w:rsidR="009111A7">
        <w:rPr>
          <w:color w:val="000000" w:themeColor="text1"/>
        </w:rPr>
        <w:t xml:space="preserve">at least </w:t>
      </w:r>
      <w:r w:rsidR="009820A9">
        <w:rPr>
          <w:color w:val="000000" w:themeColor="text1"/>
        </w:rPr>
        <w:t xml:space="preserve">4 </w:t>
      </w:r>
      <w:r w:rsidR="00303169">
        <w:rPr>
          <w:color w:val="000000" w:themeColor="text1"/>
        </w:rPr>
        <w:t xml:space="preserve">credit hours </w:t>
      </w:r>
      <w:r w:rsidR="00EC1650">
        <w:rPr>
          <w:color w:val="000000" w:themeColor="text1"/>
        </w:rPr>
        <w:t>each</w:t>
      </w:r>
      <w:r w:rsidR="00C77767">
        <w:rPr>
          <w:color w:val="000000" w:themeColor="text1"/>
        </w:rPr>
        <w:t xml:space="preserve"> during the academic year</w:t>
      </w:r>
      <w:r w:rsidR="00D770EC" w:rsidRPr="00323E00">
        <w:rPr>
          <w:color w:val="000000" w:themeColor="text1"/>
        </w:rPr>
        <w:t>.</w:t>
      </w:r>
      <w:r w:rsidR="00612D0C">
        <w:rPr>
          <w:color w:val="000000" w:themeColor="text1"/>
        </w:rPr>
        <w:t xml:space="preserve"> </w:t>
      </w:r>
      <w:r w:rsidR="00B70949" w:rsidRPr="00257A35">
        <w:rPr>
          <w:color w:val="FF0000"/>
        </w:rPr>
        <w:t>[</w:t>
      </w:r>
      <w:r w:rsidR="00B70949" w:rsidRPr="00257A35">
        <w:rPr>
          <w:i/>
          <w:color w:val="FF0000"/>
        </w:rPr>
        <w:t xml:space="preserve">Please note: </w:t>
      </w:r>
      <w:r w:rsidR="00B70949" w:rsidRPr="00257A35">
        <w:rPr>
          <w:color w:val="FF0000"/>
        </w:rPr>
        <w:t>adjustments to course loads for junior faculty, if any, should be outlined in Section IV on course releases.]</w:t>
      </w:r>
      <w:r w:rsidR="00257A35">
        <w:rPr>
          <w:color w:val="000000" w:themeColor="text1"/>
        </w:rPr>
        <w:t xml:space="preserve"> </w:t>
      </w:r>
      <w:r w:rsidR="00612D0C">
        <w:rPr>
          <w:color w:val="000000" w:themeColor="text1"/>
        </w:rPr>
        <w:t xml:space="preserve">TTF are expected to be able to teach a </w:t>
      </w:r>
      <w:r w:rsidR="00DC5998">
        <w:rPr>
          <w:color w:val="000000" w:themeColor="text1"/>
        </w:rPr>
        <w:t xml:space="preserve">full </w:t>
      </w:r>
      <w:r w:rsidR="00612D0C">
        <w:rPr>
          <w:color w:val="000000" w:themeColor="text1"/>
        </w:rPr>
        <w:t>range of courses</w:t>
      </w:r>
      <w:r w:rsidR="00DC5998">
        <w:rPr>
          <w:color w:val="000000" w:themeColor="text1"/>
        </w:rPr>
        <w:t>,</w:t>
      </w:r>
      <w:r w:rsidR="00612D0C">
        <w:rPr>
          <w:color w:val="000000" w:themeColor="text1"/>
        </w:rPr>
        <w:t xml:space="preserve"> from introductory </w:t>
      </w:r>
      <w:r w:rsidR="00EA68E4">
        <w:rPr>
          <w:color w:val="000000" w:themeColor="text1"/>
        </w:rPr>
        <w:t xml:space="preserve">undergraduate </w:t>
      </w:r>
      <w:r w:rsidR="00612D0C">
        <w:rPr>
          <w:color w:val="000000" w:themeColor="text1"/>
        </w:rPr>
        <w:t>surveys through advanced graduate seminars</w:t>
      </w:r>
      <w:r w:rsidR="00DC5998">
        <w:rPr>
          <w:color w:val="000000" w:themeColor="text1"/>
        </w:rPr>
        <w:t>,</w:t>
      </w:r>
      <w:r w:rsidR="00CD0E01">
        <w:rPr>
          <w:color w:val="000000" w:themeColor="text1"/>
        </w:rPr>
        <w:t xml:space="preserve"> on both broad and specialized subjects.</w:t>
      </w:r>
      <w:r w:rsidR="00BB6769">
        <w:rPr>
          <w:color w:val="000000" w:themeColor="text1"/>
        </w:rPr>
        <w:t xml:space="preserve"> The importance of TTF contributions to </w:t>
      </w:r>
      <w:r w:rsidR="00C708D6">
        <w:rPr>
          <w:color w:val="000000" w:themeColor="text1"/>
        </w:rPr>
        <w:t xml:space="preserve">the </w:t>
      </w:r>
      <w:r w:rsidR="00BB6769">
        <w:rPr>
          <w:color w:val="000000" w:themeColor="text1"/>
        </w:rPr>
        <w:t xml:space="preserve">General Education </w:t>
      </w:r>
      <w:r w:rsidR="00C708D6">
        <w:rPr>
          <w:color w:val="000000" w:themeColor="text1"/>
        </w:rPr>
        <w:t>curriculum</w:t>
      </w:r>
      <w:r w:rsidR="0026098E">
        <w:rPr>
          <w:color w:val="000000" w:themeColor="text1"/>
        </w:rPr>
        <w:t xml:space="preserve">, where </w:t>
      </w:r>
      <w:r w:rsidR="00BB6769">
        <w:rPr>
          <w:color w:val="000000" w:themeColor="text1"/>
        </w:rPr>
        <w:t xml:space="preserve">a TTF’s broad command of a </w:t>
      </w:r>
      <w:r w:rsidR="008A0FB7">
        <w:rPr>
          <w:color w:val="000000" w:themeColor="text1"/>
        </w:rPr>
        <w:t xml:space="preserve">scholarly </w:t>
      </w:r>
      <w:r w:rsidR="00BB6769">
        <w:rPr>
          <w:color w:val="000000" w:themeColor="text1"/>
        </w:rPr>
        <w:t xml:space="preserve">field </w:t>
      </w:r>
      <w:r w:rsidR="0026098E">
        <w:rPr>
          <w:color w:val="000000" w:themeColor="text1"/>
        </w:rPr>
        <w:t>is especially valuable</w:t>
      </w:r>
      <w:r w:rsidR="00696F18">
        <w:rPr>
          <w:color w:val="000000" w:themeColor="text1"/>
        </w:rPr>
        <w:t>, should not be overlooked.</w:t>
      </w:r>
    </w:p>
    <w:p w14:paraId="44B518D3" w14:textId="77777777" w:rsidR="00431ED2" w:rsidRDefault="00431ED2" w:rsidP="0019573B">
      <w:pPr>
        <w:widowControl w:val="0"/>
        <w:ind w:left="1440"/>
        <w:rPr>
          <w:color w:val="000000" w:themeColor="text1"/>
        </w:rPr>
      </w:pPr>
    </w:p>
    <w:p w14:paraId="03B43784" w14:textId="379296DD" w:rsidR="00C77767" w:rsidRDefault="00C77767" w:rsidP="0019573B">
      <w:pPr>
        <w:widowControl w:val="0"/>
        <w:ind w:left="1440"/>
        <w:rPr>
          <w:color w:val="000000" w:themeColor="text1"/>
        </w:rPr>
      </w:pPr>
      <w:r w:rsidRPr="00C77767">
        <w:rPr>
          <w:b/>
          <w:color w:val="000000" w:themeColor="text1"/>
        </w:rPr>
        <w:t>2. Course revision.</w:t>
      </w:r>
      <w:r>
        <w:rPr>
          <w:color w:val="000000" w:themeColor="text1"/>
        </w:rPr>
        <w:t xml:space="preserve"> TTF </w:t>
      </w:r>
      <w:r w:rsidRPr="00323E00">
        <w:rPr>
          <w:color w:val="000000" w:themeColor="text1"/>
        </w:rPr>
        <w:t xml:space="preserve">are expected to revise their courses as needed to incorporate advances in academic content and pedagogy, and to ensure that </w:t>
      </w:r>
      <w:r w:rsidR="008A0FB7">
        <w:rPr>
          <w:color w:val="000000" w:themeColor="text1"/>
        </w:rPr>
        <w:t>their courses</w:t>
      </w:r>
      <w:r w:rsidRPr="00323E00">
        <w:rPr>
          <w:color w:val="000000" w:themeColor="text1"/>
        </w:rPr>
        <w:t xml:space="preserve"> continue to promote the learning outcomes of the departments and programs (including General Education) of which they are a part.</w:t>
      </w:r>
    </w:p>
    <w:p w14:paraId="6AAE24C1" w14:textId="77777777" w:rsidR="00561CC6" w:rsidRDefault="00561CC6" w:rsidP="0019573B">
      <w:pPr>
        <w:widowControl w:val="0"/>
        <w:ind w:left="1440"/>
        <w:rPr>
          <w:color w:val="000000" w:themeColor="text1"/>
        </w:rPr>
      </w:pPr>
    </w:p>
    <w:p w14:paraId="2B996EA5" w14:textId="0FB2DA99" w:rsidR="00431ED2" w:rsidRDefault="008A0FB7" w:rsidP="00431ED2">
      <w:pPr>
        <w:widowControl w:val="0"/>
        <w:ind w:left="1440"/>
        <w:rPr>
          <w:color w:val="000000" w:themeColor="text1"/>
        </w:rPr>
      </w:pPr>
      <w:r>
        <w:rPr>
          <w:b/>
          <w:color w:val="000000" w:themeColor="text1"/>
        </w:rPr>
        <w:t>3</w:t>
      </w:r>
      <w:r w:rsidR="00C8544C" w:rsidRPr="00C8544C">
        <w:rPr>
          <w:b/>
          <w:color w:val="000000" w:themeColor="text1"/>
        </w:rPr>
        <w:t>. Independent study courses.</w:t>
      </w:r>
      <w:r w:rsidR="00C8544C">
        <w:rPr>
          <w:b/>
          <w:i/>
          <w:color w:val="000000" w:themeColor="text1"/>
        </w:rPr>
        <w:t xml:space="preserve"> </w:t>
      </w:r>
      <w:r w:rsidR="00D10553">
        <w:rPr>
          <w:color w:val="000000" w:themeColor="text1"/>
        </w:rPr>
        <w:t xml:space="preserve">In addition to the standard course load, </w:t>
      </w:r>
      <w:r w:rsidR="00431ED2">
        <w:rPr>
          <w:color w:val="000000" w:themeColor="text1"/>
        </w:rPr>
        <w:t xml:space="preserve">TTF </w:t>
      </w:r>
      <w:r w:rsidR="00D10553">
        <w:rPr>
          <w:color w:val="000000" w:themeColor="text1"/>
        </w:rPr>
        <w:t xml:space="preserve">frequently </w:t>
      </w:r>
      <w:r w:rsidR="00431ED2">
        <w:rPr>
          <w:color w:val="000000" w:themeColor="text1"/>
        </w:rPr>
        <w:t>supervise students</w:t>
      </w:r>
      <w:r w:rsidR="000973A5">
        <w:rPr>
          <w:color w:val="000000" w:themeColor="text1"/>
        </w:rPr>
        <w:t>, both graduate and undergraduate,</w:t>
      </w:r>
      <w:r w:rsidR="00431ED2">
        <w:rPr>
          <w:color w:val="000000" w:themeColor="text1"/>
        </w:rPr>
        <w:t xml:space="preserve"> in independent</w:t>
      </w:r>
      <w:r w:rsidR="00300BA0">
        <w:rPr>
          <w:color w:val="000000" w:themeColor="text1"/>
        </w:rPr>
        <w:t xml:space="preserve"> study courses.</w:t>
      </w:r>
      <w:r w:rsidR="00431ED2">
        <w:rPr>
          <w:color w:val="000000" w:themeColor="text1"/>
        </w:rPr>
        <w:t xml:space="preserve"> </w:t>
      </w:r>
      <w:r w:rsidR="00300BA0">
        <w:rPr>
          <w:color w:val="000000" w:themeColor="text1"/>
        </w:rPr>
        <w:t>I</w:t>
      </w:r>
      <w:r w:rsidR="00431ED2">
        <w:rPr>
          <w:color w:val="000000" w:themeColor="text1"/>
        </w:rPr>
        <w:t>n these courses</w:t>
      </w:r>
      <w:r w:rsidR="00300BA0">
        <w:rPr>
          <w:color w:val="000000" w:themeColor="text1"/>
        </w:rPr>
        <w:t xml:space="preserve">, </w:t>
      </w:r>
      <w:r w:rsidR="001B657C">
        <w:rPr>
          <w:color w:val="000000" w:themeColor="text1"/>
        </w:rPr>
        <w:t xml:space="preserve">faculty members </w:t>
      </w:r>
      <w:r w:rsidR="00431ED2">
        <w:rPr>
          <w:color w:val="000000" w:themeColor="text1"/>
        </w:rPr>
        <w:t xml:space="preserve">are expected to maintain standards of student work and </w:t>
      </w:r>
      <w:r w:rsidR="00BC4150">
        <w:rPr>
          <w:color w:val="000000" w:themeColor="text1"/>
        </w:rPr>
        <w:t>student-</w:t>
      </w:r>
      <w:r w:rsidR="00431ED2">
        <w:rPr>
          <w:color w:val="000000" w:themeColor="text1"/>
        </w:rPr>
        <w:t>instructor engagement appropriate to the awarding of academic credit.</w:t>
      </w:r>
    </w:p>
    <w:p w14:paraId="1F7B14E8" w14:textId="77777777" w:rsidR="00431ED2" w:rsidRDefault="00431ED2" w:rsidP="00B97A78">
      <w:pPr>
        <w:widowControl w:val="0"/>
        <w:rPr>
          <w:color w:val="000000" w:themeColor="text1"/>
        </w:rPr>
      </w:pPr>
    </w:p>
    <w:p w14:paraId="1FBF20F7" w14:textId="02FB64E0" w:rsidR="00C211FE" w:rsidRDefault="00C211FE" w:rsidP="00C211FE">
      <w:pPr>
        <w:ind w:left="1440"/>
      </w:pPr>
      <w:r>
        <w:rPr>
          <w:b/>
        </w:rPr>
        <w:t>4</w:t>
      </w:r>
      <w:r w:rsidRPr="00C8544C">
        <w:rPr>
          <w:b/>
        </w:rPr>
        <w:t>. Course releases.</w:t>
      </w:r>
      <w:r>
        <w:rPr>
          <w:b/>
          <w:i/>
        </w:rPr>
        <w:t xml:space="preserve"> </w:t>
      </w:r>
      <w:r>
        <w:t xml:space="preserve">Course releases for major departmental service (aside from the headship) and for other approved reasons shall be allocated in compliance with the course release policy described in section IV below. </w:t>
      </w:r>
      <w:r w:rsidR="00454F8B">
        <w:t>Additional</w:t>
      </w:r>
      <w:r>
        <w:t xml:space="preserve"> occasions for course release are described in section</w:t>
      </w:r>
      <w:r w:rsidR="000A5E13">
        <w:t>s</w:t>
      </w:r>
      <w:r>
        <w:t xml:space="preserve"> III</w:t>
      </w:r>
      <w:r w:rsidR="000A5E13">
        <w:t>.B and III.C</w:t>
      </w:r>
      <w:r>
        <w:t xml:space="preserve"> below.</w:t>
      </w:r>
    </w:p>
    <w:p w14:paraId="431CD2E8" w14:textId="77777777" w:rsidR="004A5204" w:rsidRDefault="004A5204" w:rsidP="007A7640">
      <w:pPr>
        <w:keepNext/>
        <w:rPr>
          <w:b/>
          <w:color w:val="000000" w:themeColor="text1"/>
        </w:rPr>
      </w:pPr>
    </w:p>
    <w:p w14:paraId="2DA8C1EA" w14:textId="2B435EC2" w:rsidR="00CA55CD" w:rsidRDefault="00CA55CD" w:rsidP="00D51880">
      <w:pPr>
        <w:widowControl w:val="0"/>
        <w:ind w:left="1440" w:hanging="1440"/>
        <w:rPr>
          <w:color w:val="000000" w:themeColor="text1"/>
        </w:rPr>
      </w:pPr>
      <w:r>
        <w:rPr>
          <w:color w:val="000000" w:themeColor="text1"/>
        </w:rPr>
        <w:tab/>
      </w:r>
      <w:r w:rsidR="00BC3A70">
        <w:rPr>
          <w:b/>
          <w:color w:val="000000" w:themeColor="text1"/>
        </w:rPr>
        <w:t>5</w:t>
      </w:r>
      <w:r w:rsidRPr="00CA55CD">
        <w:rPr>
          <w:b/>
          <w:color w:val="000000" w:themeColor="text1"/>
        </w:rPr>
        <w:t>. Team-teaching.</w:t>
      </w:r>
      <w:r>
        <w:rPr>
          <w:b/>
          <w:color w:val="000000" w:themeColor="text1"/>
        </w:rPr>
        <w:t xml:space="preserve"> </w:t>
      </w:r>
      <w:r>
        <w:rPr>
          <w:color w:val="000000" w:themeColor="text1"/>
        </w:rPr>
        <w:t xml:space="preserve">A course </w:t>
      </w:r>
      <w:r w:rsidR="00AB3F54">
        <w:rPr>
          <w:color w:val="000000" w:themeColor="text1"/>
        </w:rPr>
        <w:t>team-</w:t>
      </w:r>
      <w:r>
        <w:rPr>
          <w:color w:val="000000" w:themeColor="text1"/>
        </w:rPr>
        <w:t xml:space="preserve">taught by two faculty members </w:t>
      </w:r>
      <w:r w:rsidR="00F04E0A">
        <w:rPr>
          <w:color w:val="000000" w:themeColor="text1"/>
        </w:rPr>
        <w:t xml:space="preserve">will typically </w:t>
      </w:r>
      <w:r>
        <w:rPr>
          <w:color w:val="000000" w:themeColor="text1"/>
        </w:rPr>
        <w:t xml:space="preserve">count as </w:t>
      </w:r>
      <w:r w:rsidR="00F04E0A">
        <w:rPr>
          <w:color w:val="000000" w:themeColor="text1"/>
        </w:rPr>
        <w:t xml:space="preserve">half a </w:t>
      </w:r>
      <w:r>
        <w:rPr>
          <w:color w:val="000000" w:themeColor="text1"/>
        </w:rPr>
        <w:t xml:space="preserve">course for each </w:t>
      </w:r>
      <w:r w:rsidR="00F04E0A">
        <w:rPr>
          <w:color w:val="000000" w:themeColor="text1"/>
        </w:rPr>
        <w:t xml:space="preserve">unless both contribute nearly full effort as part of a special </w:t>
      </w:r>
      <w:r w:rsidR="00A24C3F">
        <w:rPr>
          <w:color w:val="000000" w:themeColor="text1"/>
        </w:rPr>
        <w:t>educational</w:t>
      </w:r>
      <w:r w:rsidR="00F04E0A">
        <w:rPr>
          <w:color w:val="000000" w:themeColor="text1"/>
        </w:rPr>
        <w:t xml:space="preserve"> opportunity for students. </w:t>
      </w:r>
      <w:r w:rsidR="00AB3F54">
        <w:rPr>
          <w:color w:val="000000" w:themeColor="text1"/>
        </w:rPr>
        <w:t xml:space="preserve">In the latter case, a team-taught course may count as a full course for each faculty member </w:t>
      </w:r>
      <w:r>
        <w:rPr>
          <w:color w:val="000000" w:themeColor="text1"/>
        </w:rPr>
        <w:t>with the approval of the department or program head</w:t>
      </w:r>
      <w:r w:rsidR="006D4ED6">
        <w:rPr>
          <w:color w:val="000000" w:themeColor="text1"/>
        </w:rPr>
        <w:t>(s)</w:t>
      </w:r>
      <w:r w:rsidR="00D51880">
        <w:rPr>
          <w:color w:val="000000" w:themeColor="text1"/>
        </w:rPr>
        <w:t xml:space="preserve">, and so long as the unit can meet its curricular and enrollment needs with existing resources. </w:t>
      </w:r>
      <w:r w:rsidR="0029049A">
        <w:rPr>
          <w:color w:val="000000" w:themeColor="text1"/>
        </w:rPr>
        <w:t>Generally</w:t>
      </w:r>
      <w:r w:rsidR="000F3568">
        <w:rPr>
          <w:color w:val="000000" w:themeColor="text1"/>
        </w:rPr>
        <w:t>, t</w:t>
      </w:r>
      <w:r>
        <w:rPr>
          <w:color w:val="000000" w:themeColor="text1"/>
        </w:rPr>
        <w:t xml:space="preserve">he </w:t>
      </w:r>
      <w:r w:rsidR="00D51880">
        <w:rPr>
          <w:color w:val="000000" w:themeColor="text1"/>
        </w:rPr>
        <w:t>faculty members’ other teaching assignments should generate sufficient enrollments to compensate for any loss</w:t>
      </w:r>
      <w:r w:rsidR="005B3BFC">
        <w:rPr>
          <w:color w:val="000000" w:themeColor="text1"/>
        </w:rPr>
        <w:t xml:space="preserve"> created by the team-teaching arrangement.</w:t>
      </w:r>
    </w:p>
    <w:p w14:paraId="0675421F" w14:textId="77777777" w:rsidR="00BC3A70" w:rsidRDefault="00BC3A70" w:rsidP="00D51880">
      <w:pPr>
        <w:widowControl w:val="0"/>
        <w:ind w:left="1440" w:hanging="1440"/>
        <w:rPr>
          <w:color w:val="000000" w:themeColor="text1"/>
        </w:rPr>
      </w:pPr>
    </w:p>
    <w:p w14:paraId="6370E3ED" w14:textId="59D08F9F" w:rsidR="00BC3A70" w:rsidRDefault="00BC3A70" w:rsidP="00BC3A70">
      <w:pPr>
        <w:widowControl w:val="0"/>
        <w:ind w:left="1440" w:hanging="1440"/>
        <w:rPr>
          <w:color w:val="000000" w:themeColor="text1"/>
        </w:rPr>
      </w:pPr>
      <w:r>
        <w:rPr>
          <w:color w:val="000000" w:themeColor="text1"/>
        </w:rPr>
        <w:tab/>
      </w:r>
      <w:r>
        <w:rPr>
          <w:b/>
          <w:color w:val="000000" w:themeColor="text1"/>
        </w:rPr>
        <w:t>6</w:t>
      </w:r>
      <w:r w:rsidRPr="00C8544C">
        <w:rPr>
          <w:b/>
          <w:color w:val="000000" w:themeColor="text1"/>
        </w:rPr>
        <w:t xml:space="preserve">. </w:t>
      </w:r>
      <w:r>
        <w:rPr>
          <w:b/>
          <w:color w:val="000000" w:themeColor="text1"/>
        </w:rPr>
        <w:t>Course load increase for r</w:t>
      </w:r>
      <w:r w:rsidRPr="00C8544C">
        <w:rPr>
          <w:b/>
          <w:color w:val="000000" w:themeColor="text1"/>
        </w:rPr>
        <w:t>esearch inactivity</w:t>
      </w:r>
      <w:r w:rsidRPr="00CD69ED">
        <w:rPr>
          <w:b/>
          <w:i/>
          <w:color w:val="000000" w:themeColor="text1"/>
        </w:rPr>
        <w:t>.</w:t>
      </w:r>
      <w:r w:rsidRPr="00CD69ED">
        <w:rPr>
          <w:b/>
          <w:color w:val="000000" w:themeColor="text1"/>
        </w:rPr>
        <w:t xml:space="preserve"> </w:t>
      </w:r>
      <w:r w:rsidR="00CD69ED" w:rsidRPr="00CD69ED">
        <w:rPr>
          <w:color w:val="000000" w:themeColor="text1"/>
        </w:rPr>
        <w:t xml:space="preserve">In the event of protracted </w:t>
      </w:r>
      <w:r w:rsidR="00CD69ED" w:rsidRPr="00CD69ED">
        <w:rPr>
          <w:color w:val="000000" w:themeColor="text1"/>
        </w:rPr>
        <w:lastRenderedPageBreak/>
        <w:t>research inactivity, as evidenced by two successive unsatisfactory post-tenure reviews (three- and six-year), the department may reallocate an individual TTF’s FTE so that more time is spent on teaching, with a correspondingly higher course load. This afford</w:t>
      </w:r>
      <w:r w:rsidR="0064526C">
        <w:rPr>
          <w:color w:val="000000" w:themeColor="text1"/>
        </w:rPr>
        <w:t>s</w:t>
      </w:r>
      <w:r w:rsidR="00CD69ED" w:rsidRPr="00CD69ED">
        <w:rPr>
          <w:color w:val="000000" w:themeColor="text1"/>
        </w:rPr>
        <w:t xml:space="preserve"> </w:t>
      </w:r>
      <w:r w:rsidR="0064526C">
        <w:rPr>
          <w:color w:val="000000" w:themeColor="text1"/>
        </w:rPr>
        <w:t xml:space="preserve">a </w:t>
      </w:r>
      <w:r w:rsidR="00CD69ED" w:rsidRPr="00CD69ED">
        <w:rPr>
          <w:color w:val="000000" w:themeColor="text1"/>
        </w:rPr>
        <w:t>TTF the opportunity to continue making a full-time contributio</w:t>
      </w:r>
      <w:r w:rsidR="00CD69ED">
        <w:rPr>
          <w:color w:val="000000" w:themeColor="text1"/>
        </w:rPr>
        <w:t xml:space="preserve">n to the department’s mission. </w:t>
      </w:r>
      <w:r w:rsidR="00CD69ED" w:rsidRPr="00CD69ED">
        <w:rPr>
          <w:color w:val="000000" w:themeColor="text1"/>
        </w:rPr>
        <w:t>As a means of supporting the re-establishment of a TTF’s research program, however, development plans for such faculty may prescribe conditions for the full or partial restoration of a standard course load.</w:t>
      </w:r>
    </w:p>
    <w:p w14:paraId="5B764639" w14:textId="77777777" w:rsidR="00BC3A70" w:rsidRPr="00CA55CD" w:rsidRDefault="00BC3A70" w:rsidP="00D51880">
      <w:pPr>
        <w:widowControl w:val="0"/>
        <w:ind w:left="1440" w:hanging="1440"/>
        <w:rPr>
          <w:color w:val="000000" w:themeColor="text1"/>
        </w:rPr>
      </w:pPr>
    </w:p>
    <w:p w14:paraId="1B6E7000" w14:textId="77777777" w:rsidR="00D92C20" w:rsidRPr="007A7640" w:rsidRDefault="00D92C20" w:rsidP="007A7640">
      <w:pPr>
        <w:keepNext/>
        <w:rPr>
          <w:b/>
          <w:color w:val="000000" w:themeColor="text1"/>
        </w:rPr>
      </w:pPr>
    </w:p>
    <w:p w14:paraId="53CE87F2" w14:textId="72160B87" w:rsidR="00D770EC" w:rsidRPr="00AD32CF" w:rsidRDefault="00D770EC" w:rsidP="00AD32CF">
      <w:pPr>
        <w:pStyle w:val="ListParagraph"/>
        <w:keepNext/>
        <w:numPr>
          <w:ilvl w:val="0"/>
          <w:numId w:val="3"/>
        </w:numPr>
        <w:rPr>
          <w:b/>
          <w:color w:val="000000" w:themeColor="text1"/>
        </w:rPr>
      </w:pPr>
      <w:r w:rsidRPr="00323E00">
        <w:rPr>
          <w:b/>
          <w:color w:val="000000" w:themeColor="text1"/>
        </w:rPr>
        <w:t>Advising and student contact</w:t>
      </w:r>
    </w:p>
    <w:p w14:paraId="35423BA3" w14:textId="77777777" w:rsidR="00D770EC" w:rsidRDefault="00D770EC" w:rsidP="00D770EC">
      <w:pPr>
        <w:ind w:left="1080"/>
        <w:rPr>
          <w:color w:val="000000" w:themeColor="text1"/>
        </w:rPr>
      </w:pPr>
    </w:p>
    <w:p w14:paraId="079367BC" w14:textId="343AAB6C" w:rsidR="00B74DC4" w:rsidRPr="00B74DC4" w:rsidRDefault="00B74DC4" w:rsidP="00D770EC">
      <w:pPr>
        <w:ind w:left="1080"/>
        <w:rPr>
          <w:color w:val="4F81BD" w:themeColor="accent1"/>
        </w:rPr>
      </w:pPr>
      <w:r>
        <w:rPr>
          <w:color w:val="4F81BD" w:themeColor="accent1"/>
        </w:rPr>
        <w:t xml:space="preserve">Dean’s Guidance: Departments, if they choose, are invited to </w:t>
      </w:r>
      <w:r w:rsidR="00C8102E">
        <w:rPr>
          <w:color w:val="4F81BD" w:themeColor="accent1"/>
        </w:rPr>
        <w:t xml:space="preserve">modify </w:t>
      </w:r>
      <w:r>
        <w:rPr>
          <w:color w:val="4F81BD" w:themeColor="accent1"/>
        </w:rPr>
        <w:t>this section to reflect local needs and expectations.</w:t>
      </w:r>
      <w:r w:rsidR="00B92AC9">
        <w:rPr>
          <w:color w:val="4F81BD" w:themeColor="accent1"/>
        </w:rPr>
        <w:t xml:space="preserve"> It is appropriate </w:t>
      </w:r>
      <w:r w:rsidR="001858EA">
        <w:rPr>
          <w:color w:val="4F81BD" w:themeColor="accent1"/>
        </w:rPr>
        <w:t xml:space="preserve">for departments </w:t>
      </w:r>
      <w:r w:rsidR="00B92AC9">
        <w:rPr>
          <w:color w:val="4F81BD" w:themeColor="accent1"/>
        </w:rPr>
        <w:t>to recognize heavy advising duties</w:t>
      </w:r>
      <w:r w:rsidR="0072200C">
        <w:rPr>
          <w:color w:val="4F81BD" w:themeColor="accent1"/>
        </w:rPr>
        <w:t xml:space="preserve"> </w:t>
      </w:r>
      <w:r w:rsidR="00B92AC9">
        <w:rPr>
          <w:color w:val="4F81BD" w:themeColor="accent1"/>
        </w:rPr>
        <w:t xml:space="preserve">for individual faculty members </w:t>
      </w:r>
      <w:r w:rsidR="00EF271A">
        <w:rPr>
          <w:color w:val="4F81BD" w:themeColor="accent1"/>
        </w:rPr>
        <w:t xml:space="preserve">(e.g. a </w:t>
      </w:r>
      <w:r w:rsidR="006839A5">
        <w:rPr>
          <w:color w:val="4F81BD" w:themeColor="accent1"/>
        </w:rPr>
        <w:t xml:space="preserve">large number </w:t>
      </w:r>
      <w:r w:rsidR="00EF271A">
        <w:rPr>
          <w:color w:val="4F81BD" w:themeColor="accent1"/>
        </w:rPr>
        <w:t xml:space="preserve">of Ph.D. advisees) </w:t>
      </w:r>
      <w:r w:rsidR="00B92AC9">
        <w:rPr>
          <w:color w:val="4F81BD" w:themeColor="accent1"/>
        </w:rPr>
        <w:t>via the department’s course release policy in section IV</w:t>
      </w:r>
      <w:r w:rsidR="00D60D2E">
        <w:rPr>
          <w:color w:val="4F81BD" w:themeColor="accent1"/>
        </w:rPr>
        <w:t xml:space="preserve"> of this document</w:t>
      </w:r>
      <w:r w:rsidR="00B92AC9">
        <w:rPr>
          <w:color w:val="4F81BD" w:themeColor="accent1"/>
        </w:rPr>
        <w:t>.</w:t>
      </w:r>
    </w:p>
    <w:p w14:paraId="3CFF5E1B" w14:textId="77777777" w:rsidR="00B74DC4" w:rsidRPr="00323E00" w:rsidRDefault="00B74DC4" w:rsidP="00D770EC">
      <w:pPr>
        <w:ind w:left="1080"/>
        <w:rPr>
          <w:color w:val="000000" w:themeColor="text1"/>
        </w:rPr>
      </w:pPr>
    </w:p>
    <w:p w14:paraId="2047554A" w14:textId="1022330B" w:rsidR="00AD32CF" w:rsidRDefault="00E836B9" w:rsidP="00BC4150">
      <w:pPr>
        <w:widowControl w:val="0"/>
        <w:ind w:left="1440"/>
        <w:rPr>
          <w:color w:val="000000" w:themeColor="text1"/>
        </w:rPr>
      </w:pPr>
      <w:r>
        <w:rPr>
          <w:b/>
          <w:color w:val="000000" w:themeColor="text1"/>
        </w:rPr>
        <w:t>1. General a</w:t>
      </w:r>
      <w:r w:rsidR="004062E2">
        <w:rPr>
          <w:b/>
          <w:color w:val="000000" w:themeColor="text1"/>
        </w:rPr>
        <w:t xml:space="preserve">dvising expectations. </w:t>
      </w:r>
      <w:r w:rsidR="00AD32CF">
        <w:rPr>
          <w:color w:val="000000" w:themeColor="text1"/>
        </w:rPr>
        <w:t xml:space="preserve">TTF </w:t>
      </w:r>
      <w:r w:rsidR="00AD32CF" w:rsidRPr="00323E00">
        <w:rPr>
          <w:color w:val="000000" w:themeColor="text1"/>
        </w:rPr>
        <w:t>are expected to advise and mentor students who take their courses insofar as this is considered a normal part of teaching any course.</w:t>
      </w:r>
      <w:r w:rsidR="00AD32CF" w:rsidRPr="00EF2274">
        <w:rPr>
          <w:color w:val="000000" w:themeColor="text1"/>
        </w:rPr>
        <w:t xml:space="preserve"> </w:t>
      </w:r>
      <w:r w:rsidR="00AD32CF">
        <w:rPr>
          <w:color w:val="000000" w:themeColor="text1"/>
        </w:rPr>
        <w:t xml:space="preserve">They may </w:t>
      </w:r>
      <w:r w:rsidR="00BF5E16">
        <w:rPr>
          <w:color w:val="000000" w:themeColor="text1"/>
        </w:rPr>
        <w:t xml:space="preserve">also </w:t>
      </w:r>
      <w:r w:rsidR="00AD32CF">
        <w:rPr>
          <w:color w:val="000000" w:themeColor="text1"/>
        </w:rPr>
        <w:t xml:space="preserve">be called upon to provide academic advising for students </w:t>
      </w:r>
      <w:r w:rsidR="00BF5E16">
        <w:rPr>
          <w:color w:val="000000" w:themeColor="text1"/>
        </w:rPr>
        <w:t xml:space="preserve">they have not taught in courses but who are enrolled </w:t>
      </w:r>
      <w:r w:rsidR="00AD32CF">
        <w:rPr>
          <w:color w:val="000000" w:themeColor="text1"/>
        </w:rPr>
        <w:t>in the degree programs for which they serve as faculty.</w:t>
      </w:r>
      <w:r>
        <w:rPr>
          <w:color w:val="000000" w:themeColor="text1"/>
        </w:rPr>
        <w:t xml:space="preserve"> </w:t>
      </w:r>
      <w:r w:rsidR="00BD52B1">
        <w:rPr>
          <w:color w:val="000000" w:themeColor="text1"/>
        </w:rPr>
        <w:t>T</w:t>
      </w:r>
      <w:r>
        <w:rPr>
          <w:color w:val="000000" w:themeColor="text1"/>
        </w:rPr>
        <w:t xml:space="preserve">hey should be willing to write recommendation letters and serve as </w:t>
      </w:r>
      <w:r w:rsidR="0001172C">
        <w:rPr>
          <w:color w:val="000000" w:themeColor="text1"/>
        </w:rPr>
        <w:t>references</w:t>
      </w:r>
      <w:r>
        <w:rPr>
          <w:color w:val="000000" w:themeColor="text1"/>
        </w:rPr>
        <w:t xml:space="preserve"> for students whom</w:t>
      </w:r>
      <w:r w:rsidR="002A0DC0">
        <w:rPr>
          <w:color w:val="000000" w:themeColor="text1"/>
        </w:rPr>
        <w:t xml:space="preserve"> they are qualified to evaluate on the basis of coursework or other contact.</w:t>
      </w:r>
    </w:p>
    <w:p w14:paraId="682192B8" w14:textId="77777777" w:rsidR="00AD32CF" w:rsidRDefault="00AD32CF" w:rsidP="00AD32CF">
      <w:pPr>
        <w:widowControl w:val="0"/>
        <w:ind w:left="1080"/>
        <w:rPr>
          <w:color w:val="000000" w:themeColor="text1"/>
        </w:rPr>
      </w:pPr>
    </w:p>
    <w:p w14:paraId="14BE0821" w14:textId="3EAFABDD" w:rsidR="007A7640" w:rsidRDefault="004062E2" w:rsidP="00BC4150">
      <w:pPr>
        <w:widowControl w:val="0"/>
        <w:ind w:left="1440"/>
        <w:rPr>
          <w:color w:val="000000" w:themeColor="text1"/>
        </w:rPr>
      </w:pPr>
      <w:r>
        <w:rPr>
          <w:b/>
          <w:color w:val="000000" w:themeColor="text1"/>
        </w:rPr>
        <w:t>2. Office hours</w:t>
      </w:r>
      <w:r w:rsidR="00E836B9">
        <w:rPr>
          <w:b/>
          <w:color w:val="000000" w:themeColor="text1"/>
        </w:rPr>
        <w:t xml:space="preserve"> and student contact</w:t>
      </w:r>
      <w:r>
        <w:rPr>
          <w:b/>
          <w:color w:val="000000" w:themeColor="text1"/>
        </w:rPr>
        <w:t xml:space="preserve">. </w:t>
      </w:r>
      <w:r w:rsidR="00AD32CF">
        <w:rPr>
          <w:color w:val="000000" w:themeColor="text1"/>
        </w:rPr>
        <w:t xml:space="preserve">TTF </w:t>
      </w:r>
      <w:r w:rsidR="00AD32CF" w:rsidRPr="00323E00">
        <w:rPr>
          <w:color w:val="000000" w:themeColor="text1"/>
        </w:rPr>
        <w:t xml:space="preserve">should hold </w:t>
      </w:r>
      <w:r w:rsidR="00BC4150">
        <w:rPr>
          <w:color w:val="000000" w:themeColor="text1"/>
        </w:rPr>
        <w:t xml:space="preserve">at least two </w:t>
      </w:r>
      <w:r w:rsidR="00AD32CF" w:rsidRPr="00323E00">
        <w:rPr>
          <w:color w:val="000000" w:themeColor="text1"/>
        </w:rPr>
        <w:t xml:space="preserve">office hours </w:t>
      </w:r>
      <w:r w:rsidR="00BC4150">
        <w:rPr>
          <w:color w:val="000000" w:themeColor="text1"/>
        </w:rPr>
        <w:t xml:space="preserve">a week </w:t>
      </w:r>
      <w:r w:rsidR="00256B25">
        <w:rPr>
          <w:color w:val="000000" w:themeColor="text1"/>
        </w:rPr>
        <w:t xml:space="preserve">and be available by appointment </w:t>
      </w:r>
      <w:r w:rsidR="00AD32CF" w:rsidRPr="00323E00">
        <w:rPr>
          <w:color w:val="000000" w:themeColor="text1"/>
        </w:rPr>
        <w:t>during the terms in which they teach</w:t>
      </w:r>
      <w:r w:rsidR="00256B25">
        <w:rPr>
          <w:color w:val="000000" w:themeColor="text1"/>
        </w:rPr>
        <w:t xml:space="preserve">.  They should also </w:t>
      </w:r>
      <w:r w:rsidR="00AD32CF" w:rsidRPr="00323E00">
        <w:rPr>
          <w:color w:val="000000" w:themeColor="text1"/>
        </w:rPr>
        <w:t>make themselves reasonably available to students via email and/or other appropriate online media.</w:t>
      </w:r>
    </w:p>
    <w:p w14:paraId="2057CF68" w14:textId="77777777" w:rsidR="007A7640" w:rsidRDefault="007A7640" w:rsidP="007A7640">
      <w:pPr>
        <w:widowControl w:val="0"/>
        <w:ind w:left="1080"/>
        <w:rPr>
          <w:color w:val="000000" w:themeColor="text1"/>
        </w:rPr>
      </w:pPr>
    </w:p>
    <w:p w14:paraId="15406E95" w14:textId="541EA599" w:rsidR="00C8544C" w:rsidRDefault="004062E2" w:rsidP="00BC4150">
      <w:pPr>
        <w:widowControl w:val="0"/>
        <w:ind w:left="1440"/>
        <w:rPr>
          <w:color w:val="000000" w:themeColor="text1"/>
        </w:rPr>
      </w:pPr>
      <w:r>
        <w:rPr>
          <w:b/>
          <w:color w:val="000000" w:themeColor="text1"/>
        </w:rPr>
        <w:t xml:space="preserve">3. Thesis and dissertation committees. </w:t>
      </w:r>
      <w:r w:rsidR="004A5204">
        <w:rPr>
          <w:color w:val="000000" w:themeColor="text1"/>
        </w:rPr>
        <w:t xml:space="preserve">TTF should expect to serve as chairs or members of </w:t>
      </w:r>
      <w:r w:rsidR="00300BA0">
        <w:rPr>
          <w:color w:val="000000" w:themeColor="text1"/>
        </w:rPr>
        <w:t xml:space="preserve">both </w:t>
      </w:r>
      <w:r w:rsidR="004A5204">
        <w:rPr>
          <w:color w:val="000000" w:themeColor="text1"/>
        </w:rPr>
        <w:t xml:space="preserve">undergraduate </w:t>
      </w:r>
      <w:r>
        <w:rPr>
          <w:color w:val="000000" w:themeColor="text1"/>
        </w:rPr>
        <w:t>and graduate</w:t>
      </w:r>
      <w:r w:rsidR="002B21C9">
        <w:rPr>
          <w:color w:val="000000" w:themeColor="text1"/>
        </w:rPr>
        <w:t xml:space="preserve"> thesis</w:t>
      </w:r>
      <w:r>
        <w:rPr>
          <w:color w:val="000000" w:themeColor="text1"/>
        </w:rPr>
        <w:t xml:space="preserve"> </w:t>
      </w:r>
      <w:r w:rsidR="002B21C9">
        <w:rPr>
          <w:color w:val="000000" w:themeColor="text1"/>
        </w:rPr>
        <w:t xml:space="preserve">and </w:t>
      </w:r>
      <w:r>
        <w:rPr>
          <w:color w:val="000000" w:themeColor="text1"/>
        </w:rPr>
        <w:t xml:space="preserve">dissertation </w:t>
      </w:r>
      <w:r w:rsidR="004A5204">
        <w:rPr>
          <w:color w:val="000000" w:themeColor="text1"/>
        </w:rPr>
        <w:t>committees</w:t>
      </w:r>
      <w:r w:rsidR="000973A5">
        <w:rPr>
          <w:color w:val="000000" w:themeColor="text1"/>
        </w:rPr>
        <w:t>, as appropriate to their expertise</w:t>
      </w:r>
      <w:r w:rsidR="00FC6C66">
        <w:rPr>
          <w:color w:val="000000" w:themeColor="text1"/>
        </w:rPr>
        <w:t>, the nature of their academic unit,</w:t>
      </w:r>
      <w:r w:rsidR="000973A5">
        <w:rPr>
          <w:color w:val="000000" w:themeColor="text1"/>
        </w:rPr>
        <w:t xml:space="preserve"> and the </w:t>
      </w:r>
      <w:r w:rsidR="00D10553">
        <w:rPr>
          <w:color w:val="000000" w:themeColor="text1"/>
        </w:rPr>
        <w:t>needs and interest</w:t>
      </w:r>
      <w:r w:rsidR="005A29DD">
        <w:rPr>
          <w:color w:val="000000" w:themeColor="text1"/>
        </w:rPr>
        <w:t>s</w:t>
      </w:r>
      <w:r w:rsidR="00D10553">
        <w:rPr>
          <w:color w:val="000000" w:themeColor="text1"/>
        </w:rPr>
        <w:t xml:space="preserve"> </w:t>
      </w:r>
      <w:r w:rsidR="000973A5">
        <w:rPr>
          <w:color w:val="000000" w:themeColor="text1"/>
        </w:rPr>
        <w:t xml:space="preserve">of </w:t>
      </w:r>
      <w:r w:rsidR="00456477">
        <w:rPr>
          <w:color w:val="000000" w:themeColor="text1"/>
        </w:rPr>
        <w:t xml:space="preserve">their </w:t>
      </w:r>
      <w:r w:rsidR="000973A5">
        <w:rPr>
          <w:color w:val="000000" w:themeColor="text1"/>
        </w:rPr>
        <w:t>student</w:t>
      </w:r>
      <w:r w:rsidR="00456477">
        <w:rPr>
          <w:color w:val="000000" w:themeColor="text1"/>
        </w:rPr>
        <w:t>s</w:t>
      </w:r>
      <w:r w:rsidR="00431ED2">
        <w:rPr>
          <w:color w:val="000000" w:themeColor="text1"/>
        </w:rPr>
        <w:t>.</w:t>
      </w:r>
    </w:p>
    <w:p w14:paraId="0093A85E" w14:textId="77777777" w:rsidR="00C8544C" w:rsidRDefault="00C8544C" w:rsidP="00BC4150">
      <w:pPr>
        <w:widowControl w:val="0"/>
        <w:ind w:left="1440"/>
        <w:rPr>
          <w:color w:val="000000" w:themeColor="text1"/>
        </w:rPr>
      </w:pPr>
    </w:p>
    <w:p w14:paraId="25DB8E4A" w14:textId="54588B9C" w:rsidR="00E836B9" w:rsidRPr="00E836B9" w:rsidRDefault="004062E2" w:rsidP="00BC4150">
      <w:pPr>
        <w:widowControl w:val="0"/>
        <w:ind w:left="1440"/>
        <w:rPr>
          <w:color w:val="000000" w:themeColor="text1"/>
        </w:rPr>
      </w:pPr>
      <w:r>
        <w:rPr>
          <w:b/>
          <w:color w:val="000000" w:themeColor="text1"/>
        </w:rPr>
        <w:t xml:space="preserve">4. Graduate education. </w:t>
      </w:r>
      <w:r w:rsidR="00D10553">
        <w:rPr>
          <w:color w:val="000000" w:themeColor="text1"/>
        </w:rPr>
        <w:t xml:space="preserve">Extensive </w:t>
      </w:r>
      <w:r w:rsidR="00BC4150">
        <w:rPr>
          <w:color w:val="000000" w:themeColor="text1"/>
        </w:rPr>
        <w:t xml:space="preserve">advising </w:t>
      </w:r>
      <w:r w:rsidR="00AD32CF">
        <w:rPr>
          <w:color w:val="000000" w:themeColor="text1"/>
        </w:rPr>
        <w:t xml:space="preserve">and mentoring </w:t>
      </w:r>
      <w:r w:rsidR="00BC4150">
        <w:rPr>
          <w:color w:val="000000" w:themeColor="text1"/>
        </w:rPr>
        <w:t xml:space="preserve">of </w:t>
      </w:r>
      <w:r w:rsidR="00AD32CF">
        <w:rPr>
          <w:color w:val="000000" w:themeColor="text1"/>
        </w:rPr>
        <w:t>graduate students</w:t>
      </w:r>
      <w:r w:rsidR="00BC4150">
        <w:rPr>
          <w:color w:val="000000" w:themeColor="text1"/>
        </w:rPr>
        <w:t>,</w:t>
      </w:r>
      <w:r w:rsidR="00AD32CF">
        <w:rPr>
          <w:color w:val="000000" w:themeColor="text1"/>
        </w:rPr>
        <w:t xml:space="preserve"> both insid</w:t>
      </w:r>
      <w:r w:rsidR="004A5204">
        <w:rPr>
          <w:color w:val="000000" w:themeColor="text1"/>
        </w:rPr>
        <w:t xml:space="preserve">e and outside </w:t>
      </w:r>
      <w:r w:rsidR="002B21C9">
        <w:rPr>
          <w:color w:val="000000" w:themeColor="text1"/>
        </w:rPr>
        <w:t xml:space="preserve">of </w:t>
      </w:r>
      <w:r w:rsidR="004A5204">
        <w:rPr>
          <w:color w:val="000000" w:themeColor="text1"/>
        </w:rPr>
        <w:t>formal coursework,</w:t>
      </w:r>
      <w:r w:rsidR="00BC4150">
        <w:rPr>
          <w:color w:val="000000" w:themeColor="text1"/>
        </w:rPr>
        <w:t xml:space="preserve"> </w:t>
      </w:r>
      <w:r w:rsidR="000F09EB">
        <w:rPr>
          <w:color w:val="000000" w:themeColor="text1"/>
        </w:rPr>
        <w:t>are</w:t>
      </w:r>
      <w:r w:rsidR="00BC4150">
        <w:rPr>
          <w:color w:val="000000" w:themeColor="text1"/>
        </w:rPr>
        <w:t xml:space="preserve"> a particular </w:t>
      </w:r>
      <w:r w:rsidR="00D10553">
        <w:rPr>
          <w:color w:val="000000" w:themeColor="text1"/>
        </w:rPr>
        <w:t xml:space="preserve">responsibility </w:t>
      </w:r>
      <w:r w:rsidR="00BC4150">
        <w:rPr>
          <w:color w:val="000000" w:themeColor="text1"/>
        </w:rPr>
        <w:t>of TTF</w:t>
      </w:r>
      <w:r>
        <w:rPr>
          <w:color w:val="000000" w:themeColor="text1"/>
        </w:rPr>
        <w:t xml:space="preserve">, </w:t>
      </w:r>
      <w:r w:rsidR="00E836B9">
        <w:rPr>
          <w:color w:val="000000" w:themeColor="text1"/>
        </w:rPr>
        <w:t xml:space="preserve">and </w:t>
      </w:r>
      <w:r w:rsidR="00C8544C">
        <w:rPr>
          <w:color w:val="000000" w:themeColor="text1"/>
        </w:rPr>
        <w:t>often inseparable from a TTF’s own research program.</w:t>
      </w:r>
      <w:r w:rsidR="00E836B9">
        <w:rPr>
          <w:color w:val="000000" w:themeColor="text1"/>
        </w:rPr>
        <w:t xml:space="preserve"> In addition to writing recommendation letters and serving as references, TTF customarily help their </w:t>
      </w:r>
      <w:r w:rsidR="002B21C9">
        <w:rPr>
          <w:color w:val="000000" w:themeColor="text1"/>
        </w:rPr>
        <w:t xml:space="preserve">graduate </w:t>
      </w:r>
      <w:r w:rsidR="00E836B9">
        <w:rPr>
          <w:color w:val="000000" w:themeColor="text1"/>
        </w:rPr>
        <w:t>students secure postgraduate positions and connect them to appropriate professional development opportunities and networks in their fields.</w:t>
      </w:r>
    </w:p>
    <w:p w14:paraId="27AD6850" w14:textId="77777777" w:rsidR="007A7640" w:rsidRPr="00323E00" w:rsidRDefault="007A7640" w:rsidP="007A7640">
      <w:pPr>
        <w:rPr>
          <w:b/>
          <w:color w:val="000000" w:themeColor="text1"/>
        </w:rPr>
      </w:pPr>
    </w:p>
    <w:p w14:paraId="428785A7" w14:textId="77777777" w:rsidR="007A7640" w:rsidRPr="00323E00" w:rsidRDefault="007A7640" w:rsidP="003D6929">
      <w:pPr>
        <w:pStyle w:val="ListParagraph"/>
        <w:keepNext/>
        <w:numPr>
          <w:ilvl w:val="0"/>
          <w:numId w:val="3"/>
        </w:numPr>
        <w:rPr>
          <w:b/>
          <w:color w:val="000000" w:themeColor="text1"/>
        </w:rPr>
      </w:pPr>
      <w:r w:rsidRPr="00323E00">
        <w:rPr>
          <w:b/>
          <w:color w:val="000000" w:themeColor="text1"/>
        </w:rPr>
        <w:lastRenderedPageBreak/>
        <w:t>Service</w:t>
      </w:r>
    </w:p>
    <w:p w14:paraId="641F212C" w14:textId="77777777" w:rsidR="007A7640" w:rsidRDefault="007A7640" w:rsidP="003D6929">
      <w:pPr>
        <w:keepNext/>
        <w:ind w:left="720"/>
        <w:rPr>
          <w:b/>
          <w:color w:val="000000" w:themeColor="text1"/>
        </w:rPr>
      </w:pPr>
    </w:p>
    <w:p w14:paraId="46340679" w14:textId="45B22AF0" w:rsidR="00B74DC4" w:rsidRPr="00B74DC4" w:rsidRDefault="00B74DC4" w:rsidP="00865276">
      <w:pPr>
        <w:ind w:left="1080"/>
        <w:rPr>
          <w:b/>
          <w:color w:val="000000" w:themeColor="text1"/>
        </w:rPr>
      </w:pPr>
      <w:r>
        <w:rPr>
          <w:color w:val="4F81BD" w:themeColor="accent1"/>
        </w:rPr>
        <w:t>Dean’s Guidance: Departments</w:t>
      </w:r>
      <w:r w:rsidR="003C33EB">
        <w:rPr>
          <w:color w:val="4F81BD" w:themeColor="accent1"/>
        </w:rPr>
        <w:t>, if they choose,</w:t>
      </w:r>
      <w:r>
        <w:rPr>
          <w:color w:val="4F81BD" w:themeColor="accent1"/>
        </w:rPr>
        <w:t xml:space="preserve"> are invited to </w:t>
      </w:r>
      <w:r w:rsidR="00C8102E">
        <w:rPr>
          <w:color w:val="4F81BD" w:themeColor="accent1"/>
        </w:rPr>
        <w:t xml:space="preserve">modify </w:t>
      </w:r>
      <w:r>
        <w:rPr>
          <w:color w:val="4F81BD" w:themeColor="accent1"/>
        </w:rPr>
        <w:t>this section to reflect local needs and expectations.</w:t>
      </w:r>
    </w:p>
    <w:p w14:paraId="650AA6DC" w14:textId="77777777" w:rsidR="00B74DC4" w:rsidRDefault="00B74DC4" w:rsidP="007A7640">
      <w:pPr>
        <w:pStyle w:val="ListParagraph"/>
        <w:ind w:left="1080"/>
        <w:rPr>
          <w:b/>
          <w:color w:val="000000" w:themeColor="text1"/>
        </w:rPr>
      </w:pPr>
    </w:p>
    <w:p w14:paraId="48D4827B" w14:textId="26D25424" w:rsidR="00E026E7" w:rsidRDefault="00E026E7" w:rsidP="00E026E7">
      <w:pPr>
        <w:pStyle w:val="ListParagraph"/>
        <w:ind w:left="1440"/>
        <w:rPr>
          <w:b/>
          <w:color w:val="000000" w:themeColor="text1"/>
        </w:rPr>
      </w:pPr>
      <w:r w:rsidRPr="00E026E7">
        <w:rPr>
          <w:b/>
          <w:color w:val="000000" w:themeColor="text1"/>
        </w:rPr>
        <w:t>1.</w:t>
      </w:r>
      <w:r>
        <w:rPr>
          <w:color w:val="000000" w:themeColor="text1"/>
        </w:rPr>
        <w:t xml:space="preserve"> </w:t>
      </w:r>
      <w:r>
        <w:rPr>
          <w:b/>
          <w:color w:val="000000" w:themeColor="text1"/>
        </w:rPr>
        <w:t xml:space="preserve">Shared governance. </w:t>
      </w:r>
      <w:r>
        <w:rPr>
          <w:color w:val="000000" w:themeColor="text1"/>
        </w:rPr>
        <w:t xml:space="preserve">TTF bear </w:t>
      </w:r>
      <w:r w:rsidR="00841556">
        <w:rPr>
          <w:color w:val="000000" w:themeColor="text1"/>
        </w:rPr>
        <w:t xml:space="preserve">significant </w:t>
      </w:r>
      <w:r>
        <w:rPr>
          <w:color w:val="000000" w:themeColor="text1"/>
        </w:rPr>
        <w:t xml:space="preserve">responsibility for shared governance and are therefore expected to serve actively on departmental, college, and university committees and in other roles in service to the institution. Assistant professors are expected to perform some service, typically within the department, though less than associate and especially full professors, for whom service expectations </w:t>
      </w:r>
      <w:r w:rsidR="00E71939">
        <w:rPr>
          <w:color w:val="000000" w:themeColor="text1"/>
        </w:rPr>
        <w:t xml:space="preserve">both inside and outside the department </w:t>
      </w:r>
      <w:r>
        <w:rPr>
          <w:color w:val="000000" w:themeColor="text1"/>
        </w:rPr>
        <w:t>rise substantially over the course of a career.</w:t>
      </w:r>
    </w:p>
    <w:p w14:paraId="1B9E81C7" w14:textId="77777777" w:rsidR="00E026E7" w:rsidRPr="00323E00" w:rsidRDefault="00E026E7" w:rsidP="007A7640">
      <w:pPr>
        <w:pStyle w:val="ListParagraph"/>
        <w:ind w:left="1080"/>
        <w:rPr>
          <w:b/>
          <w:color w:val="000000" w:themeColor="text1"/>
        </w:rPr>
      </w:pPr>
    </w:p>
    <w:p w14:paraId="57FFDA8A" w14:textId="0747C9EF" w:rsidR="00E026E7" w:rsidRDefault="00E026E7" w:rsidP="008578F9">
      <w:pPr>
        <w:ind w:left="1440" w:hanging="360"/>
        <w:rPr>
          <w:b/>
          <w:color w:val="000000" w:themeColor="text1"/>
        </w:rPr>
      </w:pPr>
      <w:r>
        <w:rPr>
          <w:b/>
          <w:color w:val="000000" w:themeColor="text1"/>
        </w:rPr>
        <w:tab/>
        <w:t xml:space="preserve">2. Departmental service. </w:t>
      </w:r>
      <w:r>
        <w:rPr>
          <w:color w:val="000000" w:themeColor="text1"/>
        </w:rPr>
        <w:t xml:space="preserve">TTF </w:t>
      </w:r>
      <w:r w:rsidRPr="00E026E7">
        <w:rPr>
          <w:color w:val="000000" w:themeColor="text1"/>
        </w:rPr>
        <w:t xml:space="preserve">are expected to take part in the normal service workload of the department. This includes </w:t>
      </w:r>
      <w:r w:rsidR="009A77DB">
        <w:rPr>
          <w:color w:val="000000" w:themeColor="text1"/>
        </w:rPr>
        <w:t xml:space="preserve">participation in standing and ad hoc committees </w:t>
      </w:r>
      <w:r w:rsidRPr="00E026E7">
        <w:rPr>
          <w:color w:val="000000" w:themeColor="text1"/>
        </w:rPr>
        <w:t>work as spelled out in the department’s internal governance document, any regular work needed (in the judgment of the department head) beyond that, and any other service work that may happen irregularly (for example, curricular review and program review).</w:t>
      </w:r>
    </w:p>
    <w:p w14:paraId="712C05A8" w14:textId="77777777" w:rsidR="00E026E7" w:rsidRDefault="00E026E7" w:rsidP="00E026E7">
      <w:pPr>
        <w:ind w:left="1440"/>
        <w:rPr>
          <w:b/>
          <w:color w:val="000000" w:themeColor="text1"/>
        </w:rPr>
      </w:pPr>
    </w:p>
    <w:p w14:paraId="649FC370" w14:textId="36C3BE6B" w:rsidR="008578F9" w:rsidRDefault="00E026E7" w:rsidP="00E026E7">
      <w:pPr>
        <w:ind w:left="1440"/>
        <w:rPr>
          <w:color w:val="000000" w:themeColor="text1"/>
        </w:rPr>
      </w:pPr>
      <w:r>
        <w:rPr>
          <w:b/>
          <w:color w:val="000000" w:themeColor="text1"/>
        </w:rPr>
        <w:t>3</w:t>
      </w:r>
      <w:r w:rsidR="008578F9">
        <w:rPr>
          <w:b/>
          <w:color w:val="000000" w:themeColor="text1"/>
        </w:rPr>
        <w:t xml:space="preserve">. Professional service. </w:t>
      </w:r>
      <w:r w:rsidR="002C132D">
        <w:rPr>
          <w:color w:val="000000" w:themeColor="text1"/>
        </w:rPr>
        <w:t xml:space="preserve">TTF </w:t>
      </w:r>
      <w:r w:rsidR="00E56D5C">
        <w:rPr>
          <w:color w:val="000000" w:themeColor="text1"/>
        </w:rPr>
        <w:t>often</w:t>
      </w:r>
      <w:r w:rsidR="002C132D">
        <w:rPr>
          <w:color w:val="000000" w:themeColor="text1"/>
        </w:rPr>
        <w:t xml:space="preserve"> serve as members or officers of </w:t>
      </w:r>
      <w:r w:rsidR="00E836B9">
        <w:rPr>
          <w:color w:val="000000" w:themeColor="text1"/>
        </w:rPr>
        <w:t xml:space="preserve">professional </w:t>
      </w:r>
      <w:r w:rsidR="002C132D">
        <w:rPr>
          <w:color w:val="000000" w:themeColor="text1"/>
        </w:rPr>
        <w:t>organizations</w:t>
      </w:r>
      <w:r w:rsidR="00E836B9">
        <w:rPr>
          <w:color w:val="000000" w:themeColor="text1"/>
        </w:rPr>
        <w:t xml:space="preserve">, editorial boards, and </w:t>
      </w:r>
      <w:r w:rsidR="00FC6C66">
        <w:rPr>
          <w:color w:val="000000" w:themeColor="text1"/>
        </w:rPr>
        <w:t xml:space="preserve">conference and </w:t>
      </w:r>
      <w:r w:rsidR="00E836B9">
        <w:rPr>
          <w:color w:val="000000" w:themeColor="text1"/>
        </w:rPr>
        <w:t>prize committees for their disciplines</w:t>
      </w:r>
      <w:r w:rsidR="009A77DB">
        <w:rPr>
          <w:color w:val="000000" w:themeColor="text1"/>
        </w:rPr>
        <w:t xml:space="preserve"> at the national and international levels</w:t>
      </w:r>
      <w:r w:rsidR="00197C77">
        <w:rPr>
          <w:color w:val="000000" w:themeColor="text1"/>
        </w:rPr>
        <w:t xml:space="preserve">. They are </w:t>
      </w:r>
      <w:r w:rsidR="006B57E3">
        <w:rPr>
          <w:color w:val="000000" w:themeColor="text1"/>
        </w:rPr>
        <w:t xml:space="preserve">also </w:t>
      </w:r>
      <w:r>
        <w:rPr>
          <w:color w:val="000000" w:themeColor="text1"/>
        </w:rPr>
        <w:t xml:space="preserve">called upon </w:t>
      </w:r>
      <w:r w:rsidR="00197C77">
        <w:rPr>
          <w:color w:val="000000" w:themeColor="text1"/>
        </w:rPr>
        <w:t xml:space="preserve">to lend </w:t>
      </w:r>
      <w:r>
        <w:rPr>
          <w:color w:val="000000" w:themeColor="text1"/>
        </w:rPr>
        <w:t xml:space="preserve">expert evaluations in the </w:t>
      </w:r>
      <w:r w:rsidR="008578F9">
        <w:rPr>
          <w:color w:val="000000" w:themeColor="text1"/>
        </w:rPr>
        <w:t xml:space="preserve">peer review of </w:t>
      </w:r>
      <w:r>
        <w:rPr>
          <w:color w:val="000000" w:themeColor="text1"/>
        </w:rPr>
        <w:t xml:space="preserve">academic </w:t>
      </w:r>
      <w:r w:rsidR="00197C77">
        <w:rPr>
          <w:color w:val="000000" w:themeColor="text1"/>
        </w:rPr>
        <w:t xml:space="preserve">publications, </w:t>
      </w:r>
      <w:r w:rsidR="002C132D">
        <w:rPr>
          <w:color w:val="000000" w:themeColor="text1"/>
        </w:rPr>
        <w:t xml:space="preserve">grants and fellowships, and promotion and tenure cases for colleagues </w:t>
      </w:r>
      <w:r>
        <w:rPr>
          <w:color w:val="000000" w:themeColor="text1"/>
        </w:rPr>
        <w:t>at other institutions.</w:t>
      </w:r>
    </w:p>
    <w:p w14:paraId="601990E7" w14:textId="77777777" w:rsidR="008578F9" w:rsidRPr="00323E00" w:rsidRDefault="008578F9" w:rsidP="00D770EC">
      <w:pPr>
        <w:rPr>
          <w:color w:val="000000" w:themeColor="text1"/>
        </w:rPr>
      </w:pPr>
    </w:p>
    <w:p w14:paraId="14A7F217" w14:textId="77777777" w:rsidR="00D770EC" w:rsidRPr="00323E00" w:rsidRDefault="00D770EC" w:rsidP="00D770EC">
      <w:pPr>
        <w:pStyle w:val="ListParagraph"/>
        <w:numPr>
          <w:ilvl w:val="0"/>
          <w:numId w:val="3"/>
        </w:numPr>
        <w:rPr>
          <w:b/>
          <w:color w:val="000000" w:themeColor="text1"/>
        </w:rPr>
      </w:pPr>
      <w:r w:rsidRPr="00323E00">
        <w:rPr>
          <w:b/>
          <w:color w:val="000000" w:themeColor="text1"/>
        </w:rPr>
        <w:t xml:space="preserve"> Equity and inclusion</w:t>
      </w:r>
    </w:p>
    <w:p w14:paraId="455441E9" w14:textId="77777777" w:rsidR="00D770EC" w:rsidRDefault="00D770EC" w:rsidP="003C33EB">
      <w:pPr>
        <w:rPr>
          <w:color w:val="000000" w:themeColor="text1"/>
        </w:rPr>
      </w:pPr>
    </w:p>
    <w:p w14:paraId="7CE8F464" w14:textId="46983D5C" w:rsidR="003C33EB" w:rsidRDefault="003C33EB" w:rsidP="003C33EB">
      <w:pPr>
        <w:ind w:left="1080"/>
        <w:rPr>
          <w:color w:val="4F81BD" w:themeColor="accent1"/>
        </w:rPr>
      </w:pPr>
      <w:r>
        <w:rPr>
          <w:color w:val="4F81BD" w:themeColor="accent1"/>
        </w:rPr>
        <w:t xml:space="preserve">Dean’s Guidance: Departments, if they choose, are invited to </w:t>
      </w:r>
      <w:r w:rsidR="0072350F">
        <w:rPr>
          <w:color w:val="4F81BD" w:themeColor="accent1"/>
        </w:rPr>
        <w:t xml:space="preserve">modify </w:t>
      </w:r>
      <w:r>
        <w:rPr>
          <w:color w:val="4F81BD" w:themeColor="accent1"/>
        </w:rPr>
        <w:t>this section to reflect local needs and expectations.</w:t>
      </w:r>
    </w:p>
    <w:p w14:paraId="3688B589" w14:textId="77777777" w:rsidR="003C33EB" w:rsidRPr="00323E00" w:rsidRDefault="003C33EB" w:rsidP="003C33EB">
      <w:pPr>
        <w:ind w:left="1080"/>
        <w:rPr>
          <w:color w:val="000000" w:themeColor="text1"/>
        </w:rPr>
      </w:pPr>
    </w:p>
    <w:p w14:paraId="372E0745" w14:textId="483C5B09" w:rsidR="00D770EC" w:rsidRPr="00323E00" w:rsidRDefault="00D770EC" w:rsidP="00E026E7">
      <w:pPr>
        <w:ind w:left="1440"/>
        <w:rPr>
          <w:color w:val="000000" w:themeColor="text1"/>
        </w:rPr>
      </w:pPr>
      <w:r w:rsidRPr="00323E00">
        <w:rPr>
          <w:color w:val="000000" w:themeColor="text1"/>
        </w:rPr>
        <w:t>Faculty are expected to contribute to the University's goals regarding equity and inclusion. These contributions may consist of research, teaching, and service activities as appropriate, as well as involvement with academic and professional associations, non-profit, governmental, and/or private sector organizations.</w:t>
      </w:r>
    </w:p>
    <w:p w14:paraId="7BD9A32D" w14:textId="77777777" w:rsidR="00D770EC" w:rsidRDefault="00D770EC" w:rsidP="00D770EC">
      <w:pPr>
        <w:rPr>
          <w:color w:val="000000" w:themeColor="text1"/>
        </w:rPr>
      </w:pPr>
    </w:p>
    <w:p w14:paraId="37B6EE53" w14:textId="77777777" w:rsidR="00300BA0" w:rsidRPr="00323E00" w:rsidRDefault="00300BA0" w:rsidP="00D770EC">
      <w:pPr>
        <w:rPr>
          <w:color w:val="000000" w:themeColor="text1"/>
        </w:rPr>
      </w:pPr>
    </w:p>
    <w:p w14:paraId="6755EFA1" w14:textId="032CB1D5" w:rsidR="00D770EC" w:rsidRPr="00236A0A" w:rsidRDefault="00D770EC" w:rsidP="00236A0A">
      <w:pPr>
        <w:pStyle w:val="ListParagraph"/>
        <w:numPr>
          <w:ilvl w:val="0"/>
          <w:numId w:val="5"/>
        </w:numPr>
        <w:ind w:left="0" w:firstLine="0"/>
        <w:rPr>
          <w:b/>
          <w:color w:val="000000" w:themeColor="text1"/>
        </w:rPr>
      </w:pPr>
      <w:r w:rsidRPr="00236A0A">
        <w:rPr>
          <w:b/>
          <w:color w:val="000000" w:themeColor="text1"/>
        </w:rPr>
        <w:t>Teaching and Service Assignment Process for TTF</w:t>
      </w:r>
    </w:p>
    <w:p w14:paraId="66D6DE1C" w14:textId="77777777" w:rsidR="00D770EC" w:rsidRDefault="00D770EC" w:rsidP="00D770EC">
      <w:pPr>
        <w:pStyle w:val="ListParagraph"/>
        <w:ind w:left="1080"/>
        <w:rPr>
          <w:b/>
          <w:color w:val="000000" w:themeColor="text1"/>
        </w:rPr>
      </w:pPr>
    </w:p>
    <w:p w14:paraId="34CCAA68" w14:textId="538589E2" w:rsidR="003C33EB" w:rsidRPr="00236A0A" w:rsidRDefault="003C33EB" w:rsidP="00236A0A">
      <w:pPr>
        <w:ind w:left="720"/>
        <w:rPr>
          <w:color w:val="4F81BD" w:themeColor="accent1"/>
        </w:rPr>
      </w:pPr>
      <w:r w:rsidRPr="00236A0A">
        <w:rPr>
          <w:color w:val="4F81BD" w:themeColor="accent1"/>
        </w:rPr>
        <w:t xml:space="preserve">Dean’s Guidance: Aside from the portion in red below, </w:t>
      </w:r>
      <w:r w:rsidR="00524358">
        <w:rPr>
          <w:rFonts w:cs="Calibri"/>
          <w:color w:val="4F81BD" w:themeColor="accent1"/>
        </w:rPr>
        <w:t xml:space="preserve">departments may wish to adopt this </w:t>
      </w:r>
      <w:r w:rsidR="00A5278A">
        <w:rPr>
          <w:rFonts w:cs="Calibri"/>
          <w:color w:val="4F81BD" w:themeColor="accent1"/>
        </w:rPr>
        <w:t>section</w:t>
      </w:r>
      <w:r w:rsidR="00524358">
        <w:rPr>
          <w:rFonts w:cs="Calibri"/>
          <w:color w:val="4F81BD" w:themeColor="accent1"/>
        </w:rPr>
        <w:t xml:space="preserve"> without changes.</w:t>
      </w:r>
    </w:p>
    <w:p w14:paraId="2AB219B8" w14:textId="77777777" w:rsidR="003C33EB" w:rsidRPr="00323E00" w:rsidRDefault="003C33EB" w:rsidP="00D770EC">
      <w:pPr>
        <w:pStyle w:val="ListParagraph"/>
        <w:ind w:left="1080"/>
        <w:rPr>
          <w:b/>
          <w:color w:val="000000" w:themeColor="text1"/>
        </w:rPr>
      </w:pPr>
    </w:p>
    <w:p w14:paraId="5C13C438" w14:textId="77777777" w:rsidR="00D770EC" w:rsidRPr="00323E00" w:rsidRDefault="00D770EC" w:rsidP="003D6929">
      <w:pPr>
        <w:keepNext/>
        <w:ind w:firstLine="720"/>
        <w:rPr>
          <w:b/>
          <w:color w:val="000000" w:themeColor="text1"/>
        </w:rPr>
      </w:pPr>
      <w:r w:rsidRPr="00323E00">
        <w:rPr>
          <w:b/>
          <w:color w:val="000000" w:themeColor="text1"/>
        </w:rPr>
        <w:lastRenderedPageBreak/>
        <w:t>A.</w:t>
      </w:r>
      <w:r w:rsidRPr="00323E00">
        <w:rPr>
          <w:b/>
          <w:color w:val="000000" w:themeColor="text1"/>
        </w:rPr>
        <w:tab/>
        <w:t>Teaching and service within the department</w:t>
      </w:r>
    </w:p>
    <w:p w14:paraId="1978D087" w14:textId="77777777" w:rsidR="003E02FD" w:rsidRPr="00323E00" w:rsidRDefault="003E02FD" w:rsidP="003D6929">
      <w:pPr>
        <w:keepNext/>
        <w:rPr>
          <w:color w:val="000000" w:themeColor="text1"/>
        </w:rPr>
      </w:pPr>
    </w:p>
    <w:p w14:paraId="54D9612F" w14:textId="35A27E43" w:rsidR="00D770EC" w:rsidRPr="003C33EB" w:rsidRDefault="00D770EC" w:rsidP="00D770EC">
      <w:pPr>
        <w:ind w:left="1440"/>
        <w:rPr>
          <w:color w:val="FF0000"/>
        </w:rPr>
      </w:pPr>
      <w:r w:rsidRPr="00323E00">
        <w:t>Except as otherwise determined by the Provost, Dean, or other designee, the department head shall be responsible for the scheduling and assignment of all faculty members’ professional responsibilities</w:t>
      </w:r>
      <w:r w:rsidRPr="003C33EB">
        <w:rPr>
          <w:color w:val="FF0000"/>
        </w:rPr>
        <w:t>. [</w:t>
      </w:r>
      <w:r w:rsidR="00300BA0" w:rsidRPr="003C33EB">
        <w:rPr>
          <w:color w:val="FF0000"/>
        </w:rPr>
        <w:t>Insert</w:t>
      </w:r>
      <w:r w:rsidRPr="003C33EB">
        <w:rPr>
          <w:color w:val="FF0000"/>
        </w:rPr>
        <w:t xml:space="preserve"> </w:t>
      </w:r>
      <w:r w:rsidR="000973A5" w:rsidRPr="003C33EB">
        <w:rPr>
          <w:color w:val="FF0000"/>
        </w:rPr>
        <w:t xml:space="preserve">departmental </w:t>
      </w:r>
      <w:r w:rsidRPr="003C33EB">
        <w:rPr>
          <w:color w:val="FF0000"/>
        </w:rPr>
        <w:t xml:space="preserve">process for determining teaching and service assignments for </w:t>
      </w:r>
      <w:r w:rsidR="007A7640" w:rsidRPr="003C33EB">
        <w:rPr>
          <w:color w:val="FF0000"/>
        </w:rPr>
        <w:t>TTF</w:t>
      </w:r>
      <w:r w:rsidRPr="003C33EB">
        <w:rPr>
          <w:color w:val="FF0000"/>
        </w:rPr>
        <w:t xml:space="preserve"> here</w:t>
      </w:r>
      <w:r w:rsidR="00300BA0" w:rsidRPr="003C33EB">
        <w:rPr>
          <w:color w:val="FF0000"/>
        </w:rPr>
        <w:t xml:space="preserve">—adapted </w:t>
      </w:r>
      <w:r w:rsidR="00AD03DD">
        <w:rPr>
          <w:color w:val="FF0000"/>
        </w:rPr>
        <w:t xml:space="preserve">if appropriate </w:t>
      </w:r>
      <w:r w:rsidR="00300BA0" w:rsidRPr="003C33EB">
        <w:rPr>
          <w:color w:val="FF0000"/>
        </w:rPr>
        <w:t>from equivalent policy in Career NTTF policy document</w:t>
      </w:r>
      <w:r w:rsidRPr="003C33EB">
        <w:rPr>
          <w:color w:val="FF0000"/>
        </w:rPr>
        <w:t>.]</w:t>
      </w:r>
    </w:p>
    <w:p w14:paraId="27D086E2" w14:textId="77777777" w:rsidR="00D770EC" w:rsidRPr="00323E00" w:rsidRDefault="00D770EC" w:rsidP="00EE1F66"/>
    <w:p w14:paraId="05D34F17" w14:textId="77777777" w:rsidR="00D770EC" w:rsidRPr="00323E00" w:rsidRDefault="00D770EC" w:rsidP="00D770EC">
      <w:pPr>
        <w:ind w:left="1440"/>
      </w:pPr>
      <w:r w:rsidRPr="00323E00">
        <w:t>A faculty member shall be afforded the opportunity to meet with his or her department head at least annually, before responsibilities are assigned, to discuss his or her preferences regarding assignments for teaching, research, service and other professional responsibilities, and anticipated resource needs. The Provost or designee may modify scheduled assignments, provided that the department head discusses changes with the faculty member before they are made and that changes are not made for arbitrary or capricious reasons.</w:t>
      </w:r>
    </w:p>
    <w:p w14:paraId="168DE7AB" w14:textId="77777777" w:rsidR="00D770EC" w:rsidRPr="00323E00" w:rsidRDefault="00D770EC" w:rsidP="00D770EC">
      <w:pPr>
        <w:rPr>
          <w:color w:val="000000" w:themeColor="text1"/>
        </w:rPr>
      </w:pPr>
    </w:p>
    <w:p w14:paraId="5CFD5B71" w14:textId="77777777" w:rsidR="00D770EC" w:rsidRPr="00323E00" w:rsidRDefault="00D770EC" w:rsidP="003F6445">
      <w:pPr>
        <w:keepNext/>
        <w:rPr>
          <w:b/>
          <w:color w:val="000000" w:themeColor="text1"/>
        </w:rPr>
      </w:pPr>
      <w:r w:rsidRPr="00323E00">
        <w:rPr>
          <w:b/>
          <w:color w:val="000000" w:themeColor="text1"/>
        </w:rPr>
        <w:tab/>
        <w:t>B.</w:t>
      </w:r>
      <w:r w:rsidRPr="00323E00">
        <w:rPr>
          <w:b/>
          <w:color w:val="000000" w:themeColor="text1"/>
        </w:rPr>
        <w:tab/>
        <w:t>Teaching and service outside the department</w:t>
      </w:r>
    </w:p>
    <w:p w14:paraId="7EA9F376" w14:textId="77777777" w:rsidR="00D770EC" w:rsidRPr="00323E00" w:rsidRDefault="00D770EC" w:rsidP="003F6445">
      <w:pPr>
        <w:keepNext/>
        <w:rPr>
          <w:color w:val="000000" w:themeColor="text1"/>
        </w:rPr>
      </w:pPr>
    </w:p>
    <w:p w14:paraId="5ECD9D69" w14:textId="6EABC7C4" w:rsidR="00D770EC" w:rsidRPr="00323E00" w:rsidRDefault="00D770EC" w:rsidP="00D770EC">
      <w:pPr>
        <w:ind w:left="1440" w:hanging="660"/>
        <w:rPr>
          <w:rFonts w:eastAsia="Times New Roman"/>
          <w:color w:val="000000" w:themeColor="text1"/>
        </w:rPr>
      </w:pPr>
      <w:r w:rsidRPr="00323E00">
        <w:rPr>
          <w:color w:val="000000" w:themeColor="text1"/>
        </w:rPr>
        <w:tab/>
        <w:t xml:space="preserve">A </w:t>
      </w:r>
      <w:r w:rsidR="007A7640">
        <w:rPr>
          <w:color w:val="000000" w:themeColor="text1"/>
        </w:rPr>
        <w:t xml:space="preserve">TTF </w:t>
      </w:r>
      <w:r w:rsidRPr="00323E00">
        <w:rPr>
          <w:color w:val="000000" w:themeColor="text1"/>
        </w:rPr>
        <w:t xml:space="preserve">may be offered a course release(s) from the home department, with or without a stipend, to teach a course(s) in another department or program, or to perform administrative service outside the home department. </w:t>
      </w:r>
      <w:r w:rsidR="00494039">
        <w:rPr>
          <w:color w:val="000000" w:themeColor="text1"/>
        </w:rPr>
        <w:t xml:space="preserve">Such </w:t>
      </w:r>
      <w:r w:rsidR="00767A7A">
        <w:rPr>
          <w:color w:val="000000" w:themeColor="text1"/>
        </w:rPr>
        <w:t xml:space="preserve">opportunities </w:t>
      </w:r>
      <w:r w:rsidR="00494039">
        <w:rPr>
          <w:color w:val="000000" w:themeColor="text1"/>
        </w:rPr>
        <w:t>include, but are not limited to,</w:t>
      </w:r>
      <w:r w:rsidR="00F04E0A">
        <w:rPr>
          <w:color w:val="000000" w:themeColor="text1"/>
        </w:rPr>
        <w:t xml:space="preserve"> </w:t>
      </w:r>
      <w:r w:rsidR="00494039">
        <w:rPr>
          <w:color w:val="000000" w:themeColor="text1"/>
        </w:rPr>
        <w:t xml:space="preserve">teaching in </w:t>
      </w:r>
      <w:r w:rsidR="00F04E0A">
        <w:rPr>
          <w:color w:val="000000" w:themeColor="text1"/>
        </w:rPr>
        <w:t xml:space="preserve">interdisciplinary and enrichment programs such as </w:t>
      </w:r>
      <w:r w:rsidR="00494039">
        <w:rPr>
          <w:color w:val="000000" w:themeColor="text1"/>
        </w:rPr>
        <w:t>Humanities</w:t>
      </w:r>
      <w:r w:rsidR="00261BEC">
        <w:rPr>
          <w:color w:val="000000" w:themeColor="text1"/>
        </w:rPr>
        <w:t xml:space="preserve">, </w:t>
      </w:r>
      <w:r w:rsidR="00494039">
        <w:rPr>
          <w:color w:val="000000" w:themeColor="text1"/>
        </w:rPr>
        <w:t>College Scholars</w:t>
      </w:r>
      <w:r w:rsidR="000A7A1C">
        <w:rPr>
          <w:color w:val="000000" w:themeColor="text1"/>
        </w:rPr>
        <w:t xml:space="preserve">, </w:t>
      </w:r>
      <w:r w:rsidR="00261BEC">
        <w:rPr>
          <w:color w:val="000000" w:themeColor="text1"/>
        </w:rPr>
        <w:t xml:space="preserve">and area studies programs </w:t>
      </w:r>
      <w:r w:rsidR="00494039">
        <w:rPr>
          <w:color w:val="000000" w:themeColor="text1"/>
        </w:rPr>
        <w:t xml:space="preserve">and serving as directors of such programs. </w:t>
      </w:r>
      <w:r w:rsidRPr="00323E00">
        <w:rPr>
          <w:color w:val="000000" w:themeColor="text1"/>
        </w:rPr>
        <w:t xml:space="preserve">Approval of such assignments is at the discretion of the </w:t>
      </w:r>
      <w:r w:rsidR="00D452EE">
        <w:rPr>
          <w:color w:val="000000" w:themeColor="text1"/>
        </w:rPr>
        <w:t xml:space="preserve">Dean </w:t>
      </w:r>
      <w:r w:rsidRPr="00323E00">
        <w:rPr>
          <w:color w:val="000000" w:themeColor="text1"/>
        </w:rPr>
        <w:t xml:space="preserve">or </w:t>
      </w:r>
      <w:r w:rsidR="00D452EE">
        <w:rPr>
          <w:color w:val="000000" w:themeColor="text1"/>
        </w:rPr>
        <w:t xml:space="preserve">Dean’s </w:t>
      </w:r>
      <w:r w:rsidRPr="00323E00">
        <w:rPr>
          <w:color w:val="000000" w:themeColor="text1"/>
        </w:rPr>
        <w:t>designee, acting in consultation with the heads or directors of both the home and the host departments or programs.</w:t>
      </w:r>
      <w:r w:rsidR="00D452EE">
        <w:rPr>
          <w:color w:val="000000" w:themeColor="text1"/>
        </w:rPr>
        <w:t xml:space="preserve"> Approval from the Dean’s Office is not </w:t>
      </w:r>
      <w:r w:rsidR="00372B15">
        <w:rPr>
          <w:color w:val="000000" w:themeColor="text1"/>
        </w:rPr>
        <w:t xml:space="preserve">required </w:t>
      </w:r>
      <w:r w:rsidR="00D452EE">
        <w:rPr>
          <w:color w:val="000000" w:themeColor="text1"/>
        </w:rPr>
        <w:t xml:space="preserve">for any course taught </w:t>
      </w:r>
      <w:r w:rsidR="00372B15">
        <w:rPr>
          <w:color w:val="000000" w:themeColor="text1"/>
        </w:rPr>
        <w:t xml:space="preserve">in </w:t>
      </w:r>
      <w:r w:rsidR="007873C1">
        <w:rPr>
          <w:color w:val="000000" w:themeColor="text1"/>
        </w:rPr>
        <w:t xml:space="preserve">another unit of </w:t>
      </w:r>
      <w:r w:rsidR="00D452EE">
        <w:rPr>
          <w:color w:val="000000" w:themeColor="text1"/>
        </w:rPr>
        <w:t>the College</w:t>
      </w:r>
      <w:r w:rsidR="00372B15">
        <w:rPr>
          <w:color w:val="000000" w:themeColor="text1"/>
        </w:rPr>
        <w:t xml:space="preserve"> of Arts and Sciences </w:t>
      </w:r>
      <w:r w:rsidR="00D452EE">
        <w:rPr>
          <w:color w:val="000000" w:themeColor="text1"/>
        </w:rPr>
        <w:t>without a stipend.</w:t>
      </w:r>
    </w:p>
    <w:p w14:paraId="111CB76A" w14:textId="77777777" w:rsidR="00D770EC" w:rsidRPr="00323E00" w:rsidRDefault="00D770EC" w:rsidP="00D770EC">
      <w:pPr>
        <w:ind w:left="720"/>
        <w:rPr>
          <w:rFonts w:eastAsia="Times New Roman"/>
          <w:color w:val="000000" w:themeColor="text1"/>
        </w:rPr>
      </w:pPr>
    </w:p>
    <w:p w14:paraId="15B51110" w14:textId="77777777" w:rsidR="00D770EC" w:rsidRPr="00323E00" w:rsidRDefault="00D770EC" w:rsidP="00D770EC">
      <w:pPr>
        <w:ind w:left="720"/>
        <w:rPr>
          <w:rFonts w:eastAsia="Times New Roman"/>
          <w:b/>
          <w:color w:val="000000" w:themeColor="text1"/>
        </w:rPr>
      </w:pPr>
      <w:r w:rsidRPr="00323E00">
        <w:rPr>
          <w:rFonts w:eastAsia="Times New Roman"/>
          <w:b/>
          <w:color w:val="000000" w:themeColor="text1"/>
        </w:rPr>
        <w:t>C.</w:t>
      </w:r>
      <w:r w:rsidRPr="00323E00">
        <w:rPr>
          <w:rFonts w:eastAsia="Times New Roman"/>
          <w:b/>
          <w:color w:val="000000" w:themeColor="text1"/>
        </w:rPr>
        <w:tab/>
        <w:t>Course release for grants and fellowships</w:t>
      </w:r>
    </w:p>
    <w:p w14:paraId="0AFBC0BA" w14:textId="77777777" w:rsidR="00D770EC" w:rsidRPr="00323E00" w:rsidRDefault="00D770EC" w:rsidP="007A7640">
      <w:pPr>
        <w:rPr>
          <w:rFonts w:eastAsia="Times New Roman"/>
          <w:color w:val="000000" w:themeColor="text1"/>
        </w:rPr>
      </w:pPr>
    </w:p>
    <w:p w14:paraId="771D67CC" w14:textId="50F68018" w:rsidR="00D770EC" w:rsidRPr="00323E00" w:rsidRDefault="00D770EC" w:rsidP="00D770EC">
      <w:pPr>
        <w:ind w:left="1440"/>
        <w:rPr>
          <w:rFonts w:eastAsia="Times New Roman"/>
        </w:rPr>
      </w:pPr>
      <w:r w:rsidRPr="00323E00">
        <w:rPr>
          <w:rFonts w:eastAsia="Times New Roman"/>
        </w:rPr>
        <w:t xml:space="preserve">A </w:t>
      </w:r>
      <w:r w:rsidR="007A7640">
        <w:rPr>
          <w:rFonts w:eastAsia="Times New Roman"/>
        </w:rPr>
        <w:t>TTF</w:t>
      </w:r>
      <w:r w:rsidRPr="00323E00">
        <w:rPr>
          <w:rFonts w:eastAsia="Times New Roman"/>
        </w:rPr>
        <w:t xml:space="preserve"> who has received, or is supported by, an internal or external grant or fellowship may be released from teaching one </w:t>
      </w:r>
      <w:r w:rsidR="00FC6C66">
        <w:rPr>
          <w:rFonts w:eastAsia="Times New Roman"/>
        </w:rPr>
        <w:t>course</w:t>
      </w:r>
      <w:r w:rsidRPr="00323E00">
        <w:rPr>
          <w:rFonts w:eastAsia="Times New Roman"/>
        </w:rPr>
        <w:t>, so long as (a) sufficient course buyout funds are available from the grant or fellowship and/or other approved sources to fund the replacement of the instruction that would be los</w:t>
      </w:r>
      <w:r w:rsidR="00FC6C66">
        <w:rPr>
          <w:rFonts w:eastAsia="Times New Roman"/>
        </w:rPr>
        <w:t>t as a result of such release</w:t>
      </w:r>
      <w:r w:rsidRPr="00323E00">
        <w:rPr>
          <w:rFonts w:eastAsia="Times New Roman"/>
        </w:rPr>
        <w:t xml:space="preserve">, and (b) such </w:t>
      </w:r>
      <w:r w:rsidR="00934118">
        <w:rPr>
          <w:rFonts w:eastAsia="Times New Roman"/>
        </w:rPr>
        <w:t xml:space="preserve">replacement of instruction </w:t>
      </w:r>
      <w:r w:rsidRPr="00323E00">
        <w:rPr>
          <w:rFonts w:eastAsia="Times New Roman"/>
        </w:rPr>
        <w:t>would not, in the judgment of the depart</w:t>
      </w:r>
      <w:r w:rsidRPr="00323E00">
        <w:rPr>
          <w:rFonts w:eastAsia="Times New Roman"/>
        </w:rPr>
        <w:softHyphen/>
        <w:t>ment head, unduly compromise the department’s ability to meet the curricular and enrollment needs served b</w:t>
      </w:r>
      <w:r w:rsidR="00FC6C66">
        <w:rPr>
          <w:rFonts w:eastAsia="Times New Roman"/>
        </w:rPr>
        <w:t>y the faculty member’s course</w:t>
      </w:r>
      <w:r w:rsidRPr="00323E00">
        <w:rPr>
          <w:rFonts w:eastAsia="Times New Roman"/>
        </w:rPr>
        <w:t xml:space="preserve"> in either its own or other academic programs. The applicable course buyout rates and guidelines on replacement instruction are those set forth in the College and/or University policies in effect on </w:t>
      </w:r>
      <w:r w:rsidR="00FC6C66">
        <w:rPr>
          <w:rFonts w:eastAsia="Times New Roman"/>
        </w:rPr>
        <w:t xml:space="preserve">the date the teaching </w:t>
      </w:r>
      <w:r w:rsidR="00FC6C66">
        <w:rPr>
          <w:rFonts w:eastAsia="Times New Roman"/>
        </w:rPr>
        <w:lastRenderedPageBreak/>
        <w:t>release</w:t>
      </w:r>
      <w:r w:rsidRPr="00323E00">
        <w:rPr>
          <w:rFonts w:eastAsia="Times New Roman"/>
        </w:rPr>
        <w:t xml:space="preserve"> is first approved.</w:t>
      </w:r>
      <w:r w:rsidR="00F24C36">
        <w:rPr>
          <w:rFonts w:eastAsia="Times New Roman"/>
        </w:rPr>
        <w:t xml:space="preserve"> Release from more than one course</w:t>
      </w:r>
      <w:r w:rsidR="003D042C">
        <w:rPr>
          <w:rFonts w:eastAsia="Times New Roman"/>
        </w:rPr>
        <w:t xml:space="preserve"> through grant or fellowship buyouts</w:t>
      </w:r>
      <w:r w:rsidR="00F24C36">
        <w:rPr>
          <w:rFonts w:eastAsia="Times New Roman"/>
        </w:rPr>
        <w:t xml:space="preserve"> requires approval from the Dean’s Office.</w:t>
      </w:r>
    </w:p>
    <w:p w14:paraId="3E240135" w14:textId="77777777" w:rsidR="00D770EC" w:rsidRPr="00323E00" w:rsidRDefault="00D770EC" w:rsidP="00D770EC">
      <w:pPr>
        <w:ind w:left="720"/>
        <w:rPr>
          <w:rFonts w:eastAsia="Times New Roman"/>
          <w:color w:val="000000" w:themeColor="text1"/>
        </w:rPr>
      </w:pPr>
    </w:p>
    <w:p w14:paraId="064F3117" w14:textId="05AF8791" w:rsidR="00D770EC" w:rsidRPr="00323E00" w:rsidRDefault="00D770EC" w:rsidP="006B187A">
      <w:pPr>
        <w:keepNext/>
        <w:ind w:left="720"/>
        <w:rPr>
          <w:rFonts w:eastAsia="Times New Roman"/>
          <w:color w:val="000000" w:themeColor="text1"/>
        </w:rPr>
      </w:pPr>
      <w:r w:rsidRPr="00323E00">
        <w:rPr>
          <w:rFonts w:eastAsia="Times New Roman"/>
          <w:b/>
          <w:color w:val="000000" w:themeColor="text1"/>
        </w:rPr>
        <w:t>D.</w:t>
      </w:r>
      <w:r w:rsidRPr="00323E00">
        <w:rPr>
          <w:rFonts w:eastAsia="Times New Roman"/>
          <w:b/>
          <w:color w:val="000000" w:themeColor="text1"/>
        </w:rPr>
        <w:tab/>
        <w:t>Overload assignments</w:t>
      </w:r>
    </w:p>
    <w:p w14:paraId="271AE2E0" w14:textId="77777777" w:rsidR="00D770EC" w:rsidRPr="00323E00" w:rsidRDefault="00D770EC" w:rsidP="006B187A">
      <w:pPr>
        <w:keepNext/>
        <w:ind w:left="720"/>
        <w:rPr>
          <w:rFonts w:eastAsia="Times New Roman"/>
          <w:color w:val="000000" w:themeColor="text1"/>
        </w:rPr>
      </w:pPr>
    </w:p>
    <w:p w14:paraId="0850196A" w14:textId="08930F08" w:rsidR="000C6C77" w:rsidRPr="000C6C77" w:rsidRDefault="000C6C77" w:rsidP="000C6C77">
      <w:pPr>
        <w:ind w:left="1440"/>
        <w:rPr>
          <w:rFonts w:eastAsia="Times New Roman"/>
          <w:color w:val="4F81BD" w:themeColor="accent1"/>
        </w:rPr>
      </w:pPr>
      <w:r w:rsidRPr="000C6C77">
        <w:rPr>
          <w:rFonts w:eastAsia="Times New Roman"/>
          <w:color w:val="4F81BD" w:themeColor="accent1"/>
        </w:rPr>
        <w:t xml:space="preserve">Dean’s Guidance: </w:t>
      </w:r>
      <w:r>
        <w:rPr>
          <w:rFonts w:eastAsia="Times New Roman"/>
          <w:color w:val="4F81BD" w:themeColor="accent1"/>
        </w:rPr>
        <w:t xml:space="preserve">Provisions on overload assignments are currently under discussion </w:t>
      </w:r>
      <w:r w:rsidR="00E85F59">
        <w:rPr>
          <w:rFonts w:eastAsia="Times New Roman"/>
          <w:color w:val="4F81BD" w:themeColor="accent1"/>
        </w:rPr>
        <w:t xml:space="preserve">between </w:t>
      </w:r>
      <w:r>
        <w:rPr>
          <w:rFonts w:eastAsia="Times New Roman"/>
          <w:color w:val="4F81BD" w:themeColor="accent1"/>
        </w:rPr>
        <w:t xml:space="preserve">Academic Affairs and United Academics and will be updated as </w:t>
      </w:r>
      <w:r w:rsidR="00E85F59">
        <w:rPr>
          <w:rFonts w:eastAsia="Times New Roman"/>
          <w:color w:val="4F81BD" w:themeColor="accent1"/>
        </w:rPr>
        <w:t>information becomes available</w:t>
      </w:r>
      <w:r>
        <w:rPr>
          <w:rFonts w:eastAsia="Times New Roman"/>
          <w:color w:val="4F81BD" w:themeColor="accent1"/>
        </w:rPr>
        <w:t xml:space="preserve"> at a later date.</w:t>
      </w:r>
    </w:p>
    <w:p w14:paraId="3B27FE35" w14:textId="77777777" w:rsidR="000C6C77" w:rsidRPr="00323E00" w:rsidRDefault="000C6C77" w:rsidP="000C6C77">
      <w:pPr>
        <w:rPr>
          <w:rFonts w:eastAsia="Times New Roman"/>
          <w:color w:val="000000" w:themeColor="text1"/>
        </w:rPr>
      </w:pPr>
    </w:p>
    <w:p w14:paraId="738AF341" w14:textId="3DFDEA08" w:rsidR="00D770EC" w:rsidRPr="00323E00" w:rsidRDefault="00D770EC" w:rsidP="000C6C77">
      <w:pPr>
        <w:keepNext/>
        <w:tabs>
          <w:tab w:val="left" w:pos="1068"/>
        </w:tabs>
        <w:ind w:left="720"/>
        <w:rPr>
          <w:rFonts w:eastAsia="Times New Roman"/>
          <w:b/>
          <w:color w:val="000000" w:themeColor="text1"/>
        </w:rPr>
      </w:pPr>
      <w:r w:rsidRPr="00323E00">
        <w:rPr>
          <w:rFonts w:eastAsia="Times New Roman"/>
          <w:color w:val="000000" w:themeColor="text1"/>
        </w:rPr>
        <w:t xml:space="preserve"> </w:t>
      </w:r>
      <w:r w:rsidR="000C6C77" w:rsidRPr="000C6C77">
        <w:rPr>
          <w:rFonts w:eastAsia="Times New Roman"/>
          <w:b/>
          <w:color w:val="000000" w:themeColor="text1"/>
        </w:rPr>
        <w:t>E.</w:t>
      </w:r>
      <w:r w:rsidR="000C6C77" w:rsidRPr="000C6C77">
        <w:rPr>
          <w:rFonts w:eastAsia="Times New Roman"/>
          <w:b/>
          <w:color w:val="000000" w:themeColor="text1"/>
        </w:rPr>
        <w:tab/>
      </w:r>
      <w:r w:rsidR="000C6C77" w:rsidRPr="000C6C77">
        <w:rPr>
          <w:rFonts w:eastAsia="Times New Roman"/>
          <w:b/>
          <w:color w:val="000000" w:themeColor="text1"/>
        </w:rPr>
        <w:tab/>
      </w:r>
      <w:r w:rsidRPr="00323E00">
        <w:rPr>
          <w:rFonts w:eastAsia="Times New Roman"/>
          <w:b/>
          <w:color w:val="000000" w:themeColor="text1"/>
        </w:rPr>
        <w:t>Course cancellation policy</w:t>
      </w:r>
    </w:p>
    <w:p w14:paraId="6C7B3D91" w14:textId="1FEDA181" w:rsidR="001717C4" w:rsidRDefault="001717C4" w:rsidP="003F6445">
      <w:pPr>
        <w:keepNext/>
      </w:pPr>
    </w:p>
    <w:p w14:paraId="5EC51AF2" w14:textId="0C67695C" w:rsidR="00E238B9" w:rsidRDefault="003E13D2" w:rsidP="003E13D2">
      <w:pPr>
        <w:ind w:left="1440" w:hanging="1440"/>
        <w:rPr>
          <w:rFonts w:eastAsia="Times New Roman"/>
        </w:rPr>
      </w:pPr>
      <w:r>
        <w:tab/>
      </w:r>
      <w:r w:rsidR="00732ED6" w:rsidRPr="00732ED6">
        <w:rPr>
          <w:rFonts w:eastAsia="Times New Roman"/>
        </w:rPr>
        <w:t xml:space="preserve">If a course is cancelled for any reason, </w:t>
      </w:r>
      <w:r w:rsidR="00E238B9">
        <w:rPr>
          <w:rFonts w:eastAsia="Times New Roman"/>
        </w:rPr>
        <w:t xml:space="preserve">a TTF </w:t>
      </w:r>
      <w:r w:rsidR="00732ED6" w:rsidRPr="00732ED6">
        <w:rPr>
          <w:rFonts w:eastAsia="Times New Roman"/>
        </w:rPr>
        <w:t xml:space="preserve">may be asked to teach the same course, or an alternative course, in a subsequent term. If scheduling or curricular reasons make this impossible or inadvisable, the </w:t>
      </w:r>
      <w:r w:rsidR="00E238B9">
        <w:rPr>
          <w:rFonts w:eastAsia="Times New Roman"/>
        </w:rPr>
        <w:t xml:space="preserve">TTF </w:t>
      </w:r>
      <w:r w:rsidR="00732ED6" w:rsidRPr="00732ED6">
        <w:rPr>
          <w:rFonts w:eastAsia="Times New Roman"/>
        </w:rPr>
        <w:t>will be required to teach the course or an alternative course in the following academic year in addition to the regular course loa</w:t>
      </w:r>
      <w:r w:rsidR="00374AEF">
        <w:rPr>
          <w:rFonts w:eastAsia="Times New Roman"/>
        </w:rPr>
        <w:t>d</w:t>
      </w:r>
      <w:r w:rsidR="00732ED6" w:rsidRPr="00732ED6">
        <w:rPr>
          <w:rFonts w:eastAsia="Times New Roman"/>
        </w:rPr>
        <w:t xml:space="preserve">. </w:t>
      </w:r>
      <w:r w:rsidR="00E238B9" w:rsidRPr="00732ED6">
        <w:rPr>
          <w:rFonts w:eastAsia="Times New Roman"/>
        </w:rPr>
        <w:t xml:space="preserve">The faculty member may also agree to give up a previously banked course release </w:t>
      </w:r>
      <w:r w:rsidR="00E238B9">
        <w:rPr>
          <w:rFonts w:eastAsia="Times New Roman"/>
        </w:rPr>
        <w:t>to compensate for a course cancellation</w:t>
      </w:r>
      <w:r w:rsidR="00E238B9" w:rsidRPr="00732ED6">
        <w:rPr>
          <w:rFonts w:eastAsia="Times New Roman"/>
        </w:rPr>
        <w:t>.</w:t>
      </w:r>
      <w:r w:rsidR="00E238B9">
        <w:rPr>
          <w:rFonts w:eastAsia="Times New Roman"/>
        </w:rPr>
        <w:t xml:space="preserve"> Whatever the case, the TTF is expected to rebalance researc</w:t>
      </w:r>
      <w:r w:rsidR="00913647">
        <w:rPr>
          <w:rFonts w:eastAsia="Times New Roman"/>
        </w:rPr>
        <w:t xml:space="preserve">h, teaching, and service duties, across academic years if needed, </w:t>
      </w:r>
      <w:r w:rsidR="00E238B9">
        <w:rPr>
          <w:rFonts w:eastAsia="Times New Roman"/>
        </w:rPr>
        <w:t xml:space="preserve">so as to </w:t>
      </w:r>
      <w:r w:rsidR="00913647">
        <w:rPr>
          <w:rFonts w:eastAsia="Times New Roman"/>
        </w:rPr>
        <w:t>remain fully engaged at the appointed FTE.</w:t>
      </w:r>
    </w:p>
    <w:p w14:paraId="4CE65293" w14:textId="77777777" w:rsidR="006146D6" w:rsidRDefault="006146D6" w:rsidP="00E90C97">
      <w:pPr>
        <w:rPr>
          <w:rFonts w:eastAsia="Times New Roman"/>
        </w:rPr>
      </w:pPr>
    </w:p>
    <w:p w14:paraId="4711DB13" w14:textId="77777777" w:rsidR="006146D6" w:rsidRDefault="006146D6" w:rsidP="003E13D2">
      <w:pPr>
        <w:ind w:left="1440" w:hanging="1440"/>
        <w:rPr>
          <w:rFonts w:eastAsia="Times New Roman"/>
        </w:rPr>
      </w:pPr>
    </w:p>
    <w:p w14:paraId="3AFAB6DB" w14:textId="674116BA" w:rsidR="006146D6" w:rsidRDefault="006146D6" w:rsidP="00236A0A">
      <w:pPr>
        <w:rPr>
          <w:rFonts w:eastAsia="Times New Roman"/>
          <w:b/>
        </w:rPr>
      </w:pPr>
      <w:r w:rsidRPr="006146D6">
        <w:rPr>
          <w:rFonts w:eastAsia="Times New Roman"/>
          <w:b/>
        </w:rPr>
        <w:t>IV.</w:t>
      </w:r>
      <w:r>
        <w:rPr>
          <w:rFonts w:eastAsia="Times New Roman"/>
          <w:b/>
        </w:rPr>
        <w:tab/>
        <w:t>Course release policy</w:t>
      </w:r>
    </w:p>
    <w:p w14:paraId="4679C710" w14:textId="77777777" w:rsidR="00236A0A" w:rsidRDefault="00236A0A" w:rsidP="00236A0A">
      <w:pPr>
        <w:rPr>
          <w:b/>
        </w:rPr>
      </w:pPr>
    </w:p>
    <w:p w14:paraId="1B1EAB96" w14:textId="77777777" w:rsidR="00E85F59" w:rsidRDefault="00236A0A" w:rsidP="006446A4">
      <w:pPr>
        <w:ind w:left="720" w:hanging="720"/>
        <w:rPr>
          <w:color w:val="4F81BD" w:themeColor="accent1"/>
        </w:rPr>
      </w:pPr>
      <w:r>
        <w:rPr>
          <w:b/>
        </w:rPr>
        <w:tab/>
      </w:r>
      <w:r w:rsidRPr="00236A0A">
        <w:rPr>
          <w:color w:val="4F81BD" w:themeColor="accent1"/>
        </w:rPr>
        <w:t>Dean’s Guidance:</w:t>
      </w:r>
      <w:r>
        <w:rPr>
          <w:color w:val="4F81BD" w:themeColor="accent1"/>
        </w:rPr>
        <w:t xml:space="preserve"> The course release policies </w:t>
      </w:r>
      <w:r w:rsidR="002F50F6">
        <w:rPr>
          <w:color w:val="4F81BD" w:themeColor="accent1"/>
        </w:rPr>
        <w:t xml:space="preserve">referred to </w:t>
      </w:r>
      <w:r>
        <w:rPr>
          <w:color w:val="4F81BD" w:themeColor="accent1"/>
        </w:rPr>
        <w:t xml:space="preserve">in paragraph II.B.4 </w:t>
      </w:r>
      <w:r w:rsidR="002F50F6">
        <w:rPr>
          <w:color w:val="4F81BD" w:themeColor="accent1"/>
        </w:rPr>
        <w:t xml:space="preserve">above </w:t>
      </w:r>
      <w:r>
        <w:rPr>
          <w:color w:val="4F81BD" w:themeColor="accent1"/>
        </w:rPr>
        <w:t xml:space="preserve">should be </w:t>
      </w:r>
      <w:r w:rsidR="008E4AF0">
        <w:rPr>
          <w:color w:val="4F81BD" w:themeColor="accent1"/>
        </w:rPr>
        <w:t>located</w:t>
      </w:r>
      <w:r w:rsidR="00AC050F">
        <w:rPr>
          <w:color w:val="4F81BD" w:themeColor="accent1"/>
        </w:rPr>
        <w:t xml:space="preserve"> </w:t>
      </w:r>
      <w:r>
        <w:rPr>
          <w:color w:val="4F81BD" w:themeColor="accent1"/>
        </w:rPr>
        <w:t>here. They should be developed and duly approved by the TTF members of the department onl</w:t>
      </w:r>
      <w:r w:rsidR="008B6286">
        <w:rPr>
          <w:color w:val="4F81BD" w:themeColor="accent1"/>
        </w:rPr>
        <w:t>y.</w:t>
      </w:r>
      <w:r w:rsidR="00E85F59">
        <w:rPr>
          <w:color w:val="4F81BD" w:themeColor="accent1"/>
        </w:rPr>
        <w:t xml:space="preserve"> The goal of this section is to make transparent the criteria for course releases in each department.</w:t>
      </w:r>
    </w:p>
    <w:p w14:paraId="36397DE7" w14:textId="77777777" w:rsidR="00E85F59" w:rsidRDefault="00E85F59" w:rsidP="006446A4">
      <w:pPr>
        <w:ind w:left="720" w:hanging="720"/>
        <w:rPr>
          <w:color w:val="4F81BD" w:themeColor="accent1"/>
        </w:rPr>
      </w:pPr>
    </w:p>
    <w:p w14:paraId="0DC74E76" w14:textId="760E5A98" w:rsidR="006446A4" w:rsidRDefault="00E85F59" w:rsidP="00E85F59">
      <w:pPr>
        <w:ind w:left="720"/>
        <w:rPr>
          <w:color w:val="4F81BD" w:themeColor="accent1"/>
        </w:rPr>
      </w:pPr>
      <w:r>
        <w:rPr>
          <w:color w:val="4F81BD" w:themeColor="accent1"/>
        </w:rPr>
        <w:t>Course release policies must allow departments to meet existing curriculum with the pr</w:t>
      </w:r>
      <w:r w:rsidR="00F32DA5">
        <w:rPr>
          <w:color w:val="4F81BD" w:themeColor="accent1"/>
        </w:rPr>
        <w:t xml:space="preserve">esent number of available TTF. </w:t>
      </w:r>
      <w:r>
        <w:rPr>
          <w:color w:val="4F81BD" w:themeColor="accent1"/>
        </w:rPr>
        <w:t xml:space="preserve">The </w:t>
      </w:r>
      <w:r w:rsidR="00AD63CC">
        <w:rPr>
          <w:color w:val="4F81BD" w:themeColor="accent1"/>
        </w:rPr>
        <w:t>D</w:t>
      </w:r>
      <w:r>
        <w:rPr>
          <w:color w:val="4F81BD" w:themeColor="accent1"/>
        </w:rPr>
        <w:t xml:space="preserve">ean’s </w:t>
      </w:r>
      <w:r w:rsidR="00AD63CC">
        <w:rPr>
          <w:color w:val="4F81BD" w:themeColor="accent1"/>
        </w:rPr>
        <w:t>O</w:t>
      </w:r>
      <w:r>
        <w:rPr>
          <w:color w:val="4F81BD" w:themeColor="accent1"/>
        </w:rPr>
        <w:t xml:space="preserve">ffice will examine course release policies to ensure they do not result in overall reductions in number of classes across a department or an increased need for instructional faculty.   </w:t>
      </w:r>
    </w:p>
    <w:p w14:paraId="6A701A83" w14:textId="77777777" w:rsidR="00106322" w:rsidRDefault="00106322" w:rsidP="006446A4">
      <w:pPr>
        <w:ind w:left="720" w:hanging="720"/>
        <w:rPr>
          <w:color w:val="4F81BD" w:themeColor="accent1"/>
        </w:rPr>
      </w:pPr>
    </w:p>
    <w:p w14:paraId="01B2D331" w14:textId="3D25F44C" w:rsidR="004E3993" w:rsidRDefault="005F1955" w:rsidP="009273D4">
      <w:pPr>
        <w:ind w:left="720"/>
        <w:rPr>
          <w:i/>
          <w:color w:val="4F81BD" w:themeColor="accent1"/>
        </w:rPr>
      </w:pPr>
      <w:r>
        <w:rPr>
          <w:color w:val="4F81BD" w:themeColor="accent1"/>
        </w:rPr>
        <w:t xml:space="preserve">Policies should specify </w:t>
      </w:r>
      <w:r w:rsidR="004E3993">
        <w:rPr>
          <w:color w:val="4F81BD" w:themeColor="accent1"/>
        </w:rPr>
        <w:t xml:space="preserve">the number of </w:t>
      </w:r>
      <w:r>
        <w:rPr>
          <w:color w:val="4F81BD" w:themeColor="accent1"/>
        </w:rPr>
        <w:t xml:space="preserve">course releases for </w:t>
      </w:r>
      <w:r w:rsidR="004E3993">
        <w:rPr>
          <w:color w:val="4F81BD" w:themeColor="accent1"/>
        </w:rPr>
        <w:t xml:space="preserve">each </w:t>
      </w:r>
      <w:r>
        <w:rPr>
          <w:color w:val="4F81BD" w:themeColor="accent1"/>
        </w:rPr>
        <w:t xml:space="preserve">major </w:t>
      </w:r>
      <w:r w:rsidR="00221155" w:rsidRPr="00221155">
        <w:rPr>
          <w:color w:val="4F81BD" w:themeColor="accent1"/>
        </w:rPr>
        <w:t xml:space="preserve">administrative service </w:t>
      </w:r>
      <w:r w:rsidR="004E3993">
        <w:rPr>
          <w:color w:val="4F81BD" w:themeColor="accent1"/>
        </w:rPr>
        <w:t xml:space="preserve">position in </w:t>
      </w:r>
      <w:r w:rsidR="00221155" w:rsidRPr="00221155">
        <w:rPr>
          <w:color w:val="4F81BD" w:themeColor="accent1"/>
        </w:rPr>
        <w:t>the department (e.g. associate head, director of graduate studies, or director of undergraduate studies)</w:t>
      </w:r>
      <w:r w:rsidR="004E3993">
        <w:rPr>
          <w:color w:val="4F81BD" w:themeColor="accent1"/>
        </w:rPr>
        <w:t>.</w:t>
      </w:r>
      <w:r>
        <w:rPr>
          <w:color w:val="4F81BD" w:themeColor="accent1"/>
        </w:rPr>
        <w:t xml:space="preserve"> </w:t>
      </w:r>
      <w:r w:rsidR="004E3993" w:rsidRPr="00221155">
        <w:rPr>
          <w:i/>
          <w:color w:val="4F81BD" w:themeColor="accent1"/>
        </w:rPr>
        <w:t>Note</w:t>
      </w:r>
      <w:r w:rsidR="004E3993">
        <w:rPr>
          <w:i/>
          <w:color w:val="4F81BD" w:themeColor="accent1"/>
        </w:rPr>
        <w:t xml:space="preserve"> that </w:t>
      </w:r>
      <w:r w:rsidR="004E3993" w:rsidRPr="00221155">
        <w:rPr>
          <w:i/>
          <w:color w:val="4F81BD" w:themeColor="accent1"/>
        </w:rPr>
        <w:t xml:space="preserve">course releases for department and program heads are set by the Dean’s Office and are </w:t>
      </w:r>
      <w:r w:rsidR="007E2206">
        <w:rPr>
          <w:i/>
          <w:color w:val="4F81BD" w:themeColor="accent1"/>
        </w:rPr>
        <w:t xml:space="preserve">not counted among </w:t>
      </w:r>
      <w:r w:rsidR="004E3993" w:rsidRPr="00221155">
        <w:rPr>
          <w:i/>
          <w:color w:val="4F81BD" w:themeColor="accent1"/>
        </w:rPr>
        <w:t>course releases allocated for internal use.</w:t>
      </w:r>
    </w:p>
    <w:p w14:paraId="31757362" w14:textId="77777777" w:rsidR="004E3993" w:rsidRDefault="004E3993" w:rsidP="009273D4">
      <w:pPr>
        <w:ind w:left="720"/>
        <w:rPr>
          <w:color w:val="4F81BD" w:themeColor="accent1"/>
        </w:rPr>
      </w:pPr>
    </w:p>
    <w:p w14:paraId="39FD195A" w14:textId="30AA3BD0" w:rsidR="008745A9" w:rsidRPr="004E3993" w:rsidRDefault="004E3993" w:rsidP="008745A9">
      <w:pPr>
        <w:ind w:left="720"/>
        <w:rPr>
          <w:color w:val="4F81BD" w:themeColor="accent1"/>
        </w:rPr>
      </w:pPr>
      <w:r>
        <w:rPr>
          <w:color w:val="4F81BD" w:themeColor="accent1"/>
        </w:rPr>
        <w:t xml:space="preserve">Policies </w:t>
      </w:r>
      <w:r w:rsidR="00E85F59">
        <w:rPr>
          <w:color w:val="4F81BD" w:themeColor="accent1"/>
        </w:rPr>
        <w:t xml:space="preserve">should </w:t>
      </w:r>
      <w:r>
        <w:rPr>
          <w:color w:val="4F81BD" w:themeColor="accent1"/>
        </w:rPr>
        <w:t xml:space="preserve">also </w:t>
      </w:r>
      <w:r w:rsidR="00FA64CB">
        <w:rPr>
          <w:color w:val="4F81BD" w:themeColor="accent1"/>
        </w:rPr>
        <w:t>describe</w:t>
      </w:r>
      <w:r>
        <w:rPr>
          <w:color w:val="4F81BD" w:themeColor="accent1"/>
        </w:rPr>
        <w:t xml:space="preserve"> </w:t>
      </w:r>
      <w:r w:rsidR="005F1955">
        <w:rPr>
          <w:color w:val="4F81BD" w:themeColor="accent1"/>
        </w:rPr>
        <w:t xml:space="preserve">other </w:t>
      </w:r>
      <w:r>
        <w:rPr>
          <w:color w:val="4F81BD" w:themeColor="accent1"/>
        </w:rPr>
        <w:t xml:space="preserve">occasions for course release that promote the department’s </w:t>
      </w:r>
      <w:r w:rsidR="0051083D">
        <w:rPr>
          <w:color w:val="4F81BD" w:themeColor="accent1"/>
        </w:rPr>
        <w:t xml:space="preserve">research, service, and teaching </w:t>
      </w:r>
      <w:r w:rsidR="00C43246">
        <w:rPr>
          <w:color w:val="4F81BD" w:themeColor="accent1"/>
        </w:rPr>
        <w:t>missions</w:t>
      </w:r>
      <w:r w:rsidR="0051083D">
        <w:rPr>
          <w:color w:val="4F81BD" w:themeColor="accent1"/>
        </w:rPr>
        <w:t xml:space="preserve">. </w:t>
      </w:r>
      <w:r w:rsidR="00374AEF">
        <w:rPr>
          <w:color w:val="4F81BD" w:themeColor="accent1"/>
        </w:rPr>
        <w:t>These may be drawn from exist</w:t>
      </w:r>
      <w:r w:rsidR="00C26009">
        <w:rPr>
          <w:color w:val="4F81BD" w:themeColor="accent1"/>
        </w:rPr>
        <w:t>ing practice in the department.</w:t>
      </w:r>
    </w:p>
    <w:p w14:paraId="239AD442" w14:textId="77777777" w:rsidR="00C26009" w:rsidRDefault="00C26009" w:rsidP="009273D4">
      <w:pPr>
        <w:rPr>
          <w:color w:val="4F81BD" w:themeColor="accent1"/>
        </w:rPr>
      </w:pPr>
    </w:p>
    <w:p w14:paraId="571FEBDA" w14:textId="0A619EA7" w:rsidR="00F865C7" w:rsidRDefault="004E3993" w:rsidP="00F865C7">
      <w:pPr>
        <w:ind w:left="720"/>
        <w:rPr>
          <w:color w:val="4F81BD" w:themeColor="accent1"/>
        </w:rPr>
      </w:pPr>
      <w:r>
        <w:rPr>
          <w:color w:val="4F81BD" w:themeColor="accent1"/>
        </w:rPr>
        <w:t xml:space="preserve">Since in any given year there may not be enough </w:t>
      </w:r>
      <w:r w:rsidR="0063159F">
        <w:rPr>
          <w:color w:val="4F81BD" w:themeColor="accent1"/>
        </w:rPr>
        <w:t xml:space="preserve">available </w:t>
      </w:r>
      <w:r>
        <w:rPr>
          <w:color w:val="4F81BD" w:themeColor="accent1"/>
        </w:rPr>
        <w:t xml:space="preserve">course releases to accommodate all such occasions, departments should indicate how they </w:t>
      </w:r>
      <w:r w:rsidR="005A40A2">
        <w:rPr>
          <w:color w:val="4F81BD" w:themeColor="accent1"/>
        </w:rPr>
        <w:t xml:space="preserve">will </w:t>
      </w:r>
      <w:r w:rsidR="008745A9">
        <w:rPr>
          <w:color w:val="4F81BD" w:themeColor="accent1"/>
        </w:rPr>
        <w:t xml:space="preserve">rank or </w:t>
      </w:r>
      <w:r>
        <w:rPr>
          <w:color w:val="4F81BD" w:themeColor="accent1"/>
        </w:rPr>
        <w:t>prioritize releases and distribute them equitably among eligible faculty members.</w:t>
      </w:r>
    </w:p>
    <w:p w14:paraId="73B6E20E" w14:textId="77777777" w:rsidR="00F865C7" w:rsidRDefault="00F865C7" w:rsidP="00F865C7">
      <w:pPr>
        <w:ind w:left="720"/>
        <w:rPr>
          <w:color w:val="4F81BD" w:themeColor="accent1"/>
        </w:rPr>
      </w:pPr>
    </w:p>
    <w:p w14:paraId="23A50D90" w14:textId="69C9B0BF" w:rsidR="00F865C7" w:rsidRDefault="00F865C7" w:rsidP="00F865C7">
      <w:pPr>
        <w:ind w:left="720"/>
        <w:rPr>
          <w:color w:val="4F81BD" w:themeColor="accent1"/>
        </w:rPr>
      </w:pPr>
      <w:r>
        <w:rPr>
          <w:color w:val="4F81BD" w:themeColor="accent1"/>
        </w:rPr>
        <w:t xml:space="preserve">If a faculty committee is involved in </w:t>
      </w:r>
      <w:r w:rsidR="00DA093F">
        <w:rPr>
          <w:color w:val="4F81BD" w:themeColor="accent1"/>
        </w:rPr>
        <w:t xml:space="preserve">decisions on </w:t>
      </w:r>
      <w:r>
        <w:rPr>
          <w:color w:val="4F81BD" w:themeColor="accent1"/>
        </w:rPr>
        <w:t xml:space="preserve">the allocation of internal course releases, its role should be described here. </w:t>
      </w:r>
      <w:r w:rsidR="008745A9">
        <w:rPr>
          <w:color w:val="4F81BD" w:themeColor="accent1"/>
        </w:rPr>
        <w:t xml:space="preserve">In </w:t>
      </w:r>
      <w:r w:rsidR="00C3661F">
        <w:rPr>
          <w:color w:val="4F81BD" w:themeColor="accent1"/>
        </w:rPr>
        <w:t xml:space="preserve">most </w:t>
      </w:r>
      <w:r w:rsidR="008745A9">
        <w:rPr>
          <w:color w:val="4F81BD" w:themeColor="accent1"/>
        </w:rPr>
        <w:t xml:space="preserve">cases, the department or program head should enjoy some discretion to maintain equity and to ensure the unit’s research, teaching, and service needs </w:t>
      </w:r>
      <w:r w:rsidR="00F40A02">
        <w:rPr>
          <w:color w:val="4F81BD" w:themeColor="accent1"/>
        </w:rPr>
        <w:t>continue to be</w:t>
      </w:r>
      <w:r>
        <w:rPr>
          <w:color w:val="4F81BD" w:themeColor="accent1"/>
        </w:rPr>
        <w:t xml:space="preserve"> met.</w:t>
      </w:r>
    </w:p>
    <w:p w14:paraId="7B4C8FA3" w14:textId="4FBC0C3A" w:rsidR="0051083D" w:rsidRDefault="0051083D" w:rsidP="009273D4">
      <w:pPr>
        <w:ind w:left="720"/>
        <w:rPr>
          <w:color w:val="4F81BD" w:themeColor="accent1"/>
        </w:rPr>
      </w:pPr>
    </w:p>
    <w:p w14:paraId="0DC9B71B" w14:textId="65323500" w:rsidR="00221155" w:rsidRDefault="0051083D" w:rsidP="008B6286">
      <w:pPr>
        <w:ind w:left="720" w:hanging="720"/>
        <w:rPr>
          <w:color w:val="4F81BD" w:themeColor="accent1"/>
        </w:rPr>
      </w:pPr>
      <w:r>
        <w:rPr>
          <w:color w:val="4F81BD" w:themeColor="accent1"/>
        </w:rPr>
        <w:tab/>
      </w:r>
      <w:r w:rsidR="004E3993">
        <w:rPr>
          <w:color w:val="4F81BD" w:themeColor="accent1"/>
        </w:rPr>
        <w:t>Finally, d</w:t>
      </w:r>
      <w:r w:rsidR="008B6286">
        <w:rPr>
          <w:color w:val="4F81BD" w:themeColor="accent1"/>
        </w:rPr>
        <w:t xml:space="preserve">epartments should </w:t>
      </w:r>
      <w:r w:rsidR="006446A4">
        <w:rPr>
          <w:color w:val="4F81BD" w:themeColor="accent1"/>
        </w:rPr>
        <w:t xml:space="preserve">include </w:t>
      </w:r>
      <w:r w:rsidR="008B6286">
        <w:rPr>
          <w:color w:val="4F81BD" w:themeColor="accent1"/>
        </w:rPr>
        <w:t xml:space="preserve">policies for banking course releases </w:t>
      </w:r>
      <w:r w:rsidR="006446A4">
        <w:rPr>
          <w:color w:val="4F81BD" w:themeColor="accent1"/>
        </w:rPr>
        <w:t>by modifying the language below as needed</w:t>
      </w:r>
      <w:r w:rsidR="008B6286">
        <w:rPr>
          <w:color w:val="4F81BD" w:themeColor="accent1"/>
        </w:rPr>
        <w:t>.</w:t>
      </w:r>
      <w:r w:rsidR="0058249E">
        <w:rPr>
          <w:color w:val="4F81BD" w:themeColor="accent1"/>
        </w:rPr>
        <w:t xml:space="preserve"> </w:t>
      </w:r>
      <w:r w:rsidR="00D14FEC">
        <w:rPr>
          <w:color w:val="4F81BD" w:themeColor="accent1"/>
        </w:rPr>
        <w:t xml:space="preserve">Fractional course releases may be accumulated, and ultimately redeemed, to reward and incentivize activities for which full course releases may not be appropriate. </w:t>
      </w:r>
      <w:r w:rsidR="0058249E">
        <w:rPr>
          <w:color w:val="4F81BD" w:themeColor="accent1"/>
        </w:rPr>
        <w:t>T</w:t>
      </w:r>
      <w:r w:rsidR="008B6286">
        <w:rPr>
          <w:color w:val="4F81BD" w:themeColor="accent1"/>
        </w:rPr>
        <w:t xml:space="preserve">he </w:t>
      </w:r>
      <w:r w:rsidR="006446A4">
        <w:rPr>
          <w:color w:val="4F81BD" w:themeColor="accent1"/>
        </w:rPr>
        <w:t xml:space="preserve">last </w:t>
      </w:r>
      <w:r w:rsidR="008B6286">
        <w:rPr>
          <w:color w:val="4F81BD" w:themeColor="accent1"/>
        </w:rPr>
        <w:t xml:space="preserve">sentence anticipates situations in which a department </w:t>
      </w:r>
      <w:r w:rsidR="0058249E">
        <w:rPr>
          <w:color w:val="4F81BD" w:themeColor="accent1"/>
        </w:rPr>
        <w:t xml:space="preserve">may </w:t>
      </w:r>
      <w:r w:rsidR="008F5964">
        <w:rPr>
          <w:color w:val="4F81BD" w:themeColor="accent1"/>
        </w:rPr>
        <w:t xml:space="preserve">be </w:t>
      </w:r>
      <w:r w:rsidR="009031D9">
        <w:rPr>
          <w:color w:val="4F81BD" w:themeColor="accent1"/>
        </w:rPr>
        <w:t xml:space="preserve">temporarily </w:t>
      </w:r>
      <w:r w:rsidR="008B6286">
        <w:rPr>
          <w:color w:val="4F81BD" w:themeColor="accent1"/>
        </w:rPr>
        <w:t>short-handed</w:t>
      </w:r>
      <w:r w:rsidR="00106322">
        <w:rPr>
          <w:color w:val="4F81BD" w:themeColor="accent1"/>
        </w:rPr>
        <w:t xml:space="preserve">, or </w:t>
      </w:r>
      <w:r w:rsidR="0058249E">
        <w:rPr>
          <w:color w:val="4F81BD" w:themeColor="accent1"/>
        </w:rPr>
        <w:t>a particular faculty member’s course</w:t>
      </w:r>
      <w:r w:rsidR="009031D9">
        <w:rPr>
          <w:color w:val="4F81BD" w:themeColor="accent1"/>
        </w:rPr>
        <w:t>(</w:t>
      </w:r>
      <w:r w:rsidR="0058249E">
        <w:rPr>
          <w:color w:val="4F81BD" w:themeColor="accent1"/>
        </w:rPr>
        <w:t>s</w:t>
      </w:r>
      <w:r w:rsidR="009031D9">
        <w:rPr>
          <w:color w:val="4F81BD" w:themeColor="accent1"/>
        </w:rPr>
        <w:t>)</w:t>
      </w:r>
      <w:r w:rsidR="0058249E">
        <w:rPr>
          <w:color w:val="4F81BD" w:themeColor="accent1"/>
        </w:rPr>
        <w:t xml:space="preserve"> are needed in a given year.</w:t>
      </w:r>
    </w:p>
    <w:p w14:paraId="6B5A8CE3" w14:textId="77777777" w:rsidR="008B6286" w:rsidRDefault="008B6286" w:rsidP="008B6286">
      <w:pPr>
        <w:ind w:left="720" w:hanging="720"/>
        <w:rPr>
          <w:color w:val="4F81BD" w:themeColor="accent1"/>
        </w:rPr>
      </w:pPr>
    </w:p>
    <w:p w14:paraId="2440EFD7" w14:textId="52283C7B" w:rsidR="00221155" w:rsidRDefault="008B6286" w:rsidP="00221155">
      <w:pPr>
        <w:ind w:left="720" w:hanging="720"/>
      </w:pPr>
      <w:r>
        <w:tab/>
      </w:r>
      <w:r w:rsidR="00F729A0">
        <w:t>A faculty member may bank</w:t>
      </w:r>
      <w:r w:rsidR="006446A4">
        <w:t xml:space="preserve"> a course release (or fractional course release) for use</w:t>
      </w:r>
      <w:r w:rsidR="00221155">
        <w:t xml:space="preserve"> in a subsequent </w:t>
      </w:r>
      <w:r w:rsidR="00106322">
        <w:t xml:space="preserve">academic year. </w:t>
      </w:r>
      <w:r w:rsidR="003B24DF">
        <w:t xml:space="preserve">It is the department head’s responsibility to keep an accurate list of banked course releases. </w:t>
      </w:r>
      <w:r w:rsidR="00106322">
        <w:t xml:space="preserve">No more than three course releases may be banked </w:t>
      </w:r>
      <w:r w:rsidR="00AF0529">
        <w:t>at one time</w:t>
      </w:r>
      <w:r w:rsidR="00106322">
        <w:t>, and no more than one banked course release may be redeemed in a given year</w:t>
      </w:r>
      <w:r w:rsidR="000355C3">
        <w:t xml:space="preserve"> without the approval of the Dean or Dean’s designee.</w:t>
      </w:r>
      <w:r w:rsidR="00B81813">
        <w:t xml:space="preserve"> A banked course release must be redeemed within three years of being banked unless otherwise approved by the Dean or Dean’s designee.</w:t>
      </w:r>
    </w:p>
    <w:p w14:paraId="5F745866" w14:textId="77777777" w:rsidR="00221155" w:rsidRDefault="00221155" w:rsidP="00221155">
      <w:pPr>
        <w:ind w:left="720" w:hanging="720"/>
      </w:pPr>
    </w:p>
    <w:p w14:paraId="012AD779" w14:textId="6CA521B5" w:rsidR="00FF7C7D" w:rsidRPr="008B6286" w:rsidRDefault="008B6286" w:rsidP="00FF7C7D">
      <w:pPr>
        <w:ind w:left="720"/>
      </w:pPr>
      <w:r>
        <w:t>A department head may require a faculty member to bank a course release</w:t>
      </w:r>
      <w:r w:rsidR="004E3993">
        <w:t xml:space="preserve"> </w:t>
      </w:r>
      <w:r>
        <w:t>if the department cannot otherwise meet its curricular and enrollment needs for a given year with available resources.</w:t>
      </w:r>
    </w:p>
    <w:sectPr w:rsidR="00FF7C7D" w:rsidRPr="008B6286" w:rsidSect="006B187A">
      <w:headerReference w:type="even" r:id="rId8"/>
      <w:headerReference w:type="default" r:id="rId9"/>
      <w:footerReference w:type="even" r:id="rId10"/>
      <w:footerReference w:type="default" r:id="rId11"/>
      <w:headerReference w:type="first" r:id="rId12"/>
      <w:footerReference w:type="first" r:id="rId13"/>
      <w:pgSz w:w="12240" w:h="15840"/>
      <w:pgMar w:top="180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B7415A" w14:textId="77777777" w:rsidR="00382FBA" w:rsidRDefault="00382FBA" w:rsidP="00D770EC">
      <w:r>
        <w:separator/>
      </w:r>
    </w:p>
  </w:endnote>
  <w:endnote w:type="continuationSeparator" w:id="0">
    <w:p w14:paraId="184F32BD" w14:textId="77777777" w:rsidR="00382FBA" w:rsidRDefault="00382FBA" w:rsidP="00D770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00002A87" w:usb1="80000000" w:usb2="00000008"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EBB2C8" w14:textId="77777777" w:rsidR="00382FBA" w:rsidRDefault="00382FBA" w:rsidP="009273D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0369AEB" w14:textId="77777777" w:rsidR="00382FBA" w:rsidRDefault="00382FB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F5DF12" w14:textId="1AEFCAC3" w:rsidR="00382FBA" w:rsidRDefault="00382FBA" w:rsidP="0030015B">
    <w:pPr>
      <w:pStyle w:val="Footer"/>
      <w:jc w:val="center"/>
      <w:rPr>
        <w:rStyle w:val="PageNumber"/>
      </w:rPr>
    </w:pPr>
    <w:r>
      <w:rPr>
        <w:rStyle w:val="PageNumber"/>
      </w:rPr>
      <w:fldChar w:fldCharType="begin"/>
    </w:r>
    <w:r>
      <w:rPr>
        <w:rStyle w:val="PageNumber"/>
      </w:rPr>
      <w:instrText xml:space="preserve"> PAGE  \* MERGEFORMAT </w:instrText>
    </w:r>
    <w:r>
      <w:rPr>
        <w:rStyle w:val="PageNumber"/>
      </w:rPr>
      <w:fldChar w:fldCharType="separate"/>
    </w:r>
    <w:r w:rsidR="009013FD">
      <w:rPr>
        <w:rStyle w:val="PageNumber"/>
        <w:noProof/>
      </w:rPr>
      <w:t>1</w:t>
    </w:r>
    <w:r>
      <w:rPr>
        <w:rStyle w:val="PageNumber"/>
      </w:rPr>
      <w:fldChar w:fldCharType="end"/>
    </w:r>
  </w:p>
  <w:p w14:paraId="627B7E4B" w14:textId="77777777" w:rsidR="00382FBA" w:rsidRDefault="00382FBA" w:rsidP="006C7E4C">
    <w:pPr>
      <w:pStyle w:val="Footer"/>
      <w:jc w:val="cen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28E800" w14:textId="77777777" w:rsidR="009013FD" w:rsidRDefault="009013F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3D46F0" w14:textId="77777777" w:rsidR="00382FBA" w:rsidRDefault="00382FBA" w:rsidP="00D770EC">
      <w:r>
        <w:separator/>
      </w:r>
    </w:p>
  </w:footnote>
  <w:footnote w:type="continuationSeparator" w:id="0">
    <w:p w14:paraId="69DC09C0" w14:textId="77777777" w:rsidR="00382FBA" w:rsidRDefault="00382FBA" w:rsidP="00D770E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52F7CB" w14:textId="5CDB50EC" w:rsidR="00382FBA" w:rsidRDefault="00382FB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9BCAC2" w14:textId="201EE8F2" w:rsidR="00382FBA" w:rsidRDefault="00382FBA" w:rsidP="004C15EF">
    <w:pPr>
      <w:pStyle w:val="Header"/>
      <w:jc w:val="center"/>
      <w:rPr>
        <w:b/>
        <w:color w:val="808080" w:themeColor="background1" w:themeShade="80"/>
      </w:rPr>
    </w:pPr>
    <w:r w:rsidRPr="00D770EC">
      <w:rPr>
        <w:b/>
        <w:color w:val="808080" w:themeColor="background1" w:themeShade="80"/>
      </w:rPr>
      <w:t>Template for CAS TTF Pro</w:t>
    </w:r>
    <w:r>
      <w:rPr>
        <w:b/>
        <w:color w:val="808080" w:themeColor="background1" w:themeShade="80"/>
      </w:rPr>
      <w:t>fessional Responsibilities</w:t>
    </w:r>
  </w:p>
  <w:p w14:paraId="64BEF8EF" w14:textId="0D60CE95" w:rsidR="00382FBA" w:rsidRPr="00A91005" w:rsidRDefault="00382FBA" w:rsidP="004C15EF">
    <w:pPr>
      <w:pStyle w:val="Header"/>
      <w:jc w:val="center"/>
      <w:rPr>
        <w:b/>
        <w:color w:val="C0504D" w:themeColor="accent2"/>
      </w:rPr>
    </w:pPr>
    <w:r w:rsidRPr="00A91005">
      <w:rPr>
        <w:b/>
        <w:color w:val="C0504D" w:themeColor="accent2"/>
      </w:rPr>
      <w:t>INSERT DEPARTMENT OR PROGRAM NAME HERE</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3852F" w14:textId="64BC52BC" w:rsidR="00382FBA" w:rsidRDefault="00382FB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7773D9"/>
    <w:multiLevelType w:val="hybridMultilevel"/>
    <w:tmpl w:val="6C7EAE6A"/>
    <w:lvl w:ilvl="0" w:tplc="93862512">
      <w:start w:val="1"/>
      <w:numFmt w:val="decimal"/>
      <w:lvlText w:val="%1."/>
      <w:lvlJc w:val="left"/>
      <w:pPr>
        <w:ind w:left="1890" w:hanging="720"/>
      </w:pPr>
      <w:rPr>
        <w:rFonts w:asciiTheme="majorHAnsi" w:eastAsiaTheme="minorEastAsia" w:hAnsiTheme="majorHAnsi" w:cstheme="minorBidi"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
    <w:nsid w:val="2C0A4354"/>
    <w:multiLevelType w:val="hybridMultilevel"/>
    <w:tmpl w:val="552849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4F5B38"/>
    <w:multiLevelType w:val="hybridMultilevel"/>
    <w:tmpl w:val="3B6603E8"/>
    <w:lvl w:ilvl="0" w:tplc="F56CD754">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905ACA"/>
    <w:multiLevelType w:val="hybridMultilevel"/>
    <w:tmpl w:val="A5E0F4A8"/>
    <w:lvl w:ilvl="0" w:tplc="0F4C4572">
      <w:start w:val="3"/>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4AE2583"/>
    <w:multiLevelType w:val="hybridMultilevel"/>
    <w:tmpl w:val="5CA24758"/>
    <w:lvl w:ilvl="0" w:tplc="F56CD754">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DC4C6E"/>
    <w:multiLevelType w:val="hybridMultilevel"/>
    <w:tmpl w:val="00F07656"/>
    <w:lvl w:ilvl="0" w:tplc="DA220708">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0"/>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embedSystemFonts/>
  <w:defaultTabStop w:val="720"/>
  <w:displayHorizontalDrawingGridEvery w:val="0"/>
  <w:displayVerticalDrawingGridEvery w:val="0"/>
  <w:doNotUseMarginsForDrawingGridOrigin/>
  <w:noPunctuationKerning/>
  <w:characterSpacingControl w:val="doNotCompress"/>
  <w:hdrShapeDefaults>
    <o:shapedefaults v:ext="edit" spidmax="2054"/>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70EC"/>
    <w:rsid w:val="0001172C"/>
    <w:rsid w:val="00016E8A"/>
    <w:rsid w:val="000245CB"/>
    <w:rsid w:val="000336CF"/>
    <w:rsid w:val="000355C3"/>
    <w:rsid w:val="00040B2A"/>
    <w:rsid w:val="00041833"/>
    <w:rsid w:val="0004552A"/>
    <w:rsid w:val="000475F2"/>
    <w:rsid w:val="00053555"/>
    <w:rsid w:val="0005743D"/>
    <w:rsid w:val="00057640"/>
    <w:rsid w:val="00057F84"/>
    <w:rsid w:val="00064F93"/>
    <w:rsid w:val="00087347"/>
    <w:rsid w:val="00092AB4"/>
    <w:rsid w:val="00096E69"/>
    <w:rsid w:val="0009727E"/>
    <w:rsid w:val="000973A5"/>
    <w:rsid w:val="000A0A25"/>
    <w:rsid w:val="000A2986"/>
    <w:rsid w:val="000A57DE"/>
    <w:rsid w:val="000A5E13"/>
    <w:rsid w:val="000A7A1C"/>
    <w:rsid w:val="000B1D35"/>
    <w:rsid w:val="000B50DC"/>
    <w:rsid w:val="000C690C"/>
    <w:rsid w:val="000C6C77"/>
    <w:rsid w:val="000D70B4"/>
    <w:rsid w:val="000F09EB"/>
    <w:rsid w:val="000F3568"/>
    <w:rsid w:val="000F3FE2"/>
    <w:rsid w:val="00106322"/>
    <w:rsid w:val="0010772A"/>
    <w:rsid w:val="00131820"/>
    <w:rsid w:val="00132591"/>
    <w:rsid w:val="00135C85"/>
    <w:rsid w:val="00137AE6"/>
    <w:rsid w:val="00145BC2"/>
    <w:rsid w:val="0014654C"/>
    <w:rsid w:val="0014704B"/>
    <w:rsid w:val="001578E8"/>
    <w:rsid w:val="001670E0"/>
    <w:rsid w:val="001717C4"/>
    <w:rsid w:val="001858EA"/>
    <w:rsid w:val="00193B37"/>
    <w:rsid w:val="0019573B"/>
    <w:rsid w:val="00197C77"/>
    <w:rsid w:val="001B657C"/>
    <w:rsid w:val="001D427B"/>
    <w:rsid w:val="001D461B"/>
    <w:rsid w:val="001D6976"/>
    <w:rsid w:val="002124A2"/>
    <w:rsid w:val="002148D7"/>
    <w:rsid w:val="00221155"/>
    <w:rsid w:val="00232DBB"/>
    <w:rsid w:val="00233B77"/>
    <w:rsid w:val="00233EE8"/>
    <w:rsid w:val="00236A0A"/>
    <w:rsid w:val="00245DEF"/>
    <w:rsid w:val="0025527C"/>
    <w:rsid w:val="00256B25"/>
    <w:rsid w:val="00257A35"/>
    <w:rsid w:val="0026098E"/>
    <w:rsid w:val="00261BEC"/>
    <w:rsid w:val="00262B0E"/>
    <w:rsid w:val="00280B5B"/>
    <w:rsid w:val="0028168B"/>
    <w:rsid w:val="0028760C"/>
    <w:rsid w:val="0029049A"/>
    <w:rsid w:val="0029784A"/>
    <w:rsid w:val="002A034B"/>
    <w:rsid w:val="002A0DC0"/>
    <w:rsid w:val="002A1106"/>
    <w:rsid w:val="002A43B7"/>
    <w:rsid w:val="002B1CAE"/>
    <w:rsid w:val="002B21C9"/>
    <w:rsid w:val="002B3644"/>
    <w:rsid w:val="002B6BE8"/>
    <w:rsid w:val="002C0EF3"/>
    <w:rsid w:val="002C132D"/>
    <w:rsid w:val="002D325A"/>
    <w:rsid w:val="002E13A6"/>
    <w:rsid w:val="002F50F6"/>
    <w:rsid w:val="0030015B"/>
    <w:rsid w:val="00300BA0"/>
    <w:rsid w:val="00303169"/>
    <w:rsid w:val="00323E00"/>
    <w:rsid w:val="00341EF7"/>
    <w:rsid w:val="00372B15"/>
    <w:rsid w:val="00374AEF"/>
    <w:rsid w:val="00382FBA"/>
    <w:rsid w:val="00386074"/>
    <w:rsid w:val="0039450C"/>
    <w:rsid w:val="003B24DF"/>
    <w:rsid w:val="003C33EB"/>
    <w:rsid w:val="003C4735"/>
    <w:rsid w:val="003C6384"/>
    <w:rsid w:val="003D042C"/>
    <w:rsid w:val="003D6929"/>
    <w:rsid w:val="003E02FD"/>
    <w:rsid w:val="003E13D2"/>
    <w:rsid w:val="003E3625"/>
    <w:rsid w:val="003F34DB"/>
    <w:rsid w:val="003F6445"/>
    <w:rsid w:val="004047AD"/>
    <w:rsid w:val="004062E2"/>
    <w:rsid w:val="00420302"/>
    <w:rsid w:val="00422FA8"/>
    <w:rsid w:val="0042408A"/>
    <w:rsid w:val="00427CDB"/>
    <w:rsid w:val="004302FB"/>
    <w:rsid w:val="004304D4"/>
    <w:rsid w:val="00431ED2"/>
    <w:rsid w:val="0043201B"/>
    <w:rsid w:val="004425F4"/>
    <w:rsid w:val="004460C0"/>
    <w:rsid w:val="00454F8B"/>
    <w:rsid w:val="00456477"/>
    <w:rsid w:val="00470E6F"/>
    <w:rsid w:val="004818B8"/>
    <w:rsid w:val="00482533"/>
    <w:rsid w:val="00486B48"/>
    <w:rsid w:val="00494039"/>
    <w:rsid w:val="00495169"/>
    <w:rsid w:val="004A5204"/>
    <w:rsid w:val="004A6000"/>
    <w:rsid w:val="004B177C"/>
    <w:rsid w:val="004B2035"/>
    <w:rsid w:val="004C15EF"/>
    <w:rsid w:val="004C231F"/>
    <w:rsid w:val="004E3993"/>
    <w:rsid w:val="004F3FBD"/>
    <w:rsid w:val="0051083D"/>
    <w:rsid w:val="005109A2"/>
    <w:rsid w:val="00524358"/>
    <w:rsid w:val="00536421"/>
    <w:rsid w:val="00541A36"/>
    <w:rsid w:val="00547B42"/>
    <w:rsid w:val="005542D3"/>
    <w:rsid w:val="00561CC6"/>
    <w:rsid w:val="00563FB8"/>
    <w:rsid w:val="005709C9"/>
    <w:rsid w:val="0058249E"/>
    <w:rsid w:val="00593CAC"/>
    <w:rsid w:val="005A29DD"/>
    <w:rsid w:val="005A33E0"/>
    <w:rsid w:val="005A40A2"/>
    <w:rsid w:val="005B3BFC"/>
    <w:rsid w:val="005C79DC"/>
    <w:rsid w:val="005E346E"/>
    <w:rsid w:val="005F1955"/>
    <w:rsid w:val="00612D0C"/>
    <w:rsid w:val="006146D6"/>
    <w:rsid w:val="00621D74"/>
    <w:rsid w:val="0063159F"/>
    <w:rsid w:val="006372C4"/>
    <w:rsid w:val="0064376D"/>
    <w:rsid w:val="006446A4"/>
    <w:rsid w:val="0064526C"/>
    <w:rsid w:val="006658E2"/>
    <w:rsid w:val="0066798A"/>
    <w:rsid w:val="00680AB6"/>
    <w:rsid w:val="006838FE"/>
    <w:rsid w:val="006839A5"/>
    <w:rsid w:val="00691AC4"/>
    <w:rsid w:val="00696F18"/>
    <w:rsid w:val="006A0065"/>
    <w:rsid w:val="006B187A"/>
    <w:rsid w:val="006B2A74"/>
    <w:rsid w:val="006B57E3"/>
    <w:rsid w:val="006C092A"/>
    <w:rsid w:val="006C7E4C"/>
    <w:rsid w:val="006C7F87"/>
    <w:rsid w:val="006D4ED6"/>
    <w:rsid w:val="006D78F7"/>
    <w:rsid w:val="006E16B7"/>
    <w:rsid w:val="006E302E"/>
    <w:rsid w:val="006F1A00"/>
    <w:rsid w:val="00717910"/>
    <w:rsid w:val="00721010"/>
    <w:rsid w:val="0072200C"/>
    <w:rsid w:val="0072350F"/>
    <w:rsid w:val="00732ED6"/>
    <w:rsid w:val="007410E6"/>
    <w:rsid w:val="00755ED3"/>
    <w:rsid w:val="00763322"/>
    <w:rsid w:val="00767A7A"/>
    <w:rsid w:val="007873C1"/>
    <w:rsid w:val="007A7640"/>
    <w:rsid w:val="007B2169"/>
    <w:rsid w:val="007B3567"/>
    <w:rsid w:val="007D19AD"/>
    <w:rsid w:val="007E1A61"/>
    <w:rsid w:val="007E2206"/>
    <w:rsid w:val="007F6EB2"/>
    <w:rsid w:val="00841556"/>
    <w:rsid w:val="00851268"/>
    <w:rsid w:val="00856392"/>
    <w:rsid w:val="008578F9"/>
    <w:rsid w:val="00865276"/>
    <w:rsid w:val="008745A9"/>
    <w:rsid w:val="008907FD"/>
    <w:rsid w:val="00896734"/>
    <w:rsid w:val="008A0FB7"/>
    <w:rsid w:val="008B6286"/>
    <w:rsid w:val="008C2009"/>
    <w:rsid w:val="008E4AF0"/>
    <w:rsid w:val="008E730E"/>
    <w:rsid w:val="008F5964"/>
    <w:rsid w:val="009013FD"/>
    <w:rsid w:val="009031D9"/>
    <w:rsid w:val="009052D3"/>
    <w:rsid w:val="009111A7"/>
    <w:rsid w:val="00913647"/>
    <w:rsid w:val="00921A4A"/>
    <w:rsid w:val="009273D4"/>
    <w:rsid w:val="00932317"/>
    <w:rsid w:val="00934118"/>
    <w:rsid w:val="00944537"/>
    <w:rsid w:val="00952FA8"/>
    <w:rsid w:val="009549A1"/>
    <w:rsid w:val="009820A9"/>
    <w:rsid w:val="009864BD"/>
    <w:rsid w:val="009902A5"/>
    <w:rsid w:val="00994C07"/>
    <w:rsid w:val="009A77DB"/>
    <w:rsid w:val="009A7BDC"/>
    <w:rsid w:val="009B1EF9"/>
    <w:rsid w:val="009D46BE"/>
    <w:rsid w:val="00A14D6B"/>
    <w:rsid w:val="00A24C3F"/>
    <w:rsid w:val="00A36CC2"/>
    <w:rsid w:val="00A4655B"/>
    <w:rsid w:val="00A50608"/>
    <w:rsid w:val="00A5278A"/>
    <w:rsid w:val="00A53205"/>
    <w:rsid w:val="00A91005"/>
    <w:rsid w:val="00A91965"/>
    <w:rsid w:val="00A92D1D"/>
    <w:rsid w:val="00A94653"/>
    <w:rsid w:val="00AA1E82"/>
    <w:rsid w:val="00AA570E"/>
    <w:rsid w:val="00AB3F54"/>
    <w:rsid w:val="00AC050F"/>
    <w:rsid w:val="00AD03DD"/>
    <w:rsid w:val="00AD32CF"/>
    <w:rsid w:val="00AD63CC"/>
    <w:rsid w:val="00AF0529"/>
    <w:rsid w:val="00B0029B"/>
    <w:rsid w:val="00B07DCF"/>
    <w:rsid w:val="00B231A6"/>
    <w:rsid w:val="00B358A6"/>
    <w:rsid w:val="00B41E30"/>
    <w:rsid w:val="00B534F8"/>
    <w:rsid w:val="00B65842"/>
    <w:rsid w:val="00B70949"/>
    <w:rsid w:val="00B7440D"/>
    <w:rsid w:val="00B74DC4"/>
    <w:rsid w:val="00B81813"/>
    <w:rsid w:val="00B83CC3"/>
    <w:rsid w:val="00B92AC9"/>
    <w:rsid w:val="00B97A78"/>
    <w:rsid w:val="00BA04D0"/>
    <w:rsid w:val="00BA32BF"/>
    <w:rsid w:val="00BB1093"/>
    <w:rsid w:val="00BB6769"/>
    <w:rsid w:val="00BC3A70"/>
    <w:rsid w:val="00BC4150"/>
    <w:rsid w:val="00BD4452"/>
    <w:rsid w:val="00BD52B1"/>
    <w:rsid w:val="00BE0CF7"/>
    <w:rsid w:val="00BF5E16"/>
    <w:rsid w:val="00C036EB"/>
    <w:rsid w:val="00C11F9E"/>
    <w:rsid w:val="00C14A8D"/>
    <w:rsid w:val="00C14AD5"/>
    <w:rsid w:val="00C211FE"/>
    <w:rsid w:val="00C21C0E"/>
    <w:rsid w:val="00C26009"/>
    <w:rsid w:val="00C3632E"/>
    <w:rsid w:val="00C3661F"/>
    <w:rsid w:val="00C43246"/>
    <w:rsid w:val="00C708D6"/>
    <w:rsid w:val="00C75235"/>
    <w:rsid w:val="00C77767"/>
    <w:rsid w:val="00C8102E"/>
    <w:rsid w:val="00C83717"/>
    <w:rsid w:val="00C8544C"/>
    <w:rsid w:val="00CA2182"/>
    <w:rsid w:val="00CA31AB"/>
    <w:rsid w:val="00CA3310"/>
    <w:rsid w:val="00CA55CD"/>
    <w:rsid w:val="00CB38FF"/>
    <w:rsid w:val="00CB3E59"/>
    <w:rsid w:val="00CC6624"/>
    <w:rsid w:val="00CD0E01"/>
    <w:rsid w:val="00CD69ED"/>
    <w:rsid w:val="00CE0A32"/>
    <w:rsid w:val="00CF6E78"/>
    <w:rsid w:val="00D016C0"/>
    <w:rsid w:val="00D10553"/>
    <w:rsid w:val="00D10ABC"/>
    <w:rsid w:val="00D14FEC"/>
    <w:rsid w:val="00D1758B"/>
    <w:rsid w:val="00D265FF"/>
    <w:rsid w:val="00D3024B"/>
    <w:rsid w:val="00D30A6B"/>
    <w:rsid w:val="00D452EE"/>
    <w:rsid w:val="00D51880"/>
    <w:rsid w:val="00D60D2E"/>
    <w:rsid w:val="00D701F0"/>
    <w:rsid w:val="00D708C5"/>
    <w:rsid w:val="00D70FCF"/>
    <w:rsid w:val="00D73FB7"/>
    <w:rsid w:val="00D770EC"/>
    <w:rsid w:val="00D92C20"/>
    <w:rsid w:val="00DA093F"/>
    <w:rsid w:val="00DA7FCD"/>
    <w:rsid w:val="00DB032F"/>
    <w:rsid w:val="00DB1834"/>
    <w:rsid w:val="00DC5998"/>
    <w:rsid w:val="00DD219C"/>
    <w:rsid w:val="00DD6574"/>
    <w:rsid w:val="00DF7890"/>
    <w:rsid w:val="00E026E7"/>
    <w:rsid w:val="00E073FA"/>
    <w:rsid w:val="00E20F4F"/>
    <w:rsid w:val="00E238B9"/>
    <w:rsid w:val="00E2570C"/>
    <w:rsid w:val="00E35F5C"/>
    <w:rsid w:val="00E47455"/>
    <w:rsid w:val="00E56D5C"/>
    <w:rsid w:val="00E71939"/>
    <w:rsid w:val="00E829D3"/>
    <w:rsid w:val="00E836B9"/>
    <w:rsid w:val="00E85F59"/>
    <w:rsid w:val="00E90C97"/>
    <w:rsid w:val="00EA68E4"/>
    <w:rsid w:val="00EC1650"/>
    <w:rsid w:val="00EC2660"/>
    <w:rsid w:val="00ED78DD"/>
    <w:rsid w:val="00EE1676"/>
    <w:rsid w:val="00EE1F66"/>
    <w:rsid w:val="00EF2274"/>
    <w:rsid w:val="00EF271A"/>
    <w:rsid w:val="00F02CA3"/>
    <w:rsid w:val="00F04E0A"/>
    <w:rsid w:val="00F12537"/>
    <w:rsid w:val="00F24C36"/>
    <w:rsid w:val="00F32DA5"/>
    <w:rsid w:val="00F40A02"/>
    <w:rsid w:val="00F424A5"/>
    <w:rsid w:val="00F53BED"/>
    <w:rsid w:val="00F729A0"/>
    <w:rsid w:val="00F865C7"/>
    <w:rsid w:val="00F97E88"/>
    <w:rsid w:val="00FA64CB"/>
    <w:rsid w:val="00FB387C"/>
    <w:rsid w:val="00FB6147"/>
    <w:rsid w:val="00FC1CC3"/>
    <w:rsid w:val="00FC6C66"/>
    <w:rsid w:val="00FC7703"/>
    <w:rsid w:val="00FC7CCA"/>
    <w:rsid w:val="00FF70C3"/>
    <w:rsid w:val="00FF7C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4"/>
    <o:shapelayout v:ext="edit">
      <o:idmap v:ext="edit" data="1"/>
    </o:shapelayout>
  </w:shapeDefaults>
  <w:doNotEmbedSmartTags/>
  <w:decimalSymbol w:val="."/>
  <w:listSeparator w:val=","/>
  <w14:docId w14:val="0B4493C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70EC"/>
    <w:rPr>
      <w:rFonts w:asciiTheme="majorHAnsi" w:hAnsiTheme="majorHAnsi" w:cstheme="minorBidi"/>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70EC"/>
    <w:pPr>
      <w:ind w:left="720"/>
      <w:contextualSpacing/>
    </w:pPr>
  </w:style>
  <w:style w:type="paragraph" w:styleId="Header">
    <w:name w:val="header"/>
    <w:basedOn w:val="Normal"/>
    <w:link w:val="HeaderChar"/>
    <w:uiPriority w:val="99"/>
    <w:unhideWhenUsed/>
    <w:rsid w:val="00D770EC"/>
    <w:pPr>
      <w:tabs>
        <w:tab w:val="center" w:pos="4320"/>
        <w:tab w:val="right" w:pos="8640"/>
      </w:tabs>
    </w:pPr>
  </w:style>
  <w:style w:type="character" w:customStyle="1" w:styleId="HeaderChar">
    <w:name w:val="Header Char"/>
    <w:basedOn w:val="DefaultParagraphFont"/>
    <w:link w:val="Header"/>
    <w:uiPriority w:val="99"/>
    <w:rsid w:val="00D770EC"/>
    <w:rPr>
      <w:rFonts w:asciiTheme="majorHAnsi" w:hAnsiTheme="majorHAnsi" w:cstheme="minorBidi"/>
      <w:sz w:val="24"/>
      <w:szCs w:val="24"/>
      <w:lang w:eastAsia="en-US"/>
    </w:rPr>
  </w:style>
  <w:style w:type="paragraph" w:styleId="Footer">
    <w:name w:val="footer"/>
    <w:basedOn w:val="Normal"/>
    <w:link w:val="FooterChar"/>
    <w:uiPriority w:val="99"/>
    <w:unhideWhenUsed/>
    <w:rsid w:val="00D770EC"/>
    <w:pPr>
      <w:tabs>
        <w:tab w:val="center" w:pos="4320"/>
        <w:tab w:val="right" w:pos="8640"/>
      </w:tabs>
    </w:pPr>
  </w:style>
  <w:style w:type="character" w:customStyle="1" w:styleId="FooterChar">
    <w:name w:val="Footer Char"/>
    <w:basedOn w:val="DefaultParagraphFont"/>
    <w:link w:val="Footer"/>
    <w:uiPriority w:val="99"/>
    <w:rsid w:val="00D770EC"/>
    <w:rPr>
      <w:rFonts w:asciiTheme="majorHAnsi" w:hAnsiTheme="majorHAnsi" w:cstheme="minorBidi"/>
      <w:sz w:val="24"/>
      <w:szCs w:val="24"/>
      <w:lang w:eastAsia="en-US"/>
    </w:rPr>
  </w:style>
  <w:style w:type="character" w:styleId="PageNumber">
    <w:name w:val="page number"/>
    <w:basedOn w:val="DefaultParagraphFont"/>
    <w:uiPriority w:val="99"/>
    <w:semiHidden/>
    <w:unhideWhenUsed/>
    <w:rsid w:val="006C7E4C"/>
  </w:style>
  <w:style w:type="paragraph" w:styleId="BalloonText">
    <w:name w:val="Balloon Text"/>
    <w:basedOn w:val="Normal"/>
    <w:link w:val="BalloonTextChar"/>
    <w:uiPriority w:val="99"/>
    <w:semiHidden/>
    <w:unhideWhenUsed/>
    <w:rsid w:val="006C7E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7E4C"/>
    <w:rPr>
      <w:rFonts w:ascii="Lucida Grande" w:hAnsi="Lucida Grande" w:cs="Lucida Grande"/>
      <w:sz w:val="18"/>
      <w:szCs w:val="18"/>
      <w:lang w:eastAsia="en-US"/>
    </w:rPr>
  </w:style>
  <w:style w:type="character" w:styleId="CommentReference">
    <w:name w:val="annotation reference"/>
    <w:basedOn w:val="DefaultParagraphFont"/>
    <w:uiPriority w:val="99"/>
    <w:semiHidden/>
    <w:unhideWhenUsed/>
    <w:rsid w:val="00865276"/>
    <w:rPr>
      <w:sz w:val="18"/>
      <w:szCs w:val="18"/>
    </w:rPr>
  </w:style>
  <w:style w:type="paragraph" w:styleId="CommentText">
    <w:name w:val="annotation text"/>
    <w:basedOn w:val="Normal"/>
    <w:link w:val="CommentTextChar"/>
    <w:uiPriority w:val="99"/>
    <w:semiHidden/>
    <w:unhideWhenUsed/>
    <w:rsid w:val="00865276"/>
  </w:style>
  <w:style w:type="character" w:customStyle="1" w:styleId="CommentTextChar">
    <w:name w:val="Comment Text Char"/>
    <w:basedOn w:val="DefaultParagraphFont"/>
    <w:link w:val="CommentText"/>
    <w:uiPriority w:val="99"/>
    <w:semiHidden/>
    <w:rsid w:val="00865276"/>
    <w:rPr>
      <w:rFonts w:asciiTheme="majorHAnsi" w:hAnsiTheme="majorHAnsi" w:cstheme="minorBidi"/>
      <w:sz w:val="24"/>
      <w:szCs w:val="24"/>
      <w:lang w:eastAsia="en-US"/>
    </w:rPr>
  </w:style>
  <w:style w:type="paragraph" w:styleId="CommentSubject">
    <w:name w:val="annotation subject"/>
    <w:basedOn w:val="CommentText"/>
    <w:next w:val="CommentText"/>
    <w:link w:val="CommentSubjectChar"/>
    <w:uiPriority w:val="99"/>
    <w:semiHidden/>
    <w:unhideWhenUsed/>
    <w:rsid w:val="00865276"/>
    <w:rPr>
      <w:b/>
      <w:bCs/>
      <w:sz w:val="20"/>
      <w:szCs w:val="20"/>
    </w:rPr>
  </w:style>
  <w:style w:type="character" w:customStyle="1" w:styleId="CommentSubjectChar">
    <w:name w:val="Comment Subject Char"/>
    <w:basedOn w:val="CommentTextChar"/>
    <w:link w:val="CommentSubject"/>
    <w:uiPriority w:val="99"/>
    <w:semiHidden/>
    <w:rsid w:val="00865276"/>
    <w:rPr>
      <w:rFonts w:asciiTheme="majorHAnsi" w:hAnsiTheme="majorHAnsi" w:cstheme="minorBidi"/>
      <w:b/>
      <w:bCs/>
      <w:sz w:val="24"/>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70EC"/>
    <w:rPr>
      <w:rFonts w:asciiTheme="majorHAnsi" w:hAnsiTheme="majorHAnsi" w:cstheme="minorBidi"/>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70EC"/>
    <w:pPr>
      <w:ind w:left="720"/>
      <w:contextualSpacing/>
    </w:pPr>
  </w:style>
  <w:style w:type="paragraph" w:styleId="Header">
    <w:name w:val="header"/>
    <w:basedOn w:val="Normal"/>
    <w:link w:val="HeaderChar"/>
    <w:uiPriority w:val="99"/>
    <w:unhideWhenUsed/>
    <w:rsid w:val="00D770EC"/>
    <w:pPr>
      <w:tabs>
        <w:tab w:val="center" w:pos="4320"/>
        <w:tab w:val="right" w:pos="8640"/>
      </w:tabs>
    </w:pPr>
  </w:style>
  <w:style w:type="character" w:customStyle="1" w:styleId="HeaderChar">
    <w:name w:val="Header Char"/>
    <w:basedOn w:val="DefaultParagraphFont"/>
    <w:link w:val="Header"/>
    <w:uiPriority w:val="99"/>
    <w:rsid w:val="00D770EC"/>
    <w:rPr>
      <w:rFonts w:asciiTheme="majorHAnsi" w:hAnsiTheme="majorHAnsi" w:cstheme="minorBidi"/>
      <w:sz w:val="24"/>
      <w:szCs w:val="24"/>
      <w:lang w:eastAsia="en-US"/>
    </w:rPr>
  </w:style>
  <w:style w:type="paragraph" w:styleId="Footer">
    <w:name w:val="footer"/>
    <w:basedOn w:val="Normal"/>
    <w:link w:val="FooterChar"/>
    <w:uiPriority w:val="99"/>
    <w:unhideWhenUsed/>
    <w:rsid w:val="00D770EC"/>
    <w:pPr>
      <w:tabs>
        <w:tab w:val="center" w:pos="4320"/>
        <w:tab w:val="right" w:pos="8640"/>
      </w:tabs>
    </w:pPr>
  </w:style>
  <w:style w:type="character" w:customStyle="1" w:styleId="FooterChar">
    <w:name w:val="Footer Char"/>
    <w:basedOn w:val="DefaultParagraphFont"/>
    <w:link w:val="Footer"/>
    <w:uiPriority w:val="99"/>
    <w:rsid w:val="00D770EC"/>
    <w:rPr>
      <w:rFonts w:asciiTheme="majorHAnsi" w:hAnsiTheme="majorHAnsi" w:cstheme="minorBidi"/>
      <w:sz w:val="24"/>
      <w:szCs w:val="24"/>
      <w:lang w:eastAsia="en-US"/>
    </w:rPr>
  </w:style>
  <w:style w:type="character" w:styleId="PageNumber">
    <w:name w:val="page number"/>
    <w:basedOn w:val="DefaultParagraphFont"/>
    <w:uiPriority w:val="99"/>
    <w:semiHidden/>
    <w:unhideWhenUsed/>
    <w:rsid w:val="006C7E4C"/>
  </w:style>
  <w:style w:type="paragraph" w:styleId="BalloonText">
    <w:name w:val="Balloon Text"/>
    <w:basedOn w:val="Normal"/>
    <w:link w:val="BalloonTextChar"/>
    <w:uiPriority w:val="99"/>
    <w:semiHidden/>
    <w:unhideWhenUsed/>
    <w:rsid w:val="006C7E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7E4C"/>
    <w:rPr>
      <w:rFonts w:ascii="Lucida Grande" w:hAnsi="Lucida Grande" w:cs="Lucida Grande"/>
      <w:sz w:val="18"/>
      <w:szCs w:val="18"/>
      <w:lang w:eastAsia="en-US"/>
    </w:rPr>
  </w:style>
  <w:style w:type="character" w:styleId="CommentReference">
    <w:name w:val="annotation reference"/>
    <w:basedOn w:val="DefaultParagraphFont"/>
    <w:uiPriority w:val="99"/>
    <w:semiHidden/>
    <w:unhideWhenUsed/>
    <w:rsid w:val="00865276"/>
    <w:rPr>
      <w:sz w:val="18"/>
      <w:szCs w:val="18"/>
    </w:rPr>
  </w:style>
  <w:style w:type="paragraph" w:styleId="CommentText">
    <w:name w:val="annotation text"/>
    <w:basedOn w:val="Normal"/>
    <w:link w:val="CommentTextChar"/>
    <w:uiPriority w:val="99"/>
    <w:semiHidden/>
    <w:unhideWhenUsed/>
    <w:rsid w:val="00865276"/>
  </w:style>
  <w:style w:type="character" w:customStyle="1" w:styleId="CommentTextChar">
    <w:name w:val="Comment Text Char"/>
    <w:basedOn w:val="DefaultParagraphFont"/>
    <w:link w:val="CommentText"/>
    <w:uiPriority w:val="99"/>
    <w:semiHidden/>
    <w:rsid w:val="00865276"/>
    <w:rPr>
      <w:rFonts w:asciiTheme="majorHAnsi" w:hAnsiTheme="majorHAnsi" w:cstheme="minorBidi"/>
      <w:sz w:val="24"/>
      <w:szCs w:val="24"/>
      <w:lang w:eastAsia="en-US"/>
    </w:rPr>
  </w:style>
  <w:style w:type="paragraph" w:styleId="CommentSubject">
    <w:name w:val="annotation subject"/>
    <w:basedOn w:val="CommentText"/>
    <w:next w:val="CommentText"/>
    <w:link w:val="CommentSubjectChar"/>
    <w:uiPriority w:val="99"/>
    <w:semiHidden/>
    <w:unhideWhenUsed/>
    <w:rsid w:val="00865276"/>
    <w:rPr>
      <w:b/>
      <w:bCs/>
      <w:sz w:val="20"/>
      <w:szCs w:val="20"/>
    </w:rPr>
  </w:style>
  <w:style w:type="character" w:customStyle="1" w:styleId="CommentSubjectChar">
    <w:name w:val="Comment Subject Char"/>
    <w:basedOn w:val="CommentTextChar"/>
    <w:link w:val="CommentSubject"/>
    <w:uiPriority w:val="99"/>
    <w:semiHidden/>
    <w:rsid w:val="00865276"/>
    <w:rPr>
      <w:rFonts w:asciiTheme="majorHAnsi" w:hAnsiTheme="majorHAnsi" w:cstheme="minorBidi"/>
      <w:b/>
      <w:bCs/>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2397</Words>
  <Characters>13667</Characters>
  <Application>Microsoft Macintosh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 Dean's Office</dc:creator>
  <cp:lastModifiedBy>Ian McNeely</cp:lastModifiedBy>
  <cp:revision>18</cp:revision>
  <cp:lastPrinted>2015-05-06T17:01:00Z</cp:lastPrinted>
  <dcterms:created xsi:type="dcterms:W3CDTF">2015-05-07T23:11:00Z</dcterms:created>
  <dcterms:modified xsi:type="dcterms:W3CDTF">2015-05-13T22:32:00Z</dcterms:modified>
</cp:coreProperties>
</file>