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6F6C7" w14:textId="689C18EF" w:rsidR="003277C7" w:rsidRPr="00820790" w:rsidRDefault="00174804" w:rsidP="0073194D">
      <w:r>
        <w:t>December 21</w:t>
      </w:r>
      <w:r w:rsidR="009B64D1">
        <w:t>, 2016</w:t>
      </w:r>
    </w:p>
    <w:p w14:paraId="0CF5E1F9" w14:textId="77777777" w:rsidR="0073194D" w:rsidRPr="00820790" w:rsidRDefault="0073194D" w:rsidP="0073194D"/>
    <w:p w14:paraId="4FEAD157" w14:textId="77777777" w:rsidR="0073194D" w:rsidRPr="00820790" w:rsidRDefault="0073194D" w:rsidP="0073194D">
      <w:r w:rsidRPr="00820790">
        <w:t>MEMORANDUM</w:t>
      </w:r>
    </w:p>
    <w:p w14:paraId="7E6DE62C" w14:textId="77777777" w:rsidR="0073194D" w:rsidRPr="009F5AA0" w:rsidRDefault="0073194D" w:rsidP="0073194D">
      <w:pPr>
        <w:pStyle w:val="Default"/>
        <w:rPr>
          <w:sz w:val="22"/>
          <w:szCs w:val="22"/>
        </w:rPr>
      </w:pPr>
    </w:p>
    <w:p w14:paraId="59241195" w14:textId="77777777" w:rsidR="0073194D" w:rsidRPr="009F5AA0" w:rsidRDefault="0073194D" w:rsidP="0073194D">
      <w:pPr>
        <w:pStyle w:val="Default"/>
        <w:rPr>
          <w:sz w:val="22"/>
          <w:szCs w:val="22"/>
        </w:rPr>
      </w:pPr>
      <w:r w:rsidRPr="009F5AA0">
        <w:rPr>
          <w:sz w:val="22"/>
          <w:szCs w:val="22"/>
        </w:rPr>
        <w:t>To:</w:t>
      </w:r>
      <w:r w:rsidRPr="009F5AA0">
        <w:rPr>
          <w:sz w:val="22"/>
          <w:szCs w:val="22"/>
        </w:rPr>
        <w:tab/>
      </w:r>
      <w:r w:rsidRPr="009F5AA0">
        <w:rPr>
          <w:sz w:val="22"/>
          <w:szCs w:val="22"/>
        </w:rPr>
        <w:tab/>
        <w:t xml:space="preserve"> Vice Presidents, Deans, Directors, and Department Heads </w:t>
      </w:r>
    </w:p>
    <w:p w14:paraId="57C354AC" w14:textId="77777777" w:rsidR="0073194D" w:rsidRPr="009F5AA0" w:rsidRDefault="0073194D" w:rsidP="0073194D">
      <w:pPr>
        <w:pStyle w:val="Default"/>
        <w:rPr>
          <w:sz w:val="22"/>
          <w:szCs w:val="22"/>
        </w:rPr>
      </w:pPr>
    </w:p>
    <w:p w14:paraId="7B9438A0" w14:textId="77777777" w:rsidR="0073194D" w:rsidRPr="009F5AA0" w:rsidRDefault="0073194D" w:rsidP="0073194D">
      <w:pPr>
        <w:pStyle w:val="Default"/>
        <w:rPr>
          <w:sz w:val="22"/>
          <w:szCs w:val="22"/>
        </w:rPr>
      </w:pPr>
      <w:r w:rsidRPr="009F5AA0">
        <w:rPr>
          <w:sz w:val="22"/>
          <w:szCs w:val="22"/>
        </w:rPr>
        <w:t>From:</w:t>
      </w:r>
      <w:r w:rsidRPr="009F5AA0">
        <w:rPr>
          <w:sz w:val="22"/>
          <w:szCs w:val="22"/>
        </w:rPr>
        <w:tab/>
      </w:r>
      <w:r w:rsidRPr="009F5AA0">
        <w:rPr>
          <w:sz w:val="22"/>
          <w:szCs w:val="22"/>
        </w:rPr>
        <w:tab/>
        <w:t xml:space="preserve"> Jamie Moffitt, Vice President for Finance and Administration and CFO </w:t>
      </w:r>
    </w:p>
    <w:p w14:paraId="004D52C8" w14:textId="77777777" w:rsidR="0073194D" w:rsidRPr="009F5AA0" w:rsidRDefault="0073194D" w:rsidP="0073194D">
      <w:pPr>
        <w:pStyle w:val="Default"/>
        <w:rPr>
          <w:sz w:val="22"/>
          <w:szCs w:val="22"/>
        </w:rPr>
      </w:pPr>
    </w:p>
    <w:p w14:paraId="4EA7900B" w14:textId="5705A7EE" w:rsidR="0073194D" w:rsidRPr="009F5AA0" w:rsidRDefault="0073194D" w:rsidP="005217BE">
      <w:pPr>
        <w:spacing w:after="0" w:line="240" w:lineRule="auto"/>
        <w:ind w:left="1440" w:hanging="1440"/>
      </w:pPr>
      <w:r w:rsidRPr="009F5AA0">
        <w:t>Subject:</w:t>
      </w:r>
      <w:r w:rsidRPr="009F5AA0">
        <w:tab/>
        <w:t xml:space="preserve"> </w:t>
      </w:r>
      <w:r w:rsidR="00440F63" w:rsidRPr="009F5AA0">
        <w:t>FY</w:t>
      </w:r>
      <w:r w:rsidR="003A6382">
        <w:t>20</w:t>
      </w:r>
      <w:r w:rsidR="00440F63" w:rsidRPr="009F5AA0">
        <w:t xml:space="preserve">18 </w:t>
      </w:r>
      <w:r w:rsidR="005217BE">
        <w:t xml:space="preserve">and FY2019 </w:t>
      </w:r>
      <w:r w:rsidR="00440F63" w:rsidRPr="009F5AA0">
        <w:t>Overhead</w:t>
      </w:r>
      <w:r w:rsidRPr="009F5AA0">
        <w:t xml:space="preserve"> Rate</w:t>
      </w:r>
      <w:r w:rsidR="00440F63" w:rsidRPr="009F5AA0">
        <w:t>s</w:t>
      </w:r>
      <w:r w:rsidRPr="009F5AA0">
        <w:t xml:space="preserve"> for Designated Operations, Auxiliary Operations, Service</w:t>
      </w:r>
      <w:r w:rsidR="005217BE">
        <w:t xml:space="preserve"> </w:t>
      </w:r>
      <w:r w:rsidRPr="009F5AA0">
        <w:t>Centers</w:t>
      </w:r>
      <w:r w:rsidR="006E5B5F">
        <w:t>,</w:t>
      </w:r>
      <w:r w:rsidR="006965AF">
        <w:t xml:space="preserve"> ASUO</w:t>
      </w:r>
      <w:r w:rsidR="006E5B5F">
        <w:t>, and Continuing Education for Credit</w:t>
      </w:r>
      <w:r w:rsidR="008475F4">
        <w:t xml:space="preserve"> Funds</w:t>
      </w:r>
    </w:p>
    <w:p w14:paraId="0D4DD0BD" w14:textId="77777777" w:rsidR="0073194D" w:rsidRPr="009F5AA0" w:rsidRDefault="0073194D" w:rsidP="0073194D">
      <w:r w:rsidRPr="009F5AA0">
        <w:t>_____________________________________________________________________________________</w:t>
      </w:r>
    </w:p>
    <w:p w14:paraId="0BCC7E03" w14:textId="2E896FDA" w:rsidR="00CF6763" w:rsidRDefault="00CF6763" w:rsidP="00A66371">
      <w:pPr>
        <w:pStyle w:val="Default"/>
        <w:spacing w:line="240" w:lineRule="exact"/>
        <w:rPr>
          <w:sz w:val="22"/>
          <w:szCs w:val="22"/>
        </w:rPr>
      </w:pPr>
    </w:p>
    <w:p w14:paraId="6994C8AC" w14:textId="0BE35D75" w:rsidR="00110525" w:rsidRDefault="00110525" w:rsidP="00A66371">
      <w:pPr>
        <w:pStyle w:val="Default"/>
        <w:spacing w:line="240" w:lineRule="exact"/>
        <w:rPr>
          <w:sz w:val="22"/>
          <w:szCs w:val="22"/>
        </w:rPr>
      </w:pPr>
    </w:p>
    <w:p w14:paraId="2C85055B" w14:textId="77777777" w:rsidR="00110525" w:rsidRDefault="00110525" w:rsidP="00A66371">
      <w:pPr>
        <w:pStyle w:val="Default"/>
        <w:spacing w:line="240" w:lineRule="exact"/>
        <w:rPr>
          <w:sz w:val="22"/>
          <w:szCs w:val="22"/>
        </w:rPr>
      </w:pPr>
    </w:p>
    <w:p w14:paraId="20FCEA08" w14:textId="4C191FF5" w:rsidR="00CF6763" w:rsidRDefault="00CF6763" w:rsidP="00A66371">
      <w:pPr>
        <w:pStyle w:val="Default"/>
        <w:spacing w:line="240" w:lineRule="exact"/>
        <w:rPr>
          <w:sz w:val="22"/>
          <w:szCs w:val="22"/>
        </w:rPr>
      </w:pPr>
      <w:r>
        <w:rPr>
          <w:sz w:val="22"/>
          <w:szCs w:val="22"/>
        </w:rPr>
        <w:t xml:space="preserve">Based on an updated analysis of cost pools, the </w:t>
      </w:r>
      <w:r w:rsidR="00A71200">
        <w:rPr>
          <w:sz w:val="22"/>
          <w:szCs w:val="22"/>
        </w:rPr>
        <w:t>u</w:t>
      </w:r>
      <w:r>
        <w:rPr>
          <w:sz w:val="22"/>
          <w:szCs w:val="22"/>
        </w:rPr>
        <w:t xml:space="preserve">niversity will be implementing changes to the </w:t>
      </w:r>
      <w:r w:rsidR="009400E8">
        <w:rPr>
          <w:sz w:val="22"/>
          <w:szCs w:val="22"/>
        </w:rPr>
        <w:t xml:space="preserve">administrative </w:t>
      </w:r>
      <w:r>
        <w:rPr>
          <w:sz w:val="22"/>
          <w:szCs w:val="22"/>
        </w:rPr>
        <w:t>overhead rates for FY2018</w:t>
      </w:r>
      <w:r w:rsidR="005217BE">
        <w:rPr>
          <w:sz w:val="22"/>
          <w:szCs w:val="22"/>
        </w:rPr>
        <w:t xml:space="preserve"> and FY2019</w:t>
      </w:r>
      <w:r>
        <w:rPr>
          <w:sz w:val="22"/>
          <w:szCs w:val="22"/>
        </w:rPr>
        <w:t xml:space="preserve"> for auxiliary operations, service centers, </w:t>
      </w:r>
      <w:proofErr w:type="gramStart"/>
      <w:r w:rsidR="006965AF">
        <w:rPr>
          <w:sz w:val="22"/>
          <w:szCs w:val="22"/>
        </w:rPr>
        <w:t xml:space="preserve">ASUO, </w:t>
      </w:r>
      <w:r>
        <w:rPr>
          <w:sz w:val="22"/>
          <w:szCs w:val="22"/>
        </w:rPr>
        <w:t xml:space="preserve"> designated</w:t>
      </w:r>
      <w:proofErr w:type="gramEnd"/>
      <w:r>
        <w:rPr>
          <w:sz w:val="22"/>
          <w:szCs w:val="22"/>
        </w:rPr>
        <w:t xml:space="preserve"> operations</w:t>
      </w:r>
      <w:r w:rsidR="006965AF">
        <w:rPr>
          <w:sz w:val="22"/>
          <w:szCs w:val="22"/>
        </w:rPr>
        <w:t xml:space="preserve"> and continuing education for credit funds</w:t>
      </w:r>
      <w:r>
        <w:rPr>
          <w:sz w:val="22"/>
          <w:szCs w:val="22"/>
        </w:rPr>
        <w:t xml:space="preserve">.  The new overhead rates for </w:t>
      </w:r>
      <w:r w:rsidR="00F02813">
        <w:rPr>
          <w:sz w:val="22"/>
          <w:szCs w:val="22"/>
        </w:rPr>
        <w:t xml:space="preserve">FY2018 </w:t>
      </w:r>
      <w:r w:rsidR="00973BA5">
        <w:rPr>
          <w:sz w:val="22"/>
          <w:szCs w:val="22"/>
        </w:rPr>
        <w:t xml:space="preserve">and </w:t>
      </w:r>
      <w:r>
        <w:rPr>
          <w:sz w:val="22"/>
          <w:szCs w:val="22"/>
        </w:rPr>
        <w:t>FY2019 are listed below.</w:t>
      </w:r>
    </w:p>
    <w:p w14:paraId="2E900D76" w14:textId="0540F41C" w:rsidR="00CF6763" w:rsidRDefault="00CF6763" w:rsidP="00A66371">
      <w:pPr>
        <w:pStyle w:val="Default"/>
        <w:spacing w:line="240" w:lineRule="exact"/>
        <w:rPr>
          <w:sz w:val="22"/>
          <w:szCs w:val="22"/>
        </w:rPr>
      </w:pPr>
    </w:p>
    <w:p w14:paraId="2454B096" w14:textId="77777777" w:rsidR="00711947" w:rsidRPr="009F5AA0" w:rsidRDefault="00711947" w:rsidP="00A66371">
      <w:pPr>
        <w:autoSpaceDE w:val="0"/>
        <w:autoSpaceDN w:val="0"/>
        <w:adjustRightInd w:val="0"/>
        <w:spacing w:after="0" w:line="240" w:lineRule="exact"/>
        <w:rPr>
          <w:rFonts w:ascii="Calibri" w:hAnsi="Calibri" w:cs="Calibri"/>
          <w:color w:val="000000"/>
          <w:u w:val="single"/>
        </w:rPr>
      </w:pPr>
    </w:p>
    <w:p w14:paraId="4333E847" w14:textId="15EEBC13" w:rsidR="009400E8" w:rsidRDefault="00DF5E4F" w:rsidP="00A66371">
      <w:pPr>
        <w:pStyle w:val="Default"/>
        <w:spacing w:line="240" w:lineRule="exact"/>
        <w:rPr>
          <w:b/>
          <w:i/>
          <w:sz w:val="22"/>
          <w:szCs w:val="22"/>
        </w:rPr>
      </w:pPr>
      <w:r w:rsidRPr="009B64D1">
        <w:rPr>
          <w:b/>
          <w:i/>
          <w:sz w:val="22"/>
          <w:szCs w:val="22"/>
        </w:rPr>
        <w:t>Background on Overhead Rates</w:t>
      </w:r>
    </w:p>
    <w:p w14:paraId="4B994B8B" w14:textId="77777777" w:rsidR="00DF5E4F" w:rsidRDefault="00DF5E4F" w:rsidP="00A66371">
      <w:pPr>
        <w:pStyle w:val="Default"/>
        <w:spacing w:line="240" w:lineRule="exact"/>
        <w:rPr>
          <w:sz w:val="22"/>
          <w:szCs w:val="22"/>
          <w:u w:val="single"/>
        </w:rPr>
      </w:pPr>
    </w:p>
    <w:p w14:paraId="1B701E9B" w14:textId="0247AC88" w:rsidR="009400E8" w:rsidRPr="009B64D1" w:rsidRDefault="009400E8" w:rsidP="00A66371">
      <w:pPr>
        <w:pStyle w:val="Default"/>
        <w:spacing w:line="240" w:lineRule="exact"/>
        <w:rPr>
          <w:sz w:val="22"/>
          <w:szCs w:val="22"/>
        </w:rPr>
      </w:pPr>
      <w:r w:rsidRPr="009B64D1">
        <w:rPr>
          <w:sz w:val="22"/>
          <w:szCs w:val="22"/>
        </w:rPr>
        <w:t>Auxilia</w:t>
      </w:r>
      <w:r w:rsidR="00F0596D">
        <w:rPr>
          <w:sz w:val="22"/>
          <w:szCs w:val="22"/>
        </w:rPr>
        <w:t xml:space="preserve">ry operations, service centers, </w:t>
      </w:r>
      <w:r w:rsidR="00F0596D" w:rsidRPr="009B64D1">
        <w:rPr>
          <w:sz w:val="22"/>
          <w:szCs w:val="22"/>
        </w:rPr>
        <w:t>designated</w:t>
      </w:r>
      <w:r w:rsidRPr="009B64D1">
        <w:rPr>
          <w:sz w:val="22"/>
          <w:szCs w:val="22"/>
        </w:rPr>
        <w:t xml:space="preserve"> operations</w:t>
      </w:r>
      <w:r w:rsidR="00F0596D">
        <w:rPr>
          <w:sz w:val="22"/>
          <w:szCs w:val="22"/>
        </w:rPr>
        <w:t xml:space="preserve">, and Academic Extension </w:t>
      </w:r>
      <w:r w:rsidR="00C52668">
        <w:rPr>
          <w:sz w:val="22"/>
          <w:szCs w:val="22"/>
        </w:rPr>
        <w:t>(</w:t>
      </w:r>
      <w:r w:rsidR="00F0596D">
        <w:rPr>
          <w:sz w:val="22"/>
          <w:szCs w:val="22"/>
        </w:rPr>
        <w:t>Continuing Education for Credit</w:t>
      </w:r>
      <w:r w:rsidR="00C52668">
        <w:rPr>
          <w:sz w:val="22"/>
          <w:szCs w:val="22"/>
        </w:rPr>
        <w:t>)</w:t>
      </w:r>
      <w:r w:rsidRPr="009B64D1">
        <w:rPr>
          <w:sz w:val="22"/>
          <w:szCs w:val="22"/>
        </w:rPr>
        <w:t xml:space="preserve"> are expected to price products and services appropriately to cover all costs, including the cost of using central services such as general counsel’s office, human resources, the financial system, central communications, etc.  </w:t>
      </w:r>
      <w:r w:rsidR="00174804">
        <w:rPr>
          <w:sz w:val="22"/>
          <w:szCs w:val="22"/>
        </w:rPr>
        <w:t>Rather than individually charge</w:t>
      </w:r>
      <w:r w:rsidRPr="009B64D1">
        <w:rPr>
          <w:sz w:val="22"/>
          <w:szCs w:val="22"/>
        </w:rPr>
        <w:t xml:space="preserve"> for each of these services, the </w:t>
      </w:r>
      <w:r w:rsidR="00A71200">
        <w:rPr>
          <w:sz w:val="22"/>
          <w:szCs w:val="22"/>
        </w:rPr>
        <w:t>u</w:t>
      </w:r>
      <w:r w:rsidRPr="009B64D1">
        <w:rPr>
          <w:sz w:val="22"/>
          <w:szCs w:val="22"/>
        </w:rPr>
        <w:t>niversity looks at the cost of providing these central services</w:t>
      </w:r>
      <w:r w:rsidR="00DF5E4F" w:rsidRPr="009B64D1">
        <w:rPr>
          <w:sz w:val="22"/>
          <w:szCs w:val="22"/>
        </w:rPr>
        <w:t xml:space="preserve"> to campus</w:t>
      </w:r>
      <w:r w:rsidRPr="009B64D1">
        <w:rPr>
          <w:sz w:val="22"/>
          <w:szCs w:val="22"/>
        </w:rPr>
        <w:t xml:space="preserve"> and</w:t>
      </w:r>
      <w:r w:rsidR="00DF5E4F" w:rsidRPr="009B64D1">
        <w:rPr>
          <w:sz w:val="22"/>
          <w:szCs w:val="22"/>
        </w:rPr>
        <w:t xml:space="preserve"> establishes cost pools for these functions which are allocated out as overhead rates</w:t>
      </w:r>
      <w:r w:rsidR="00F02813">
        <w:rPr>
          <w:sz w:val="22"/>
          <w:szCs w:val="22"/>
        </w:rPr>
        <w:t xml:space="preserve"> to </w:t>
      </w:r>
      <w:r w:rsidR="00A71200">
        <w:rPr>
          <w:sz w:val="22"/>
          <w:szCs w:val="22"/>
        </w:rPr>
        <w:t>affected departments/funds</w:t>
      </w:r>
      <w:r w:rsidR="00F02813">
        <w:rPr>
          <w:sz w:val="22"/>
          <w:szCs w:val="22"/>
        </w:rPr>
        <w:t>.</w:t>
      </w:r>
      <w:r w:rsidR="00DF5E4F" w:rsidRPr="009B64D1">
        <w:rPr>
          <w:sz w:val="22"/>
          <w:szCs w:val="22"/>
        </w:rPr>
        <w:t xml:space="preserve"> </w:t>
      </w:r>
      <w:r w:rsidRPr="009B64D1">
        <w:rPr>
          <w:sz w:val="22"/>
          <w:szCs w:val="22"/>
        </w:rPr>
        <w:t xml:space="preserve"> </w:t>
      </w:r>
    </w:p>
    <w:p w14:paraId="0B968DE5" w14:textId="29CE49A8" w:rsidR="00DF5E4F" w:rsidRPr="009B64D1" w:rsidRDefault="00DF5E4F" w:rsidP="00A66371">
      <w:pPr>
        <w:pStyle w:val="Default"/>
        <w:spacing w:line="240" w:lineRule="exact"/>
        <w:rPr>
          <w:sz w:val="22"/>
          <w:szCs w:val="22"/>
        </w:rPr>
      </w:pPr>
    </w:p>
    <w:p w14:paraId="69EC8619" w14:textId="34279B99" w:rsidR="00DF5E4F" w:rsidRPr="009B64D1" w:rsidRDefault="00DF5E4F" w:rsidP="00A66371">
      <w:pPr>
        <w:pStyle w:val="Default"/>
        <w:spacing w:line="240" w:lineRule="exact"/>
        <w:rPr>
          <w:sz w:val="22"/>
          <w:szCs w:val="22"/>
        </w:rPr>
      </w:pPr>
      <w:r w:rsidRPr="009B64D1">
        <w:rPr>
          <w:sz w:val="22"/>
          <w:szCs w:val="22"/>
        </w:rPr>
        <w:t>There are two separate cost pools for these functions:</w:t>
      </w:r>
    </w:p>
    <w:p w14:paraId="6E891572" w14:textId="1C08AC17" w:rsidR="00DF5E4F" w:rsidRPr="009B64D1" w:rsidRDefault="00DF5E4F" w:rsidP="00A66371">
      <w:pPr>
        <w:pStyle w:val="Default"/>
        <w:spacing w:line="240" w:lineRule="exact"/>
        <w:rPr>
          <w:sz w:val="22"/>
          <w:szCs w:val="22"/>
        </w:rPr>
      </w:pPr>
    </w:p>
    <w:p w14:paraId="0366862D" w14:textId="4EA177B6" w:rsidR="00DF5E4F" w:rsidRPr="009B64D1" w:rsidRDefault="00DF5E4F" w:rsidP="009B64D1">
      <w:pPr>
        <w:pStyle w:val="Default"/>
        <w:numPr>
          <w:ilvl w:val="0"/>
          <w:numId w:val="15"/>
        </w:numPr>
        <w:spacing w:line="240" w:lineRule="exact"/>
        <w:rPr>
          <w:sz w:val="22"/>
          <w:szCs w:val="22"/>
        </w:rPr>
      </w:pPr>
      <w:r w:rsidRPr="009B64D1">
        <w:rPr>
          <w:sz w:val="22"/>
          <w:szCs w:val="22"/>
        </w:rPr>
        <w:t xml:space="preserve"> Administrative cost pool – charged to all units</w:t>
      </w:r>
      <w:r w:rsidR="001F4608">
        <w:rPr>
          <w:sz w:val="22"/>
          <w:szCs w:val="22"/>
        </w:rPr>
        <w:t xml:space="preserve">.  </w:t>
      </w:r>
      <w:r w:rsidRPr="009B64D1">
        <w:rPr>
          <w:sz w:val="22"/>
          <w:szCs w:val="22"/>
        </w:rPr>
        <w:t xml:space="preserve"> </w:t>
      </w:r>
      <w:r w:rsidR="001F4608" w:rsidRPr="009F5AA0">
        <w:rPr>
          <w:sz w:val="22"/>
          <w:szCs w:val="22"/>
        </w:rPr>
        <w:t xml:space="preserve">See overhead website </w:t>
      </w:r>
      <w:hyperlink r:id="rId6" w:history="1">
        <w:r w:rsidR="001F4608" w:rsidRPr="009F5AA0">
          <w:rPr>
            <w:rStyle w:val="Hyperlink"/>
            <w:sz w:val="22"/>
            <w:szCs w:val="22"/>
          </w:rPr>
          <w:t>http://ba.uoregon.edu/content/department-assessments</w:t>
        </w:r>
      </w:hyperlink>
      <w:r w:rsidR="001F4608" w:rsidRPr="009F5AA0">
        <w:rPr>
          <w:color w:val="0000FF"/>
          <w:sz w:val="22"/>
          <w:szCs w:val="22"/>
        </w:rPr>
        <w:t xml:space="preserve"> </w:t>
      </w:r>
      <w:r w:rsidR="001F4608" w:rsidRPr="009F5AA0">
        <w:rPr>
          <w:sz w:val="22"/>
          <w:szCs w:val="22"/>
        </w:rPr>
        <w:t>for detailed information about how the administrative rate cost pool was calculated</w:t>
      </w:r>
      <w:r w:rsidR="001F4608">
        <w:rPr>
          <w:sz w:val="22"/>
          <w:szCs w:val="22"/>
        </w:rPr>
        <w:t>.</w:t>
      </w:r>
    </w:p>
    <w:p w14:paraId="1351758B" w14:textId="77777777" w:rsidR="00DF5E4F" w:rsidRPr="009B64D1" w:rsidRDefault="00DF5E4F" w:rsidP="009B64D1">
      <w:pPr>
        <w:pStyle w:val="Default"/>
        <w:spacing w:line="240" w:lineRule="exact"/>
        <w:ind w:left="720"/>
        <w:rPr>
          <w:sz w:val="22"/>
          <w:szCs w:val="22"/>
        </w:rPr>
      </w:pPr>
    </w:p>
    <w:p w14:paraId="22C44124" w14:textId="54AA0E9E" w:rsidR="00DF5E4F" w:rsidRPr="009B64D1" w:rsidRDefault="00DF5E4F" w:rsidP="009B64D1">
      <w:pPr>
        <w:pStyle w:val="Default"/>
        <w:numPr>
          <w:ilvl w:val="0"/>
          <w:numId w:val="15"/>
        </w:numPr>
        <w:spacing w:line="240" w:lineRule="exact"/>
        <w:rPr>
          <w:sz w:val="22"/>
          <w:szCs w:val="22"/>
        </w:rPr>
      </w:pPr>
      <w:r w:rsidRPr="009B64D1">
        <w:rPr>
          <w:sz w:val="22"/>
          <w:szCs w:val="22"/>
        </w:rPr>
        <w:t>Facilities cost pool – only charged to units that do not pay their own facilities costs – e.g., debt, leases, maintenance and repairs, and custodial services (click here for details of costs within the facilities cost pool)</w:t>
      </w:r>
      <w:r w:rsidR="00F0596D">
        <w:rPr>
          <w:sz w:val="22"/>
          <w:szCs w:val="22"/>
        </w:rPr>
        <w:t xml:space="preserve">  </w:t>
      </w:r>
      <w:hyperlink r:id="rId7" w:history="1">
        <w:r w:rsidR="00F0596D" w:rsidRPr="009F5AA0">
          <w:rPr>
            <w:rStyle w:val="Hyperlink"/>
            <w:sz w:val="22"/>
            <w:szCs w:val="22"/>
          </w:rPr>
          <w:t>http://ba.uoregon.edu/content/department-assessments</w:t>
        </w:r>
      </w:hyperlink>
    </w:p>
    <w:p w14:paraId="38EDF35D" w14:textId="257ECE5A" w:rsidR="00DF5E4F" w:rsidRPr="009B64D1" w:rsidRDefault="00DF5E4F" w:rsidP="00DF5E4F">
      <w:pPr>
        <w:pStyle w:val="Default"/>
        <w:spacing w:line="240" w:lineRule="exact"/>
        <w:rPr>
          <w:rFonts w:asciiTheme="minorHAnsi" w:hAnsiTheme="minorHAnsi" w:cstheme="minorBidi"/>
          <w:color w:val="auto"/>
          <w:sz w:val="22"/>
          <w:szCs w:val="22"/>
        </w:rPr>
      </w:pPr>
    </w:p>
    <w:p w14:paraId="1287CF23" w14:textId="707F603C" w:rsidR="001A0C6E" w:rsidRPr="009B64D1" w:rsidRDefault="00DF5E4F" w:rsidP="001A0C6E">
      <w:pPr>
        <w:pStyle w:val="Default"/>
        <w:spacing w:line="240" w:lineRule="exact"/>
        <w:rPr>
          <w:rFonts w:asciiTheme="minorHAnsi" w:hAnsiTheme="minorHAnsi" w:cstheme="minorBidi"/>
          <w:color w:val="auto"/>
          <w:sz w:val="22"/>
          <w:szCs w:val="22"/>
        </w:rPr>
      </w:pPr>
      <w:r w:rsidRPr="009B64D1">
        <w:rPr>
          <w:rFonts w:asciiTheme="minorHAnsi" w:hAnsiTheme="minorHAnsi" w:cstheme="minorBidi"/>
          <w:color w:val="auto"/>
          <w:sz w:val="22"/>
          <w:szCs w:val="22"/>
        </w:rPr>
        <w:t>All auxiliary operations, designated operations</w:t>
      </w:r>
      <w:r w:rsidR="00A71200">
        <w:rPr>
          <w:rFonts w:asciiTheme="minorHAnsi" w:hAnsiTheme="minorHAnsi" w:cstheme="minorBidi"/>
          <w:color w:val="auto"/>
          <w:sz w:val="22"/>
          <w:szCs w:val="22"/>
        </w:rPr>
        <w:t>,</w:t>
      </w:r>
      <w:r w:rsidRPr="009B64D1">
        <w:rPr>
          <w:rFonts w:asciiTheme="minorHAnsi" w:hAnsiTheme="minorHAnsi" w:cstheme="minorBidi"/>
          <w:color w:val="auto"/>
          <w:sz w:val="22"/>
          <w:szCs w:val="22"/>
        </w:rPr>
        <w:t xml:space="preserve"> services centers</w:t>
      </w:r>
      <w:r w:rsidR="001A607B">
        <w:rPr>
          <w:rFonts w:asciiTheme="minorHAnsi" w:hAnsiTheme="minorHAnsi" w:cstheme="minorBidi"/>
          <w:color w:val="auto"/>
          <w:sz w:val="22"/>
          <w:szCs w:val="22"/>
        </w:rPr>
        <w:t>,</w:t>
      </w:r>
      <w:r w:rsidR="00C52668">
        <w:rPr>
          <w:rFonts w:asciiTheme="minorHAnsi" w:hAnsiTheme="minorHAnsi" w:cstheme="minorBidi"/>
          <w:color w:val="auto"/>
          <w:sz w:val="22"/>
          <w:szCs w:val="22"/>
        </w:rPr>
        <w:t xml:space="preserve"> and continuing education for credit funds</w:t>
      </w:r>
      <w:r w:rsidRPr="009B64D1">
        <w:rPr>
          <w:rFonts w:asciiTheme="minorHAnsi" w:hAnsiTheme="minorHAnsi" w:cstheme="minorBidi"/>
          <w:color w:val="auto"/>
          <w:sz w:val="22"/>
          <w:szCs w:val="22"/>
        </w:rPr>
        <w:t xml:space="preserve"> are </w:t>
      </w:r>
      <w:r w:rsidR="001A0C6E" w:rsidRPr="009B64D1">
        <w:rPr>
          <w:rFonts w:asciiTheme="minorHAnsi" w:hAnsiTheme="minorHAnsi" w:cstheme="minorBidi"/>
          <w:color w:val="auto"/>
          <w:sz w:val="22"/>
          <w:szCs w:val="22"/>
        </w:rPr>
        <w:t>subject to the same overhead rates with the following exceptions:</w:t>
      </w:r>
    </w:p>
    <w:p w14:paraId="2DC00F88" w14:textId="3C20AFD2" w:rsidR="001A0C6E" w:rsidRPr="009B64D1" w:rsidRDefault="001A0C6E" w:rsidP="001A0C6E">
      <w:pPr>
        <w:pStyle w:val="Default"/>
        <w:spacing w:line="240" w:lineRule="exact"/>
        <w:rPr>
          <w:rFonts w:asciiTheme="minorHAnsi" w:hAnsiTheme="minorHAnsi" w:cstheme="minorBidi"/>
          <w:color w:val="auto"/>
          <w:sz w:val="22"/>
          <w:szCs w:val="22"/>
        </w:rPr>
      </w:pPr>
    </w:p>
    <w:p w14:paraId="1EE0E493" w14:textId="619BBFE0" w:rsidR="001A0C6E" w:rsidRPr="009B64D1" w:rsidRDefault="007673F7" w:rsidP="009B64D1">
      <w:pPr>
        <w:pStyle w:val="Default"/>
        <w:numPr>
          <w:ilvl w:val="0"/>
          <w:numId w:val="17"/>
        </w:numPr>
        <w:spacing w:line="240" w:lineRule="exact"/>
        <w:rPr>
          <w:rFonts w:asciiTheme="minorHAnsi" w:hAnsiTheme="minorHAnsi" w:cstheme="minorBidi"/>
          <w:color w:val="auto"/>
          <w:sz w:val="22"/>
          <w:szCs w:val="22"/>
        </w:rPr>
      </w:pPr>
      <w:r>
        <w:rPr>
          <w:rFonts w:asciiTheme="minorHAnsi" w:hAnsiTheme="minorHAnsi" w:cstheme="minorBidi"/>
          <w:color w:val="auto"/>
          <w:sz w:val="22"/>
          <w:szCs w:val="22"/>
        </w:rPr>
        <w:t xml:space="preserve">Research </w:t>
      </w:r>
      <w:r w:rsidR="001A0C6E" w:rsidRPr="009B64D1">
        <w:rPr>
          <w:rFonts w:asciiTheme="minorHAnsi" w:hAnsiTheme="minorHAnsi" w:cstheme="minorBidi"/>
          <w:color w:val="auto"/>
          <w:sz w:val="22"/>
          <w:szCs w:val="22"/>
        </w:rPr>
        <w:t>Servi</w:t>
      </w:r>
      <w:r w:rsidR="00874DBE">
        <w:rPr>
          <w:rFonts w:asciiTheme="minorHAnsi" w:hAnsiTheme="minorHAnsi" w:cstheme="minorBidi"/>
          <w:color w:val="auto"/>
          <w:sz w:val="22"/>
          <w:szCs w:val="22"/>
        </w:rPr>
        <w:t>ce Centers that provide services</w:t>
      </w:r>
      <w:r w:rsidR="001A0C6E" w:rsidRPr="009B64D1">
        <w:rPr>
          <w:rFonts w:asciiTheme="minorHAnsi" w:hAnsiTheme="minorHAnsi" w:cstheme="minorBidi"/>
          <w:color w:val="auto"/>
          <w:sz w:val="22"/>
          <w:szCs w:val="22"/>
        </w:rPr>
        <w:t xml:space="preserve"> to internal researchers are exempt from paying overhead rates</w:t>
      </w:r>
      <w:r w:rsidR="00201824">
        <w:rPr>
          <w:rFonts w:asciiTheme="minorHAnsi" w:hAnsiTheme="minorHAnsi" w:cstheme="minorBidi"/>
          <w:color w:val="auto"/>
          <w:sz w:val="22"/>
          <w:szCs w:val="22"/>
        </w:rPr>
        <w:t xml:space="preserve"> on expenses related to these services</w:t>
      </w:r>
      <w:r w:rsidR="001A0C6E" w:rsidRPr="009B64D1">
        <w:rPr>
          <w:rFonts w:asciiTheme="minorHAnsi" w:hAnsiTheme="minorHAnsi" w:cstheme="minorBidi"/>
          <w:color w:val="auto"/>
          <w:sz w:val="22"/>
          <w:szCs w:val="22"/>
        </w:rPr>
        <w:t xml:space="preserve">.  This helps to keep costs down for </w:t>
      </w:r>
      <w:r w:rsidR="00F21B43">
        <w:rPr>
          <w:rFonts w:asciiTheme="minorHAnsi" w:hAnsiTheme="minorHAnsi" w:cstheme="minorBidi"/>
          <w:color w:val="auto"/>
          <w:sz w:val="22"/>
          <w:szCs w:val="22"/>
        </w:rPr>
        <w:t>university</w:t>
      </w:r>
      <w:r w:rsidR="00F21B43" w:rsidRPr="009B64D1">
        <w:rPr>
          <w:rFonts w:asciiTheme="minorHAnsi" w:hAnsiTheme="minorHAnsi" w:cstheme="minorBidi"/>
          <w:color w:val="auto"/>
          <w:sz w:val="22"/>
          <w:szCs w:val="22"/>
        </w:rPr>
        <w:t xml:space="preserve"> </w:t>
      </w:r>
      <w:r w:rsidR="001A0C6E" w:rsidRPr="009B64D1">
        <w:rPr>
          <w:rFonts w:asciiTheme="minorHAnsi" w:hAnsiTheme="minorHAnsi" w:cstheme="minorBidi"/>
          <w:color w:val="auto"/>
          <w:sz w:val="22"/>
          <w:szCs w:val="22"/>
        </w:rPr>
        <w:t>researchers.</w:t>
      </w:r>
    </w:p>
    <w:p w14:paraId="6CCB1891" w14:textId="77777777" w:rsidR="001A0C6E" w:rsidRPr="009B64D1" w:rsidRDefault="001A0C6E" w:rsidP="009B64D1">
      <w:pPr>
        <w:pStyle w:val="Default"/>
        <w:spacing w:line="240" w:lineRule="exact"/>
        <w:ind w:left="720"/>
        <w:rPr>
          <w:rFonts w:asciiTheme="minorHAnsi" w:hAnsiTheme="minorHAnsi" w:cstheme="minorBidi"/>
          <w:color w:val="auto"/>
          <w:sz w:val="22"/>
          <w:szCs w:val="22"/>
        </w:rPr>
      </w:pPr>
    </w:p>
    <w:p w14:paraId="01C8F002" w14:textId="1C76763D" w:rsidR="008014A4" w:rsidRDefault="007673F7" w:rsidP="008014A4">
      <w:pPr>
        <w:pStyle w:val="Default"/>
        <w:numPr>
          <w:ilvl w:val="0"/>
          <w:numId w:val="17"/>
        </w:numPr>
        <w:spacing w:line="240" w:lineRule="exact"/>
        <w:rPr>
          <w:rFonts w:asciiTheme="minorHAnsi" w:hAnsiTheme="minorHAnsi" w:cstheme="minorBidi"/>
          <w:color w:val="auto"/>
          <w:sz w:val="22"/>
          <w:szCs w:val="22"/>
        </w:rPr>
      </w:pPr>
      <w:r>
        <w:rPr>
          <w:rFonts w:asciiTheme="minorHAnsi" w:hAnsiTheme="minorHAnsi" w:cstheme="minorBidi"/>
          <w:color w:val="auto"/>
          <w:sz w:val="22"/>
          <w:szCs w:val="22"/>
        </w:rPr>
        <w:t xml:space="preserve">Research </w:t>
      </w:r>
      <w:r w:rsidR="001A0C6E" w:rsidRPr="009B64D1">
        <w:rPr>
          <w:rFonts w:asciiTheme="minorHAnsi" w:hAnsiTheme="minorHAnsi" w:cstheme="minorBidi"/>
          <w:color w:val="auto"/>
          <w:sz w:val="22"/>
          <w:szCs w:val="22"/>
        </w:rPr>
        <w:t>Serv</w:t>
      </w:r>
      <w:r w:rsidR="00874DBE">
        <w:rPr>
          <w:rFonts w:asciiTheme="minorHAnsi" w:hAnsiTheme="minorHAnsi" w:cstheme="minorBidi"/>
          <w:color w:val="auto"/>
          <w:sz w:val="22"/>
          <w:szCs w:val="22"/>
        </w:rPr>
        <w:t>ice Centers that provide services</w:t>
      </w:r>
      <w:r w:rsidR="001A0C6E" w:rsidRPr="009B64D1">
        <w:rPr>
          <w:rFonts w:asciiTheme="minorHAnsi" w:hAnsiTheme="minorHAnsi" w:cstheme="minorBidi"/>
          <w:color w:val="auto"/>
          <w:sz w:val="22"/>
          <w:szCs w:val="22"/>
        </w:rPr>
        <w:t xml:space="preserve"> to external entities are </w:t>
      </w:r>
      <w:r w:rsidR="007606E6" w:rsidRPr="009B64D1">
        <w:rPr>
          <w:rFonts w:asciiTheme="minorHAnsi" w:hAnsiTheme="minorHAnsi" w:cstheme="minorBidi"/>
          <w:color w:val="auto"/>
          <w:sz w:val="22"/>
          <w:szCs w:val="22"/>
        </w:rPr>
        <w:t>charged</w:t>
      </w:r>
      <w:r w:rsidR="001A0C6E" w:rsidRPr="009B64D1">
        <w:rPr>
          <w:rFonts w:asciiTheme="minorHAnsi" w:hAnsiTheme="minorHAnsi" w:cstheme="minorBidi"/>
          <w:color w:val="auto"/>
          <w:sz w:val="22"/>
          <w:szCs w:val="22"/>
        </w:rPr>
        <w:t xml:space="preserve"> the maximum allowable rates.  This is generally done on a percentage of </w:t>
      </w:r>
      <w:r w:rsidR="007606E6" w:rsidRPr="009B64D1">
        <w:rPr>
          <w:rFonts w:asciiTheme="minorHAnsi" w:hAnsiTheme="minorHAnsi" w:cstheme="minorBidi"/>
          <w:color w:val="auto"/>
          <w:sz w:val="22"/>
          <w:szCs w:val="22"/>
        </w:rPr>
        <w:t>revenue basis.</w:t>
      </w:r>
    </w:p>
    <w:p w14:paraId="0C0752E3" w14:textId="77777777" w:rsidR="00867612" w:rsidRDefault="00867612" w:rsidP="00174804">
      <w:pPr>
        <w:pStyle w:val="ListParagraph"/>
      </w:pPr>
    </w:p>
    <w:p w14:paraId="07A2CFB7" w14:textId="35316B9D" w:rsidR="00867612" w:rsidRPr="00110525" w:rsidRDefault="00867612" w:rsidP="00110525">
      <w:pPr>
        <w:pStyle w:val="ListParagraph"/>
        <w:numPr>
          <w:ilvl w:val="0"/>
          <w:numId w:val="17"/>
        </w:numPr>
        <w:rPr>
          <w:rFonts w:eastAsia="Times New Roman"/>
        </w:rPr>
      </w:pPr>
      <w:r>
        <w:lastRenderedPageBreak/>
        <w:t>ASUO –</w:t>
      </w:r>
      <w:r w:rsidR="001A607B">
        <w:t xml:space="preserve"> </w:t>
      </w:r>
      <w:r w:rsidRPr="00174804">
        <w:rPr>
          <w:rFonts w:eastAsia="Times New Roman"/>
        </w:rPr>
        <w:t xml:space="preserve">ASUO is charged only the administrative rate on ASUO expenditures. Transfers from ASUO to auxiliary units are </w:t>
      </w:r>
      <w:r w:rsidR="005856F8">
        <w:rPr>
          <w:rFonts w:eastAsia="Times New Roman"/>
        </w:rPr>
        <w:t xml:space="preserve">not charged overhead.  The auxiliary unit pays overhead when it spends the funds. </w:t>
      </w:r>
    </w:p>
    <w:p w14:paraId="606E14E9" w14:textId="74C63E0A" w:rsidR="008014A4" w:rsidRPr="009B64D1" w:rsidRDefault="008014A4" w:rsidP="009B64D1">
      <w:pPr>
        <w:pStyle w:val="Default"/>
        <w:spacing w:line="240" w:lineRule="exact"/>
        <w:rPr>
          <w:rFonts w:asciiTheme="minorHAnsi" w:hAnsiTheme="minorHAnsi" w:cstheme="minorBidi"/>
          <w:color w:val="auto"/>
          <w:sz w:val="22"/>
          <w:szCs w:val="22"/>
        </w:rPr>
      </w:pPr>
    </w:p>
    <w:p w14:paraId="689F7120" w14:textId="2D894A6D" w:rsidR="005E19CC" w:rsidRPr="00174804" w:rsidRDefault="008014A4" w:rsidP="00174804">
      <w:pPr>
        <w:pStyle w:val="Default"/>
        <w:numPr>
          <w:ilvl w:val="0"/>
          <w:numId w:val="17"/>
        </w:numPr>
        <w:tabs>
          <w:tab w:val="left" w:pos="2970"/>
        </w:tabs>
        <w:spacing w:line="240" w:lineRule="exact"/>
        <w:rPr>
          <w:rFonts w:asciiTheme="minorHAnsi" w:hAnsiTheme="minorHAnsi"/>
          <w:sz w:val="22"/>
          <w:szCs w:val="22"/>
        </w:rPr>
      </w:pPr>
      <w:r w:rsidRPr="006F166B">
        <w:rPr>
          <w:rFonts w:asciiTheme="minorHAnsi" w:hAnsiTheme="minorHAnsi" w:cstheme="minorBidi"/>
          <w:color w:val="auto"/>
          <w:sz w:val="22"/>
          <w:szCs w:val="22"/>
        </w:rPr>
        <w:t>Overhead rate exemptions –</w:t>
      </w:r>
      <w:r w:rsidR="005E19CC" w:rsidRPr="006F166B">
        <w:rPr>
          <w:rFonts w:asciiTheme="minorHAnsi" w:hAnsiTheme="minorHAnsi" w:cstheme="minorBidi"/>
          <w:color w:val="auto"/>
          <w:sz w:val="22"/>
          <w:szCs w:val="22"/>
        </w:rPr>
        <w:t xml:space="preserve"> </w:t>
      </w:r>
      <w:r w:rsidR="005E19CC" w:rsidRPr="00174804">
        <w:rPr>
          <w:rFonts w:asciiTheme="minorHAnsi" w:hAnsiTheme="minorHAnsi"/>
          <w:sz w:val="22"/>
          <w:szCs w:val="22"/>
        </w:rPr>
        <w:t>Certain units have historically been exempt from overhead charges. A list of current exem</w:t>
      </w:r>
      <w:r w:rsidR="00C26AFF" w:rsidRPr="00174804">
        <w:rPr>
          <w:rFonts w:asciiTheme="minorHAnsi" w:hAnsiTheme="minorHAnsi"/>
          <w:sz w:val="22"/>
          <w:szCs w:val="22"/>
        </w:rPr>
        <w:t xml:space="preserve">ptions can be found at: </w:t>
      </w:r>
      <w:r w:rsidR="005E19CC" w:rsidRPr="00174804">
        <w:rPr>
          <w:rFonts w:asciiTheme="minorHAnsi" w:hAnsiTheme="minorHAnsi"/>
          <w:sz w:val="22"/>
          <w:szCs w:val="22"/>
        </w:rPr>
        <w:t xml:space="preserve"> </w:t>
      </w:r>
      <w:hyperlink r:id="rId8" w:history="1">
        <w:r w:rsidR="00C26AFF" w:rsidRPr="00174804">
          <w:rPr>
            <w:rStyle w:val="Hyperlink"/>
            <w:rFonts w:asciiTheme="minorHAnsi" w:hAnsiTheme="minorHAnsi"/>
            <w:sz w:val="22"/>
            <w:szCs w:val="22"/>
          </w:rPr>
          <w:t>http://ba.uoregon.edu/content/department-assessments</w:t>
        </w:r>
      </w:hyperlink>
      <w:r w:rsidR="00C26AFF" w:rsidRPr="00174804">
        <w:rPr>
          <w:rStyle w:val="Hyperlink"/>
          <w:rFonts w:asciiTheme="minorHAnsi" w:hAnsiTheme="minorHAnsi"/>
          <w:sz w:val="22"/>
          <w:szCs w:val="22"/>
        </w:rPr>
        <w:t xml:space="preserve">.  </w:t>
      </w:r>
      <w:r w:rsidR="005E19CC" w:rsidRPr="00174804">
        <w:rPr>
          <w:rFonts w:asciiTheme="minorHAnsi" w:hAnsiTheme="minorHAnsi"/>
          <w:sz w:val="22"/>
          <w:szCs w:val="22"/>
        </w:rPr>
        <w:t> </w:t>
      </w:r>
      <w:r w:rsidR="005E19CC" w:rsidRPr="00174804">
        <w:rPr>
          <w:rFonts w:asciiTheme="minorHAnsi" w:hAnsiTheme="minorHAnsi"/>
          <w:b/>
          <w:color w:val="auto"/>
          <w:sz w:val="22"/>
          <w:szCs w:val="22"/>
        </w:rPr>
        <w:t>All current exemptions will expire </w:t>
      </w:r>
      <w:hyperlink r:id="rId9" w:history="1">
        <w:r w:rsidR="005856F8">
          <w:rPr>
            <w:rStyle w:val="Hyperlink"/>
            <w:rFonts w:asciiTheme="minorHAnsi" w:hAnsiTheme="minorHAnsi"/>
            <w:b/>
            <w:color w:val="auto"/>
            <w:sz w:val="22"/>
            <w:szCs w:val="22"/>
            <w:u w:val="none"/>
          </w:rPr>
          <w:t>on June 30th</w:t>
        </w:r>
        <w:r w:rsidR="005E19CC" w:rsidRPr="00174804">
          <w:rPr>
            <w:rStyle w:val="Hyperlink"/>
            <w:rFonts w:asciiTheme="minorHAnsi" w:hAnsiTheme="minorHAnsi"/>
            <w:b/>
            <w:color w:val="auto"/>
            <w:sz w:val="22"/>
            <w:szCs w:val="22"/>
            <w:u w:val="none"/>
          </w:rPr>
          <w:t>, 2017</w:t>
        </w:r>
      </w:hyperlink>
      <w:r w:rsidR="005E19CC" w:rsidRPr="00174804">
        <w:rPr>
          <w:rFonts w:asciiTheme="minorHAnsi" w:hAnsiTheme="minorHAnsi"/>
          <w:color w:val="auto"/>
          <w:sz w:val="22"/>
          <w:szCs w:val="22"/>
        </w:rPr>
        <w:t xml:space="preserve">.   </w:t>
      </w:r>
      <w:r w:rsidR="00174804">
        <w:rPr>
          <w:rFonts w:asciiTheme="minorHAnsi" w:hAnsiTheme="minorHAnsi"/>
          <w:color w:val="auto"/>
          <w:sz w:val="22"/>
          <w:szCs w:val="22"/>
        </w:rPr>
        <w:t>Units</w:t>
      </w:r>
      <w:r w:rsidR="005E19CC" w:rsidRPr="00174804">
        <w:rPr>
          <w:rFonts w:asciiTheme="minorHAnsi" w:hAnsiTheme="minorHAnsi"/>
          <w:color w:val="auto"/>
          <w:sz w:val="22"/>
          <w:szCs w:val="22"/>
        </w:rPr>
        <w:t xml:space="preserve"> may submit a request for an </w:t>
      </w:r>
      <w:r w:rsidR="00174804">
        <w:rPr>
          <w:rFonts w:asciiTheme="minorHAnsi" w:hAnsiTheme="minorHAnsi"/>
          <w:color w:val="auto"/>
          <w:sz w:val="22"/>
          <w:szCs w:val="22"/>
        </w:rPr>
        <w:t>exemption that begins July 2017</w:t>
      </w:r>
      <w:r w:rsidR="005E19CC" w:rsidRPr="00174804">
        <w:rPr>
          <w:rFonts w:asciiTheme="minorHAnsi" w:hAnsiTheme="minorHAnsi"/>
          <w:color w:val="auto"/>
          <w:sz w:val="22"/>
          <w:szCs w:val="22"/>
        </w:rPr>
        <w:t xml:space="preserve">.  Requests </w:t>
      </w:r>
      <w:r w:rsidR="005E19CC" w:rsidRPr="00174804">
        <w:rPr>
          <w:rFonts w:asciiTheme="minorHAnsi" w:hAnsiTheme="minorHAnsi"/>
          <w:sz w:val="22"/>
          <w:szCs w:val="22"/>
        </w:rPr>
        <w:t>for exemption, with justification, MUST be filed with Budget and Resource Planning no later than </w:t>
      </w:r>
      <w:hyperlink r:id="rId10" w:history="1">
        <w:r w:rsidR="005E19CC" w:rsidRPr="00174804">
          <w:rPr>
            <w:rStyle w:val="Hyperlink"/>
            <w:rFonts w:asciiTheme="minorHAnsi" w:hAnsiTheme="minorHAnsi"/>
            <w:sz w:val="22"/>
            <w:szCs w:val="22"/>
          </w:rPr>
          <w:t>January 31, 2017</w:t>
        </w:r>
      </w:hyperlink>
      <w:r w:rsidR="005E19CC" w:rsidRPr="00174804">
        <w:rPr>
          <w:rFonts w:asciiTheme="minorHAnsi" w:hAnsiTheme="minorHAnsi"/>
          <w:sz w:val="22"/>
          <w:szCs w:val="22"/>
        </w:rPr>
        <w:t xml:space="preserve">.  Units should not assume that historical exemptions will be extended. </w:t>
      </w:r>
    </w:p>
    <w:p w14:paraId="59317632" w14:textId="42352E48" w:rsidR="007606E6" w:rsidRPr="00110525" w:rsidRDefault="005E19CC" w:rsidP="007606E6">
      <w:pPr>
        <w:pStyle w:val="Default"/>
        <w:spacing w:line="240" w:lineRule="exact"/>
      </w:pPr>
      <w:r>
        <w:t> </w:t>
      </w:r>
    </w:p>
    <w:p w14:paraId="0E62FFCB" w14:textId="7694BF46" w:rsidR="007606E6" w:rsidRDefault="007606E6" w:rsidP="007606E6">
      <w:pPr>
        <w:pStyle w:val="Default"/>
        <w:spacing w:line="240" w:lineRule="exact"/>
        <w:rPr>
          <w:rFonts w:asciiTheme="minorHAnsi" w:hAnsiTheme="minorHAnsi" w:cstheme="minorBidi"/>
          <w:color w:val="auto"/>
          <w:sz w:val="22"/>
          <w:szCs w:val="22"/>
        </w:rPr>
      </w:pPr>
      <w:r w:rsidRPr="009B64D1">
        <w:rPr>
          <w:rFonts w:asciiTheme="minorHAnsi" w:hAnsiTheme="minorHAnsi" w:cstheme="minorBidi"/>
          <w:color w:val="auto"/>
          <w:sz w:val="22"/>
          <w:szCs w:val="22"/>
        </w:rPr>
        <w:t>Additionally</w:t>
      </w:r>
      <w:r w:rsidR="00AA696D" w:rsidRPr="009B64D1">
        <w:rPr>
          <w:rFonts w:asciiTheme="minorHAnsi" w:hAnsiTheme="minorHAnsi" w:cstheme="minorBidi"/>
          <w:color w:val="auto"/>
          <w:sz w:val="22"/>
          <w:szCs w:val="22"/>
        </w:rPr>
        <w:t xml:space="preserve">, </w:t>
      </w:r>
      <w:r w:rsidRPr="009B64D1">
        <w:rPr>
          <w:rFonts w:asciiTheme="minorHAnsi" w:hAnsiTheme="minorHAnsi" w:cstheme="minorBidi"/>
          <w:color w:val="auto"/>
          <w:sz w:val="22"/>
          <w:szCs w:val="22"/>
        </w:rPr>
        <w:t xml:space="preserve">the university has established a structured rate schedule for </w:t>
      </w:r>
      <w:r w:rsidR="009927E9">
        <w:rPr>
          <w:rFonts w:asciiTheme="minorHAnsi" w:hAnsiTheme="minorHAnsi" w:cstheme="minorBidi"/>
          <w:color w:val="auto"/>
          <w:sz w:val="22"/>
          <w:szCs w:val="22"/>
        </w:rPr>
        <w:t xml:space="preserve">all units </w:t>
      </w:r>
      <w:r w:rsidR="00211C7D" w:rsidRPr="009B64D1">
        <w:rPr>
          <w:rFonts w:asciiTheme="minorHAnsi" w:hAnsiTheme="minorHAnsi" w:cstheme="minorBidi"/>
          <w:color w:val="auto"/>
          <w:sz w:val="22"/>
          <w:szCs w:val="22"/>
        </w:rPr>
        <w:t xml:space="preserve">which recognizes that larger </w:t>
      </w:r>
      <w:r w:rsidR="00AA696D" w:rsidRPr="009B64D1">
        <w:rPr>
          <w:rFonts w:asciiTheme="minorHAnsi" w:hAnsiTheme="minorHAnsi" w:cstheme="minorBidi"/>
          <w:color w:val="auto"/>
          <w:sz w:val="22"/>
          <w:szCs w:val="22"/>
        </w:rPr>
        <w:t xml:space="preserve">departments </w:t>
      </w:r>
      <w:r w:rsidR="00211C7D" w:rsidRPr="009B64D1">
        <w:rPr>
          <w:rFonts w:asciiTheme="minorHAnsi" w:hAnsiTheme="minorHAnsi" w:cstheme="minorBidi"/>
          <w:color w:val="auto"/>
          <w:sz w:val="22"/>
          <w:szCs w:val="22"/>
        </w:rPr>
        <w:t>generally</w:t>
      </w:r>
      <w:r w:rsidR="005C506B" w:rsidRPr="009F5AA0">
        <w:rPr>
          <w:sz w:val="22"/>
          <w:szCs w:val="22"/>
        </w:rPr>
        <w:t xml:space="preserve"> have </w:t>
      </w:r>
      <w:r w:rsidR="005C506B" w:rsidRPr="009F5AA0">
        <w:rPr>
          <w:rFonts w:asciiTheme="minorHAnsi" w:hAnsiTheme="minorHAnsi"/>
          <w:sz w:val="22"/>
          <w:szCs w:val="22"/>
        </w:rPr>
        <w:t>increased levels of self-funded administrative support (e.g., HR, IT, media, purchasing, contracts, etc.) within their organizations</w:t>
      </w:r>
      <w:r w:rsidR="00AA696D" w:rsidRPr="009B64D1">
        <w:rPr>
          <w:rFonts w:asciiTheme="minorHAnsi" w:hAnsiTheme="minorHAnsi" w:cstheme="minorBidi"/>
          <w:color w:val="auto"/>
          <w:sz w:val="22"/>
          <w:szCs w:val="22"/>
        </w:rPr>
        <w:t xml:space="preserve">, as well as economies of scale.  </w:t>
      </w:r>
      <w:r w:rsidR="004A416A">
        <w:rPr>
          <w:rFonts w:asciiTheme="minorHAnsi" w:hAnsiTheme="minorHAnsi" w:cstheme="minorBidi"/>
          <w:color w:val="auto"/>
          <w:sz w:val="22"/>
          <w:szCs w:val="22"/>
        </w:rPr>
        <w:t xml:space="preserve">See details:  </w:t>
      </w:r>
      <w:hyperlink r:id="rId11" w:history="1">
        <w:r w:rsidR="00807757" w:rsidRPr="009F5AA0">
          <w:rPr>
            <w:rStyle w:val="Hyperlink"/>
            <w:sz w:val="22"/>
            <w:szCs w:val="22"/>
          </w:rPr>
          <w:t>http://ba.uoregon.edu/content/department-assessments</w:t>
        </w:r>
      </w:hyperlink>
    </w:p>
    <w:p w14:paraId="2013556B" w14:textId="0A460398" w:rsidR="00973BA5" w:rsidRDefault="00973BA5" w:rsidP="007606E6">
      <w:pPr>
        <w:pStyle w:val="Default"/>
        <w:spacing w:line="240" w:lineRule="exact"/>
        <w:rPr>
          <w:rFonts w:asciiTheme="minorHAnsi" w:hAnsiTheme="minorHAnsi" w:cstheme="minorBidi"/>
          <w:color w:val="auto"/>
          <w:sz w:val="22"/>
          <w:szCs w:val="22"/>
        </w:rPr>
      </w:pPr>
    </w:p>
    <w:p w14:paraId="53828F37" w14:textId="4A8A60A9" w:rsidR="00973BA5" w:rsidRDefault="00973BA5" w:rsidP="007606E6">
      <w:pPr>
        <w:pStyle w:val="Default"/>
        <w:spacing w:line="240" w:lineRule="exact"/>
        <w:rPr>
          <w:rFonts w:asciiTheme="minorHAnsi" w:hAnsiTheme="minorHAnsi" w:cstheme="minorBidi"/>
          <w:color w:val="auto"/>
          <w:sz w:val="22"/>
          <w:szCs w:val="22"/>
        </w:rPr>
      </w:pPr>
    </w:p>
    <w:p w14:paraId="39AB0657" w14:textId="22C969F6" w:rsidR="00973BA5" w:rsidRPr="009B64D1" w:rsidRDefault="00973BA5" w:rsidP="007606E6">
      <w:pPr>
        <w:pStyle w:val="Default"/>
        <w:spacing w:line="240" w:lineRule="exact"/>
        <w:rPr>
          <w:rFonts w:asciiTheme="minorHAnsi" w:hAnsiTheme="minorHAnsi" w:cstheme="minorBidi"/>
          <w:b/>
          <w:i/>
          <w:color w:val="auto"/>
          <w:sz w:val="22"/>
          <w:szCs w:val="22"/>
        </w:rPr>
      </w:pPr>
      <w:r>
        <w:rPr>
          <w:rFonts w:asciiTheme="minorHAnsi" w:hAnsiTheme="minorHAnsi" w:cstheme="minorBidi"/>
          <w:b/>
          <w:i/>
          <w:color w:val="auto"/>
          <w:sz w:val="22"/>
          <w:szCs w:val="22"/>
        </w:rPr>
        <w:t>New Overhead Rate</w:t>
      </w:r>
      <w:r w:rsidR="008938F2">
        <w:rPr>
          <w:rFonts w:asciiTheme="minorHAnsi" w:hAnsiTheme="minorHAnsi" w:cstheme="minorBidi"/>
          <w:b/>
          <w:i/>
          <w:color w:val="auto"/>
          <w:sz w:val="22"/>
          <w:szCs w:val="22"/>
        </w:rPr>
        <w:t xml:space="preserve">s for </w:t>
      </w:r>
      <w:r w:rsidR="008014A4">
        <w:rPr>
          <w:rFonts w:asciiTheme="minorHAnsi" w:hAnsiTheme="minorHAnsi" w:cstheme="minorBidi"/>
          <w:b/>
          <w:i/>
          <w:color w:val="auto"/>
          <w:sz w:val="22"/>
          <w:szCs w:val="22"/>
        </w:rPr>
        <w:t>FY18 and FY19</w:t>
      </w:r>
    </w:p>
    <w:p w14:paraId="550082C9" w14:textId="0FA6484B" w:rsidR="00DF5E4F" w:rsidRPr="009B64D1" w:rsidRDefault="00DF5E4F" w:rsidP="00A66371">
      <w:pPr>
        <w:pStyle w:val="Default"/>
        <w:spacing w:line="240" w:lineRule="exact"/>
        <w:rPr>
          <w:sz w:val="22"/>
          <w:szCs w:val="22"/>
        </w:rPr>
      </w:pPr>
    </w:p>
    <w:p w14:paraId="48A1A8CD" w14:textId="444C3F35" w:rsidR="00973BA5" w:rsidRDefault="00DF5E4F" w:rsidP="00A66371">
      <w:pPr>
        <w:pStyle w:val="Default"/>
        <w:spacing w:line="240" w:lineRule="exact"/>
        <w:rPr>
          <w:sz w:val="22"/>
          <w:szCs w:val="22"/>
        </w:rPr>
      </w:pPr>
      <w:r w:rsidRPr="009B64D1">
        <w:rPr>
          <w:sz w:val="22"/>
          <w:szCs w:val="22"/>
        </w:rPr>
        <w:t>In FY2016 we established a task force</w:t>
      </w:r>
      <w:r w:rsidR="0009190A" w:rsidRPr="009B64D1">
        <w:rPr>
          <w:sz w:val="22"/>
          <w:szCs w:val="22"/>
        </w:rPr>
        <w:t xml:space="preserve"> with representation from </w:t>
      </w:r>
      <w:r w:rsidR="002E7A42">
        <w:rPr>
          <w:sz w:val="22"/>
          <w:szCs w:val="22"/>
        </w:rPr>
        <w:t>B</w:t>
      </w:r>
      <w:r w:rsidR="0009190A" w:rsidRPr="009B64D1">
        <w:rPr>
          <w:sz w:val="22"/>
          <w:szCs w:val="22"/>
        </w:rPr>
        <w:t xml:space="preserve">udget and </w:t>
      </w:r>
      <w:r w:rsidR="002E7A42">
        <w:rPr>
          <w:sz w:val="22"/>
          <w:szCs w:val="22"/>
        </w:rPr>
        <w:t>R</w:t>
      </w:r>
      <w:r w:rsidR="0009190A" w:rsidRPr="009B64D1">
        <w:rPr>
          <w:sz w:val="22"/>
          <w:szCs w:val="22"/>
        </w:rPr>
        <w:t xml:space="preserve">esource </w:t>
      </w:r>
      <w:r w:rsidR="002E7A42">
        <w:rPr>
          <w:sz w:val="22"/>
          <w:szCs w:val="22"/>
        </w:rPr>
        <w:t>P</w:t>
      </w:r>
      <w:r w:rsidR="0009190A" w:rsidRPr="009B64D1">
        <w:rPr>
          <w:sz w:val="22"/>
          <w:szCs w:val="22"/>
        </w:rPr>
        <w:t xml:space="preserve">lanning, </w:t>
      </w:r>
      <w:r w:rsidR="002E7A42">
        <w:rPr>
          <w:sz w:val="22"/>
          <w:szCs w:val="22"/>
        </w:rPr>
        <w:t>C</w:t>
      </w:r>
      <w:r w:rsidR="0009190A" w:rsidRPr="009B64D1">
        <w:rPr>
          <w:sz w:val="22"/>
          <w:szCs w:val="22"/>
        </w:rPr>
        <w:t xml:space="preserve">ollege of </w:t>
      </w:r>
      <w:r w:rsidR="002E7A42">
        <w:rPr>
          <w:sz w:val="22"/>
          <w:szCs w:val="22"/>
        </w:rPr>
        <w:t>E</w:t>
      </w:r>
      <w:r w:rsidR="0009190A" w:rsidRPr="009B64D1">
        <w:rPr>
          <w:sz w:val="22"/>
          <w:szCs w:val="22"/>
        </w:rPr>
        <w:t>d</w:t>
      </w:r>
      <w:r w:rsidR="002E7A42">
        <w:rPr>
          <w:sz w:val="22"/>
          <w:szCs w:val="22"/>
        </w:rPr>
        <w:t>ucation</w:t>
      </w:r>
      <w:r w:rsidR="0009190A" w:rsidRPr="009B64D1">
        <w:rPr>
          <w:sz w:val="22"/>
          <w:szCs w:val="22"/>
        </w:rPr>
        <w:t xml:space="preserve">, </w:t>
      </w:r>
      <w:r w:rsidR="002E7A42">
        <w:rPr>
          <w:sz w:val="22"/>
          <w:szCs w:val="22"/>
        </w:rPr>
        <w:t>B</w:t>
      </w:r>
      <w:r w:rsidR="0009190A" w:rsidRPr="009B64D1">
        <w:rPr>
          <w:sz w:val="22"/>
          <w:szCs w:val="22"/>
        </w:rPr>
        <w:t xml:space="preserve">usiness </w:t>
      </w:r>
      <w:r w:rsidR="002E7A42">
        <w:rPr>
          <w:sz w:val="22"/>
          <w:szCs w:val="22"/>
        </w:rPr>
        <w:t>A</w:t>
      </w:r>
      <w:r w:rsidR="0009190A" w:rsidRPr="009B64D1">
        <w:rPr>
          <w:sz w:val="22"/>
          <w:szCs w:val="22"/>
        </w:rPr>
        <w:t xml:space="preserve">ffairs, </w:t>
      </w:r>
      <w:r w:rsidR="001632F3">
        <w:rPr>
          <w:sz w:val="22"/>
          <w:szCs w:val="22"/>
        </w:rPr>
        <w:t xml:space="preserve">Lundquist </w:t>
      </w:r>
      <w:r w:rsidR="002E7A42">
        <w:rPr>
          <w:sz w:val="22"/>
          <w:szCs w:val="22"/>
        </w:rPr>
        <w:t>C</w:t>
      </w:r>
      <w:r w:rsidR="00D22474">
        <w:rPr>
          <w:sz w:val="22"/>
          <w:szCs w:val="22"/>
        </w:rPr>
        <w:t xml:space="preserve">ollege of </w:t>
      </w:r>
      <w:r w:rsidR="002E7A42">
        <w:rPr>
          <w:sz w:val="22"/>
          <w:szCs w:val="22"/>
        </w:rPr>
        <w:t>B</w:t>
      </w:r>
      <w:r w:rsidR="00D22474">
        <w:rPr>
          <w:sz w:val="22"/>
          <w:szCs w:val="22"/>
        </w:rPr>
        <w:t>usiness</w:t>
      </w:r>
      <w:r w:rsidR="0009190A" w:rsidRPr="009B64D1">
        <w:rPr>
          <w:sz w:val="22"/>
          <w:szCs w:val="22"/>
        </w:rPr>
        <w:t xml:space="preserve">, </w:t>
      </w:r>
      <w:r w:rsidR="002E7A42">
        <w:rPr>
          <w:sz w:val="22"/>
          <w:szCs w:val="22"/>
        </w:rPr>
        <w:t>Campus Planning and Facilities Management</w:t>
      </w:r>
      <w:r w:rsidR="0009190A" w:rsidRPr="009B64D1">
        <w:rPr>
          <w:sz w:val="22"/>
          <w:szCs w:val="22"/>
        </w:rPr>
        <w:t xml:space="preserve">, </w:t>
      </w:r>
      <w:r w:rsidR="002E7A42">
        <w:rPr>
          <w:sz w:val="22"/>
          <w:szCs w:val="22"/>
        </w:rPr>
        <w:t>A</w:t>
      </w:r>
      <w:r w:rsidR="0009190A" w:rsidRPr="009B64D1">
        <w:rPr>
          <w:sz w:val="22"/>
          <w:szCs w:val="22"/>
        </w:rPr>
        <w:t xml:space="preserve">thletics, and </w:t>
      </w:r>
      <w:r w:rsidR="002E7A42">
        <w:rPr>
          <w:sz w:val="22"/>
          <w:szCs w:val="22"/>
        </w:rPr>
        <w:t>Research &amp; Innovation</w:t>
      </w:r>
      <w:r w:rsidRPr="009B64D1">
        <w:rPr>
          <w:sz w:val="22"/>
          <w:szCs w:val="22"/>
        </w:rPr>
        <w:t xml:space="preserve"> to review the central cost pools and make recommendations for changes to the </w:t>
      </w:r>
      <w:r w:rsidR="00973BA5" w:rsidRPr="00973BA5">
        <w:rPr>
          <w:sz w:val="22"/>
          <w:szCs w:val="22"/>
        </w:rPr>
        <w:t xml:space="preserve">overhead rates going forward.  The </w:t>
      </w:r>
      <w:r w:rsidR="00973BA5">
        <w:rPr>
          <w:sz w:val="22"/>
          <w:szCs w:val="22"/>
        </w:rPr>
        <w:t xml:space="preserve">central cost pools needed to be reviewed </w:t>
      </w:r>
      <w:r w:rsidR="00BB4290">
        <w:rPr>
          <w:sz w:val="22"/>
          <w:szCs w:val="22"/>
        </w:rPr>
        <w:t xml:space="preserve">both due to the passage of time </w:t>
      </w:r>
      <w:r w:rsidR="00930E8F">
        <w:rPr>
          <w:sz w:val="22"/>
          <w:szCs w:val="22"/>
        </w:rPr>
        <w:t>and</w:t>
      </w:r>
      <w:r w:rsidR="00BB4290">
        <w:rPr>
          <w:sz w:val="22"/>
          <w:szCs w:val="22"/>
        </w:rPr>
        <w:t xml:space="preserve"> that </w:t>
      </w:r>
      <w:r w:rsidR="00973BA5">
        <w:rPr>
          <w:sz w:val="22"/>
          <w:szCs w:val="22"/>
        </w:rPr>
        <w:t xml:space="preserve">new </w:t>
      </w:r>
      <w:r w:rsidR="00D72332">
        <w:rPr>
          <w:sz w:val="22"/>
          <w:szCs w:val="22"/>
        </w:rPr>
        <w:t xml:space="preserve">units had been added to the </w:t>
      </w:r>
      <w:r w:rsidR="002E7A42">
        <w:rPr>
          <w:sz w:val="22"/>
          <w:szCs w:val="22"/>
        </w:rPr>
        <w:t>u</w:t>
      </w:r>
      <w:r w:rsidR="00D72332">
        <w:rPr>
          <w:sz w:val="22"/>
          <w:szCs w:val="22"/>
        </w:rPr>
        <w:t xml:space="preserve">niversity (e.g., </w:t>
      </w:r>
      <w:proofErr w:type="spellStart"/>
      <w:r w:rsidR="00D72332">
        <w:rPr>
          <w:sz w:val="22"/>
          <w:szCs w:val="22"/>
        </w:rPr>
        <w:t>ombuds</w:t>
      </w:r>
      <w:proofErr w:type="spellEnd"/>
      <w:r w:rsidR="00D72332">
        <w:rPr>
          <w:sz w:val="22"/>
          <w:szCs w:val="22"/>
        </w:rPr>
        <w:t xml:space="preserve"> program, </w:t>
      </w:r>
      <w:r w:rsidR="00503D66">
        <w:rPr>
          <w:sz w:val="22"/>
          <w:szCs w:val="22"/>
        </w:rPr>
        <w:t>i</w:t>
      </w:r>
      <w:r w:rsidR="00D72332">
        <w:rPr>
          <w:sz w:val="22"/>
          <w:szCs w:val="22"/>
        </w:rPr>
        <w:t xml:space="preserve">nternal </w:t>
      </w:r>
      <w:r w:rsidR="00503D66">
        <w:rPr>
          <w:sz w:val="22"/>
          <w:szCs w:val="22"/>
        </w:rPr>
        <w:t>a</w:t>
      </w:r>
      <w:r w:rsidR="00D72332">
        <w:rPr>
          <w:sz w:val="22"/>
          <w:szCs w:val="22"/>
        </w:rPr>
        <w:t>udit, university board secretary)</w:t>
      </w:r>
      <w:r w:rsidR="00BB4290">
        <w:rPr>
          <w:sz w:val="22"/>
          <w:szCs w:val="22"/>
        </w:rPr>
        <w:t xml:space="preserve"> since the last analysis.</w:t>
      </w:r>
    </w:p>
    <w:p w14:paraId="57770D8B" w14:textId="6D7A8095" w:rsidR="00B62670" w:rsidRDefault="00B62670" w:rsidP="00A66371">
      <w:pPr>
        <w:pStyle w:val="Default"/>
        <w:spacing w:line="240" w:lineRule="exact"/>
        <w:rPr>
          <w:sz w:val="22"/>
          <w:szCs w:val="22"/>
        </w:rPr>
      </w:pPr>
    </w:p>
    <w:p w14:paraId="12B94B25" w14:textId="3C21A0FB" w:rsidR="00807757" w:rsidRDefault="00BB4290" w:rsidP="00807757">
      <w:pPr>
        <w:pStyle w:val="Default"/>
        <w:spacing w:line="240" w:lineRule="exact"/>
        <w:rPr>
          <w:rFonts w:asciiTheme="minorHAnsi" w:hAnsiTheme="minorHAnsi" w:cstheme="minorBidi"/>
          <w:color w:val="auto"/>
          <w:sz w:val="22"/>
          <w:szCs w:val="22"/>
        </w:rPr>
      </w:pPr>
      <w:r>
        <w:rPr>
          <w:sz w:val="22"/>
          <w:szCs w:val="22"/>
        </w:rPr>
        <w:t>Review</w:t>
      </w:r>
      <w:r w:rsidR="00B62670">
        <w:rPr>
          <w:sz w:val="22"/>
          <w:szCs w:val="22"/>
        </w:rPr>
        <w:t xml:space="preserve"> of the central cost pools showed that costs had increased to a point where it was appropriate to raise the rates charged</w:t>
      </w:r>
      <w:r w:rsidR="00C33701">
        <w:rPr>
          <w:sz w:val="22"/>
          <w:szCs w:val="22"/>
        </w:rPr>
        <w:t xml:space="preserve">.  See analysis: </w:t>
      </w:r>
      <w:hyperlink r:id="rId12" w:history="1">
        <w:r w:rsidR="00807757" w:rsidRPr="009F5AA0">
          <w:rPr>
            <w:rStyle w:val="Hyperlink"/>
            <w:sz w:val="22"/>
            <w:szCs w:val="22"/>
          </w:rPr>
          <w:t>http://ba.uoregon.edu/content/department-assessments</w:t>
        </w:r>
      </w:hyperlink>
    </w:p>
    <w:p w14:paraId="6BEA09D8" w14:textId="71299705" w:rsidR="00B62670" w:rsidRDefault="00930E8F" w:rsidP="00A66371">
      <w:pPr>
        <w:pStyle w:val="Default"/>
        <w:spacing w:line="240" w:lineRule="exact"/>
        <w:rPr>
          <w:sz w:val="22"/>
          <w:szCs w:val="22"/>
        </w:rPr>
      </w:pPr>
      <w:r>
        <w:rPr>
          <w:sz w:val="22"/>
          <w:szCs w:val="22"/>
        </w:rPr>
        <w:t>However</w:t>
      </w:r>
      <w:r w:rsidR="00B62670">
        <w:rPr>
          <w:sz w:val="22"/>
          <w:szCs w:val="22"/>
        </w:rPr>
        <w:t>, the goal was to raise rates in a gradual manner so that units could adjust to higher charges.</w:t>
      </w:r>
      <w:r w:rsidR="00AE1AFA">
        <w:rPr>
          <w:sz w:val="22"/>
          <w:szCs w:val="22"/>
        </w:rPr>
        <w:t xml:space="preserve">  </w:t>
      </w:r>
    </w:p>
    <w:p w14:paraId="3D4DD32E" w14:textId="77777777" w:rsidR="00B62670" w:rsidRDefault="00B62670" w:rsidP="00A66371">
      <w:pPr>
        <w:pStyle w:val="Default"/>
        <w:spacing w:line="240" w:lineRule="exact"/>
        <w:rPr>
          <w:sz w:val="22"/>
          <w:szCs w:val="22"/>
        </w:rPr>
      </w:pPr>
    </w:p>
    <w:p w14:paraId="41F35F8E" w14:textId="3E8135CC" w:rsidR="0009190A" w:rsidRPr="009B64D1" w:rsidRDefault="0009190A" w:rsidP="00A66371">
      <w:pPr>
        <w:pStyle w:val="Default"/>
        <w:spacing w:line="240" w:lineRule="exact"/>
        <w:rPr>
          <w:sz w:val="22"/>
          <w:szCs w:val="22"/>
        </w:rPr>
      </w:pPr>
      <w:r w:rsidRPr="009B64D1">
        <w:rPr>
          <w:sz w:val="22"/>
          <w:szCs w:val="22"/>
        </w:rPr>
        <w:t xml:space="preserve">Based on </w:t>
      </w:r>
      <w:r w:rsidR="008938F2">
        <w:rPr>
          <w:sz w:val="22"/>
          <w:szCs w:val="22"/>
        </w:rPr>
        <w:t>this analysis</w:t>
      </w:r>
      <w:r w:rsidRPr="009B64D1">
        <w:rPr>
          <w:sz w:val="22"/>
          <w:szCs w:val="22"/>
        </w:rPr>
        <w:t xml:space="preserve">, </w:t>
      </w:r>
      <w:r w:rsidR="008938F2">
        <w:rPr>
          <w:sz w:val="22"/>
          <w:szCs w:val="22"/>
        </w:rPr>
        <w:t>the University is</w:t>
      </w:r>
      <w:r w:rsidRPr="009B64D1">
        <w:rPr>
          <w:sz w:val="22"/>
          <w:szCs w:val="22"/>
        </w:rPr>
        <w:t xml:space="preserve"> implementing the following </w:t>
      </w:r>
      <w:r w:rsidR="00AE1AFA">
        <w:rPr>
          <w:sz w:val="22"/>
          <w:szCs w:val="22"/>
        </w:rPr>
        <w:t>overhead rate schedule</w:t>
      </w:r>
      <w:r w:rsidR="00150CEF">
        <w:rPr>
          <w:sz w:val="22"/>
          <w:szCs w:val="22"/>
        </w:rPr>
        <w:t xml:space="preserve"> for the next several years</w:t>
      </w:r>
      <w:r w:rsidR="00AE1AFA">
        <w:rPr>
          <w:sz w:val="22"/>
          <w:szCs w:val="22"/>
        </w:rPr>
        <w:t>:</w:t>
      </w:r>
    </w:p>
    <w:p w14:paraId="5FF96D61" w14:textId="5CAA6534" w:rsidR="00711947" w:rsidRPr="009F5AA0" w:rsidRDefault="00711947" w:rsidP="00A66371">
      <w:pPr>
        <w:autoSpaceDE w:val="0"/>
        <w:autoSpaceDN w:val="0"/>
        <w:adjustRightInd w:val="0"/>
        <w:spacing w:after="0" w:line="240" w:lineRule="exact"/>
      </w:pPr>
    </w:p>
    <w:p w14:paraId="6BDF97C2" w14:textId="77777777" w:rsidR="00711947" w:rsidRPr="009F5AA0" w:rsidRDefault="00711947" w:rsidP="00A66371">
      <w:pPr>
        <w:pStyle w:val="Default"/>
        <w:spacing w:line="240" w:lineRule="exact"/>
        <w:rPr>
          <w:sz w:val="22"/>
          <w:szCs w:val="22"/>
        </w:rPr>
      </w:pPr>
    </w:p>
    <w:tbl>
      <w:tblPr>
        <w:tblW w:w="9340" w:type="dxa"/>
        <w:tblLook w:val="04A0" w:firstRow="1" w:lastRow="0" w:firstColumn="1" w:lastColumn="0" w:noHBand="0" w:noVBand="1"/>
      </w:tblPr>
      <w:tblGrid>
        <w:gridCol w:w="3860"/>
        <w:gridCol w:w="1080"/>
        <w:gridCol w:w="1080"/>
        <w:gridCol w:w="1085"/>
        <w:gridCol w:w="1033"/>
        <w:gridCol w:w="1202"/>
      </w:tblGrid>
      <w:tr w:rsidR="005F313E" w:rsidRPr="009F5AA0" w14:paraId="64F76415" w14:textId="77777777" w:rsidTr="00174804">
        <w:trPr>
          <w:trHeight w:val="201"/>
        </w:trPr>
        <w:tc>
          <w:tcPr>
            <w:tcW w:w="3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BCDEB0E" w14:textId="77777777" w:rsidR="005F313E" w:rsidRPr="009F5AA0" w:rsidRDefault="005F313E" w:rsidP="00A01471">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 </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3DE0B8C6" w14:textId="77777777" w:rsidR="005F313E" w:rsidRPr="009F5AA0" w:rsidRDefault="005F313E" w:rsidP="00174804">
            <w:pPr>
              <w:spacing w:after="0" w:line="240" w:lineRule="auto"/>
              <w:jc w:val="right"/>
              <w:rPr>
                <w:rFonts w:ascii="Calibri" w:eastAsia="Times New Roman" w:hAnsi="Calibri" w:cs="Times New Roman"/>
                <w:b/>
                <w:bCs/>
                <w:color w:val="000000"/>
              </w:rPr>
            </w:pPr>
            <w:r w:rsidRPr="009F5AA0">
              <w:rPr>
                <w:rFonts w:ascii="Calibri" w:eastAsia="Times New Roman" w:hAnsi="Calibri" w:cs="Times New Roman"/>
                <w:b/>
                <w:bCs/>
                <w:color w:val="000000"/>
              </w:rPr>
              <w:t>FY16</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711D53BA" w14:textId="77777777" w:rsidR="005F313E" w:rsidRPr="009F5AA0" w:rsidRDefault="005F313E" w:rsidP="00174804">
            <w:pPr>
              <w:spacing w:after="0" w:line="240" w:lineRule="auto"/>
              <w:jc w:val="right"/>
              <w:rPr>
                <w:rFonts w:ascii="Calibri" w:eastAsia="Times New Roman" w:hAnsi="Calibri" w:cs="Times New Roman"/>
                <w:b/>
                <w:bCs/>
                <w:color w:val="000000"/>
              </w:rPr>
            </w:pPr>
            <w:r w:rsidRPr="009F5AA0">
              <w:rPr>
                <w:rFonts w:ascii="Calibri" w:eastAsia="Times New Roman" w:hAnsi="Calibri" w:cs="Times New Roman"/>
                <w:b/>
                <w:bCs/>
                <w:color w:val="000000"/>
              </w:rPr>
              <w:t>FY17</w:t>
            </w:r>
          </w:p>
        </w:tc>
        <w:tc>
          <w:tcPr>
            <w:tcW w:w="1085" w:type="dxa"/>
            <w:tcBorders>
              <w:top w:val="single" w:sz="8" w:space="0" w:color="auto"/>
              <w:left w:val="nil"/>
              <w:bottom w:val="single" w:sz="4" w:space="0" w:color="auto"/>
              <w:right w:val="single" w:sz="4" w:space="0" w:color="auto"/>
            </w:tcBorders>
            <w:shd w:val="clear" w:color="auto" w:fill="auto"/>
            <w:noWrap/>
            <w:vAlign w:val="bottom"/>
            <w:hideMark/>
          </w:tcPr>
          <w:p w14:paraId="0D21F192" w14:textId="77777777" w:rsidR="005F313E" w:rsidRPr="009F5AA0" w:rsidRDefault="005F313E" w:rsidP="00174804">
            <w:pPr>
              <w:spacing w:after="0" w:line="240" w:lineRule="auto"/>
              <w:jc w:val="right"/>
              <w:rPr>
                <w:rFonts w:ascii="Calibri" w:eastAsia="Times New Roman" w:hAnsi="Calibri" w:cs="Times New Roman"/>
                <w:b/>
                <w:bCs/>
                <w:color w:val="000000"/>
              </w:rPr>
            </w:pPr>
            <w:r w:rsidRPr="009F5AA0">
              <w:rPr>
                <w:rFonts w:ascii="Calibri" w:eastAsia="Times New Roman" w:hAnsi="Calibri" w:cs="Times New Roman"/>
                <w:b/>
                <w:bCs/>
                <w:color w:val="000000"/>
              </w:rPr>
              <w:t>FY18</w:t>
            </w:r>
          </w:p>
        </w:tc>
        <w:tc>
          <w:tcPr>
            <w:tcW w:w="1033" w:type="dxa"/>
            <w:tcBorders>
              <w:top w:val="single" w:sz="8" w:space="0" w:color="auto"/>
              <w:left w:val="nil"/>
              <w:bottom w:val="single" w:sz="4" w:space="0" w:color="auto"/>
              <w:right w:val="single" w:sz="4" w:space="0" w:color="auto"/>
            </w:tcBorders>
            <w:shd w:val="clear" w:color="auto" w:fill="auto"/>
            <w:noWrap/>
            <w:vAlign w:val="bottom"/>
            <w:hideMark/>
          </w:tcPr>
          <w:p w14:paraId="6A3D3033" w14:textId="77777777" w:rsidR="005F313E" w:rsidRPr="009F5AA0" w:rsidRDefault="005F313E" w:rsidP="00174804">
            <w:pPr>
              <w:spacing w:after="0" w:line="240" w:lineRule="auto"/>
              <w:jc w:val="right"/>
              <w:rPr>
                <w:rFonts w:ascii="Calibri" w:eastAsia="Times New Roman" w:hAnsi="Calibri" w:cs="Times New Roman"/>
                <w:b/>
                <w:bCs/>
                <w:color w:val="000000"/>
              </w:rPr>
            </w:pPr>
            <w:r w:rsidRPr="009F5AA0">
              <w:rPr>
                <w:rFonts w:ascii="Calibri" w:eastAsia="Times New Roman" w:hAnsi="Calibri" w:cs="Times New Roman"/>
                <w:b/>
                <w:bCs/>
                <w:color w:val="000000"/>
              </w:rPr>
              <w:t>FY19</w:t>
            </w:r>
          </w:p>
        </w:tc>
        <w:tc>
          <w:tcPr>
            <w:tcW w:w="1202" w:type="dxa"/>
            <w:tcBorders>
              <w:top w:val="single" w:sz="8" w:space="0" w:color="auto"/>
              <w:left w:val="nil"/>
              <w:bottom w:val="single" w:sz="4" w:space="0" w:color="auto"/>
              <w:right w:val="single" w:sz="8" w:space="0" w:color="auto"/>
            </w:tcBorders>
            <w:shd w:val="clear" w:color="auto" w:fill="auto"/>
            <w:noWrap/>
            <w:vAlign w:val="bottom"/>
            <w:hideMark/>
          </w:tcPr>
          <w:p w14:paraId="486EFD47" w14:textId="77777777" w:rsidR="005F313E" w:rsidRPr="009F5AA0" w:rsidRDefault="005F313E" w:rsidP="00174804">
            <w:pPr>
              <w:spacing w:after="0" w:line="240" w:lineRule="auto"/>
              <w:jc w:val="right"/>
              <w:rPr>
                <w:rFonts w:ascii="Calibri" w:eastAsia="Times New Roman" w:hAnsi="Calibri" w:cs="Times New Roman"/>
                <w:b/>
                <w:bCs/>
                <w:color w:val="000000"/>
              </w:rPr>
            </w:pPr>
            <w:r w:rsidRPr="009F5AA0">
              <w:rPr>
                <w:rFonts w:ascii="Calibri" w:eastAsia="Times New Roman" w:hAnsi="Calibri" w:cs="Times New Roman"/>
                <w:b/>
                <w:bCs/>
                <w:color w:val="000000"/>
              </w:rPr>
              <w:t>FY20</w:t>
            </w:r>
          </w:p>
        </w:tc>
      </w:tr>
      <w:tr w:rsidR="005F313E" w:rsidRPr="009F5AA0" w14:paraId="63C2B5E4" w14:textId="77777777" w:rsidTr="00174804">
        <w:trPr>
          <w:trHeight w:val="201"/>
        </w:trPr>
        <w:tc>
          <w:tcPr>
            <w:tcW w:w="3860" w:type="dxa"/>
            <w:tcBorders>
              <w:top w:val="single" w:sz="4" w:space="0" w:color="auto"/>
              <w:left w:val="single" w:sz="8" w:space="0" w:color="auto"/>
              <w:right w:val="single" w:sz="4" w:space="0" w:color="auto"/>
            </w:tcBorders>
            <w:shd w:val="clear" w:color="auto" w:fill="auto"/>
            <w:noWrap/>
            <w:vAlign w:val="bottom"/>
            <w:hideMark/>
          </w:tcPr>
          <w:p w14:paraId="01C76AED" w14:textId="77777777" w:rsidR="005F313E" w:rsidRPr="009F5AA0" w:rsidRDefault="005F313E" w:rsidP="00A01471">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Maximum Rate –</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0C7DC36B"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4FBE8675"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w:t>
            </w:r>
          </w:p>
        </w:tc>
        <w:tc>
          <w:tcPr>
            <w:tcW w:w="1085" w:type="dxa"/>
            <w:tcBorders>
              <w:top w:val="single" w:sz="4" w:space="0" w:color="auto"/>
              <w:left w:val="single" w:sz="4" w:space="0" w:color="auto"/>
              <w:right w:val="single" w:sz="4" w:space="0" w:color="auto"/>
            </w:tcBorders>
            <w:shd w:val="clear" w:color="auto" w:fill="auto"/>
            <w:noWrap/>
            <w:vAlign w:val="bottom"/>
            <w:hideMark/>
          </w:tcPr>
          <w:p w14:paraId="5B39253F"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10.5%</w:t>
            </w:r>
          </w:p>
        </w:tc>
        <w:tc>
          <w:tcPr>
            <w:tcW w:w="1033" w:type="dxa"/>
            <w:tcBorders>
              <w:top w:val="single" w:sz="4" w:space="0" w:color="auto"/>
              <w:left w:val="single" w:sz="4" w:space="0" w:color="auto"/>
              <w:right w:val="single" w:sz="4" w:space="0" w:color="auto"/>
            </w:tcBorders>
            <w:shd w:val="clear" w:color="auto" w:fill="auto"/>
            <w:noWrap/>
            <w:vAlign w:val="bottom"/>
            <w:hideMark/>
          </w:tcPr>
          <w:p w14:paraId="3A56CD8F"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11%</w:t>
            </w:r>
          </w:p>
        </w:tc>
        <w:tc>
          <w:tcPr>
            <w:tcW w:w="1202" w:type="dxa"/>
            <w:tcBorders>
              <w:top w:val="single" w:sz="4" w:space="0" w:color="auto"/>
              <w:left w:val="single" w:sz="4" w:space="0" w:color="auto"/>
              <w:right w:val="single" w:sz="8" w:space="0" w:color="auto"/>
            </w:tcBorders>
            <w:shd w:val="clear" w:color="auto" w:fill="auto"/>
            <w:noWrap/>
            <w:vAlign w:val="bottom"/>
            <w:hideMark/>
          </w:tcPr>
          <w:p w14:paraId="2F18C177"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TBD</w:t>
            </w:r>
          </w:p>
        </w:tc>
      </w:tr>
      <w:tr w:rsidR="005F313E" w:rsidRPr="009F5AA0" w14:paraId="6B883CBE" w14:textId="77777777" w:rsidTr="00174804">
        <w:trPr>
          <w:trHeight w:val="201"/>
        </w:trPr>
        <w:tc>
          <w:tcPr>
            <w:tcW w:w="3860" w:type="dxa"/>
            <w:tcBorders>
              <w:left w:val="single" w:sz="8" w:space="0" w:color="auto"/>
              <w:bottom w:val="single" w:sz="4" w:space="0" w:color="auto"/>
              <w:right w:val="single" w:sz="4" w:space="0" w:color="auto"/>
            </w:tcBorders>
            <w:shd w:val="clear" w:color="auto" w:fill="auto"/>
            <w:noWrap/>
            <w:vAlign w:val="bottom"/>
            <w:hideMark/>
          </w:tcPr>
          <w:p w14:paraId="3FC8C67E" w14:textId="6D71E65A" w:rsidR="005F313E" w:rsidRPr="009F5AA0" w:rsidRDefault="005F313E" w:rsidP="009F5AA0">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 xml:space="preserve">Admin &amp; Facility </w:t>
            </w:r>
          </w:p>
        </w:tc>
        <w:tc>
          <w:tcPr>
            <w:tcW w:w="1080" w:type="dxa"/>
            <w:tcBorders>
              <w:left w:val="single" w:sz="4" w:space="0" w:color="auto"/>
              <w:bottom w:val="single" w:sz="4" w:space="0" w:color="auto"/>
              <w:right w:val="single" w:sz="4" w:space="0" w:color="auto"/>
            </w:tcBorders>
            <w:shd w:val="clear" w:color="auto" w:fill="auto"/>
            <w:noWrap/>
            <w:vAlign w:val="bottom"/>
            <w:hideMark/>
          </w:tcPr>
          <w:p w14:paraId="03BF222D"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80" w:type="dxa"/>
            <w:tcBorders>
              <w:left w:val="single" w:sz="4" w:space="0" w:color="auto"/>
              <w:bottom w:val="single" w:sz="4" w:space="0" w:color="auto"/>
              <w:right w:val="single" w:sz="4" w:space="0" w:color="auto"/>
            </w:tcBorders>
            <w:shd w:val="clear" w:color="auto" w:fill="auto"/>
            <w:noWrap/>
            <w:vAlign w:val="bottom"/>
            <w:hideMark/>
          </w:tcPr>
          <w:p w14:paraId="568EBD5C"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85" w:type="dxa"/>
            <w:tcBorders>
              <w:left w:val="single" w:sz="4" w:space="0" w:color="auto"/>
              <w:bottom w:val="single" w:sz="4" w:space="0" w:color="auto"/>
              <w:right w:val="single" w:sz="4" w:space="0" w:color="auto"/>
            </w:tcBorders>
            <w:shd w:val="clear" w:color="auto" w:fill="auto"/>
            <w:noWrap/>
            <w:vAlign w:val="bottom"/>
            <w:hideMark/>
          </w:tcPr>
          <w:p w14:paraId="3D036849"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33" w:type="dxa"/>
            <w:tcBorders>
              <w:left w:val="single" w:sz="4" w:space="0" w:color="auto"/>
              <w:bottom w:val="single" w:sz="4" w:space="0" w:color="auto"/>
              <w:right w:val="single" w:sz="4" w:space="0" w:color="auto"/>
            </w:tcBorders>
            <w:shd w:val="clear" w:color="auto" w:fill="auto"/>
            <w:noWrap/>
            <w:vAlign w:val="bottom"/>
            <w:hideMark/>
          </w:tcPr>
          <w:p w14:paraId="46C487A5"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202" w:type="dxa"/>
            <w:tcBorders>
              <w:left w:val="single" w:sz="4" w:space="0" w:color="auto"/>
              <w:bottom w:val="single" w:sz="4" w:space="0" w:color="auto"/>
              <w:right w:val="single" w:sz="8" w:space="0" w:color="auto"/>
            </w:tcBorders>
            <w:shd w:val="clear" w:color="auto" w:fill="auto"/>
            <w:noWrap/>
            <w:vAlign w:val="bottom"/>
            <w:hideMark/>
          </w:tcPr>
          <w:p w14:paraId="7C949795"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r>
      <w:tr w:rsidR="005F313E" w:rsidRPr="009F5AA0" w14:paraId="1639322B" w14:textId="77777777" w:rsidTr="00174804">
        <w:trPr>
          <w:trHeight w:val="201"/>
        </w:trPr>
        <w:tc>
          <w:tcPr>
            <w:tcW w:w="3860" w:type="dxa"/>
            <w:tcBorders>
              <w:top w:val="single" w:sz="4" w:space="0" w:color="auto"/>
              <w:left w:val="single" w:sz="4" w:space="0" w:color="auto"/>
              <w:right w:val="single" w:sz="4" w:space="0" w:color="auto"/>
            </w:tcBorders>
            <w:shd w:val="clear" w:color="auto" w:fill="auto"/>
            <w:noWrap/>
            <w:vAlign w:val="bottom"/>
            <w:hideMark/>
          </w:tcPr>
          <w:p w14:paraId="648F2A8D" w14:textId="459EF28C" w:rsidR="005F313E" w:rsidRPr="009F5AA0" w:rsidRDefault="005F313E" w:rsidP="00A01471">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 xml:space="preserve">Maximum </w:t>
            </w:r>
            <w:r>
              <w:rPr>
                <w:rFonts w:ascii="Calibri" w:eastAsia="Times New Roman" w:hAnsi="Calibri" w:cs="Times New Roman"/>
                <w:color w:val="000000"/>
              </w:rPr>
              <w:t>R</w:t>
            </w:r>
            <w:r w:rsidRPr="009F5AA0">
              <w:rPr>
                <w:rFonts w:ascii="Calibri" w:eastAsia="Times New Roman" w:hAnsi="Calibri" w:cs="Times New Roman"/>
                <w:color w:val="000000"/>
              </w:rPr>
              <w:t>ate –</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5A03C770"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5.40%</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5E06F9F7"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5.40%</w:t>
            </w:r>
          </w:p>
        </w:tc>
        <w:tc>
          <w:tcPr>
            <w:tcW w:w="1085" w:type="dxa"/>
            <w:tcBorders>
              <w:top w:val="single" w:sz="4" w:space="0" w:color="auto"/>
              <w:left w:val="single" w:sz="4" w:space="0" w:color="auto"/>
              <w:right w:val="single" w:sz="4" w:space="0" w:color="auto"/>
            </w:tcBorders>
            <w:shd w:val="clear" w:color="auto" w:fill="auto"/>
            <w:noWrap/>
            <w:vAlign w:val="bottom"/>
            <w:hideMark/>
          </w:tcPr>
          <w:p w14:paraId="4CB0503F"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5.70%</w:t>
            </w:r>
          </w:p>
        </w:tc>
        <w:tc>
          <w:tcPr>
            <w:tcW w:w="1033" w:type="dxa"/>
            <w:tcBorders>
              <w:top w:val="single" w:sz="4" w:space="0" w:color="auto"/>
              <w:left w:val="single" w:sz="4" w:space="0" w:color="auto"/>
              <w:right w:val="single" w:sz="4" w:space="0" w:color="auto"/>
            </w:tcBorders>
            <w:shd w:val="clear" w:color="auto" w:fill="auto"/>
            <w:noWrap/>
            <w:vAlign w:val="bottom"/>
            <w:hideMark/>
          </w:tcPr>
          <w:p w14:paraId="230360B9"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6.00%</w:t>
            </w:r>
          </w:p>
        </w:tc>
        <w:tc>
          <w:tcPr>
            <w:tcW w:w="1202" w:type="dxa"/>
            <w:tcBorders>
              <w:top w:val="single" w:sz="4" w:space="0" w:color="auto"/>
              <w:left w:val="single" w:sz="4" w:space="0" w:color="auto"/>
              <w:right w:val="single" w:sz="4" w:space="0" w:color="auto"/>
            </w:tcBorders>
            <w:shd w:val="clear" w:color="auto" w:fill="auto"/>
            <w:noWrap/>
            <w:vAlign w:val="bottom"/>
            <w:hideMark/>
          </w:tcPr>
          <w:p w14:paraId="53A258E5"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TBD</w:t>
            </w:r>
          </w:p>
        </w:tc>
      </w:tr>
      <w:tr w:rsidR="005F313E" w:rsidRPr="009F5AA0" w14:paraId="4F9E475B" w14:textId="77777777" w:rsidTr="00174804">
        <w:trPr>
          <w:trHeight w:val="201"/>
        </w:trPr>
        <w:tc>
          <w:tcPr>
            <w:tcW w:w="3860" w:type="dxa"/>
            <w:tcBorders>
              <w:left w:val="single" w:sz="4" w:space="0" w:color="auto"/>
              <w:bottom w:val="single" w:sz="4" w:space="0" w:color="auto"/>
              <w:right w:val="single" w:sz="4" w:space="0" w:color="auto"/>
            </w:tcBorders>
            <w:shd w:val="clear" w:color="auto" w:fill="auto"/>
            <w:noWrap/>
            <w:vAlign w:val="bottom"/>
            <w:hideMark/>
          </w:tcPr>
          <w:p w14:paraId="2B466175" w14:textId="53E2A93B" w:rsidR="005F313E" w:rsidRPr="009F5AA0" w:rsidRDefault="005F313E" w:rsidP="00A01471">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 xml:space="preserve">Admin </w:t>
            </w:r>
            <w:r w:rsidR="00973D8F">
              <w:rPr>
                <w:rFonts w:ascii="Calibri" w:eastAsia="Times New Roman" w:hAnsi="Calibri" w:cs="Times New Roman"/>
                <w:color w:val="000000"/>
              </w:rPr>
              <w:t xml:space="preserve">Rate </w:t>
            </w:r>
            <w:r w:rsidRPr="009F5AA0">
              <w:rPr>
                <w:rFonts w:ascii="Calibri" w:eastAsia="Times New Roman" w:hAnsi="Calibri" w:cs="Times New Roman"/>
                <w:color w:val="000000"/>
              </w:rPr>
              <w:t>Only</w:t>
            </w:r>
          </w:p>
        </w:tc>
        <w:tc>
          <w:tcPr>
            <w:tcW w:w="1080" w:type="dxa"/>
            <w:tcBorders>
              <w:left w:val="single" w:sz="4" w:space="0" w:color="auto"/>
              <w:bottom w:val="single" w:sz="4" w:space="0" w:color="auto"/>
              <w:right w:val="single" w:sz="4" w:space="0" w:color="auto"/>
            </w:tcBorders>
            <w:shd w:val="clear" w:color="auto" w:fill="auto"/>
            <w:noWrap/>
            <w:vAlign w:val="bottom"/>
            <w:hideMark/>
          </w:tcPr>
          <w:p w14:paraId="21FC10C5"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80" w:type="dxa"/>
            <w:tcBorders>
              <w:left w:val="single" w:sz="4" w:space="0" w:color="auto"/>
              <w:bottom w:val="single" w:sz="4" w:space="0" w:color="auto"/>
              <w:right w:val="single" w:sz="4" w:space="0" w:color="auto"/>
            </w:tcBorders>
            <w:shd w:val="clear" w:color="auto" w:fill="auto"/>
            <w:noWrap/>
            <w:vAlign w:val="bottom"/>
            <w:hideMark/>
          </w:tcPr>
          <w:p w14:paraId="5E1C0E83"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85" w:type="dxa"/>
            <w:tcBorders>
              <w:left w:val="single" w:sz="4" w:space="0" w:color="auto"/>
              <w:bottom w:val="single" w:sz="4" w:space="0" w:color="auto"/>
              <w:right w:val="single" w:sz="4" w:space="0" w:color="auto"/>
            </w:tcBorders>
            <w:shd w:val="clear" w:color="auto" w:fill="auto"/>
            <w:noWrap/>
            <w:vAlign w:val="bottom"/>
            <w:hideMark/>
          </w:tcPr>
          <w:p w14:paraId="75659339"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33" w:type="dxa"/>
            <w:tcBorders>
              <w:left w:val="single" w:sz="4" w:space="0" w:color="auto"/>
              <w:bottom w:val="single" w:sz="4" w:space="0" w:color="auto"/>
              <w:right w:val="single" w:sz="4" w:space="0" w:color="auto"/>
            </w:tcBorders>
            <w:shd w:val="clear" w:color="auto" w:fill="auto"/>
            <w:noWrap/>
            <w:vAlign w:val="bottom"/>
            <w:hideMark/>
          </w:tcPr>
          <w:p w14:paraId="54CDF787"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202" w:type="dxa"/>
            <w:tcBorders>
              <w:left w:val="single" w:sz="4" w:space="0" w:color="auto"/>
              <w:bottom w:val="single" w:sz="4" w:space="0" w:color="auto"/>
              <w:right w:val="single" w:sz="4" w:space="0" w:color="auto"/>
            </w:tcBorders>
            <w:shd w:val="clear" w:color="auto" w:fill="auto"/>
            <w:noWrap/>
            <w:vAlign w:val="bottom"/>
            <w:hideMark/>
          </w:tcPr>
          <w:p w14:paraId="7C9DDFC3"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r>
      <w:tr w:rsidR="005F313E" w:rsidRPr="009F5AA0" w14:paraId="6920956D" w14:textId="77777777" w:rsidTr="00174804">
        <w:trPr>
          <w:trHeight w:val="201"/>
        </w:trPr>
        <w:tc>
          <w:tcPr>
            <w:tcW w:w="3860" w:type="dxa"/>
            <w:tcBorders>
              <w:top w:val="single" w:sz="4" w:space="0" w:color="auto"/>
              <w:left w:val="single" w:sz="8" w:space="0" w:color="auto"/>
              <w:right w:val="single" w:sz="4" w:space="0" w:color="auto"/>
            </w:tcBorders>
            <w:shd w:val="clear" w:color="auto" w:fill="auto"/>
            <w:noWrap/>
            <w:vAlign w:val="bottom"/>
          </w:tcPr>
          <w:p w14:paraId="0624504B" w14:textId="67E2F1AC" w:rsidR="005F313E" w:rsidRPr="009F5AA0" w:rsidRDefault="005F313E" w:rsidP="009F5AA0">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 xml:space="preserve">Facility </w:t>
            </w:r>
            <w:r w:rsidR="00973D8F">
              <w:rPr>
                <w:rFonts w:ascii="Calibri" w:eastAsia="Times New Roman" w:hAnsi="Calibri" w:cs="Times New Roman"/>
                <w:color w:val="000000"/>
              </w:rPr>
              <w:t xml:space="preserve">Rate </w:t>
            </w:r>
            <w:r>
              <w:rPr>
                <w:rFonts w:ascii="Calibri" w:eastAsia="Times New Roman" w:hAnsi="Calibri" w:cs="Times New Roman"/>
                <w:color w:val="000000"/>
              </w:rPr>
              <w:t>Only</w:t>
            </w:r>
          </w:p>
        </w:tc>
        <w:tc>
          <w:tcPr>
            <w:tcW w:w="1080" w:type="dxa"/>
            <w:tcBorders>
              <w:top w:val="single" w:sz="4" w:space="0" w:color="auto"/>
              <w:left w:val="single" w:sz="4" w:space="0" w:color="auto"/>
              <w:right w:val="single" w:sz="4" w:space="0" w:color="auto"/>
            </w:tcBorders>
            <w:shd w:val="clear" w:color="auto" w:fill="auto"/>
            <w:noWrap/>
            <w:vAlign w:val="bottom"/>
          </w:tcPr>
          <w:p w14:paraId="490369CD"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4.60%</w:t>
            </w:r>
          </w:p>
        </w:tc>
        <w:tc>
          <w:tcPr>
            <w:tcW w:w="1080" w:type="dxa"/>
            <w:tcBorders>
              <w:top w:val="single" w:sz="4" w:space="0" w:color="auto"/>
              <w:left w:val="single" w:sz="4" w:space="0" w:color="auto"/>
              <w:right w:val="single" w:sz="4" w:space="0" w:color="auto"/>
            </w:tcBorders>
            <w:shd w:val="clear" w:color="auto" w:fill="auto"/>
            <w:noWrap/>
            <w:vAlign w:val="bottom"/>
          </w:tcPr>
          <w:p w14:paraId="22FEC4CD"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4.60%</w:t>
            </w:r>
          </w:p>
        </w:tc>
        <w:tc>
          <w:tcPr>
            <w:tcW w:w="1085" w:type="dxa"/>
            <w:tcBorders>
              <w:top w:val="single" w:sz="4" w:space="0" w:color="auto"/>
              <w:left w:val="single" w:sz="4" w:space="0" w:color="auto"/>
              <w:right w:val="single" w:sz="4" w:space="0" w:color="auto"/>
            </w:tcBorders>
            <w:shd w:val="clear" w:color="auto" w:fill="auto"/>
            <w:noWrap/>
            <w:vAlign w:val="bottom"/>
          </w:tcPr>
          <w:p w14:paraId="22D0B275"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4.80%</w:t>
            </w:r>
          </w:p>
        </w:tc>
        <w:tc>
          <w:tcPr>
            <w:tcW w:w="1033" w:type="dxa"/>
            <w:tcBorders>
              <w:top w:val="single" w:sz="4" w:space="0" w:color="auto"/>
              <w:left w:val="single" w:sz="4" w:space="0" w:color="auto"/>
              <w:right w:val="single" w:sz="4" w:space="0" w:color="auto"/>
            </w:tcBorders>
            <w:shd w:val="clear" w:color="auto" w:fill="auto"/>
            <w:noWrap/>
            <w:vAlign w:val="bottom"/>
          </w:tcPr>
          <w:p w14:paraId="3B5AFF02"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5.00%</w:t>
            </w:r>
          </w:p>
        </w:tc>
        <w:tc>
          <w:tcPr>
            <w:tcW w:w="1202" w:type="dxa"/>
            <w:tcBorders>
              <w:top w:val="single" w:sz="4" w:space="0" w:color="auto"/>
              <w:left w:val="single" w:sz="4" w:space="0" w:color="auto"/>
              <w:right w:val="single" w:sz="8" w:space="0" w:color="auto"/>
            </w:tcBorders>
            <w:shd w:val="clear" w:color="auto" w:fill="auto"/>
            <w:noWrap/>
            <w:vAlign w:val="bottom"/>
          </w:tcPr>
          <w:p w14:paraId="2CF5B4A9"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TBD</w:t>
            </w:r>
          </w:p>
        </w:tc>
      </w:tr>
      <w:tr w:rsidR="005F313E" w:rsidRPr="009F5AA0" w14:paraId="37E99999" w14:textId="77777777" w:rsidTr="00174804">
        <w:trPr>
          <w:trHeight w:val="201"/>
        </w:trPr>
        <w:tc>
          <w:tcPr>
            <w:tcW w:w="3860" w:type="dxa"/>
            <w:tcBorders>
              <w:top w:val="single" w:sz="4" w:space="0" w:color="auto"/>
              <w:left w:val="single" w:sz="8" w:space="0" w:color="auto"/>
              <w:right w:val="single" w:sz="4" w:space="0" w:color="auto"/>
            </w:tcBorders>
            <w:shd w:val="clear" w:color="auto" w:fill="auto"/>
            <w:noWrap/>
            <w:vAlign w:val="bottom"/>
            <w:hideMark/>
          </w:tcPr>
          <w:p w14:paraId="2211753B" w14:textId="77777777" w:rsidR="005F313E" w:rsidRPr="009F5AA0" w:rsidRDefault="005F313E" w:rsidP="00683B22">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Research Service Centers –</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67092158"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0%</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64511C4F"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0%</w:t>
            </w:r>
          </w:p>
        </w:tc>
        <w:tc>
          <w:tcPr>
            <w:tcW w:w="1085" w:type="dxa"/>
            <w:tcBorders>
              <w:top w:val="single" w:sz="4" w:space="0" w:color="auto"/>
              <w:left w:val="single" w:sz="4" w:space="0" w:color="auto"/>
              <w:right w:val="single" w:sz="4" w:space="0" w:color="auto"/>
            </w:tcBorders>
            <w:shd w:val="clear" w:color="auto" w:fill="auto"/>
            <w:noWrap/>
            <w:vAlign w:val="bottom"/>
            <w:hideMark/>
          </w:tcPr>
          <w:p w14:paraId="16B7FFC2"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0%</w:t>
            </w:r>
          </w:p>
        </w:tc>
        <w:tc>
          <w:tcPr>
            <w:tcW w:w="1033" w:type="dxa"/>
            <w:tcBorders>
              <w:top w:val="single" w:sz="4" w:space="0" w:color="auto"/>
              <w:left w:val="single" w:sz="4" w:space="0" w:color="auto"/>
              <w:right w:val="single" w:sz="4" w:space="0" w:color="auto"/>
            </w:tcBorders>
            <w:shd w:val="clear" w:color="auto" w:fill="auto"/>
            <w:noWrap/>
            <w:vAlign w:val="bottom"/>
            <w:hideMark/>
          </w:tcPr>
          <w:p w14:paraId="2BDB6F06"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0%</w:t>
            </w:r>
          </w:p>
        </w:tc>
        <w:tc>
          <w:tcPr>
            <w:tcW w:w="1202" w:type="dxa"/>
            <w:tcBorders>
              <w:top w:val="single" w:sz="4" w:space="0" w:color="auto"/>
              <w:left w:val="single" w:sz="4" w:space="0" w:color="auto"/>
              <w:right w:val="single" w:sz="8" w:space="0" w:color="auto"/>
            </w:tcBorders>
            <w:shd w:val="clear" w:color="auto" w:fill="auto"/>
            <w:noWrap/>
            <w:vAlign w:val="bottom"/>
            <w:hideMark/>
          </w:tcPr>
          <w:p w14:paraId="1C3EFFD7"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TBD</w:t>
            </w:r>
          </w:p>
        </w:tc>
      </w:tr>
      <w:tr w:rsidR="005F313E" w:rsidRPr="009F5AA0" w14:paraId="7C2ED550" w14:textId="77777777" w:rsidTr="00174804">
        <w:trPr>
          <w:trHeight w:val="201"/>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17B648CB" w14:textId="6309241F" w:rsidR="005F313E" w:rsidRPr="009F5AA0" w:rsidRDefault="005F313E" w:rsidP="00683B22">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Overhead Rate</w:t>
            </w:r>
            <w:r>
              <w:rPr>
                <w:rFonts w:ascii="Calibri" w:eastAsia="Times New Roman" w:hAnsi="Calibri" w:cs="Times New Roman"/>
                <w:color w:val="000000"/>
              </w:rPr>
              <w:t xml:space="preserve"> for Internal Customers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DB5496"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648CC31"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85" w:type="dxa"/>
            <w:tcBorders>
              <w:top w:val="nil"/>
              <w:left w:val="single" w:sz="4" w:space="0" w:color="auto"/>
              <w:bottom w:val="single" w:sz="4" w:space="0" w:color="auto"/>
              <w:right w:val="single" w:sz="4" w:space="0" w:color="auto"/>
            </w:tcBorders>
            <w:shd w:val="clear" w:color="auto" w:fill="auto"/>
            <w:noWrap/>
            <w:vAlign w:val="bottom"/>
            <w:hideMark/>
          </w:tcPr>
          <w:p w14:paraId="61CE5B80"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4992653"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c>
          <w:tcPr>
            <w:tcW w:w="1202" w:type="dxa"/>
            <w:tcBorders>
              <w:top w:val="nil"/>
              <w:left w:val="single" w:sz="4" w:space="0" w:color="auto"/>
              <w:bottom w:val="single" w:sz="4" w:space="0" w:color="auto"/>
              <w:right w:val="single" w:sz="8" w:space="0" w:color="auto"/>
            </w:tcBorders>
            <w:shd w:val="clear" w:color="auto" w:fill="auto"/>
            <w:noWrap/>
            <w:vAlign w:val="bottom"/>
            <w:hideMark/>
          </w:tcPr>
          <w:p w14:paraId="42601C6A"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 </w:t>
            </w:r>
          </w:p>
        </w:tc>
      </w:tr>
      <w:tr w:rsidR="005F313E" w:rsidRPr="009F5AA0" w14:paraId="14C20938" w14:textId="77777777" w:rsidTr="00174804">
        <w:trPr>
          <w:trHeight w:val="414"/>
        </w:trPr>
        <w:tc>
          <w:tcPr>
            <w:tcW w:w="3860" w:type="dxa"/>
            <w:tcBorders>
              <w:top w:val="nil"/>
              <w:left w:val="single" w:sz="8" w:space="0" w:color="auto"/>
              <w:bottom w:val="single" w:sz="8" w:space="0" w:color="auto"/>
              <w:right w:val="single" w:sz="4" w:space="0" w:color="auto"/>
            </w:tcBorders>
            <w:shd w:val="clear" w:color="auto" w:fill="auto"/>
            <w:vAlign w:val="bottom"/>
            <w:hideMark/>
          </w:tcPr>
          <w:p w14:paraId="2BBA50DB" w14:textId="77777777" w:rsidR="005F313E" w:rsidRPr="009F5AA0" w:rsidRDefault="005F313E" w:rsidP="00683B22">
            <w:pPr>
              <w:spacing w:after="0" w:line="240" w:lineRule="auto"/>
              <w:rPr>
                <w:rFonts w:ascii="Calibri" w:eastAsia="Times New Roman" w:hAnsi="Calibri" w:cs="Times New Roman"/>
                <w:color w:val="000000"/>
              </w:rPr>
            </w:pPr>
            <w:r w:rsidRPr="009F5AA0">
              <w:rPr>
                <w:rFonts w:ascii="Calibri" w:eastAsia="Times New Roman" w:hAnsi="Calibri" w:cs="Times New Roman"/>
                <w:color w:val="000000"/>
              </w:rPr>
              <w:t>Research Service Centers – Rate charged to External Customers - REVENUE</w:t>
            </w:r>
          </w:p>
        </w:tc>
        <w:tc>
          <w:tcPr>
            <w:tcW w:w="1080" w:type="dxa"/>
            <w:tcBorders>
              <w:top w:val="nil"/>
              <w:left w:val="nil"/>
              <w:bottom w:val="single" w:sz="8" w:space="0" w:color="auto"/>
              <w:right w:val="single" w:sz="4" w:space="0" w:color="auto"/>
            </w:tcBorders>
            <w:shd w:val="clear" w:color="auto" w:fill="auto"/>
            <w:noWrap/>
            <w:vAlign w:val="bottom"/>
            <w:hideMark/>
          </w:tcPr>
          <w:p w14:paraId="5E261EA2"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10.20%</w:t>
            </w:r>
          </w:p>
        </w:tc>
        <w:tc>
          <w:tcPr>
            <w:tcW w:w="1080" w:type="dxa"/>
            <w:tcBorders>
              <w:top w:val="nil"/>
              <w:left w:val="nil"/>
              <w:bottom w:val="single" w:sz="8" w:space="0" w:color="auto"/>
              <w:right w:val="single" w:sz="4" w:space="0" w:color="auto"/>
            </w:tcBorders>
            <w:shd w:val="clear" w:color="auto" w:fill="auto"/>
            <w:noWrap/>
            <w:vAlign w:val="bottom"/>
            <w:hideMark/>
          </w:tcPr>
          <w:p w14:paraId="77720929"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10.20%</w:t>
            </w:r>
          </w:p>
        </w:tc>
        <w:tc>
          <w:tcPr>
            <w:tcW w:w="1085" w:type="dxa"/>
            <w:tcBorders>
              <w:top w:val="nil"/>
              <w:left w:val="nil"/>
              <w:bottom w:val="single" w:sz="8" w:space="0" w:color="auto"/>
              <w:right w:val="single" w:sz="4" w:space="0" w:color="auto"/>
            </w:tcBorders>
            <w:shd w:val="clear" w:color="auto" w:fill="auto"/>
            <w:noWrap/>
            <w:vAlign w:val="bottom"/>
            <w:hideMark/>
          </w:tcPr>
          <w:p w14:paraId="6CD661B4"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10.80%</w:t>
            </w:r>
          </w:p>
        </w:tc>
        <w:tc>
          <w:tcPr>
            <w:tcW w:w="1033" w:type="dxa"/>
            <w:tcBorders>
              <w:top w:val="nil"/>
              <w:left w:val="nil"/>
              <w:bottom w:val="single" w:sz="8" w:space="0" w:color="auto"/>
              <w:right w:val="single" w:sz="4" w:space="0" w:color="auto"/>
            </w:tcBorders>
            <w:shd w:val="clear" w:color="auto" w:fill="auto"/>
            <w:noWrap/>
            <w:vAlign w:val="bottom"/>
            <w:hideMark/>
          </w:tcPr>
          <w:p w14:paraId="776F214F" w14:textId="08138ED6"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10.80%</w:t>
            </w:r>
          </w:p>
        </w:tc>
        <w:tc>
          <w:tcPr>
            <w:tcW w:w="1202" w:type="dxa"/>
            <w:tcBorders>
              <w:top w:val="nil"/>
              <w:left w:val="nil"/>
              <w:bottom w:val="single" w:sz="8" w:space="0" w:color="auto"/>
              <w:right w:val="single" w:sz="8" w:space="0" w:color="auto"/>
            </w:tcBorders>
            <w:shd w:val="clear" w:color="auto" w:fill="auto"/>
            <w:noWrap/>
            <w:vAlign w:val="bottom"/>
            <w:hideMark/>
          </w:tcPr>
          <w:p w14:paraId="7D5DDBB1" w14:textId="77777777" w:rsidR="005F313E" w:rsidRPr="009F5AA0" w:rsidRDefault="005F313E" w:rsidP="00BB3B7D">
            <w:pPr>
              <w:spacing w:after="0" w:line="240" w:lineRule="auto"/>
              <w:jc w:val="right"/>
              <w:rPr>
                <w:rFonts w:ascii="Calibri" w:eastAsia="Times New Roman" w:hAnsi="Calibri" w:cs="Times New Roman"/>
                <w:color w:val="000000"/>
              </w:rPr>
            </w:pPr>
            <w:r w:rsidRPr="009F5AA0">
              <w:rPr>
                <w:rFonts w:ascii="Calibri" w:eastAsia="Times New Roman" w:hAnsi="Calibri" w:cs="Times New Roman"/>
                <w:color w:val="000000"/>
              </w:rPr>
              <w:t>TBD</w:t>
            </w:r>
          </w:p>
        </w:tc>
      </w:tr>
    </w:tbl>
    <w:p w14:paraId="72E85CD1" w14:textId="77777777" w:rsidR="00A01471" w:rsidRPr="009F5AA0" w:rsidRDefault="00A01471" w:rsidP="00A66371">
      <w:pPr>
        <w:pStyle w:val="Default"/>
        <w:spacing w:line="240" w:lineRule="exact"/>
        <w:rPr>
          <w:b/>
          <w:sz w:val="22"/>
          <w:szCs w:val="22"/>
        </w:rPr>
      </w:pPr>
    </w:p>
    <w:p w14:paraId="7D2D6812" w14:textId="0D3D6084" w:rsidR="00753BB4" w:rsidRDefault="00753BB4" w:rsidP="00A66371">
      <w:pPr>
        <w:pStyle w:val="Default"/>
        <w:spacing w:line="240" w:lineRule="exact"/>
        <w:rPr>
          <w:b/>
          <w:sz w:val="22"/>
          <w:szCs w:val="22"/>
          <w:u w:val="single"/>
        </w:rPr>
      </w:pPr>
    </w:p>
    <w:p w14:paraId="06AC7210" w14:textId="20A07594" w:rsidR="00110525" w:rsidRDefault="00110525" w:rsidP="00A66371">
      <w:pPr>
        <w:pStyle w:val="Default"/>
        <w:spacing w:line="240" w:lineRule="exact"/>
        <w:rPr>
          <w:b/>
          <w:sz w:val="22"/>
          <w:szCs w:val="22"/>
          <w:u w:val="single"/>
        </w:rPr>
      </w:pPr>
    </w:p>
    <w:p w14:paraId="46CB7739" w14:textId="06A991FD" w:rsidR="00110525" w:rsidRDefault="00110525" w:rsidP="00A66371">
      <w:pPr>
        <w:pStyle w:val="Default"/>
        <w:spacing w:line="240" w:lineRule="exact"/>
        <w:rPr>
          <w:b/>
          <w:sz w:val="22"/>
          <w:szCs w:val="22"/>
          <w:u w:val="single"/>
        </w:rPr>
      </w:pPr>
    </w:p>
    <w:p w14:paraId="325246F1" w14:textId="19784F97" w:rsidR="00110525" w:rsidRDefault="00110525" w:rsidP="00A66371">
      <w:pPr>
        <w:pStyle w:val="Default"/>
        <w:spacing w:line="240" w:lineRule="exact"/>
        <w:rPr>
          <w:b/>
          <w:sz w:val="22"/>
          <w:szCs w:val="22"/>
          <w:u w:val="single"/>
        </w:rPr>
      </w:pPr>
    </w:p>
    <w:p w14:paraId="379204A2" w14:textId="77C89E34" w:rsidR="00110525" w:rsidRDefault="00110525" w:rsidP="00A66371">
      <w:pPr>
        <w:pStyle w:val="Default"/>
        <w:spacing w:line="240" w:lineRule="exact"/>
        <w:rPr>
          <w:b/>
          <w:sz w:val="22"/>
          <w:szCs w:val="22"/>
          <w:u w:val="single"/>
        </w:rPr>
      </w:pPr>
    </w:p>
    <w:p w14:paraId="666A2B8C" w14:textId="1215810A" w:rsidR="00110525" w:rsidRDefault="00110525" w:rsidP="00A66371">
      <w:pPr>
        <w:pStyle w:val="Default"/>
        <w:spacing w:line="240" w:lineRule="exact"/>
        <w:rPr>
          <w:b/>
          <w:sz w:val="22"/>
          <w:szCs w:val="22"/>
          <w:u w:val="single"/>
        </w:rPr>
      </w:pPr>
    </w:p>
    <w:p w14:paraId="49F40B24" w14:textId="6F5AC99C" w:rsidR="00110525" w:rsidRDefault="00110525" w:rsidP="00A66371">
      <w:pPr>
        <w:pStyle w:val="Default"/>
        <w:spacing w:line="240" w:lineRule="exact"/>
        <w:rPr>
          <w:b/>
          <w:sz w:val="22"/>
          <w:szCs w:val="22"/>
          <w:u w:val="single"/>
        </w:rPr>
      </w:pPr>
    </w:p>
    <w:p w14:paraId="1C938696" w14:textId="08F553D2" w:rsidR="008014A4" w:rsidRDefault="008014A4" w:rsidP="009B64D1">
      <w:pPr>
        <w:autoSpaceDE w:val="0"/>
        <w:autoSpaceDN w:val="0"/>
        <w:adjustRightInd w:val="0"/>
        <w:spacing w:after="0" w:line="240" w:lineRule="exact"/>
        <w:rPr>
          <w:b/>
          <w:bCs/>
          <w:i/>
          <w:iCs/>
        </w:rPr>
      </w:pPr>
      <w:bookmarkStart w:id="0" w:name="_GoBack"/>
      <w:bookmarkEnd w:id="0"/>
      <w:r>
        <w:rPr>
          <w:b/>
          <w:bCs/>
          <w:i/>
          <w:iCs/>
        </w:rPr>
        <w:lastRenderedPageBreak/>
        <w:t xml:space="preserve">Administrative Overhead - </w:t>
      </w:r>
      <w:r w:rsidR="004D5BA1">
        <w:rPr>
          <w:b/>
          <w:bCs/>
          <w:i/>
          <w:iCs/>
        </w:rPr>
        <w:t xml:space="preserve">Structured Rate Schedule </w:t>
      </w:r>
    </w:p>
    <w:p w14:paraId="12F9C78F" w14:textId="2B767097" w:rsidR="008014A4" w:rsidRDefault="008014A4" w:rsidP="009B64D1">
      <w:pPr>
        <w:autoSpaceDE w:val="0"/>
        <w:autoSpaceDN w:val="0"/>
        <w:adjustRightInd w:val="0"/>
        <w:spacing w:after="0" w:line="240" w:lineRule="exact"/>
        <w:rPr>
          <w:b/>
          <w:bCs/>
          <w:i/>
          <w:iCs/>
        </w:rPr>
      </w:pPr>
    </w:p>
    <w:p w14:paraId="79CA1483" w14:textId="60E6BDED" w:rsidR="008014A4" w:rsidRPr="009B64D1" w:rsidRDefault="008014A4" w:rsidP="009B64D1">
      <w:pPr>
        <w:autoSpaceDE w:val="0"/>
        <w:autoSpaceDN w:val="0"/>
        <w:adjustRightInd w:val="0"/>
        <w:spacing w:after="0" w:line="240" w:lineRule="exact"/>
        <w:rPr>
          <w:bCs/>
          <w:iCs/>
        </w:rPr>
      </w:pPr>
      <w:r>
        <w:rPr>
          <w:bCs/>
          <w:iCs/>
        </w:rPr>
        <w:t>The following structured rate schedule will be applied to all units for the administrative overhead rate</w:t>
      </w:r>
      <w:r w:rsidR="00930E8F">
        <w:rPr>
          <w:bCs/>
          <w:iCs/>
        </w:rPr>
        <w:t xml:space="preserve"> based upon their expenditure base</w:t>
      </w:r>
      <w:r>
        <w:rPr>
          <w:bCs/>
          <w:iCs/>
        </w:rPr>
        <w:t>:</w:t>
      </w:r>
    </w:p>
    <w:p w14:paraId="0EAA0711" w14:textId="77777777" w:rsidR="004D5BA1" w:rsidRDefault="004D5BA1" w:rsidP="009B64D1">
      <w:pPr>
        <w:autoSpaceDE w:val="0"/>
        <w:autoSpaceDN w:val="0"/>
        <w:adjustRightInd w:val="0"/>
        <w:spacing w:after="0" w:line="240" w:lineRule="exact"/>
        <w:rPr>
          <w:b/>
          <w:bCs/>
          <w:i/>
          <w:iCs/>
        </w:rPr>
      </w:pPr>
    </w:p>
    <w:tbl>
      <w:tblPr>
        <w:tblW w:w="9350" w:type="dxa"/>
        <w:tblInd w:w="10" w:type="dxa"/>
        <w:tblLook w:val="04A0" w:firstRow="1" w:lastRow="0" w:firstColumn="1" w:lastColumn="0" w:noHBand="0" w:noVBand="1"/>
      </w:tblPr>
      <w:tblGrid>
        <w:gridCol w:w="2960"/>
        <w:gridCol w:w="2250"/>
        <w:gridCol w:w="1260"/>
        <w:gridCol w:w="1620"/>
        <w:gridCol w:w="1260"/>
      </w:tblGrid>
      <w:tr w:rsidR="008938F2" w:rsidRPr="009F5AA0" w14:paraId="7D9D95A1" w14:textId="77777777" w:rsidTr="00174804">
        <w:trPr>
          <w:trHeight w:val="315"/>
        </w:trPr>
        <w:tc>
          <w:tcPr>
            <w:tcW w:w="9350" w:type="dxa"/>
            <w:gridSpan w:val="5"/>
            <w:tcBorders>
              <w:top w:val="single" w:sz="4" w:space="0" w:color="auto"/>
              <w:left w:val="single" w:sz="4" w:space="0" w:color="auto"/>
              <w:bottom w:val="single" w:sz="4" w:space="0" w:color="auto"/>
              <w:right w:val="single" w:sz="4" w:space="0" w:color="auto"/>
            </w:tcBorders>
            <w:shd w:val="clear" w:color="000000" w:fill="BFBFBF"/>
            <w:vAlign w:val="bottom"/>
            <w:hideMark/>
          </w:tcPr>
          <w:p w14:paraId="566862A7" w14:textId="564921BA" w:rsidR="008938F2" w:rsidRPr="009F5AA0" w:rsidRDefault="00807757" w:rsidP="00174804">
            <w:pPr>
              <w:spacing w:after="0" w:line="240" w:lineRule="auto"/>
              <w:jc w:val="center"/>
              <w:rPr>
                <w:rFonts w:eastAsia="Times New Roman" w:cs="Times New Roman"/>
                <w:b/>
                <w:bCs/>
              </w:rPr>
            </w:pPr>
            <w:r>
              <w:rPr>
                <w:rFonts w:eastAsia="Times New Roman" w:cs="Times New Roman"/>
                <w:b/>
                <w:bCs/>
              </w:rPr>
              <w:t>S</w:t>
            </w:r>
            <w:r w:rsidR="008938F2" w:rsidRPr="009F5AA0">
              <w:rPr>
                <w:rFonts w:eastAsia="Times New Roman" w:cs="Times New Roman"/>
                <w:b/>
                <w:bCs/>
              </w:rPr>
              <w:t>tructure</w:t>
            </w:r>
            <w:r w:rsidR="009929B1">
              <w:rPr>
                <w:rFonts w:eastAsia="Times New Roman" w:cs="Times New Roman"/>
                <w:b/>
                <w:bCs/>
              </w:rPr>
              <w:t>d</w:t>
            </w:r>
            <w:r w:rsidR="008938F2" w:rsidRPr="009F5AA0">
              <w:rPr>
                <w:rFonts w:eastAsia="Times New Roman" w:cs="Times New Roman"/>
                <w:b/>
                <w:bCs/>
              </w:rPr>
              <w:t xml:space="preserve"> Rate</w:t>
            </w:r>
            <w:r w:rsidR="009929B1">
              <w:rPr>
                <w:rFonts w:eastAsia="Times New Roman" w:cs="Times New Roman"/>
                <w:b/>
                <w:bCs/>
              </w:rPr>
              <w:t xml:space="preserve"> Schedule</w:t>
            </w:r>
          </w:p>
        </w:tc>
      </w:tr>
      <w:tr w:rsidR="008938F2" w:rsidRPr="009F5AA0" w14:paraId="77D3DE4E" w14:textId="77777777" w:rsidTr="00174804">
        <w:trPr>
          <w:trHeight w:val="90"/>
        </w:trPr>
        <w:tc>
          <w:tcPr>
            <w:tcW w:w="2960" w:type="dxa"/>
            <w:tcBorders>
              <w:top w:val="single" w:sz="4" w:space="0" w:color="auto"/>
              <w:left w:val="single" w:sz="4" w:space="0" w:color="auto"/>
              <w:bottom w:val="single" w:sz="4" w:space="0" w:color="auto"/>
              <w:right w:val="nil"/>
            </w:tcBorders>
            <w:shd w:val="clear" w:color="000000" w:fill="BFBFBF"/>
            <w:vAlign w:val="bottom"/>
            <w:hideMark/>
          </w:tcPr>
          <w:p w14:paraId="21823016" w14:textId="639392DA" w:rsidR="008938F2" w:rsidRPr="009F5AA0" w:rsidRDefault="00930E8F" w:rsidP="00930E8F">
            <w:pPr>
              <w:spacing w:after="0" w:line="240" w:lineRule="auto"/>
              <w:rPr>
                <w:rFonts w:eastAsia="Times New Roman" w:cs="Times New Roman"/>
                <w:b/>
                <w:bCs/>
              </w:rPr>
            </w:pPr>
            <w:r>
              <w:rPr>
                <w:rFonts w:eastAsia="Times New Roman" w:cs="Times New Roman"/>
                <w:b/>
                <w:bCs/>
              </w:rPr>
              <w:t xml:space="preserve">Expenditure </w:t>
            </w:r>
            <w:r w:rsidR="008938F2" w:rsidRPr="009F5AA0">
              <w:rPr>
                <w:rFonts w:eastAsia="Times New Roman" w:cs="Times New Roman"/>
                <w:b/>
                <w:bCs/>
              </w:rPr>
              <w:t xml:space="preserve">Base - Up to </w:t>
            </w:r>
          </w:p>
        </w:tc>
        <w:tc>
          <w:tcPr>
            <w:tcW w:w="2250" w:type="dxa"/>
            <w:tcBorders>
              <w:top w:val="single" w:sz="4" w:space="0" w:color="auto"/>
              <w:left w:val="nil"/>
              <w:bottom w:val="single" w:sz="4" w:space="0" w:color="auto"/>
              <w:right w:val="single" w:sz="8" w:space="0" w:color="auto"/>
            </w:tcBorders>
            <w:shd w:val="clear" w:color="000000" w:fill="BFBFBF"/>
            <w:vAlign w:val="bottom"/>
            <w:hideMark/>
          </w:tcPr>
          <w:p w14:paraId="0D05998B" w14:textId="77777777" w:rsidR="008938F2" w:rsidRPr="009F5AA0" w:rsidRDefault="008938F2" w:rsidP="00B8547C">
            <w:pPr>
              <w:spacing w:after="0" w:line="240" w:lineRule="auto"/>
              <w:jc w:val="center"/>
              <w:rPr>
                <w:rFonts w:eastAsia="Times New Roman" w:cs="Times New Roman"/>
                <w:b/>
                <w:bCs/>
              </w:rPr>
            </w:pPr>
            <w:r w:rsidRPr="009F5AA0">
              <w:rPr>
                <w:rFonts w:eastAsia="Times New Roman" w:cs="Times New Roman"/>
                <w:b/>
                <w:bCs/>
              </w:rPr>
              <w:t>Overhead total</w:t>
            </w:r>
          </w:p>
        </w:tc>
        <w:tc>
          <w:tcPr>
            <w:tcW w:w="1260" w:type="dxa"/>
            <w:tcBorders>
              <w:top w:val="single" w:sz="4" w:space="0" w:color="auto"/>
              <w:left w:val="nil"/>
              <w:bottom w:val="single" w:sz="4" w:space="0" w:color="auto"/>
              <w:right w:val="nil"/>
            </w:tcBorders>
            <w:shd w:val="clear" w:color="000000" w:fill="BFBFBF"/>
            <w:vAlign w:val="bottom"/>
            <w:hideMark/>
          </w:tcPr>
          <w:p w14:paraId="2AE02C69" w14:textId="2F758EBC" w:rsidR="008938F2" w:rsidRPr="009F5AA0" w:rsidRDefault="008938F2" w:rsidP="00313F84">
            <w:pPr>
              <w:spacing w:after="0" w:line="240" w:lineRule="auto"/>
              <w:jc w:val="center"/>
              <w:rPr>
                <w:rFonts w:eastAsia="Times New Roman" w:cs="Times New Roman"/>
                <w:b/>
                <w:bCs/>
              </w:rPr>
            </w:pPr>
            <w:r w:rsidRPr="009F5AA0">
              <w:rPr>
                <w:rFonts w:eastAsia="Times New Roman" w:cs="Times New Roman"/>
                <w:b/>
                <w:bCs/>
              </w:rPr>
              <w:t>FY1</w:t>
            </w:r>
            <w:r w:rsidR="00313F84">
              <w:rPr>
                <w:rFonts w:eastAsia="Times New Roman" w:cs="Times New Roman"/>
                <w:b/>
                <w:bCs/>
              </w:rPr>
              <w:t>7</w:t>
            </w:r>
          </w:p>
        </w:tc>
        <w:tc>
          <w:tcPr>
            <w:tcW w:w="1620" w:type="dxa"/>
            <w:tcBorders>
              <w:top w:val="single" w:sz="4" w:space="0" w:color="auto"/>
              <w:left w:val="nil"/>
              <w:bottom w:val="single" w:sz="4" w:space="0" w:color="auto"/>
              <w:right w:val="nil"/>
            </w:tcBorders>
            <w:shd w:val="clear" w:color="000000" w:fill="BFBFBF"/>
            <w:vAlign w:val="bottom"/>
            <w:hideMark/>
          </w:tcPr>
          <w:p w14:paraId="7514737C" w14:textId="77777777" w:rsidR="008938F2" w:rsidRPr="009F5AA0" w:rsidRDefault="008938F2" w:rsidP="00B8547C">
            <w:pPr>
              <w:spacing w:after="0" w:line="240" w:lineRule="auto"/>
              <w:jc w:val="center"/>
              <w:rPr>
                <w:rFonts w:eastAsia="Times New Roman" w:cs="Times New Roman"/>
                <w:b/>
                <w:bCs/>
              </w:rPr>
            </w:pPr>
            <w:r w:rsidRPr="009F5AA0">
              <w:rPr>
                <w:rFonts w:eastAsia="Times New Roman" w:cs="Times New Roman"/>
                <w:b/>
                <w:bCs/>
              </w:rPr>
              <w:t>FY18</w:t>
            </w:r>
          </w:p>
        </w:tc>
        <w:tc>
          <w:tcPr>
            <w:tcW w:w="1260" w:type="dxa"/>
            <w:tcBorders>
              <w:top w:val="single" w:sz="4" w:space="0" w:color="auto"/>
              <w:left w:val="nil"/>
              <w:bottom w:val="single" w:sz="4" w:space="0" w:color="auto"/>
              <w:right w:val="single" w:sz="4" w:space="0" w:color="auto"/>
            </w:tcBorders>
            <w:shd w:val="clear" w:color="000000" w:fill="BFBFBF"/>
            <w:vAlign w:val="bottom"/>
            <w:hideMark/>
          </w:tcPr>
          <w:p w14:paraId="2C9F56DB" w14:textId="77777777" w:rsidR="008938F2" w:rsidRPr="009F5AA0" w:rsidRDefault="008938F2" w:rsidP="00B8547C">
            <w:pPr>
              <w:spacing w:after="0" w:line="240" w:lineRule="auto"/>
              <w:jc w:val="center"/>
              <w:rPr>
                <w:rFonts w:eastAsia="Times New Roman" w:cs="Times New Roman"/>
                <w:b/>
                <w:bCs/>
              </w:rPr>
            </w:pPr>
            <w:r w:rsidRPr="009F5AA0">
              <w:rPr>
                <w:rFonts w:eastAsia="Times New Roman" w:cs="Times New Roman"/>
                <w:b/>
                <w:bCs/>
              </w:rPr>
              <w:t>FY19</w:t>
            </w:r>
          </w:p>
        </w:tc>
      </w:tr>
      <w:tr w:rsidR="008938F2" w:rsidRPr="009F5AA0" w14:paraId="365BC3DC" w14:textId="77777777" w:rsidTr="00174804">
        <w:trPr>
          <w:trHeight w:val="310"/>
        </w:trPr>
        <w:tc>
          <w:tcPr>
            <w:tcW w:w="2960" w:type="dxa"/>
            <w:tcBorders>
              <w:top w:val="single" w:sz="4" w:space="0" w:color="auto"/>
              <w:left w:val="single" w:sz="8" w:space="0" w:color="auto"/>
              <w:bottom w:val="nil"/>
              <w:right w:val="nil"/>
            </w:tcBorders>
            <w:shd w:val="clear" w:color="000000" w:fill="FFFFFF"/>
            <w:noWrap/>
            <w:vAlign w:val="bottom"/>
            <w:hideMark/>
          </w:tcPr>
          <w:p w14:paraId="160452DF"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5,000,000 </w:t>
            </w:r>
          </w:p>
        </w:tc>
        <w:tc>
          <w:tcPr>
            <w:tcW w:w="2250" w:type="dxa"/>
            <w:tcBorders>
              <w:top w:val="single" w:sz="4" w:space="0" w:color="auto"/>
              <w:left w:val="nil"/>
              <w:bottom w:val="nil"/>
              <w:right w:val="single" w:sz="8" w:space="0" w:color="auto"/>
            </w:tcBorders>
            <w:shd w:val="clear" w:color="000000" w:fill="FFFFFF"/>
            <w:noWrap/>
            <w:vAlign w:val="bottom"/>
            <w:hideMark/>
          </w:tcPr>
          <w:p w14:paraId="7AA1DC52" w14:textId="4BF19E75"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285,000</w:t>
            </w:r>
          </w:p>
        </w:tc>
        <w:tc>
          <w:tcPr>
            <w:tcW w:w="1260" w:type="dxa"/>
            <w:tcBorders>
              <w:top w:val="single" w:sz="4" w:space="0" w:color="auto"/>
              <w:left w:val="nil"/>
              <w:bottom w:val="nil"/>
              <w:right w:val="nil"/>
            </w:tcBorders>
            <w:shd w:val="clear" w:color="000000" w:fill="FFFFFF"/>
            <w:noWrap/>
            <w:vAlign w:val="bottom"/>
            <w:hideMark/>
          </w:tcPr>
          <w:p w14:paraId="2E8E3625"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5.40%</w:t>
            </w:r>
          </w:p>
        </w:tc>
        <w:tc>
          <w:tcPr>
            <w:tcW w:w="1620" w:type="dxa"/>
            <w:tcBorders>
              <w:top w:val="single" w:sz="4" w:space="0" w:color="auto"/>
              <w:left w:val="nil"/>
              <w:bottom w:val="nil"/>
              <w:right w:val="nil"/>
            </w:tcBorders>
            <w:shd w:val="clear" w:color="000000" w:fill="FFFFFF"/>
            <w:noWrap/>
            <w:vAlign w:val="bottom"/>
            <w:hideMark/>
          </w:tcPr>
          <w:p w14:paraId="20BFE2C4"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5.70%</w:t>
            </w:r>
          </w:p>
        </w:tc>
        <w:tc>
          <w:tcPr>
            <w:tcW w:w="1260" w:type="dxa"/>
            <w:tcBorders>
              <w:top w:val="single" w:sz="4" w:space="0" w:color="auto"/>
              <w:left w:val="nil"/>
              <w:bottom w:val="nil"/>
              <w:right w:val="single" w:sz="8" w:space="0" w:color="auto"/>
            </w:tcBorders>
            <w:shd w:val="clear" w:color="000000" w:fill="FFFFFF"/>
            <w:noWrap/>
            <w:vAlign w:val="bottom"/>
            <w:hideMark/>
          </w:tcPr>
          <w:p w14:paraId="7C6B2AF4"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6.00%</w:t>
            </w:r>
          </w:p>
        </w:tc>
      </w:tr>
      <w:tr w:rsidR="008938F2" w:rsidRPr="009F5AA0" w14:paraId="2CA75972" w14:textId="77777777" w:rsidTr="00174804">
        <w:trPr>
          <w:trHeight w:val="310"/>
        </w:trPr>
        <w:tc>
          <w:tcPr>
            <w:tcW w:w="2960" w:type="dxa"/>
            <w:tcBorders>
              <w:top w:val="nil"/>
              <w:left w:val="single" w:sz="8" w:space="0" w:color="auto"/>
              <w:bottom w:val="nil"/>
              <w:right w:val="nil"/>
            </w:tcBorders>
            <w:shd w:val="clear" w:color="000000" w:fill="FFFFFF"/>
            <w:noWrap/>
            <w:vAlign w:val="bottom"/>
            <w:hideMark/>
          </w:tcPr>
          <w:p w14:paraId="60114970"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10,000,000 </w:t>
            </w:r>
          </w:p>
        </w:tc>
        <w:tc>
          <w:tcPr>
            <w:tcW w:w="2250" w:type="dxa"/>
            <w:tcBorders>
              <w:top w:val="nil"/>
              <w:left w:val="nil"/>
              <w:bottom w:val="nil"/>
              <w:right w:val="single" w:sz="8" w:space="0" w:color="auto"/>
            </w:tcBorders>
            <w:shd w:val="clear" w:color="000000" w:fill="FFFFFF"/>
            <w:noWrap/>
            <w:vAlign w:val="bottom"/>
            <w:hideMark/>
          </w:tcPr>
          <w:p w14:paraId="038D6A87"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550,000 </w:t>
            </w:r>
          </w:p>
        </w:tc>
        <w:tc>
          <w:tcPr>
            <w:tcW w:w="1260" w:type="dxa"/>
            <w:tcBorders>
              <w:top w:val="nil"/>
              <w:left w:val="nil"/>
              <w:bottom w:val="nil"/>
              <w:right w:val="nil"/>
            </w:tcBorders>
            <w:shd w:val="clear" w:color="000000" w:fill="FFFFFF"/>
            <w:noWrap/>
            <w:vAlign w:val="bottom"/>
            <w:hideMark/>
          </w:tcPr>
          <w:p w14:paraId="633C71B7"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5.00%</w:t>
            </w:r>
          </w:p>
        </w:tc>
        <w:tc>
          <w:tcPr>
            <w:tcW w:w="1620" w:type="dxa"/>
            <w:tcBorders>
              <w:top w:val="nil"/>
              <w:left w:val="nil"/>
              <w:bottom w:val="nil"/>
              <w:right w:val="nil"/>
            </w:tcBorders>
            <w:shd w:val="clear" w:color="000000" w:fill="FFFFFF"/>
            <w:noWrap/>
            <w:vAlign w:val="bottom"/>
            <w:hideMark/>
          </w:tcPr>
          <w:p w14:paraId="20E36DEC"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5.30%</w:t>
            </w:r>
          </w:p>
        </w:tc>
        <w:tc>
          <w:tcPr>
            <w:tcW w:w="1260" w:type="dxa"/>
            <w:tcBorders>
              <w:top w:val="nil"/>
              <w:left w:val="nil"/>
              <w:bottom w:val="nil"/>
              <w:right w:val="single" w:sz="8" w:space="0" w:color="auto"/>
            </w:tcBorders>
            <w:shd w:val="clear" w:color="000000" w:fill="FFFFFF"/>
            <w:noWrap/>
            <w:vAlign w:val="bottom"/>
            <w:hideMark/>
          </w:tcPr>
          <w:p w14:paraId="4FFCB48D"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5.60%</w:t>
            </w:r>
          </w:p>
        </w:tc>
      </w:tr>
      <w:tr w:rsidR="008938F2" w:rsidRPr="009F5AA0" w14:paraId="4469407C" w14:textId="77777777" w:rsidTr="00174804">
        <w:trPr>
          <w:trHeight w:val="310"/>
        </w:trPr>
        <w:tc>
          <w:tcPr>
            <w:tcW w:w="2960" w:type="dxa"/>
            <w:tcBorders>
              <w:top w:val="nil"/>
              <w:left w:val="single" w:sz="8" w:space="0" w:color="auto"/>
              <w:bottom w:val="nil"/>
              <w:right w:val="nil"/>
            </w:tcBorders>
            <w:shd w:val="clear" w:color="000000" w:fill="FFFFFF"/>
            <w:noWrap/>
            <w:vAlign w:val="bottom"/>
            <w:hideMark/>
          </w:tcPr>
          <w:p w14:paraId="2B1F242F"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20,000,000 </w:t>
            </w:r>
          </w:p>
        </w:tc>
        <w:tc>
          <w:tcPr>
            <w:tcW w:w="2250" w:type="dxa"/>
            <w:tcBorders>
              <w:top w:val="nil"/>
              <w:left w:val="nil"/>
              <w:bottom w:val="nil"/>
              <w:right w:val="single" w:sz="8" w:space="0" w:color="auto"/>
            </w:tcBorders>
            <w:shd w:val="clear" w:color="000000" w:fill="FFFFFF"/>
            <w:noWrap/>
            <w:vAlign w:val="bottom"/>
            <w:hideMark/>
          </w:tcPr>
          <w:p w14:paraId="1A8B17B5"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1,030,000 </w:t>
            </w:r>
          </w:p>
        </w:tc>
        <w:tc>
          <w:tcPr>
            <w:tcW w:w="1260" w:type="dxa"/>
            <w:tcBorders>
              <w:top w:val="nil"/>
              <w:left w:val="nil"/>
              <w:bottom w:val="nil"/>
              <w:right w:val="nil"/>
            </w:tcBorders>
            <w:shd w:val="clear" w:color="000000" w:fill="FFFFFF"/>
            <w:noWrap/>
            <w:vAlign w:val="bottom"/>
            <w:hideMark/>
          </w:tcPr>
          <w:p w14:paraId="65194215"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4.50%</w:t>
            </w:r>
          </w:p>
        </w:tc>
        <w:tc>
          <w:tcPr>
            <w:tcW w:w="1620" w:type="dxa"/>
            <w:tcBorders>
              <w:top w:val="nil"/>
              <w:left w:val="nil"/>
              <w:bottom w:val="nil"/>
              <w:right w:val="nil"/>
            </w:tcBorders>
            <w:shd w:val="clear" w:color="000000" w:fill="FFFFFF"/>
            <w:noWrap/>
            <w:vAlign w:val="bottom"/>
            <w:hideMark/>
          </w:tcPr>
          <w:p w14:paraId="15091CD6"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4.80%</w:t>
            </w:r>
          </w:p>
        </w:tc>
        <w:tc>
          <w:tcPr>
            <w:tcW w:w="1260" w:type="dxa"/>
            <w:tcBorders>
              <w:top w:val="nil"/>
              <w:left w:val="nil"/>
              <w:bottom w:val="nil"/>
              <w:right w:val="single" w:sz="8" w:space="0" w:color="auto"/>
            </w:tcBorders>
            <w:shd w:val="clear" w:color="000000" w:fill="FFFFFF"/>
            <w:noWrap/>
            <w:vAlign w:val="bottom"/>
            <w:hideMark/>
          </w:tcPr>
          <w:p w14:paraId="19A4053A"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5.10%</w:t>
            </w:r>
          </w:p>
        </w:tc>
      </w:tr>
      <w:tr w:rsidR="008938F2" w:rsidRPr="009F5AA0" w14:paraId="5D4ECE8D" w14:textId="77777777" w:rsidTr="00174804">
        <w:trPr>
          <w:trHeight w:val="310"/>
        </w:trPr>
        <w:tc>
          <w:tcPr>
            <w:tcW w:w="2960" w:type="dxa"/>
            <w:tcBorders>
              <w:top w:val="nil"/>
              <w:left w:val="single" w:sz="8" w:space="0" w:color="auto"/>
              <w:bottom w:val="nil"/>
              <w:right w:val="nil"/>
            </w:tcBorders>
            <w:shd w:val="clear" w:color="000000" w:fill="FFFFFF"/>
            <w:noWrap/>
            <w:vAlign w:val="bottom"/>
            <w:hideMark/>
          </w:tcPr>
          <w:p w14:paraId="14DBBAA7"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30,000,000 </w:t>
            </w:r>
          </w:p>
        </w:tc>
        <w:tc>
          <w:tcPr>
            <w:tcW w:w="2250" w:type="dxa"/>
            <w:tcBorders>
              <w:top w:val="nil"/>
              <w:left w:val="nil"/>
              <w:bottom w:val="nil"/>
              <w:right w:val="single" w:sz="8" w:space="0" w:color="auto"/>
            </w:tcBorders>
            <w:shd w:val="clear" w:color="000000" w:fill="FFFFFF"/>
            <w:noWrap/>
            <w:vAlign w:val="bottom"/>
            <w:hideMark/>
          </w:tcPr>
          <w:p w14:paraId="71FA64F0" w14:textId="77777777" w:rsidR="008938F2" w:rsidRPr="009F5AA0" w:rsidRDefault="008938F2" w:rsidP="00B8547C">
            <w:pPr>
              <w:spacing w:after="0" w:line="240" w:lineRule="auto"/>
              <w:rPr>
                <w:rFonts w:eastAsia="Times New Roman" w:cs="Times New Roman"/>
              </w:rPr>
            </w:pPr>
            <w:r w:rsidRPr="009F5AA0">
              <w:rPr>
                <w:rFonts w:eastAsia="Times New Roman" w:cs="Times New Roman"/>
              </w:rPr>
              <w:t xml:space="preserve"> $     1,460,000 </w:t>
            </w:r>
          </w:p>
        </w:tc>
        <w:tc>
          <w:tcPr>
            <w:tcW w:w="1260" w:type="dxa"/>
            <w:tcBorders>
              <w:top w:val="nil"/>
              <w:left w:val="nil"/>
              <w:bottom w:val="nil"/>
              <w:right w:val="nil"/>
            </w:tcBorders>
            <w:shd w:val="clear" w:color="000000" w:fill="FFFFFF"/>
            <w:noWrap/>
            <w:vAlign w:val="bottom"/>
            <w:hideMark/>
          </w:tcPr>
          <w:p w14:paraId="2DFF2DDF"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4.00%</w:t>
            </w:r>
          </w:p>
        </w:tc>
        <w:tc>
          <w:tcPr>
            <w:tcW w:w="1620" w:type="dxa"/>
            <w:tcBorders>
              <w:top w:val="nil"/>
              <w:left w:val="nil"/>
              <w:bottom w:val="nil"/>
              <w:right w:val="nil"/>
            </w:tcBorders>
            <w:shd w:val="clear" w:color="000000" w:fill="FFFFFF"/>
            <w:noWrap/>
            <w:vAlign w:val="bottom"/>
            <w:hideMark/>
          </w:tcPr>
          <w:p w14:paraId="318F8008"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4.30%</w:t>
            </w:r>
          </w:p>
        </w:tc>
        <w:tc>
          <w:tcPr>
            <w:tcW w:w="1260" w:type="dxa"/>
            <w:tcBorders>
              <w:top w:val="nil"/>
              <w:left w:val="nil"/>
              <w:bottom w:val="nil"/>
              <w:right w:val="single" w:sz="8" w:space="0" w:color="auto"/>
            </w:tcBorders>
            <w:shd w:val="clear" w:color="000000" w:fill="FFFFFF"/>
            <w:noWrap/>
            <w:vAlign w:val="bottom"/>
            <w:hideMark/>
          </w:tcPr>
          <w:p w14:paraId="692F7956"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4.50%</w:t>
            </w:r>
          </w:p>
        </w:tc>
      </w:tr>
      <w:tr w:rsidR="008938F2" w:rsidRPr="009F5AA0" w14:paraId="1D1DF2E9" w14:textId="77777777" w:rsidTr="00174804">
        <w:trPr>
          <w:trHeight w:val="310"/>
        </w:trPr>
        <w:tc>
          <w:tcPr>
            <w:tcW w:w="2960" w:type="dxa"/>
            <w:tcBorders>
              <w:top w:val="nil"/>
              <w:left w:val="single" w:sz="8" w:space="0" w:color="auto"/>
              <w:bottom w:val="single" w:sz="8" w:space="0" w:color="auto"/>
              <w:right w:val="nil"/>
            </w:tcBorders>
            <w:shd w:val="clear" w:color="000000" w:fill="FFFFFF"/>
            <w:noWrap/>
            <w:vAlign w:val="bottom"/>
            <w:hideMark/>
          </w:tcPr>
          <w:p w14:paraId="3356F028" w14:textId="557EA605" w:rsidR="008938F2" w:rsidRPr="009F5AA0" w:rsidRDefault="008938F2" w:rsidP="00CF00E6">
            <w:pPr>
              <w:spacing w:after="0" w:line="240" w:lineRule="auto"/>
              <w:jc w:val="center"/>
              <w:rPr>
                <w:rFonts w:eastAsia="Times New Roman" w:cs="Times New Roman"/>
              </w:rPr>
            </w:pPr>
            <w:r w:rsidRPr="009F5AA0">
              <w:rPr>
                <w:rFonts w:eastAsia="Times New Roman" w:cs="Times New Roman"/>
              </w:rPr>
              <w:t>Above $30,000,000</w:t>
            </w:r>
          </w:p>
        </w:tc>
        <w:tc>
          <w:tcPr>
            <w:tcW w:w="2250" w:type="dxa"/>
            <w:tcBorders>
              <w:top w:val="nil"/>
              <w:left w:val="nil"/>
              <w:bottom w:val="single" w:sz="8" w:space="0" w:color="auto"/>
              <w:right w:val="single" w:sz="8" w:space="0" w:color="auto"/>
            </w:tcBorders>
            <w:shd w:val="clear" w:color="000000" w:fill="FFFFFF"/>
            <w:noWrap/>
            <w:vAlign w:val="bottom"/>
            <w:hideMark/>
          </w:tcPr>
          <w:p w14:paraId="4C6D2B10" w14:textId="76B3F969" w:rsidR="008938F2" w:rsidRPr="009F5AA0" w:rsidRDefault="008938F2" w:rsidP="00CF00E6">
            <w:pPr>
              <w:spacing w:after="0" w:line="240" w:lineRule="auto"/>
              <w:jc w:val="center"/>
              <w:rPr>
                <w:rFonts w:eastAsia="Times New Roman" w:cs="Times New Roman"/>
              </w:rPr>
            </w:pPr>
          </w:p>
        </w:tc>
        <w:tc>
          <w:tcPr>
            <w:tcW w:w="1260" w:type="dxa"/>
            <w:tcBorders>
              <w:top w:val="nil"/>
              <w:left w:val="nil"/>
              <w:bottom w:val="single" w:sz="8" w:space="0" w:color="auto"/>
              <w:right w:val="nil"/>
            </w:tcBorders>
            <w:shd w:val="clear" w:color="000000" w:fill="FFFFFF"/>
            <w:noWrap/>
            <w:vAlign w:val="bottom"/>
            <w:hideMark/>
          </w:tcPr>
          <w:p w14:paraId="1319D510"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3.50%</w:t>
            </w:r>
          </w:p>
        </w:tc>
        <w:tc>
          <w:tcPr>
            <w:tcW w:w="1620" w:type="dxa"/>
            <w:tcBorders>
              <w:top w:val="nil"/>
              <w:left w:val="nil"/>
              <w:bottom w:val="single" w:sz="8" w:space="0" w:color="auto"/>
              <w:right w:val="nil"/>
            </w:tcBorders>
            <w:shd w:val="clear" w:color="000000" w:fill="FFFFFF"/>
            <w:noWrap/>
            <w:vAlign w:val="bottom"/>
            <w:hideMark/>
          </w:tcPr>
          <w:p w14:paraId="610F8EE4"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3.80%</w:t>
            </w:r>
          </w:p>
        </w:tc>
        <w:tc>
          <w:tcPr>
            <w:tcW w:w="1260" w:type="dxa"/>
            <w:tcBorders>
              <w:top w:val="nil"/>
              <w:left w:val="nil"/>
              <w:bottom w:val="single" w:sz="8" w:space="0" w:color="auto"/>
              <w:right w:val="single" w:sz="8" w:space="0" w:color="auto"/>
            </w:tcBorders>
            <w:shd w:val="clear" w:color="000000" w:fill="FFFFFF"/>
            <w:noWrap/>
            <w:vAlign w:val="bottom"/>
            <w:hideMark/>
          </w:tcPr>
          <w:p w14:paraId="2CE9B6FE" w14:textId="77777777" w:rsidR="008938F2" w:rsidRPr="009F5AA0" w:rsidRDefault="008938F2" w:rsidP="00B8547C">
            <w:pPr>
              <w:spacing w:after="0" w:line="240" w:lineRule="auto"/>
              <w:jc w:val="center"/>
              <w:rPr>
                <w:rFonts w:eastAsia="Times New Roman" w:cs="Times New Roman"/>
              </w:rPr>
            </w:pPr>
            <w:r w:rsidRPr="009F5AA0">
              <w:rPr>
                <w:rFonts w:eastAsia="Times New Roman" w:cs="Times New Roman"/>
              </w:rPr>
              <w:t>4.00%</w:t>
            </w:r>
          </w:p>
        </w:tc>
      </w:tr>
      <w:tr w:rsidR="008938F2" w:rsidRPr="009F5AA0" w14:paraId="3B16816B" w14:textId="77777777" w:rsidTr="00CF00E6">
        <w:trPr>
          <w:trHeight w:val="60"/>
        </w:trPr>
        <w:tc>
          <w:tcPr>
            <w:tcW w:w="2960" w:type="dxa"/>
            <w:tcBorders>
              <w:top w:val="nil"/>
              <w:left w:val="nil"/>
              <w:bottom w:val="nil"/>
              <w:right w:val="nil"/>
            </w:tcBorders>
            <w:shd w:val="clear" w:color="000000" w:fill="FFFFFF"/>
            <w:noWrap/>
            <w:vAlign w:val="bottom"/>
            <w:hideMark/>
          </w:tcPr>
          <w:p w14:paraId="20FC96CF" w14:textId="77777777" w:rsidR="008938F2" w:rsidRPr="009F5AA0" w:rsidRDefault="008938F2" w:rsidP="00B8547C">
            <w:pPr>
              <w:spacing w:after="0" w:line="240" w:lineRule="auto"/>
              <w:rPr>
                <w:rFonts w:ascii="Times New Roman" w:eastAsia="Times New Roman" w:hAnsi="Times New Roman" w:cs="Times New Roman"/>
              </w:rPr>
            </w:pPr>
            <w:r w:rsidRPr="009F5AA0">
              <w:rPr>
                <w:rFonts w:ascii="Times New Roman" w:eastAsia="Times New Roman" w:hAnsi="Times New Roman" w:cs="Times New Roman"/>
              </w:rPr>
              <w:t> </w:t>
            </w:r>
          </w:p>
        </w:tc>
        <w:tc>
          <w:tcPr>
            <w:tcW w:w="2250" w:type="dxa"/>
            <w:tcBorders>
              <w:top w:val="nil"/>
              <w:left w:val="nil"/>
              <w:bottom w:val="nil"/>
              <w:right w:val="nil"/>
            </w:tcBorders>
            <w:shd w:val="clear" w:color="000000" w:fill="FFFFFF"/>
            <w:noWrap/>
            <w:vAlign w:val="bottom"/>
            <w:hideMark/>
          </w:tcPr>
          <w:p w14:paraId="44A462C9" w14:textId="77777777" w:rsidR="008938F2" w:rsidRPr="009F5AA0" w:rsidRDefault="008938F2" w:rsidP="00B8547C">
            <w:pPr>
              <w:spacing w:after="0" w:line="240" w:lineRule="auto"/>
              <w:rPr>
                <w:rFonts w:ascii="Times New Roman" w:eastAsia="Times New Roman" w:hAnsi="Times New Roman" w:cs="Times New Roman"/>
              </w:rPr>
            </w:pPr>
            <w:r w:rsidRPr="009F5AA0">
              <w:rPr>
                <w:rFonts w:ascii="Times New Roman" w:eastAsia="Times New Roman" w:hAnsi="Times New Roman" w:cs="Times New Roman"/>
              </w:rPr>
              <w:t> </w:t>
            </w:r>
          </w:p>
        </w:tc>
        <w:tc>
          <w:tcPr>
            <w:tcW w:w="1260" w:type="dxa"/>
            <w:tcBorders>
              <w:top w:val="nil"/>
              <w:left w:val="nil"/>
              <w:bottom w:val="nil"/>
              <w:right w:val="nil"/>
            </w:tcBorders>
            <w:shd w:val="clear" w:color="000000" w:fill="FFFFFF"/>
            <w:noWrap/>
            <w:vAlign w:val="bottom"/>
            <w:hideMark/>
          </w:tcPr>
          <w:p w14:paraId="716E83F2" w14:textId="77777777" w:rsidR="008938F2" w:rsidRPr="009F5AA0" w:rsidRDefault="008938F2" w:rsidP="00B8547C">
            <w:pPr>
              <w:spacing w:after="0" w:line="240" w:lineRule="auto"/>
              <w:rPr>
                <w:rFonts w:ascii="Times New Roman" w:eastAsia="Times New Roman" w:hAnsi="Times New Roman" w:cs="Times New Roman"/>
              </w:rPr>
            </w:pPr>
            <w:r w:rsidRPr="009F5AA0">
              <w:rPr>
                <w:rFonts w:ascii="Times New Roman" w:eastAsia="Times New Roman" w:hAnsi="Times New Roman" w:cs="Times New Roman"/>
              </w:rPr>
              <w:t> </w:t>
            </w:r>
          </w:p>
        </w:tc>
        <w:tc>
          <w:tcPr>
            <w:tcW w:w="1620" w:type="dxa"/>
            <w:tcBorders>
              <w:top w:val="nil"/>
              <w:left w:val="nil"/>
              <w:bottom w:val="nil"/>
              <w:right w:val="nil"/>
            </w:tcBorders>
            <w:shd w:val="clear" w:color="000000" w:fill="FFFFFF"/>
            <w:noWrap/>
            <w:vAlign w:val="bottom"/>
            <w:hideMark/>
          </w:tcPr>
          <w:p w14:paraId="37C8CD55" w14:textId="77777777" w:rsidR="008938F2" w:rsidRPr="009F5AA0" w:rsidRDefault="008938F2" w:rsidP="00B8547C">
            <w:pPr>
              <w:spacing w:after="0" w:line="240" w:lineRule="auto"/>
              <w:rPr>
                <w:rFonts w:ascii="Times New Roman" w:eastAsia="Times New Roman" w:hAnsi="Times New Roman" w:cs="Times New Roman"/>
              </w:rPr>
            </w:pPr>
            <w:r w:rsidRPr="009F5AA0">
              <w:rPr>
                <w:rFonts w:ascii="Times New Roman" w:eastAsia="Times New Roman" w:hAnsi="Times New Roman" w:cs="Times New Roman"/>
              </w:rPr>
              <w:t> </w:t>
            </w:r>
          </w:p>
        </w:tc>
        <w:tc>
          <w:tcPr>
            <w:tcW w:w="1260" w:type="dxa"/>
            <w:tcBorders>
              <w:top w:val="nil"/>
              <w:left w:val="nil"/>
              <w:bottom w:val="nil"/>
              <w:right w:val="nil"/>
            </w:tcBorders>
            <w:shd w:val="clear" w:color="000000" w:fill="FFFFFF"/>
            <w:noWrap/>
            <w:vAlign w:val="bottom"/>
            <w:hideMark/>
          </w:tcPr>
          <w:p w14:paraId="2D79F771" w14:textId="77777777" w:rsidR="008938F2" w:rsidRPr="009F5AA0" w:rsidRDefault="008938F2" w:rsidP="00B8547C">
            <w:pPr>
              <w:spacing w:after="0" w:line="240" w:lineRule="auto"/>
              <w:rPr>
                <w:rFonts w:ascii="Times New Roman" w:eastAsia="Times New Roman" w:hAnsi="Times New Roman" w:cs="Times New Roman"/>
              </w:rPr>
            </w:pPr>
            <w:r w:rsidRPr="009F5AA0">
              <w:rPr>
                <w:rFonts w:ascii="Times New Roman" w:eastAsia="Times New Roman" w:hAnsi="Times New Roman" w:cs="Times New Roman"/>
              </w:rPr>
              <w:t> </w:t>
            </w:r>
          </w:p>
        </w:tc>
      </w:tr>
    </w:tbl>
    <w:p w14:paraId="5E07F50F" w14:textId="77777777" w:rsidR="004D5BA1" w:rsidRDefault="004D5BA1" w:rsidP="009B64D1">
      <w:pPr>
        <w:autoSpaceDE w:val="0"/>
        <w:autoSpaceDN w:val="0"/>
        <w:adjustRightInd w:val="0"/>
        <w:spacing w:after="0" w:line="240" w:lineRule="exact"/>
        <w:rPr>
          <w:b/>
          <w:bCs/>
          <w:i/>
          <w:iCs/>
        </w:rPr>
      </w:pPr>
    </w:p>
    <w:p w14:paraId="2ADA1B38" w14:textId="77777777" w:rsidR="00A66371" w:rsidRPr="009F5AA0" w:rsidRDefault="00A66371" w:rsidP="009B64D1">
      <w:pPr>
        <w:autoSpaceDE w:val="0"/>
        <w:autoSpaceDN w:val="0"/>
        <w:adjustRightInd w:val="0"/>
        <w:spacing w:after="0" w:line="240" w:lineRule="exact"/>
        <w:rPr>
          <w:rFonts w:cs="Calibri"/>
          <w:color w:val="000000"/>
        </w:rPr>
      </w:pPr>
    </w:p>
    <w:p w14:paraId="687E3DA2" w14:textId="76F5C025" w:rsidR="007A743C" w:rsidRPr="009F5AA0" w:rsidRDefault="007A743C" w:rsidP="008014A4">
      <w:pPr>
        <w:autoSpaceDE w:val="0"/>
        <w:autoSpaceDN w:val="0"/>
        <w:adjustRightInd w:val="0"/>
        <w:spacing w:after="0" w:line="240" w:lineRule="exact"/>
        <w:ind w:left="360"/>
        <w:rPr>
          <w:rFonts w:cs="Calibri"/>
          <w:color w:val="000000"/>
        </w:rPr>
      </w:pPr>
      <w:r w:rsidRPr="009F5AA0">
        <w:rPr>
          <w:rFonts w:cs="Calibri"/>
          <w:color w:val="000000"/>
        </w:rPr>
        <w:t>Units that have historically had expenditures</w:t>
      </w:r>
      <w:r w:rsidR="00623655" w:rsidRPr="009F5AA0">
        <w:rPr>
          <w:rFonts w:cs="Calibri"/>
          <w:color w:val="000000"/>
        </w:rPr>
        <w:t xml:space="preserve"> above $5 million include:</w:t>
      </w:r>
      <w:r w:rsidRPr="009F5AA0">
        <w:rPr>
          <w:rFonts w:cs="Calibri"/>
          <w:color w:val="000000"/>
        </w:rPr>
        <w:t xml:space="preserve"> Athletics, Health Center, and Housing</w:t>
      </w:r>
      <w:r w:rsidR="000D7B31">
        <w:rPr>
          <w:rFonts w:cs="Calibri"/>
          <w:color w:val="000000"/>
        </w:rPr>
        <w:t>.</w:t>
      </w:r>
      <w:r w:rsidRPr="009F5AA0">
        <w:rPr>
          <w:rFonts w:cs="Calibri"/>
          <w:color w:val="000000"/>
        </w:rPr>
        <w:t xml:space="preserve"> </w:t>
      </w:r>
    </w:p>
    <w:p w14:paraId="3EA71926" w14:textId="77777777" w:rsidR="00A66371" w:rsidRPr="009F5AA0" w:rsidRDefault="00A66371" w:rsidP="00A66371">
      <w:pPr>
        <w:autoSpaceDE w:val="0"/>
        <w:autoSpaceDN w:val="0"/>
        <w:adjustRightInd w:val="0"/>
        <w:spacing w:after="0" w:line="240" w:lineRule="exact"/>
        <w:ind w:left="360"/>
        <w:rPr>
          <w:rFonts w:cs="Calibri"/>
          <w:color w:val="000000"/>
        </w:rPr>
      </w:pPr>
    </w:p>
    <w:tbl>
      <w:tblPr>
        <w:tblW w:w="8082" w:type="dxa"/>
        <w:tblInd w:w="517" w:type="dxa"/>
        <w:tblLook w:val="04A0" w:firstRow="1" w:lastRow="0" w:firstColumn="1" w:lastColumn="0" w:noHBand="0" w:noVBand="1"/>
      </w:tblPr>
      <w:tblGrid>
        <w:gridCol w:w="2633"/>
        <w:gridCol w:w="2607"/>
        <w:gridCol w:w="1448"/>
        <w:gridCol w:w="1394"/>
      </w:tblGrid>
      <w:tr w:rsidR="00A66371" w:rsidRPr="009F5AA0" w14:paraId="1682D623" w14:textId="77777777" w:rsidTr="009B64D1">
        <w:trPr>
          <w:trHeight w:val="99"/>
        </w:trPr>
        <w:tc>
          <w:tcPr>
            <w:tcW w:w="2633" w:type="dxa"/>
            <w:tcBorders>
              <w:top w:val="nil"/>
              <w:left w:val="nil"/>
              <w:bottom w:val="nil"/>
              <w:right w:val="nil"/>
            </w:tcBorders>
            <w:shd w:val="clear" w:color="000000" w:fill="FFFFFF"/>
            <w:noWrap/>
            <w:vAlign w:val="bottom"/>
            <w:hideMark/>
          </w:tcPr>
          <w:p w14:paraId="3999F551" w14:textId="7F789FF0" w:rsidR="00DC66C8" w:rsidRPr="009F5AA0" w:rsidRDefault="00DC66C8" w:rsidP="00DC66C8">
            <w:pPr>
              <w:spacing w:after="0" w:line="240" w:lineRule="auto"/>
              <w:rPr>
                <w:rFonts w:eastAsia="Times New Roman" w:cs="Times New Roman"/>
                <w:b/>
                <w:bCs/>
              </w:rPr>
            </w:pPr>
          </w:p>
        </w:tc>
        <w:tc>
          <w:tcPr>
            <w:tcW w:w="2607" w:type="dxa"/>
            <w:tcBorders>
              <w:top w:val="nil"/>
              <w:left w:val="nil"/>
              <w:bottom w:val="nil"/>
              <w:right w:val="nil"/>
            </w:tcBorders>
            <w:shd w:val="clear" w:color="000000" w:fill="FFFFFF"/>
            <w:noWrap/>
            <w:vAlign w:val="bottom"/>
            <w:hideMark/>
          </w:tcPr>
          <w:p w14:paraId="6264F3A0"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c>
          <w:tcPr>
            <w:tcW w:w="1448" w:type="dxa"/>
            <w:tcBorders>
              <w:top w:val="nil"/>
              <w:left w:val="nil"/>
              <w:bottom w:val="nil"/>
              <w:right w:val="nil"/>
            </w:tcBorders>
            <w:shd w:val="clear" w:color="000000" w:fill="FFFFFF"/>
            <w:noWrap/>
            <w:vAlign w:val="bottom"/>
            <w:hideMark/>
          </w:tcPr>
          <w:p w14:paraId="55E31ABD"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c>
          <w:tcPr>
            <w:tcW w:w="1394" w:type="dxa"/>
            <w:tcBorders>
              <w:top w:val="nil"/>
              <w:left w:val="nil"/>
              <w:bottom w:val="nil"/>
              <w:right w:val="nil"/>
            </w:tcBorders>
            <w:shd w:val="clear" w:color="000000" w:fill="FFFFFF"/>
            <w:noWrap/>
            <w:vAlign w:val="bottom"/>
            <w:hideMark/>
          </w:tcPr>
          <w:p w14:paraId="0485A7CB"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r>
      <w:tr w:rsidR="00A66371" w:rsidRPr="009F5AA0" w14:paraId="243495E6" w14:textId="77777777" w:rsidTr="009B64D1">
        <w:trPr>
          <w:trHeight w:val="99"/>
        </w:trPr>
        <w:tc>
          <w:tcPr>
            <w:tcW w:w="2633" w:type="dxa"/>
            <w:tcBorders>
              <w:top w:val="nil"/>
              <w:left w:val="nil"/>
              <w:bottom w:val="nil"/>
              <w:right w:val="nil"/>
            </w:tcBorders>
            <w:shd w:val="clear" w:color="000000" w:fill="FFFFFF"/>
            <w:noWrap/>
            <w:vAlign w:val="bottom"/>
            <w:hideMark/>
          </w:tcPr>
          <w:p w14:paraId="345DC9D1"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c>
          <w:tcPr>
            <w:tcW w:w="2607" w:type="dxa"/>
            <w:tcBorders>
              <w:top w:val="nil"/>
              <w:left w:val="nil"/>
              <w:bottom w:val="nil"/>
              <w:right w:val="nil"/>
            </w:tcBorders>
            <w:shd w:val="clear" w:color="000000" w:fill="FFFFFF"/>
            <w:noWrap/>
            <w:vAlign w:val="bottom"/>
            <w:hideMark/>
          </w:tcPr>
          <w:p w14:paraId="0D142D3F"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c>
          <w:tcPr>
            <w:tcW w:w="1448" w:type="dxa"/>
            <w:tcBorders>
              <w:top w:val="nil"/>
              <w:left w:val="nil"/>
              <w:bottom w:val="nil"/>
              <w:right w:val="nil"/>
            </w:tcBorders>
            <w:shd w:val="clear" w:color="000000" w:fill="FFFFFF"/>
            <w:noWrap/>
            <w:vAlign w:val="bottom"/>
            <w:hideMark/>
          </w:tcPr>
          <w:p w14:paraId="5A1886F4"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c>
          <w:tcPr>
            <w:tcW w:w="1394" w:type="dxa"/>
            <w:tcBorders>
              <w:top w:val="nil"/>
              <w:left w:val="nil"/>
              <w:bottom w:val="nil"/>
              <w:right w:val="nil"/>
            </w:tcBorders>
            <w:shd w:val="clear" w:color="000000" w:fill="FFFFFF"/>
            <w:noWrap/>
            <w:vAlign w:val="bottom"/>
            <w:hideMark/>
          </w:tcPr>
          <w:p w14:paraId="79FE19E6"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w:t>
            </w:r>
          </w:p>
        </w:tc>
      </w:tr>
      <w:tr w:rsidR="00A66371" w:rsidRPr="009F5AA0" w14:paraId="6E9C566E" w14:textId="77777777" w:rsidTr="009B64D1">
        <w:trPr>
          <w:trHeight w:val="340"/>
        </w:trPr>
        <w:tc>
          <w:tcPr>
            <w:tcW w:w="2633"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14:paraId="10677073" w14:textId="77777777" w:rsidR="00DC66C8" w:rsidRPr="009F5AA0" w:rsidRDefault="00DC66C8" w:rsidP="00DC66C8">
            <w:pPr>
              <w:spacing w:after="0" w:line="240" w:lineRule="auto"/>
              <w:jc w:val="center"/>
              <w:rPr>
                <w:rFonts w:eastAsia="Times New Roman" w:cs="Times New Roman"/>
                <w:b/>
                <w:bCs/>
              </w:rPr>
            </w:pPr>
            <w:r w:rsidRPr="009F5AA0">
              <w:rPr>
                <w:rFonts w:eastAsia="Times New Roman" w:cs="Times New Roman"/>
                <w:b/>
                <w:bCs/>
              </w:rPr>
              <w:t>FY 2015 - Large Units</w:t>
            </w:r>
          </w:p>
        </w:tc>
        <w:tc>
          <w:tcPr>
            <w:tcW w:w="2607" w:type="dxa"/>
            <w:tcBorders>
              <w:top w:val="single" w:sz="8" w:space="0" w:color="auto"/>
              <w:left w:val="nil"/>
              <w:bottom w:val="single" w:sz="8" w:space="0" w:color="auto"/>
              <w:right w:val="single" w:sz="8" w:space="0" w:color="auto"/>
            </w:tcBorders>
            <w:shd w:val="clear" w:color="000000" w:fill="BFBFBF"/>
            <w:vAlign w:val="bottom"/>
            <w:hideMark/>
          </w:tcPr>
          <w:p w14:paraId="6B51A1B9" w14:textId="77777777" w:rsidR="00DC66C8" w:rsidRPr="009F5AA0" w:rsidRDefault="00DC66C8" w:rsidP="00DC66C8">
            <w:pPr>
              <w:spacing w:after="0" w:line="240" w:lineRule="auto"/>
              <w:jc w:val="center"/>
              <w:rPr>
                <w:rFonts w:eastAsia="Times New Roman" w:cs="Times New Roman"/>
                <w:b/>
                <w:bCs/>
              </w:rPr>
            </w:pPr>
            <w:r w:rsidRPr="009F5AA0">
              <w:rPr>
                <w:rFonts w:eastAsia="Times New Roman" w:cs="Times New Roman"/>
                <w:b/>
                <w:bCs/>
              </w:rPr>
              <w:t>FY15 Expenditure Base</w:t>
            </w:r>
          </w:p>
        </w:tc>
        <w:tc>
          <w:tcPr>
            <w:tcW w:w="1448" w:type="dxa"/>
            <w:tcBorders>
              <w:top w:val="single" w:sz="8" w:space="0" w:color="auto"/>
              <w:left w:val="nil"/>
              <w:bottom w:val="single" w:sz="8" w:space="0" w:color="auto"/>
              <w:right w:val="single" w:sz="8" w:space="0" w:color="auto"/>
            </w:tcBorders>
            <w:shd w:val="clear" w:color="000000" w:fill="BFBFBF"/>
            <w:vAlign w:val="bottom"/>
            <w:hideMark/>
          </w:tcPr>
          <w:p w14:paraId="35B62E05" w14:textId="77777777" w:rsidR="00DC66C8" w:rsidRPr="009F5AA0" w:rsidRDefault="00DC66C8" w:rsidP="00DC66C8">
            <w:pPr>
              <w:spacing w:after="0" w:line="240" w:lineRule="auto"/>
              <w:jc w:val="center"/>
              <w:rPr>
                <w:rFonts w:eastAsia="Times New Roman" w:cs="Times New Roman"/>
                <w:b/>
                <w:bCs/>
              </w:rPr>
            </w:pPr>
            <w:r w:rsidRPr="009F5AA0">
              <w:rPr>
                <w:rFonts w:eastAsia="Times New Roman" w:cs="Times New Roman"/>
                <w:b/>
                <w:bCs/>
              </w:rPr>
              <w:t>FY18 Structured Rate</w:t>
            </w:r>
          </w:p>
        </w:tc>
        <w:tc>
          <w:tcPr>
            <w:tcW w:w="1394" w:type="dxa"/>
            <w:tcBorders>
              <w:top w:val="single" w:sz="8" w:space="0" w:color="auto"/>
              <w:left w:val="nil"/>
              <w:bottom w:val="single" w:sz="8" w:space="0" w:color="auto"/>
              <w:right w:val="single" w:sz="8" w:space="0" w:color="auto"/>
            </w:tcBorders>
            <w:shd w:val="clear" w:color="000000" w:fill="BFBFBF"/>
            <w:vAlign w:val="bottom"/>
            <w:hideMark/>
          </w:tcPr>
          <w:p w14:paraId="29103A61" w14:textId="77777777" w:rsidR="00DC66C8" w:rsidRPr="009F5AA0" w:rsidRDefault="00DC66C8" w:rsidP="00DC66C8">
            <w:pPr>
              <w:spacing w:after="0" w:line="240" w:lineRule="auto"/>
              <w:jc w:val="center"/>
              <w:rPr>
                <w:rFonts w:eastAsia="Times New Roman" w:cs="Times New Roman"/>
                <w:b/>
                <w:bCs/>
              </w:rPr>
            </w:pPr>
            <w:r w:rsidRPr="009F5AA0">
              <w:rPr>
                <w:rFonts w:eastAsia="Times New Roman" w:cs="Times New Roman"/>
                <w:b/>
                <w:bCs/>
              </w:rPr>
              <w:t>FY18 Effective Rate</w:t>
            </w:r>
          </w:p>
        </w:tc>
      </w:tr>
      <w:tr w:rsidR="00A66371" w:rsidRPr="009F5AA0" w14:paraId="17F8DDE2" w14:textId="77777777" w:rsidTr="009B64D1">
        <w:trPr>
          <w:trHeight w:val="315"/>
        </w:trPr>
        <w:tc>
          <w:tcPr>
            <w:tcW w:w="2633" w:type="dxa"/>
            <w:tcBorders>
              <w:top w:val="nil"/>
              <w:left w:val="single" w:sz="8" w:space="0" w:color="auto"/>
              <w:bottom w:val="nil"/>
              <w:right w:val="single" w:sz="8" w:space="0" w:color="auto"/>
            </w:tcBorders>
            <w:shd w:val="clear" w:color="000000" w:fill="FFFFFF"/>
            <w:noWrap/>
            <w:vAlign w:val="bottom"/>
            <w:hideMark/>
          </w:tcPr>
          <w:p w14:paraId="7EACA6D4"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Intercollegiate Athletics Rev/</w:t>
            </w:r>
            <w:proofErr w:type="spellStart"/>
            <w:r w:rsidRPr="009F5AA0">
              <w:rPr>
                <w:rFonts w:eastAsia="Times New Roman" w:cs="Times New Roman"/>
              </w:rPr>
              <w:t>Exp</w:t>
            </w:r>
            <w:proofErr w:type="spellEnd"/>
          </w:p>
        </w:tc>
        <w:tc>
          <w:tcPr>
            <w:tcW w:w="2607" w:type="dxa"/>
            <w:tcBorders>
              <w:top w:val="nil"/>
              <w:left w:val="nil"/>
              <w:bottom w:val="nil"/>
              <w:right w:val="single" w:sz="8" w:space="0" w:color="auto"/>
            </w:tcBorders>
            <w:shd w:val="clear" w:color="auto" w:fill="auto"/>
            <w:noWrap/>
            <w:vAlign w:val="bottom"/>
            <w:hideMark/>
          </w:tcPr>
          <w:p w14:paraId="4089105F"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xml:space="preserve"> $                   53,712,187 </w:t>
            </w:r>
          </w:p>
        </w:tc>
        <w:tc>
          <w:tcPr>
            <w:tcW w:w="1448" w:type="dxa"/>
            <w:tcBorders>
              <w:top w:val="nil"/>
              <w:left w:val="nil"/>
              <w:bottom w:val="nil"/>
              <w:right w:val="single" w:sz="8" w:space="0" w:color="auto"/>
            </w:tcBorders>
            <w:shd w:val="clear" w:color="000000" w:fill="FFFFFF"/>
            <w:noWrap/>
            <w:vAlign w:val="bottom"/>
            <w:hideMark/>
          </w:tcPr>
          <w:p w14:paraId="6545E201" w14:textId="77777777" w:rsidR="00DC66C8" w:rsidRPr="009F5AA0" w:rsidRDefault="00DC66C8" w:rsidP="00DC66C8">
            <w:pPr>
              <w:spacing w:after="0" w:line="240" w:lineRule="auto"/>
              <w:jc w:val="right"/>
              <w:rPr>
                <w:rFonts w:eastAsia="Times New Roman" w:cs="Times New Roman"/>
              </w:rPr>
            </w:pPr>
            <w:r w:rsidRPr="009F5AA0">
              <w:rPr>
                <w:rFonts w:eastAsia="Times New Roman" w:cs="Times New Roman"/>
              </w:rPr>
              <w:t xml:space="preserve">2,361,063 </w:t>
            </w:r>
          </w:p>
        </w:tc>
        <w:tc>
          <w:tcPr>
            <w:tcW w:w="1394" w:type="dxa"/>
            <w:tcBorders>
              <w:top w:val="nil"/>
              <w:left w:val="nil"/>
              <w:bottom w:val="nil"/>
              <w:right w:val="single" w:sz="8" w:space="0" w:color="auto"/>
            </w:tcBorders>
            <w:shd w:val="clear" w:color="000000" w:fill="FFFFFF"/>
            <w:noWrap/>
            <w:vAlign w:val="bottom"/>
            <w:hideMark/>
          </w:tcPr>
          <w:p w14:paraId="44FC23DE" w14:textId="77777777" w:rsidR="00DC66C8" w:rsidRPr="009F5AA0" w:rsidRDefault="00DC66C8" w:rsidP="00753BB4">
            <w:pPr>
              <w:spacing w:after="0" w:line="240" w:lineRule="auto"/>
              <w:jc w:val="center"/>
              <w:rPr>
                <w:rFonts w:eastAsia="Times New Roman" w:cs="Times New Roman"/>
              </w:rPr>
            </w:pPr>
            <w:r w:rsidRPr="009F5AA0">
              <w:rPr>
                <w:rFonts w:eastAsia="Times New Roman" w:cs="Times New Roman"/>
              </w:rPr>
              <w:t>4.4%</w:t>
            </w:r>
          </w:p>
        </w:tc>
      </w:tr>
      <w:tr w:rsidR="00A66371" w:rsidRPr="009F5AA0" w14:paraId="5034AB53" w14:textId="77777777" w:rsidTr="009B64D1">
        <w:trPr>
          <w:trHeight w:val="315"/>
        </w:trPr>
        <w:tc>
          <w:tcPr>
            <w:tcW w:w="2633" w:type="dxa"/>
            <w:tcBorders>
              <w:top w:val="nil"/>
              <w:left w:val="single" w:sz="8" w:space="0" w:color="auto"/>
              <w:bottom w:val="nil"/>
              <w:right w:val="single" w:sz="8" w:space="0" w:color="auto"/>
            </w:tcBorders>
            <w:shd w:val="clear" w:color="000000" w:fill="FFFFFF"/>
            <w:noWrap/>
            <w:vAlign w:val="bottom"/>
            <w:hideMark/>
          </w:tcPr>
          <w:p w14:paraId="4164DF99"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Residence Hall Operations</w:t>
            </w:r>
          </w:p>
        </w:tc>
        <w:tc>
          <w:tcPr>
            <w:tcW w:w="2607" w:type="dxa"/>
            <w:tcBorders>
              <w:top w:val="nil"/>
              <w:left w:val="nil"/>
              <w:bottom w:val="nil"/>
              <w:right w:val="single" w:sz="8" w:space="0" w:color="auto"/>
            </w:tcBorders>
            <w:shd w:val="clear" w:color="auto" w:fill="auto"/>
            <w:noWrap/>
            <w:vAlign w:val="bottom"/>
            <w:hideMark/>
          </w:tcPr>
          <w:p w14:paraId="55E2C8C6"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xml:space="preserve"> $                   34,161,667 </w:t>
            </w:r>
          </w:p>
        </w:tc>
        <w:tc>
          <w:tcPr>
            <w:tcW w:w="1448" w:type="dxa"/>
            <w:tcBorders>
              <w:top w:val="nil"/>
              <w:left w:val="nil"/>
              <w:bottom w:val="nil"/>
              <w:right w:val="single" w:sz="8" w:space="0" w:color="auto"/>
            </w:tcBorders>
            <w:shd w:val="clear" w:color="000000" w:fill="FFFFFF"/>
            <w:noWrap/>
            <w:vAlign w:val="bottom"/>
            <w:hideMark/>
          </w:tcPr>
          <w:p w14:paraId="783D25C0" w14:textId="77777777" w:rsidR="00DC66C8" w:rsidRPr="009F5AA0" w:rsidRDefault="00DC66C8" w:rsidP="00DC66C8">
            <w:pPr>
              <w:spacing w:after="0" w:line="240" w:lineRule="auto"/>
              <w:jc w:val="right"/>
              <w:rPr>
                <w:rFonts w:eastAsia="Times New Roman" w:cs="Times New Roman"/>
              </w:rPr>
            </w:pPr>
            <w:r w:rsidRPr="009F5AA0">
              <w:rPr>
                <w:rFonts w:eastAsia="Times New Roman" w:cs="Times New Roman"/>
              </w:rPr>
              <w:t xml:space="preserve">1,709,760 </w:t>
            </w:r>
          </w:p>
        </w:tc>
        <w:tc>
          <w:tcPr>
            <w:tcW w:w="1394" w:type="dxa"/>
            <w:tcBorders>
              <w:top w:val="nil"/>
              <w:left w:val="nil"/>
              <w:bottom w:val="nil"/>
              <w:right w:val="single" w:sz="8" w:space="0" w:color="auto"/>
            </w:tcBorders>
            <w:shd w:val="clear" w:color="000000" w:fill="FFFFFF"/>
            <w:noWrap/>
            <w:vAlign w:val="bottom"/>
            <w:hideMark/>
          </w:tcPr>
          <w:p w14:paraId="5CDE1E13" w14:textId="77777777" w:rsidR="00DC66C8" w:rsidRPr="009F5AA0" w:rsidRDefault="00DC66C8" w:rsidP="00753BB4">
            <w:pPr>
              <w:spacing w:after="0" w:line="240" w:lineRule="auto"/>
              <w:jc w:val="center"/>
              <w:rPr>
                <w:rFonts w:eastAsia="Times New Roman" w:cs="Times New Roman"/>
              </w:rPr>
            </w:pPr>
            <w:r w:rsidRPr="009F5AA0">
              <w:rPr>
                <w:rFonts w:eastAsia="Times New Roman" w:cs="Times New Roman"/>
              </w:rPr>
              <w:t>5.0%</w:t>
            </w:r>
          </w:p>
        </w:tc>
      </w:tr>
      <w:tr w:rsidR="00A66371" w:rsidRPr="009F5AA0" w14:paraId="706DB5C6" w14:textId="77777777" w:rsidTr="009B64D1">
        <w:trPr>
          <w:trHeight w:val="315"/>
        </w:trPr>
        <w:tc>
          <w:tcPr>
            <w:tcW w:w="2633" w:type="dxa"/>
            <w:tcBorders>
              <w:top w:val="nil"/>
              <w:left w:val="single" w:sz="8" w:space="0" w:color="auto"/>
              <w:bottom w:val="nil"/>
              <w:right w:val="single" w:sz="8" w:space="0" w:color="auto"/>
            </w:tcBorders>
            <w:shd w:val="clear" w:color="000000" w:fill="FFFFFF"/>
            <w:noWrap/>
            <w:vAlign w:val="bottom"/>
            <w:hideMark/>
          </w:tcPr>
          <w:p w14:paraId="0F9D62A0"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Health Services</w:t>
            </w:r>
          </w:p>
        </w:tc>
        <w:tc>
          <w:tcPr>
            <w:tcW w:w="2607" w:type="dxa"/>
            <w:tcBorders>
              <w:top w:val="nil"/>
              <w:left w:val="nil"/>
              <w:bottom w:val="nil"/>
              <w:right w:val="single" w:sz="8" w:space="0" w:color="auto"/>
            </w:tcBorders>
            <w:shd w:val="clear" w:color="auto" w:fill="auto"/>
            <w:noWrap/>
            <w:vAlign w:val="bottom"/>
            <w:hideMark/>
          </w:tcPr>
          <w:p w14:paraId="23DD54F1" w14:textId="77777777" w:rsidR="00DC66C8" w:rsidRPr="009F5AA0" w:rsidRDefault="00DC66C8" w:rsidP="00DC66C8">
            <w:pPr>
              <w:spacing w:after="0" w:line="240" w:lineRule="auto"/>
              <w:rPr>
                <w:rFonts w:eastAsia="Times New Roman" w:cs="Times New Roman"/>
              </w:rPr>
            </w:pPr>
            <w:r w:rsidRPr="009F5AA0">
              <w:rPr>
                <w:rFonts w:eastAsia="Times New Roman" w:cs="Times New Roman"/>
              </w:rPr>
              <w:t xml:space="preserve"> $                   14,806,971 </w:t>
            </w:r>
          </w:p>
        </w:tc>
        <w:tc>
          <w:tcPr>
            <w:tcW w:w="1448" w:type="dxa"/>
            <w:tcBorders>
              <w:top w:val="nil"/>
              <w:left w:val="nil"/>
              <w:bottom w:val="nil"/>
              <w:right w:val="single" w:sz="8" w:space="0" w:color="auto"/>
            </w:tcBorders>
            <w:shd w:val="clear" w:color="000000" w:fill="FFFFFF"/>
            <w:noWrap/>
            <w:vAlign w:val="bottom"/>
            <w:hideMark/>
          </w:tcPr>
          <w:p w14:paraId="7D105998" w14:textId="77777777" w:rsidR="00DC66C8" w:rsidRPr="009F5AA0" w:rsidRDefault="00DC66C8" w:rsidP="00DC66C8">
            <w:pPr>
              <w:spacing w:after="0" w:line="240" w:lineRule="auto"/>
              <w:jc w:val="right"/>
              <w:rPr>
                <w:rFonts w:eastAsia="Times New Roman" w:cs="Times New Roman"/>
              </w:rPr>
            </w:pPr>
            <w:r w:rsidRPr="009F5AA0">
              <w:rPr>
                <w:rFonts w:eastAsia="Times New Roman" w:cs="Times New Roman"/>
              </w:rPr>
              <w:t xml:space="preserve">804,769 </w:t>
            </w:r>
          </w:p>
        </w:tc>
        <w:tc>
          <w:tcPr>
            <w:tcW w:w="1394" w:type="dxa"/>
            <w:tcBorders>
              <w:top w:val="nil"/>
              <w:left w:val="nil"/>
              <w:bottom w:val="nil"/>
              <w:right w:val="single" w:sz="8" w:space="0" w:color="auto"/>
            </w:tcBorders>
            <w:shd w:val="clear" w:color="000000" w:fill="FFFFFF"/>
            <w:noWrap/>
            <w:vAlign w:val="bottom"/>
            <w:hideMark/>
          </w:tcPr>
          <w:p w14:paraId="774A1753" w14:textId="77777777" w:rsidR="00DC66C8" w:rsidRPr="009F5AA0" w:rsidRDefault="00DC66C8" w:rsidP="00753BB4">
            <w:pPr>
              <w:spacing w:after="0" w:line="240" w:lineRule="auto"/>
              <w:jc w:val="center"/>
              <w:rPr>
                <w:rFonts w:eastAsia="Times New Roman" w:cs="Times New Roman"/>
              </w:rPr>
            </w:pPr>
            <w:r w:rsidRPr="009F5AA0">
              <w:rPr>
                <w:rFonts w:eastAsia="Times New Roman" w:cs="Times New Roman"/>
              </w:rPr>
              <w:t>5.4%</w:t>
            </w:r>
          </w:p>
        </w:tc>
      </w:tr>
      <w:tr w:rsidR="00A66371" w:rsidRPr="009F5AA0" w14:paraId="7E13EEC4" w14:textId="77777777" w:rsidTr="009B64D1">
        <w:trPr>
          <w:trHeight w:val="330"/>
        </w:trPr>
        <w:tc>
          <w:tcPr>
            <w:tcW w:w="2633" w:type="dxa"/>
            <w:tcBorders>
              <w:top w:val="nil"/>
              <w:left w:val="single" w:sz="8" w:space="0" w:color="auto"/>
              <w:bottom w:val="single" w:sz="4" w:space="0" w:color="auto"/>
              <w:right w:val="single" w:sz="8" w:space="0" w:color="auto"/>
            </w:tcBorders>
            <w:shd w:val="clear" w:color="000000" w:fill="FFFFFF"/>
            <w:noWrap/>
            <w:vAlign w:val="bottom"/>
            <w:hideMark/>
          </w:tcPr>
          <w:p w14:paraId="3BE3590D" w14:textId="77777777" w:rsidR="00DC66C8" w:rsidRPr="009F5AA0" w:rsidRDefault="00DC66C8" w:rsidP="00DC66C8">
            <w:pPr>
              <w:spacing w:after="0" w:line="240" w:lineRule="auto"/>
              <w:rPr>
                <w:rFonts w:eastAsia="Times New Roman" w:cs="Times New Roman"/>
                <w:b/>
                <w:bCs/>
                <w:i/>
                <w:iCs/>
              </w:rPr>
            </w:pPr>
            <w:r w:rsidRPr="009F5AA0">
              <w:rPr>
                <w:rFonts w:eastAsia="Times New Roman" w:cs="Times New Roman"/>
                <w:b/>
                <w:bCs/>
                <w:i/>
                <w:iCs/>
              </w:rPr>
              <w:t>Total</w:t>
            </w:r>
          </w:p>
        </w:tc>
        <w:tc>
          <w:tcPr>
            <w:tcW w:w="2607" w:type="dxa"/>
            <w:tcBorders>
              <w:top w:val="nil"/>
              <w:left w:val="nil"/>
              <w:bottom w:val="single" w:sz="4" w:space="0" w:color="auto"/>
              <w:right w:val="single" w:sz="8" w:space="0" w:color="auto"/>
            </w:tcBorders>
            <w:shd w:val="clear" w:color="000000" w:fill="FFFFFF"/>
            <w:noWrap/>
            <w:vAlign w:val="bottom"/>
            <w:hideMark/>
          </w:tcPr>
          <w:p w14:paraId="1BDC25C3" w14:textId="77777777" w:rsidR="00DC66C8" w:rsidRPr="009F5AA0" w:rsidRDefault="00DC66C8" w:rsidP="00DC66C8">
            <w:pPr>
              <w:spacing w:after="0" w:line="240" w:lineRule="auto"/>
              <w:rPr>
                <w:rFonts w:eastAsia="Times New Roman" w:cs="Times New Roman"/>
                <w:b/>
                <w:bCs/>
                <w:i/>
                <w:iCs/>
              </w:rPr>
            </w:pPr>
            <w:r w:rsidRPr="009F5AA0">
              <w:rPr>
                <w:rFonts w:eastAsia="Times New Roman" w:cs="Times New Roman"/>
                <w:b/>
                <w:bCs/>
                <w:i/>
                <w:iCs/>
              </w:rPr>
              <w:t> </w:t>
            </w:r>
          </w:p>
        </w:tc>
        <w:tc>
          <w:tcPr>
            <w:tcW w:w="1448" w:type="dxa"/>
            <w:tcBorders>
              <w:top w:val="nil"/>
              <w:left w:val="nil"/>
              <w:bottom w:val="single" w:sz="4" w:space="0" w:color="auto"/>
              <w:right w:val="single" w:sz="8" w:space="0" w:color="auto"/>
            </w:tcBorders>
            <w:shd w:val="clear" w:color="000000" w:fill="FFFFFF"/>
            <w:noWrap/>
            <w:vAlign w:val="bottom"/>
            <w:hideMark/>
          </w:tcPr>
          <w:p w14:paraId="67A15BBD" w14:textId="77777777" w:rsidR="00DC66C8" w:rsidRPr="009F5AA0" w:rsidRDefault="00DC66C8" w:rsidP="00DC66C8">
            <w:pPr>
              <w:spacing w:after="0" w:line="240" w:lineRule="auto"/>
              <w:jc w:val="right"/>
              <w:rPr>
                <w:rFonts w:eastAsia="Times New Roman" w:cs="Times New Roman"/>
                <w:b/>
                <w:bCs/>
                <w:i/>
                <w:iCs/>
              </w:rPr>
            </w:pPr>
            <w:r w:rsidRPr="009F5AA0">
              <w:rPr>
                <w:rFonts w:eastAsia="Times New Roman" w:cs="Times New Roman"/>
                <w:b/>
                <w:bCs/>
                <w:i/>
                <w:iCs/>
              </w:rPr>
              <w:t xml:space="preserve">4,875,593 </w:t>
            </w:r>
          </w:p>
        </w:tc>
        <w:tc>
          <w:tcPr>
            <w:tcW w:w="1394" w:type="dxa"/>
            <w:tcBorders>
              <w:top w:val="nil"/>
              <w:left w:val="nil"/>
              <w:bottom w:val="single" w:sz="4" w:space="0" w:color="auto"/>
              <w:right w:val="single" w:sz="8" w:space="0" w:color="auto"/>
            </w:tcBorders>
            <w:shd w:val="clear" w:color="000000" w:fill="FFFFFF"/>
            <w:noWrap/>
            <w:vAlign w:val="bottom"/>
            <w:hideMark/>
          </w:tcPr>
          <w:p w14:paraId="344960D1" w14:textId="77777777" w:rsidR="00DC66C8" w:rsidRPr="009F5AA0" w:rsidRDefault="00DC66C8" w:rsidP="00753BB4">
            <w:pPr>
              <w:spacing w:after="0" w:line="240" w:lineRule="auto"/>
              <w:jc w:val="center"/>
              <w:rPr>
                <w:rFonts w:eastAsia="Times New Roman" w:cs="Times New Roman"/>
                <w:b/>
                <w:bCs/>
                <w:i/>
                <w:iCs/>
              </w:rPr>
            </w:pPr>
          </w:p>
        </w:tc>
      </w:tr>
      <w:tr w:rsidR="00C910C5" w:rsidRPr="009F5AA0" w14:paraId="227BF4DF" w14:textId="77777777" w:rsidTr="009B64D1">
        <w:trPr>
          <w:trHeight w:val="305"/>
        </w:trPr>
        <w:tc>
          <w:tcPr>
            <w:tcW w:w="2633" w:type="dxa"/>
            <w:tcBorders>
              <w:top w:val="single" w:sz="4" w:space="0" w:color="auto"/>
            </w:tcBorders>
            <w:shd w:val="clear" w:color="000000" w:fill="FFFFFF"/>
            <w:noWrap/>
            <w:vAlign w:val="bottom"/>
          </w:tcPr>
          <w:p w14:paraId="5DBBC1EC" w14:textId="77777777" w:rsidR="00C910C5" w:rsidRPr="009F5AA0" w:rsidRDefault="00C910C5" w:rsidP="00DC66C8">
            <w:pPr>
              <w:spacing w:after="0" w:line="240" w:lineRule="auto"/>
              <w:rPr>
                <w:rFonts w:ascii="Times New Roman" w:eastAsia="Times New Roman" w:hAnsi="Times New Roman" w:cs="Times New Roman"/>
                <w:b/>
                <w:bCs/>
                <w:i/>
                <w:iCs/>
              </w:rPr>
            </w:pPr>
          </w:p>
        </w:tc>
        <w:tc>
          <w:tcPr>
            <w:tcW w:w="2607" w:type="dxa"/>
            <w:tcBorders>
              <w:top w:val="single" w:sz="4" w:space="0" w:color="auto"/>
            </w:tcBorders>
            <w:shd w:val="clear" w:color="000000" w:fill="FFFFFF"/>
            <w:noWrap/>
            <w:vAlign w:val="bottom"/>
          </w:tcPr>
          <w:p w14:paraId="070B6A28" w14:textId="77777777" w:rsidR="00C910C5" w:rsidRPr="009F5AA0" w:rsidRDefault="00C910C5" w:rsidP="00DC66C8">
            <w:pPr>
              <w:spacing w:after="0" w:line="240" w:lineRule="auto"/>
              <w:rPr>
                <w:rFonts w:ascii="Times New Roman" w:eastAsia="Times New Roman" w:hAnsi="Times New Roman" w:cs="Times New Roman"/>
                <w:b/>
                <w:bCs/>
                <w:i/>
                <w:iCs/>
              </w:rPr>
            </w:pPr>
          </w:p>
        </w:tc>
        <w:tc>
          <w:tcPr>
            <w:tcW w:w="1448" w:type="dxa"/>
            <w:tcBorders>
              <w:top w:val="single" w:sz="4" w:space="0" w:color="auto"/>
            </w:tcBorders>
            <w:shd w:val="clear" w:color="000000" w:fill="FFFFFF"/>
            <w:noWrap/>
            <w:vAlign w:val="bottom"/>
          </w:tcPr>
          <w:p w14:paraId="5BF437D4" w14:textId="77777777" w:rsidR="00C910C5" w:rsidRPr="009F5AA0" w:rsidRDefault="00C910C5" w:rsidP="00DC66C8">
            <w:pPr>
              <w:spacing w:after="0" w:line="240" w:lineRule="auto"/>
              <w:jc w:val="right"/>
              <w:rPr>
                <w:rFonts w:ascii="Times New Roman" w:eastAsia="Times New Roman" w:hAnsi="Times New Roman" w:cs="Times New Roman"/>
                <w:b/>
                <w:bCs/>
                <w:i/>
                <w:iCs/>
              </w:rPr>
            </w:pPr>
          </w:p>
        </w:tc>
        <w:tc>
          <w:tcPr>
            <w:tcW w:w="1394" w:type="dxa"/>
            <w:tcBorders>
              <w:top w:val="single" w:sz="4" w:space="0" w:color="auto"/>
            </w:tcBorders>
            <w:shd w:val="clear" w:color="000000" w:fill="FFFFFF"/>
            <w:noWrap/>
            <w:vAlign w:val="bottom"/>
          </w:tcPr>
          <w:p w14:paraId="430E9BCE" w14:textId="77777777" w:rsidR="00C910C5" w:rsidRPr="009F5AA0" w:rsidRDefault="00C910C5" w:rsidP="00DC66C8">
            <w:pPr>
              <w:spacing w:after="0" w:line="240" w:lineRule="auto"/>
              <w:rPr>
                <w:rFonts w:ascii="Times New Roman" w:eastAsia="Times New Roman" w:hAnsi="Times New Roman" w:cs="Times New Roman"/>
                <w:b/>
                <w:bCs/>
                <w:i/>
                <w:iCs/>
              </w:rPr>
            </w:pPr>
          </w:p>
        </w:tc>
      </w:tr>
    </w:tbl>
    <w:p w14:paraId="7E3310CF" w14:textId="77777777" w:rsidR="007A743C" w:rsidRPr="009F5AA0" w:rsidRDefault="007A743C" w:rsidP="00A66371">
      <w:pPr>
        <w:autoSpaceDE w:val="0"/>
        <w:autoSpaceDN w:val="0"/>
        <w:adjustRightInd w:val="0"/>
        <w:spacing w:after="0" w:line="240" w:lineRule="exact"/>
        <w:rPr>
          <w:rFonts w:ascii="Calibri" w:hAnsi="Calibri" w:cs="Calibri"/>
          <w:color w:val="000000"/>
        </w:rPr>
      </w:pPr>
      <w:r w:rsidRPr="009F5AA0">
        <w:rPr>
          <w:rFonts w:ascii="Calibri" w:hAnsi="Calibri" w:cs="Calibri"/>
          <w:color w:val="000000"/>
        </w:rPr>
        <w:t>Following is a detailed example of how the accounting would work for a unit with $14 million of expenditures:</w:t>
      </w:r>
    </w:p>
    <w:p w14:paraId="0818D4F5" w14:textId="77777777" w:rsidR="007A743C" w:rsidRPr="009F5AA0" w:rsidRDefault="007A743C" w:rsidP="00A66371">
      <w:pPr>
        <w:autoSpaceDE w:val="0"/>
        <w:autoSpaceDN w:val="0"/>
        <w:adjustRightInd w:val="0"/>
        <w:spacing w:after="0" w:line="240" w:lineRule="exact"/>
        <w:ind w:left="360"/>
        <w:rPr>
          <w:rFonts w:ascii="Calibri" w:hAnsi="Calibri" w:cs="Calibri"/>
          <w:color w:val="000000"/>
        </w:rPr>
      </w:pPr>
    </w:p>
    <w:tbl>
      <w:tblPr>
        <w:tblW w:w="0" w:type="auto"/>
        <w:tblInd w:w="64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505"/>
        <w:gridCol w:w="3505"/>
      </w:tblGrid>
      <w:tr w:rsidR="007A743C" w:rsidRPr="009F5AA0" w14:paraId="77C36748" w14:textId="77777777" w:rsidTr="009B64D1">
        <w:trPr>
          <w:trHeight w:val="120"/>
        </w:trPr>
        <w:tc>
          <w:tcPr>
            <w:tcW w:w="3505" w:type="dxa"/>
            <w:shd w:val="clear" w:color="auto" w:fill="BFBFBF" w:themeFill="background1" w:themeFillShade="BF"/>
          </w:tcPr>
          <w:p w14:paraId="3BAE62F1"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bCs/>
                <w:color w:val="000000"/>
              </w:rPr>
              <w:t xml:space="preserve">Expenditures </w:t>
            </w:r>
          </w:p>
        </w:tc>
        <w:tc>
          <w:tcPr>
            <w:tcW w:w="3505" w:type="dxa"/>
            <w:shd w:val="clear" w:color="auto" w:fill="BFBFBF" w:themeFill="background1" w:themeFillShade="BF"/>
          </w:tcPr>
          <w:p w14:paraId="2C168A46"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bCs/>
                <w:color w:val="000000"/>
              </w:rPr>
              <w:t xml:space="preserve">Admin Overhead Charged </w:t>
            </w:r>
          </w:p>
        </w:tc>
      </w:tr>
      <w:tr w:rsidR="007A743C" w:rsidRPr="009F5AA0" w14:paraId="7C161106" w14:textId="77777777" w:rsidTr="009B64D1">
        <w:trPr>
          <w:trHeight w:val="120"/>
        </w:trPr>
        <w:tc>
          <w:tcPr>
            <w:tcW w:w="3505" w:type="dxa"/>
          </w:tcPr>
          <w:p w14:paraId="1E5E3CC7"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color w:val="000000"/>
              </w:rPr>
              <w:t xml:space="preserve">First $5 million </w:t>
            </w:r>
          </w:p>
        </w:tc>
        <w:tc>
          <w:tcPr>
            <w:tcW w:w="3505" w:type="dxa"/>
          </w:tcPr>
          <w:p w14:paraId="204E6F71" w14:textId="77777777" w:rsidR="007A743C" w:rsidRPr="009F5AA0" w:rsidRDefault="00D25BB6" w:rsidP="00D25BB6">
            <w:pPr>
              <w:autoSpaceDE w:val="0"/>
              <w:autoSpaceDN w:val="0"/>
              <w:adjustRightInd w:val="0"/>
              <w:spacing w:after="0" w:line="240" w:lineRule="auto"/>
              <w:rPr>
                <w:rFonts w:cs="Calibri"/>
                <w:color w:val="000000"/>
              </w:rPr>
            </w:pPr>
            <w:r w:rsidRPr="009F5AA0">
              <w:rPr>
                <w:rFonts w:cs="Calibri"/>
                <w:color w:val="000000"/>
              </w:rPr>
              <w:t>$285</w:t>
            </w:r>
            <w:r w:rsidR="007A743C" w:rsidRPr="009F5AA0">
              <w:rPr>
                <w:rFonts w:cs="Calibri"/>
                <w:color w:val="000000"/>
              </w:rPr>
              <w:t xml:space="preserve">,000 </w:t>
            </w:r>
          </w:p>
        </w:tc>
      </w:tr>
      <w:tr w:rsidR="007A743C" w:rsidRPr="009F5AA0" w14:paraId="571B5999" w14:textId="77777777" w:rsidTr="009B64D1">
        <w:trPr>
          <w:trHeight w:val="120"/>
        </w:trPr>
        <w:tc>
          <w:tcPr>
            <w:tcW w:w="3505" w:type="dxa"/>
          </w:tcPr>
          <w:p w14:paraId="7597FE40"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color w:val="000000"/>
              </w:rPr>
              <w:t xml:space="preserve">Next $5 million </w:t>
            </w:r>
          </w:p>
        </w:tc>
        <w:tc>
          <w:tcPr>
            <w:tcW w:w="3505" w:type="dxa"/>
          </w:tcPr>
          <w:p w14:paraId="6301CCD1" w14:textId="77777777" w:rsidR="007A743C" w:rsidRPr="009F5AA0" w:rsidRDefault="007A743C" w:rsidP="00D25BB6">
            <w:pPr>
              <w:autoSpaceDE w:val="0"/>
              <w:autoSpaceDN w:val="0"/>
              <w:adjustRightInd w:val="0"/>
              <w:spacing w:after="0" w:line="240" w:lineRule="auto"/>
              <w:rPr>
                <w:rFonts w:cs="Calibri"/>
                <w:color w:val="000000"/>
              </w:rPr>
            </w:pPr>
            <w:r w:rsidRPr="009F5AA0">
              <w:rPr>
                <w:rFonts w:cs="Calibri"/>
                <w:color w:val="000000"/>
              </w:rPr>
              <w:t>$2</w:t>
            </w:r>
            <w:r w:rsidR="00D25BB6" w:rsidRPr="009F5AA0">
              <w:rPr>
                <w:rFonts w:cs="Calibri"/>
                <w:color w:val="000000"/>
              </w:rPr>
              <w:t>6</w:t>
            </w:r>
            <w:r w:rsidRPr="009F5AA0">
              <w:rPr>
                <w:rFonts w:cs="Calibri"/>
                <w:color w:val="000000"/>
              </w:rPr>
              <w:t xml:space="preserve">5,000 </w:t>
            </w:r>
          </w:p>
        </w:tc>
      </w:tr>
      <w:tr w:rsidR="007A743C" w:rsidRPr="009F5AA0" w14:paraId="414552B0" w14:textId="77777777" w:rsidTr="009B64D1">
        <w:trPr>
          <w:trHeight w:val="120"/>
        </w:trPr>
        <w:tc>
          <w:tcPr>
            <w:tcW w:w="3505" w:type="dxa"/>
          </w:tcPr>
          <w:p w14:paraId="4F491D18"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color w:val="000000"/>
              </w:rPr>
              <w:t xml:space="preserve">Next $4 million </w:t>
            </w:r>
          </w:p>
        </w:tc>
        <w:tc>
          <w:tcPr>
            <w:tcW w:w="3505" w:type="dxa"/>
          </w:tcPr>
          <w:p w14:paraId="42EE0BBE" w14:textId="77777777" w:rsidR="007A743C" w:rsidRPr="009F5AA0" w:rsidRDefault="00D25BB6" w:rsidP="00D25BB6">
            <w:pPr>
              <w:autoSpaceDE w:val="0"/>
              <w:autoSpaceDN w:val="0"/>
              <w:adjustRightInd w:val="0"/>
              <w:spacing w:after="0" w:line="240" w:lineRule="auto"/>
              <w:rPr>
                <w:rFonts w:cs="Calibri"/>
                <w:color w:val="000000"/>
              </w:rPr>
            </w:pPr>
            <w:r w:rsidRPr="009F5AA0">
              <w:rPr>
                <w:rFonts w:cs="Calibri"/>
                <w:color w:val="000000"/>
              </w:rPr>
              <w:t>$192</w:t>
            </w:r>
            <w:r w:rsidR="007A743C" w:rsidRPr="009F5AA0">
              <w:rPr>
                <w:rFonts w:cs="Calibri"/>
                <w:color w:val="000000"/>
              </w:rPr>
              <w:t xml:space="preserve">,000 </w:t>
            </w:r>
          </w:p>
        </w:tc>
      </w:tr>
      <w:tr w:rsidR="007A743C" w:rsidRPr="009F5AA0" w14:paraId="3DEAEF26" w14:textId="77777777" w:rsidTr="009B64D1">
        <w:trPr>
          <w:trHeight w:val="120"/>
        </w:trPr>
        <w:tc>
          <w:tcPr>
            <w:tcW w:w="3505" w:type="dxa"/>
          </w:tcPr>
          <w:p w14:paraId="1B81FB89"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color w:val="000000"/>
              </w:rPr>
              <w:t xml:space="preserve">Total </w:t>
            </w:r>
          </w:p>
        </w:tc>
        <w:tc>
          <w:tcPr>
            <w:tcW w:w="3505" w:type="dxa"/>
          </w:tcPr>
          <w:p w14:paraId="649B8930" w14:textId="77777777" w:rsidR="007A743C" w:rsidRPr="009F5AA0" w:rsidRDefault="00D25BB6" w:rsidP="007A743C">
            <w:pPr>
              <w:autoSpaceDE w:val="0"/>
              <w:autoSpaceDN w:val="0"/>
              <w:adjustRightInd w:val="0"/>
              <w:spacing w:after="0" w:line="240" w:lineRule="auto"/>
              <w:rPr>
                <w:rFonts w:cs="Calibri"/>
                <w:color w:val="000000"/>
              </w:rPr>
            </w:pPr>
            <w:r w:rsidRPr="009F5AA0">
              <w:rPr>
                <w:rFonts w:cs="Calibri"/>
                <w:color w:val="000000"/>
              </w:rPr>
              <w:t>$742</w:t>
            </w:r>
            <w:r w:rsidR="007A743C" w:rsidRPr="009F5AA0">
              <w:rPr>
                <w:rFonts w:cs="Calibri"/>
                <w:color w:val="000000"/>
              </w:rPr>
              <w:t xml:space="preserve">,000 </w:t>
            </w:r>
          </w:p>
        </w:tc>
      </w:tr>
      <w:tr w:rsidR="007A743C" w:rsidRPr="009F5AA0" w14:paraId="4BD0D89A" w14:textId="77777777" w:rsidTr="009B64D1">
        <w:trPr>
          <w:trHeight w:val="120"/>
        </w:trPr>
        <w:tc>
          <w:tcPr>
            <w:tcW w:w="3505" w:type="dxa"/>
          </w:tcPr>
          <w:p w14:paraId="78E5502E" w14:textId="77777777" w:rsidR="007A743C" w:rsidRPr="009F5AA0" w:rsidRDefault="007A743C" w:rsidP="007A743C">
            <w:pPr>
              <w:autoSpaceDE w:val="0"/>
              <w:autoSpaceDN w:val="0"/>
              <w:adjustRightInd w:val="0"/>
              <w:spacing w:after="0" w:line="240" w:lineRule="auto"/>
              <w:rPr>
                <w:rFonts w:cs="Calibri"/>
                <w:color w:val="000000"/>
              </w:rPr>
            </w:pPr>
            <w:r w:rsidRPr="009F5AA0">
              <w:rPr>
                <w:rFonts w:cs="Calibri"/>
                <w:color w:val="000000"/>
              </w:rPr>
              <w:t xml:space="preserve">Total Effective Rate </w:t>
            </w:r>
          </w:p>
        </w:tc>
        <w:tc>
          <w:tcPr>
            <w:tcW w:w="3505" w:type="dxa"/>
          </w:tcPr>
          <w:p w14:paraId="1041EA94" w14:textId="77777777" w:rsidR="007A743C" w:rsidRPr="009F5AA0" w:rsidRDefault="00D25BB6" w:rsidP="007A743C">
            <w:pPr>
              <w:autoSpaceDE w:val="0"/>
              <w:autoSpaceDN w:val="0"/>
              <w:adjustRightInd w:val="0"/>
              <w:spacing w:after="0" w:line="240" w:lineRule="auto"/>
              <w:rPr>
                <w:rFonts w:cs="Calibri"/>
                <w:color w:val="000000"/>
              </w:rPr>
            </w:pPr>
            <w:r w:rsidRPr="009F5AA0">
              <w:rPr>
                <w:rFonts w:cs="Calibri"/>
                <w:color w:val="000000"/>
              </w:rPr>
              <w:t>5.3</w:t>
            </w:r>
            <w:r w:rsidR="007A743C" w:rsidRPr="009F5AA0">
              <w:rPr>
                <w:rFonts w:cs="Calibri"/>
                <w:color w:val="000000"/>
              </w:rPr>
              <w:t xml:space="preserve">% </w:t>
            </w:r>
          </w:p>
        </w:tc>
      </w:tr>
    </w:tbl>
    <w:p w14:paraId="26126590" w14:textId="77777777" w:rsidR="001C37EA" w:rsidRPr="009F5AA0" w:rsidRDefault="001C37EA" w:rsidP="001C37EA">
      <w:pPr>
        <w:pStyle w:val="Default"/>
        <w:ind w:left="360"/>
        <w:rPr>
          <w:sz w:val="22"/>
          <w:szCs w:val="22"/>
        </w:rPr>
      </w:pPr>
    </w:p>
    <w:p w14:paraId="2EF42B30" w14:textId="393AD82F" w:rsidR="008014A4" w:rsidRPr="009F5AA0" w:rsidRDefault="008014A4" w:rsidP="009B64D1">
      <w:pPr>
        <w:pStyle w:val="Default"/>
        <w:spacing w:line="240" w:lineRule="exact"/>
        <w:rPr>
          <w:b/>
          <w:bCs/>
          <w:i/>
          <w:iCs/>
          <w:sz w:val="22"/>
          <w:szCs w:val="22"/>
        </w:rPr>
      </w:pPr>
    </w:p>
    <w:p w14:paraId="628F9F04" w14:textId="4C5AA2C7" w:rsidR="00A66371" w:rsidRDefault="005726D6" w:rsidP="009B64D1">
      <w:pPr>
        <w:pStyle w:val="Default"/>
        <w:spacing w:line="240" w:lineRule="exact"/>
        <w:rPr>
          <w:b/>
          <w:bCs/>
          <w:i/>
          <w:iCs/>
          <w:sz w:val="22"/>
          <w:szCs w:val="22"/>
        </w:rPr>
      </w:pPr>
      <w:r>
        <w:rPr>
          <w:b/>
          <w:bCs/>
          <w:i/>
          <w:iCs/>
          <w:sz w:val="22"/>
          <w:szCs w:val="22"/>
        </w:rPr>
        <w:t>Additional Information</w:t>
      </w:r>
    </w:p>
    <w:p w14:paraId="4C2384DC" w14:textId="77777777" w:rsidR="005726D6" w:rsidRPr="009F5AA0" w:rsidRDefault="005726D6" w:rsidP="00A66371">
      <w:pPr>
        <w:pStyle w:val="Default"/>
        <w:spacing w:line="240" w:lineRule="exact"/>
        <w:ind w:left="360"/>
        <w:rPr>
          <w:b/>
          <w:bCs/>
          <w:i/>
          <w:iCs/>
          <w:sz w:val="22"/>
          <w:szCs w:val="22"/>
        </w:rPr>
      </w:pPr>
    </w:p>
    <w:p w14:paraId="3AD44FEB" w14:textId="4EF75692" w:rsidR="00BF4FE9" w:rsidRPr="002E7A42" w:rsidRDefault="005726D6" w:rsidP="00A66371">
      <w:pPr>
        <w:pStyle w:val="Default"/>
        <w:spacing w:line="240" w:lineRule="exact"/>
        <w:rPr>
          <w:color w:val="0563C1" w:themeColor="hyperlink"/>
          <w:sz w:val="22"/>
          <w:szCs w:val="22"/>
          <w:u w:val="single"/>
        </w:rPr>
      </w:pPr>
      <w:r>
        <w:rPr>
          <w:sz w:val="22"/>
          <w:szCs w:val="22"/>
        </w:rPr>
        <w:t xml:space="preserve">For additional </w:t>
      </w:r>
      <w:r w:rsidR="002E7A42">
        <w:rPr>
          <w:sz w:val="22"/>
          <w:szCs w:val="22"/>
        </w:rPr>
        <w:t xml:space="preserve">information regarding </w:t>
      </w:r>
      <w:r w:rsidR="008A5E29">
        <w:rPr>
          <w:sz w:val="22"/>
          <w:szCs w:val="22"/>
        </w:rPr>
        <w:t>overhead rates</w:t>
      </w:r>
      <w:r w:rsidR="002E7A42">
        <w:rPr>
          <w:sz w:val="22"/>
          <w:szCs w:val="22"/>
        </w:rPr>
        <w:t>,</w:t>
      </w:r>
      <w:r w:rsidR="008A5E29">
        <w:rPr>
          <w:sz w:val="22"/>
          <w:szCs w:val="22"/>
        </w:rPr>
        <w:t xml:space="preserve"> </w:t>
      </w:r>
      <w:r>
        <w:rPr>
          <w:sz w:val="22"/>
          <w:szCs w:val="22"/>
        </w:rPr>
        <w:t>please see</w:t>
      </w:r>
      <w:r w:rsidR="008A5E29">
        <w:rPr>
          <w:sz w:val="22"/>
          <w:szCs w:val="22"/>
        </w:rPr>
        <w:t xml:space="preserve"> the Overhead Rate </w:t>
      </w:r>
      <w:r w:rsidR="00440F63" w:rsidRPr="009F5AA0">
        <w:rPr>
          <w:sz w:val="22"/>
          <w:szCs w:val="22"/>
        </w:rPr>
        <w:t xml:space="preserve">website </w:t>
      </w:r>
      <w:r>
        <w:rPr>
          <w:sz w:val="22"/>
          <w:szCs w:val="22"/>
        </w:rPr>
        <w:t xml:space="preserve"> </w:t>
      </w:r>
      <w:hyperlink r:id="rId13" w:history="1">
        <w:r w:rsidRPr="00174804">
          <w:rPr>
            <w:rStyle w:val="Hyperlink"/>
            <w:sz w:val="22"/>
            <w:szCs w:val="22"/>
          </w:rPr>
          <w:t>http://ba.uoregon.edu/content/department-assessments</w:t>
        </w:r>
      </w:hyperlink>
      <w:r w:rsidRPr="00174804">
        <w:rPr>
          <w:sz w:val="22"/>
          <w:szCs w:val="22"/>
        </w:rPr>
        <w:t xml:space="preserve"> or contact Stuart Laing at slaing@uoregon.edu</w:t>
      </w:r>
    </w:p>
    <w:sectPr w:rsidR="00BF4FE9" w:rsidRPr="002E7A42" w:rsidSect="00777A6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09D"/>
    <w:multiLevelType w:val="hybridMultilevel"/>
    <w:tmpl w:val="2B583048"/>
    <w:lvl w:ilvl="0" w:tplc="614C0C4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A15080F"/>
    <w:multiLevelType w:val="hybridMultilevel"/>
    <w:tmpl w:val="B538B21A"/>
    <w:lvl w:ilvl="0" w:tplc="9146D10E">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51F64"/>
    <w:multiLevelType w:val="hybridMultilevel"/>
    <w:tmpl w:val="D0028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552202"/>
    <w:multiLevelType w:val="hybridMultilevel"/>
    <w:tmpl w:val="4C98D548"/>
    <w:lvl w:ilvl="0" w:tplc="842AE3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654C"/>
    <w:multiLevelType w:val="hybridMultilevel"/>
    <w:tmpl w:val="C4CC45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2C9232F"/>
    <w:multiLevelType w:val="hybridMultilevel"/>
    <w:tmpl w:val="D9F2C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83A86"/>
    <w:multiLevelType w:val="hybridMultilevel"/>
    <w:tmpl w:val="E6F0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76E81"/>
    <w:multiLevelType w:val="hybridMultilevel"/>
    <w:tmpl w:val="41B2D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2E2B31"/>
    <w:multiLevelType w:val="hybridMultilevel"/>
    <w:tmpl w:val="57CA7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EC77DE"/>
    <w:multiLevelType w:val="hybridMultilevel"/>
    <w:tmpl w:val="9AA4ED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4B4078"/>
    <w:multiLevelType w:val="hybridMultilevel"/>
    <w:tmpl w:val="7846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60CEB"/>
    <w:multiLevelType w:val="hybridMultilevel"/>
    <w:tmpl w:val="88582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B761EA"/>
    <w:multiLevelType w:val="hybridMultilevel"/>
    <w:tmpl w:val="D28619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6517968"/>
    <w:multiLevelType w:val="hybridMultilevel"/>
    <w:tmpl w:val="38E04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F2512B"/>
    <w:multiLevelType w:val="hybridMultilevel"/>
    <w:tmpl w:val="5394BE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31F4EB8"/>
    <w:multiLevelType w:val="hybridMultilevel"/>
    <w:tmpl w:val="C1268956"/>
    <w:lvl w:ilvl="0" w:tplc="E578C06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7"/>
  </w:num>
  <w:num w:numId="5">
    <w:abstractNumId w:val="2"/>
  </w:num>
  <w:num w:numId="6">
    <w:abstractNumId w:val="13"/>
  </w:num>
  <w:num w:numId="7">
    <w:abstractNumId w:val="12"/>
  </w:num>
  <w:num w:numId="8">
    <w:abstractNumId w:val="8"/>
  </w:num>
  <w:num w:numId="9">
    <w:abstractNumId w:val="9"/>
  </w:num>
  <w:num w:numId="10">
    <w:abstractNumId w:val="0"/>
  </w:num>
  <w:num w:numId="11">
    <w:abstractNumId w:val="15"/>
  </w:num>
  <w:num w:numId="12">
    <w:abstractNumId w:val="0"/>
  </w:num>
  <w:num w:numId="13">
    <w:abstractNumId w:val="14"/>
  </w:num>
  <w:num w:numId="14">
    <w:abstractNumId w:val="4"/>
  </w:num>
  <w:num w:numId="15">
    <w:abstractNumId w:val="6"/>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4D"/>
    <w:rsid w:val="00010301"/>
    <w:rsid w:val="000158B6"/>
    <w:rsid w:val="00065897"/>
    <w:rsid w:val="0009190A"/>
    <w:rsid w:val="000B1921"/>
    <w:rsid w:val="000D7B31"/>
    <w:rsid w:val="000E4B9B"/>
    <w:rsid w:val="00106C76"/>
    <w:rsid w:val="00110525"/>
    <w:rsid w:val="0015056B"/>
    <w:rsid w:val="00150CEF"/>
    <w:rsid w:val="001632F3"/>
    <w:rsid w:val="00174804"/>
    <w:rsid w:val="001A0C6E"/>
    <w:rsid w:val="001A379F"/>
    <w:rsid w:val="001A607B"/>
    <w:rsid w:val="001C37EA"/>
    <w:rsid w:val="001F4608"/>
    <w:rsid w:val="00201824"/>
    <w:rsid w:val="00211C7D"/>
    <w:rsid w:val="00247CDB"/>
    <w:rsid w:val="002E7A42"/>
    <w:rsid w:val="00310DCB"/>
    <w:rsid w:val="00313D55"/>
    <w:rsid w:val="00313F84"/>
    <w:rsid w:val="003277C7"/>
    <w:rsid w:val="003A6382"/>
    <w:rsid w:val="004005B7"/>
    <w:rsid w:val="00433D73"/>
    <w:rsid w:val="00440F63"/>
    <w:rsid w:val="00463529"/>
    <w:rsid w:val="00483441"/>
    <w:rsid w:val="004A416A"/>
    <w:rsid w:val="004D5BA1"/>
    <w:rsid w:val="00503D66"/>
    <w:rsid w:val="0050532C"/>
    <w:rsid w:val="005217BE"/>
    <w:rsid w:val="005726D6"/>
    <w:rsid w:val="005856F8"/>
    <w:rsid w:val="005C506B"/>
    <w:rsid w:val="005E19CC"/>
    <w:rsid w:val="005E658F"/>
    <w:rsid w:val="005F313E"/>
    <w:rsid w:val="00623655"/>
    <w:rsid w:val="006337EE"/>
    <w:rsid w:val="00683B22"/>
    <w:rsid w:val="006876AA"/>
    <w:rsid w:val="006965AF"/>
    <w:rsid w:val="006D20E4"/>
    <w:rsid w:val="006E5B5F"/>
    <w:rsid w:val="006F166B"/>
    <w:rsid w:val="006F6993"/>
    <w:rsid w:val="00711947"/>
    <w:rsid w:val="0073194D"/>
    <w:rsid w:val="007361B2"/>
    <w:rsid w:val="00741476"/>
    <w:rsid w:val="00741606"/>
    <w:rsid w:val="00743DB7"/>
    <w:rsid w:val="00750751"/>
    <w:rsid w:val="00753BB4"/>
    <w:rsid w:val="007606E6"/>
    <w:rsid w:val="007673F7"/>
    <w:rsid w:val="00777A6B"/>
    <w:rsid w:val="007928C3"/>
    <w:rsid w:val="007A743C"/>
    <w:rsid w:val="008014A4"/>
    <w:rsid w:val="00807757"/>
    <w:rsid w:val="00813713"/>
    <w:rsid w:val="00820790"/>
    <w:rsid w:val="00822C7B"/>
    <w:rsid w:val="008475F4"/>
    <w:rsid w:val="00867612"/>
    <w:rsid w:val="00874DBE"/>
    <w:rsid w:val="00882938"/>
    <w:rsid w:val="00893829"/>
    <w:rsid w:val="008938F2"/>
    <w:rsid w:val="008A5E29"/>
    <w:rsid w:val="008D64D2"/>
    <w:rsid w:val="008E1482"/>
    <w:rsid w:val="00930E8F"/>
    <w:rsid w:val="0093495C"/>
    <w:rsid w:val="009400E8"/>
    <w:rsid w:val="00973BA5"/>
    <w:rsid w:val="00973D8F"/>
    <w:rsid w:val="009927E9"/>
    <w:rsid w:val="009929B1"/>
    <w:rsid w:val="00997476"/>
    <w:rsid w:val="009B64D1"/>
    <w:rsid w:val="009F5AA0"/>
    <w:rsid w:val="009F6D7C"/>
    <w:rsid w:val="00A01471"/>
    <w:rsid w:val="00A66371"/>
    <w:rsid w:val="00A71200"/>
    <w:rsid w:val="00A75589"/>
    <w:rsid w:val="00AA696D"/>
    <w:rsid w:val="00AB0A09"/>
    <w:rsid w:val="00AB4340"/>
    <w:rsid w:val="00AC52A7"/>
    <w:rsid w:val="00AE1AFA"/>
    <w:rsid w:val="00B0327B"/>
    <w:rsid w:val="00B62670"/>
    <w:rsid w:val="00B7707F"/>
    <w:rsid w:val="00B8547C"/>
    <w:rsid w:val="00BB3B7D"/>
    <w:rsid w:val="00BB4290"/>
    <w:rsid w:val="00BE69EE"/>
    <w:rsid w:val="00BF4668"/>
    <w:rsid w:val="00BF4FE9"/>
    <w:rsid w:val="00C26AFF"/>
    <w:rsid w:val="00C33701"/>
    <w:rsid w:val="00C52668"/>
    <w:rsid w:val="00C910C5"/>
    <w:rsid w:val="00CE6C3B"/>
    <w:rsid w:val="00CE6CB0"/>
    <w:rsid w:val="00CF00E6"/>
    <w:rsid w:val="00CF6763"/>
    <w:rsid w:val="00D078CE"/>
    <w:rsid w:val="00D22474"/>
    <w:rsid w:val="00D25BB6"/>
    <w:rsid w:val="00D42C0B"/>
    <w:rsid w:val="00D512B9"/>
    <w:rsid w:val="00D72332"/>
    <w:rsid w:val="00DC66C8"/>
    <w:rsid w:val="00DE008A"/>
    <w:rsid w:val="00DF5E4F"/>
    <w:rsid w:val="00E21CAC"/>
    <w:rsid w:val="00EE7483"/>
    <w:rsid w:val="00F02813"/>
    <w:rsid w:val="00F0596D"/>
    <w:rsid w:val="00F21B43"/>
    <w:rsid w:val="00FE5B70"/>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443F"/>
  <w15:chartTrackingRefBased/>
  <w15:docId w15:val="{448FA428-458A-416E-A49D-486B5CC0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194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C37EA"/>
    <w:rPr>
      <w:color w:val="0563C1" w:themeColor="hyperlink"/>
      <w:u w:val="single"/>
    </w:rPr>
  </w:style>
  <w:style w:type="paragraph" w:styleId="ListParagraph">
    <w:name w:val="List Paragraph"/>
    <w:basedOn w:val="Normal"/>
    <w:uiPriority w:val="34"/>
    <w:qFormat/>
    <w:rsid w:val="00440F63"/>
    <w:pPr>
      <w:ind w:left="720"/>
      <w:contextualSpacing/>
    </w:pPr>
  </w:style>
  <w:style w:type="character" w:styleId="FollowedHyperlink">
    <w:name w:val="FollowedHyperlink"/>
    <w:basedOn w:val="DefaultParagraphFont"/>
    <w:uiPriority w:val="99"/>
    <w:semiHidden/>
    <w:unhideWhenUsed/>
    <w:rsid w:val="00440F63"/>
    <w:rPr>
      <w:color w:val="954F72" w:themeColor="followedHyperlink"/>
      <w:u w:val="single"/>
    </w:rPr>
  </w:style>
  <w:style w:type="paragraph" w:styleId="NoSpacing">
    <w:name w:val="No Spacing"/>
    <w:uiPriority w:val="1"/>
    <w:qFormat/>
    <w:rsid w:val="00E21CAC"/>
    <w:pPr>
      <w:spacing w:after="0" w:line="240" w:lineRule="auto"/>
    </w:pPr>
  </w:style>
  <w:style w:type="character" w:styleId="CommentReference">
    <w:name w:val="annotation reference"/>
    <w:basedOn w:val="DefaultParagraphFont"/>
    <w:uiPriority w:val="99"/>
    <w:semiHidden/>
    <w:unhideWhenUsed/>
    <w:rsid w:val="00820790"/>
    <w:rPr>
      <w:sz w:val="16"/>
      <w:szCs w:val="16"/>
    </w:rPr>
  </w:style>
  <w:style w:type="paragraph" w:styleId="CommentText">
    <w:name w:val="annotation text"/>
    <w:basedOn w:val="Normal"/>
    <w:link w:val="CommentTextChar"/>
    <w:uiPriority w:val="99"/>
    <w:semiHidden/>
    <w:unhideWhenUsed/>
    <w:rsid w:val="00820790"/>
    <w:pPr>
      <w:spacing w:line="240" w:lineRule="auto"/>
    </w:pPr>
    <w:rPr>
      <w:sz w:val="20"/>
      <w:szCs w:val="20"/>
    </w:rPr>
  </w:style>
  <w:style w:type="character" w:customStyle="1" w:styleId="CommentTextChar">
    <w:name w:val="Comment Text Char"/>
    <w:basedOn w:val="DefaultParagraphFont"/>
    <w:link w:val="CommentText"/>
    <w:uiPriority w:val="99"/>
    <w:semiHidden/>
    <w:rsid w:val="00820790"/>
    <w:rPr>
      <w:sz w:val="20"/>
      <w:szCs w:val="20"/>
    </w:rPr>
  </w:style>
  <w:style w:type="paragraph" w:styleId="CommentSubject">
    <w:name w:val="annotation subject"/>
    <w:basedOn w:val="CommentText"/>
    <w:next w:val="CommentText"/>
    <w:link w:val="CommentSubjectChar"/>
    <w:uiPriority w:val="99"/>
    <w:semiHidden/>
    <w:unhideWhenUsed/>
    <w:rsid w:val="00820790"/>
    <w:rPr>
      <w:b/>
      <w:bCs/>
    </w:rPr>
  </w:style>
  <w:style w:type="character" w:customStyle="1" w:styleId="CommentSubjectChar">
    <w:name w:val="Comment Subject Char"/>
    <w:basedOn w:val="CommentTextChar"/>
    <w:link w:val="CommentSubject"/>
    <w:uiPriority w:val="99"/>
    <w:semiHidden/>
    <w:rsid w:val="00820790"/>
    <w:rPr>
      <w:b/>
      <w:bCs/>
      <w:sz w:val="20"/>
      <w:szCs w:val="20"/>
    </w:rPr>
  </w:style>
  <w:style w:type="paragraph" w:styleId="BalloonText">
    <w:name w:val="Balloon Text"/>
    <w:basedOn w:val="Normal"/>
    <w:link w:val="BalloonTextChar"/>
    <w:uiPriority w:val="99"/>
    <w:semiHidden/>
    <w:unhideWhenUsed/>
    <w:rsid w:val="00820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790"/>
    <w:rPr>
      <w:rFonts w:ascii="Segoe UI" w:hAnsi="Segoe UI" w:cs="Segoe UI"/>
      <w:sz w:val="18"/>
      <w:szCs w:val="18"/>
    </w:rPr>
  </w:style>
  <w:style w:type="paragraph" w:styleId="Revision">
    <w:name w:val="Revision"/>
    <w:hidden/>
    <w:uiPriority w:val="99"/>
    <w:semiHidden/>
    <w:rsid w:val="009F5A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70788">
      <w:bodyDiv w:val="1"/>
      <w:marLeft w:val="0"/>
      <w:marRight w:val="0"/>
      <w:marTop w:val="0"/>
      <w:marBottom w:val="0"/>
      <w:divBdr>
        <w:top w:val="none" w:sz="0" w:space="0" w:color="auto"/>
        <w:left w:val="none" w:sz="0" w:space="0" w:color="auto"/>
        <w:bottom w:val="none" w:sz="0" w:space="0" w:color="auto"/>
        <w:right w:val="none" w:sz="0" w:space="0" w:color="auto"/>
      </w:divBdr>
    </w:div>
    <w:div w:id="467403178">
      <w:bodyDiv w:val="1"/>
      <w:marLeft w:val="0"/>
      <w:marRight w:val="0"/>
      <w:marTop w:val="0"/>
      <w:marBottom w:val="0"/>
      <w:divBdr>
        <w:top w:val="none" w:sz="0" w:space="0" w:color="auto"/>
        <w:left w:val="none" w:sz="0" w:space="0" w:color="auto"/>
        <w:bottom w:val="none" w:sz="0" w:space="0" w:color="auto"/>
        <w:right w:val="none" w:sz="0" w:space="0" w:color="auto"/>
      </w:divBdr>
    </w:div>
    <w:div w:id="979724843">
      <w:bodyDiv w:val="1"/>
      <w:marLeft w:val="0"/>
      <w:marRight w:val="0"/>
      <w:marTop w:val="0"/>
      <w:marBottom w:val="0"/>
      <w:divBdr>
        <w:top w:val="none" w:sz="0" w:space="0" w:color="auto"/>
        <w:left w:val="none" w:sz="0" w:space="0" w:color="auto"/>
        <w:bottom w:val="none" w:sz="0" w:space="0" w:color="auto"/>
        <w:right w:val="none" w:sz="0" w:space="0" w:color="auto"/>
      </w:divBdr>
    </w:div>
    <w:div w:id="1261989027">
      <w:bodyDiv w:val="1"/>
      <w:marLeft w:val="0"/>
      <w:marRight w:val="0"/>
      <w:marTop w:val="0"/>
      <w:marBottom w:val="0"/>
      <w:divBdr>
        <w:top w:val="none" w:sz="0" w:space="0" w:color="auto"/>
        <w:left w:val="none" w:sz="0" w:space="0" w:color="auto"/>
        <w:bottom w:val="none" w:sz="0" w:space="0" w:color="auto"/>
        <w:right w:val="none" w:sz="0" w:space="0" w:color="auto"/>
      </w:divBdr>
    </w:div>
    <w:div w:id="1366058949">
      <w:bodyDiv w:val="1"/>
      <w:marLeft w:val="0"/>
      <w:marRight w:val="0"/>
      <w:marTop w:val="0"/>
      <w:marBottom w:val="0"/>
      <w:divBdr>
        <w:top w:val="none" w:sz="0" w:space="0" w:color="auto"/>
        <w:left w:val="none" w:sz="0" w:space="0" w:color="auto"/>
        <w:bottom w:val="none" w:sz="0" w:space="0" w:color="auto"/>
        <w:right w:val="none" w:sz="0" w:space="0" w:color="auto"/>
      </w:divBdr>
    </w:div>
    <w:div w:id="1512640643">
      <w:bodyDiv w:val="1"/>
      <w:marLeft w:val="0"/>
      <w:marRight w:val="0"/>
      <w:marTop w:val="0"/>
      <w:marBottom w:val="0"/>
      <w:divBdr>
        <w:top w:val="none" w:sz="0" w:space="0" w:color="auto"/>
        <w:left w:val="none" w:sz="0" w:space="0" w:color="auto"/>
        <w:bottom w:val="none" w:sz="0" w:space="0" w:color="auto"/>
        <w:right w:val="none" w:sz="0" w:space="0" w:color="auto"/>
      </w:divBdr>
    </w:div>
    <w:div w:id="1775972858">
      <w:bodyDiv w:val="1"/>
      <w:marLeft w:val="0"/>
      <w:marRight w:val="0"/>
      <w:marTop w:val="0"/>
      <w:marBottom w:val="0"/>
      <w:divBdr>
        <w:top w:val="none" w:sz="0" w:space="0" w:color="auto"/>
        <w:left w:val="none" w:sz="0" w:space="0" w:color="auto"/>
        <w:bottom w:val="none" w:sz="0" w:space="0" w:color="auto"/>
        <w:right w:val="none" w:sz="0" w:space="0" w:color="auto"/>
      </w:divBdr>
    </w:div>
    <w:div w:id="1805001021">
      <w:bodyDiv w:val="1"/>
      <w:marLeft w:val="0"/>
      <w:marRight w:val="0"/>
      <w:marTop w:val="0"/>
      <w:marBottom w:val="0"/>
      <w:divBdr>
        <w:top w:val="none" w:sz="0" w:space="0" w:color="auto"/>
        <w:left w:val="none" w:sz="0" w:space="0" w:color="auto"/>
        <w:bottom w:val="none" w:sz="0" w:space="0" w:color="auto"/>
        <w:right w:val="none" w:sz="0" w:space="0" w:color="auto"/>
      </w:divBdr>
    </w:div>
    <w:div w:id="2082097092">
      <w:bodyDiv w:val="1"/>
      <w:marLeft w:val="0"/>
      <w:marRight w:val="0"/>
      <w:marTop w:val="0"/>
      <w:marBottom w:val="0"/>
      <w:divBdr>
        <w:top w:val="none" w:sz="0" w:space="0" w:color="auto"/>
        <w:left w:val="none" w:sz="0" w:space="0" w:color="auto"/>
        <w:bottom w:val="none" w:sz="0" w:space="0" w:color="auto"/>
        <w:right w:val="none" w:sz="0" w:space="0" w:color="auto"/>
      </w:divBdr>
    </w:div>
    <w:div w:id="21209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uoregon.edu/content/department-assessments" TargetMode="External"/><Relationship Id="rId13" Type="http://schemas.openxmlformats.org/officeDocument/2006/relationships/hyperlink" Target="http://ba.uoregon.edu/content/department-assessments" TargetMode="External"/><Relationship Id="rId3" Type="http://schemas.openxmlformats.org/officeDocument/2006/relationships/styles" Target="styles.xml"/><Relationship Id="rId7" Type="http://schemas.openxmlformats.org/officeDocument/2006/relationships/hyperlink" Target="http://ba.uoregon.edu/content/department-assessments" TargetMode="External"/><Relationship Id="rId12" Type="http://schemas.openxmlformats.org/officeDocument/2006/relationships/hyperlink" Target="http://ba.uoregon.edu/content/department-assess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uoregon.edu/content/department-assessments" TargetMode="External"/><Relationship Id="rId11" Type="http://schemas.openxmlformats.org/officeDocument/2006/relationships/hyperlink" Target="http://ba.uoregon.edu/content/department-assessm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x-apple-data-detectors://5" TargetMode="External"/><Relationship Id="rId4" Type="http://schemas.openxmlformats.org/officeDocument/2006/relationships/settings" Target="settings.xml"/><Relationship Id="rId9" Type="http://schemas.openxmlformats.org/officeDocument/2006/relationships/hyperlink" Target="x-apple-data-detector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61190-D3E7-4787-AF1C-1B641DE1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Keila Mintz</dc:creator>
  <cp:keywords/>
  <dc:description/>
  <cp:lastModifiedBy>Jamie Moffitt</cp:lastModifiedBy>
  <cp:revision>4</cp:revision>
  <dcterms:created xsi:type="dcterms:W3CDTF">2016-12-19T03:01:00Z</dcterms:created>
  <dcterms:modified xsi:type="dcterms:W3CDTF">2016-12-20T05:30:00Z</dcterms:modified>
</cp:coreProperties>
</file>