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1D794F" w:rsidRPr="00A211EA" w14:paraId="263A9E4B" w14:textId="77777777" w:rsidTr="001D794F">
        <w:trPr>
          <w:cantSplit/>
          <w:trHeight w:val="350"/>
        </w:trPr>
        <w:tc>
          <w:tcPr>
            <w:tcW w:w="10975" w:type="dxa"/>
          </w:tcPr>
          <w:p w14:paraId="0D1256EE" w14:textId="77777777" w:rsidR="007A43F5" w:rsidRPr="00E44125" w:rsidRDefault="00A211EA" w:rsidP="007A43F5">
            <w:pPr>
              <w:spacing w:after="360"/>
              <w:rPr>
                <w:b/>
                <w:sz w:val="36"/>
              </w:rPr>
            </w:pPr>
            <w:r w:rsidRPr="00E44125">
              <w:rPr>
                <w:noProof/>
                <w:sz w:val="36"/>
              </w:rPr>
              <w:drawing>
                <wp:anchor distT="0" distB="0" distL="114300" distR="114300" simplePos="0" relativeHeight="251658240" behindDoc="0" locked="0" layoutInCell="1" allowOverlap="1" wp14:anchorId="6AB6A37D" wp14:editId="7BAAF502">
                  <wp:simplePos x="0" y="0"/>
                  <wp:positionH relativeFrom="column">
                    <wp:posOffset>6157595</wp:posOffset>
                  </wp:positionH>
                  <wp:positionV relativeFrom="paragraph">
                    <wp:posOffset>31115</wp:posOffset>
                  </wp:positionV>
                  <wp:extent cx="694330" cy="6286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ack block with white O.g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26" t="43842" r="55465" b="44313"/>
                          <a:stretch/>
                        </pic:blipFill>
                        <pic:spPr bwMode="auto">
                          <a:xfrm>
                            <a:off x="0" y="0"/>
                            <a:ext cx="69433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468C" w:rsidRPr="00E44125">
              <w:rPr>
                <w:b/>
                <w:sz w:val="52"/>
              </w:rPr>
              <w:t>On</w:t>
            </w:r>
            <w:r w:rsidR="007A43F5" w:rsidRPr="00E44125">
              <w:rPr>
                <w:b/>
                <w:sz w:val="52"/>
              </w:rPr>
              <w:t>boarding Checklist</w:t>
            </w:r>
            <w:r w:rsidR="00CF5490" w:rsidRPr="00E44125">
              <w:rPr>
                <w:b/>
                <w:sz w:val="52"/>
              </w:rPr>
              <w:t xml:space="preserve">: </w:t>
            </w:r>
            <w:r w:rsidR="00E44125" w:rsidRPr="00E44125">
              <w:rPr>
                <w:b/>
                <w:sz w:val="52"/>
              </w:rPr>
              <w:br/>
            </w:r>
            <w:r w:rsidR="00CF5490" w:rsidRPr="00E44125">
              <w:rPr>
                <w:b/>
                <w:sz w:val="40"/>
                <w:szCs w:val="36"/>
              </w:rPr>
              <w:t>Faculty</w:t>
            </w:r>
            <w:r w:rsidR="00CF5490" w:rsidRPr="00E44125">
              <w:rPr>
                <w:b/>
                <w:sz w:val="56"/>
              </w:rPr>
              <w:t xml:space="preserve"> </w:t>
            </w:r>
          </w:p>
          <w:p w14:paraId="139DADC6" w14:textId="77777777" w:rsidR="00CF5490" w:rsidRPr="00CF5490" w:rsidRDefault="004E468C" w:rsidP="00CF5490">
            <w:pPr>
              <w:spacing w:after="120"/>
              <w:rPr>
                <w:b/>
                <w:sz w:val="32"/>
              </w:rPr>
            </w:pPr>
            <w:r>
              <w:rPr>
                <w:sz w:val="28"/>
              </w:rPr>
              <w:t xml:space="preserve">New </w:t>
            </w:r>
            <w:r w:rsidR="00CF5490" w:rsidRPr="00CF5490">
              <w:rPr>
                <w:sz w:val="28"/>
              </w:rPr>
              <w:t>Faculty Member Name:_____</w:t>
            </w:r>
            <w:r>
              <w:rPr>
                <w:sz w:val="28"/>
              </w:rPr>
              <w:t>__________________     Start Date:____________</w:t>
            </w:r>
            <w:r w:rsidR="00CF5490" w:rsidRPr="00CF5490">
              <w:rPr>
                <w:sz w:val="28"/>
              </w:rPr>
              <w:t xml:space="preserve">           </w:t>
            </w:r>
          </w:p>
          <w:p w14:paraId="23203915" w14:textId="73D9AED3" w:rsidR="001D794F" w:rsidRPr="00CF5490" w:rsidRDefault="00CF5490" w:rsidP="00CF5490">
            <w:pPr>
              <w:rPr>
                <w:i/>
                <w:sz w:val="24"/>
              </w:rPr>
            </w:pPr>
            <w:r w:rsidRPr="00A211EA">
              <w:rPr>
                <w:i/>
                <w:sz w:val="24"/>
              </w:rPr>
              <w:t xml:space="preserve">This checklist provides general faculty specific items for your consideration. This is </w:t>
            </w:r>
            <w:r w:rsidR="00FD59DB">
              <w:rPr>
                <w:i/>
                <w:sz w:val="24"/>
              </w:rPr>
              <w:t xml:space="preserve">an optional resource </w:t>
            </w:r>
            <w:r w:rsidRPr="00A211EA">
              <w:rPr>
                <w:i/>
                <w:sz w:val="24"/>
              </w:rPr>
              <w:t xml:space="preserve">intended for use by </w:t>
            </w:r>
            <w:r w:rsidR="00FD59DB">
              <w:rPr>
                <w:i/>
                <w:sz w:val="24"/>
              </w:rPr>
              <w:t>a</w:t>
            </w:r>
            <w:r w:rsidRPr="00A211EA">
              <w:rPr>
                <w:i/>
                <w:sz w:val="24"/>
              </w:rPr>
              <w:t xml:space="preserve"> department representative</w:t>
            </w:r>
            <w:r w:rsidR="00FD59DB">
              <w:rPr>
                <w:i/>
                <w:sz w:val="24"/>
              </w:rPr>
              <w:t xml:space="preserve">. It </w:t>
            </w:r>
            <w:proofErr w:type="gramStart"/>
            <w:r w:rsidR="00FD59DB">
              <w:rPr>
                <w:i/>
                <w:sz w:val="24"/>
              </w:rPr>
              <w:t>is not intended to be given</w:t>
            </w:r>
            <w:proofErr w:type="gramEnd"/>
            <w:r w:rsidR="00FD59DB">
              <w:rPr>
                <w:i/>
                <w:sz w:val="24"/>
              </w:rPr>
              <w:t xml:space="preserve"> directly to a new hire.</w:t>
            </w:r>
            <w:r w:rsidRPr="00A211EA">
              <w:rPr>
                <w:i/>
                <w:sz w:val="24"/>
              </w:rPr>
              <w:t xml:space="preserve"> These items </w:t>
            </w:r>
            <w:proofErr w:type="gramStart"/>
            <w:r w:rsidRPr="00A211EA">
              <w:rPr>
                <w:i/>
                <w:sz w:val="24"/>
              </w:rPr>
              <w:t>may be adjusted as necessary or completed by various people as assigned within the department, school, or college</w:t>
            </w:r>
            <w:proofErr w:type="gramEnd"/>
            <w:r w:rsidRPr="00A211EA">
              <w:rPr>
                <w:i/>
                <w:sz w:val="24"/>
              </w:rPr>
              <w:t xml:space="preserve">. It is customizable, so you can tailor the list to meet your department/unit practices. </w:t>
            </w:r>
          </w:p>
        </w:tc>
      </w:tr>
    </w:tbl>
    <w:p w14:paraId="31D7578C" w14:textId="77777777" w:rsidR="002A376D" w:rsidRPr="00A211EA" w:rsidRDefault="002A376D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10975" w:type="dxa"/>
        <w:tblLook w:val="04A0" w:firstRow="1" w:lastRow="0" w:firstColumn="1" w:lastColumn="0" w:noHBand="0" w:noVBand="1"/>
      </w:tblPr>
      <w:tblGrid>
        <w:gridCol w:w="7645"/>
        <w:gridCol w:w="3330"/>
      </w:tblGrid>
      <w:tr w:rsidR="00487AB0" w:rsidRPr="00A211EA" w14:paraId="55E4E771" w14:textId="77777777" w:rsidTr="00487AB0">
        <w:trPr>
          <w:cantSplit/>
          <w:trHeight w:val="350"/>
        </w:trPr>
        <w:tc>
          <w:tcPr>
            <w:tcW w:w="7645" w:type="dxa"/>
            <w:shd w:val="clear" w:color="auto" w:fill="D9D9D9" w:themeFill="background1" w:themeFillShade="D9"/>
          </w:tcPr>
          <w:p w14:paraId="2D466775" w14:textId="77777777" w:rsidR="00487AB0" w:rsidRPr="00A211EA" w:rsidRDefault="003B17BF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Faculty Support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0FBC5EE" w14:textId="77777777" w:rsidR="00487AB0" w:rsidRPr="00A211EA" w:rsidRDefault="00487AB0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Notes</w:t>
            </w:r>
          </w:p>
        </w:tc>
      </w:tr>
      <w:tr w:rsidR="00487AB0" w:rsidRPr="00A211EA" w14:paraId="4609DE39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498FCBCB" w14:textId="00B45D22" w:rsidR="00487AB0" w:rsidRPr="00A211EA" w:rsidRDefault="00A27119" w:rsidP="00487AB0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Review resources available through the </w:t>
            </w:r>
            <w:hyperlink r:id="rId6" w:history="1">
              <w:r w:rsidRPr="00A27119">
                <w:rPr>
                  <w:rStyle w:val="Hyperlink"/>
                  <w:sz w:val="24"/>
                </w:rPr>
                <w:t>Office of the Provost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2C8A05B6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A27119" w:rsidRPr="00A211EA" w14:paraId="2618A4C4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00B40654" w14:textId="2FAED5A1" w:rsidR="00A27119" w:rsidRPr="00A211EA" w:rsidRDefault="00A27119" w:rsidP="00487AB0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Assist with accessing Canvas</w:t>
            </w:r>
            <w:r>
              <w:rPr>
                <w:sz w:val="24"/>
              </w:rPr>
              <w:t xml:space="preserve">; share </w:t>
            </w:r>
            <w:hyperlink r:id="rId7" w:history="1">
              <w:r w:rsidRPr="006A0F6C">
                <w:rPr>
                  <w:rStyle w:val="Hyperlink"/>
                  <w:sz w:val="24"/>
                </w:rPr>
                <w:t>Center for Media and Educational Technologies</w:t>
              </w:r>
            </w:hyperlink>
            <w:r>
              <w:rPr>
                <w:sz w:val="24"/>
              </w:rPr>
              <w:t xml:space="preserve"> (CMET) resources.</w:t>
            </w:r>
          </w:p>
        </w:tc>
        <w:tc>
          <w:tcPr>
            <w:tcW w:w="3330" w:type="dxa"/>
            <w:shd w:val="clear" w:color="auto" w:fill="auto"/>
          </w:tcPr>
          <w:p w14:paraId="15638602" w14:textId="77777777" w:rsidR="00A27119" w:rsidRPr="00A211EA" w:rsidRDefault="00A27119" w:rsidP="007871F5">
            <w:pPr>
              <w:rPr>
                <w:b/>
                <w:sz w:val="24"/>
              </w:rPr>
            </w:pPr>
          </w:p>
        </w:tc>
      </w:tr>
      <w:tr w:rsidR="00487AB0" w:rsidRPr="00A211EA" w14:paraId="560705B1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039F1903" w14:textId="27CCEBEB" w:rsidR="00487AB0" w:rsidRPr="00A211EA" w:rsidRDefault="001B388D" w:rsidP="007871F5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Discuss s</w:t>
            </w:r>
            <w:r w:rsidR="00487AB0" w:rsidRPr="00A211EA">
              <w:rPr>
                <w:sz w:val="24"/>
              </w:rPr>
              <w:t>yllabus requirements and grading culture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098F3593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487AB0" w:rsidRPr="00A211EA" w14:paraId="4F97F98E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66724777" w14:textId="7B836DF5" w:rsidR="00487AB0" w:rsidRPr="00A211EA" w:rsidRDefault="00487AB0" w:rsidP="007871F5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 xml:space="preserve">Direct to </w:t>
            </w:r>
            <w:hyperlink r:id="rId8" w:history="1">
              <w:r w:rsidRPr="00A211EA">
                <w:rPr>
                  <w:rStyle w:val="Hyperlink"/>
                  <w:sz w:val="24"/>
                </w:rPr>
                <w:t>Emergency Management resources</w:t>
              </w:r>
            </w:hyperlink>
            <w:r w:rsidRPr="00A211EA">
              <w:rPr>
                <w:sz w:val="24"/>
              </w:rPr>
              <w:t xml:space="preserve"> for faculty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492C9D36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577E1F" w:rsidRPr="00A211EA" w14:paraId="62ABC573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144DADBB" w14:textId="7C1E5D2A" w:rsidR="00577E1F" w:rsidRPr="00A211EA" w:rsidRDefault="00577E1F" w:rsidP="00577E1F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 xml:space="preserve">Introduce to the </w:t>
            </w:r>
            <w:hyperlink r:id="rId9" w:history="1">
              <w:r w:rsidRPr="00A211EA">
                <w:rPr>
                  <w:rStyle w:val="Hyperlink"/>
                  <w:sz w:val="24"/>
                </w:rPr>
                <w:t>Teaching Engagement Program</w:t>
              </w:r>
            </w:hyperlink>
            <w:r w:rsidR="00197BF5">
              <w:rPr>
                <w:rStyle w:val="Hyperlink"/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030E9D0E" w14:textId="77777777" w:rsidR="00577E1F" w:rsidRPr="00A211EA" w:rsidRDefault="00577E1F" w:rsidP="007871F5">
            <w:pPr>
              <w:rPr>
                <w:b/>
                <w:sz w:val="24"/>
              </w:rPr>
            </w:pPr>
          </w:p>
        </w:tc>
      </w:tr>
      <w:tr w:rsidR="003B17BF" w:rsidRPr="00A211EA" w14:paraId="066C0432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72C2C2CA" w14:textId="5013D8CE" w:rsidR="003B17BF" w:rsidRPr="00A211EA" w:rsidRDefault="003B17BF" w:rsidP="00197BF5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Set</w:t>
            </w:r>
            <w:r w:rsidR="00197BF5">
              <w:rPr>
                <w:sz w:val="24"/>
              </w:rPr>
              <w:t xml:space="preserve"> </w:t>
            </w:r>
            <w:r w:rsidRPr="00A211EA">
              <w:rPr>
                <w:sz w:val="24"/>
              </w:rPr>
              <w:t>up faculty profile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34B7B373" w14:textId="77777777" w:rsidR="003B17BF" w:rsidRPr="00A211EA" w:rsidRDefault="003B17BF" w:rsidP="007871F5">
            <w:pPr>
              <w:rPr>
                <w:b/>
                <w:sz w:val="24"/>
              </w:rPr>
            </w:pPr>
          </w:p>
        </w:tc>
      </w:tr>
      <w:tr w:rsidR="00487AB0" w:rsidRPr="00A211EA" w14:paraId="37B118A9" w14:textId="77777777" w:rsidTr="00487AB0">
        <w:trPr>
          <w:cantSplit/>
          <w:trHeight w:val="350"/>
        </w:trPr>
        <w:tc>
          <w:tcPr>
            <w:tcW w:w="7645" w:type="dxa"/>
            <w:shd w:val="clear" w:color="auto" w:fill="D9D9D9" w:themeFill="background1" w:themeFillShade="D9"/>
          </w:tcPr>
          <w:p w14:paraId="78E9953A" w14:textId="77777777" w:rsidR="00487AB0" w:rsidRPr="00A211EA" w:rsidRDefault="00487AB0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Fiscal Operations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40ED293" w14:textId="77777777" w:rsidR="00487AB0" w:rsidRPr="00A211EA" w:rsidRDefault="00487AB0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Notes</w:t>
            </w:r>
          </w:p>
        </w:tc>
      </w:tr>
      <w:tr w:rsidR="00487AB0" w:rsidRPr="00A211EA" w14:paraId="3097D187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200BDB45" w14:textId="7CAB3B6E" w:rsidR="00487AB0" w:rsidRPr="00A211EA" w:rsidRDefault="00197BF5" w:rsidP="00197BF5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>
              <w:rPr>
                <w:sz w:val="24"/>
              </w:rPr>
              <w:t>Discuss faculty funding [</w:t>
            </w:r>
            <w:r w:rsidR="00934571" w:rsidRPr="00A211EA">
              <w:rPr>
                <w:sz w:val="24"/>
              </w:rPr>
              <w:t>Academic Support Account</w:t>
            </w:r>
            <w:r w:rsidR="00577E1F" w:rsidRPr="00A211EA">
              <w:rPr>
                <w:sz w:val="24"/>
              </w:rPr>
              <w:t>, Start up, UMRP (under-represented minority recruitment program), IFD (initiativ</w:t>
            </w:r>
            <w:r w:rsidR="00934571" w:rsidRPr="00A211EA">
              <w:rPr>
                <w:sz w:val="24"/>
              </w:rPr>
              <w:t>e for faculty diversity</w:t>
            </w:r>
            <w:r>
              <w:rPr>
                <w:sz w:val="24"/>
              </w:rPr>
              <w:t>]</w:t>
            </w:r>
            <w:r w:rsidR="00934571" w:rsidRPr="00A211EA">
              <w:rPr>
                <w:sz w:val="24"/>
              </w:rPr>
              <w:t xml:space="preserve">, </w:t>
            </w:r>
            <w:r w:rsidR="00577E1F" w:rsidRPr="00A211EA">
              <w:rPr>
                <w:sz w:val="24"/>
              </w:rPr>
              <w:t>Vice President for Research and Innovation – award funding)</w:t>
            </w:r>
            <w:r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01E7B1AC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487AB0" w:rsidRPr="00A211EA" w14:paraId="35D0F34B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4B4DEACE" w14:textId="24713BC4" w:rsidR="00487AB0" w:rsidRPr="00A211EA" w:rsidRDefault="00577E1F" w:rsidP="007871F5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Request activity code(s), and/or dedicated indices with chart of accounts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0735CB9D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487AB0" w:rsidRPr="00A211EA" w14:paraId="5F6B7254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2C1252FF" w14:textId="270E9B62" w:rsidR="00487AB0" w:rsidRPr="00A211EA" w:rsidRDefault="00577E1F" w:rsidP="007871F5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 xml:space="preserve">Discuss </w:t>
            </w:r>
            <w:hyperlink r:id="rId10" w:history="1">
              <w:r w:rsidRPr="00A211EA">
                <w:rPr>
                  <w:rStyle w:val="Hyperlink"/>
                  <w:sz w:val="24"/>
                </w:rPr>
                <w:t>Purchasing &amp; Contracting policies and procedures</w:t>
              </w:r>
            </w:hyperlink>
            <w:r w:rsidRPr="00A211EA">
              <w:rPr>
                <w:sz w:val="24"/>
              </w:rPr>
              <w:t xml:space="preserve"> (direct payment preferred, engaging with contractors for professional services, working with foreign vendors, making large purchases, etc.)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5606D6CE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577E1F" w:rsidRPr="00A211EA" w14:paraId="554A8938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380DE405" w14:textId="766BB585" w:rsidR="00577E1F" w:rsidRPr="00A211EA" w:rsidRDefault="00577E1F" w:rsidP="00577E1F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 xml:space="preserve">Discuss the </w:t>
            </w:r>
            <w:hyperlink r:id="rId11" w:history="1">
              <w:r w:rsidRPr="00A211EA">
                <w:rPr>
                  <w:rStyle w:val="Hyperlink"/>
                  <w:sz w:val="24"/>
                </w:rPr>
                <w:t>travel policy and procedures</w:t>
              </w:r>
            </w:hyperlink>
            <w:r w:rsidRPr="00A211EA">
              <w:rPr>
                <w:sz w:val="24"/>
              </w:rPr>
              <w:t xml:space="preserve"> (allowable expe</w:t>
            </w:r>
            <w:r w:rsidR="004E468C">
              <w:rPr>
                <w:sz w:val="24"/>
              </w:rPr>
              <w:t>nses, approval process, requesting</w:t>
            </w:r>
            <w:r w:rsidRPr="00A211EA">
              <w:rPr>
                <w:sz w:val="24"/>
              </w:rPr>
              <w:t xml:space="preserve"> reimbursement, use </w:t>
            </w:r>
            <w:r w:rsidR="00CF5490">
              <w:rPr>
                <w:sz w:val="24"/>
              </w:rPr>
              <w:t xml:space="preserve">of </w:t>
            </w:r>
            <w:hyperlink r:id="rId12" w:history="1">
              <w:r w:rsidR="00CF5490" w:rsidRPr="00CF5490">
                <w:rPr>
                  <w:rStyle w:val="Hyperlink"/>
                  <w:sz w:val="24"/>
                </w:rPr>
                <w:t>Concur</w:t>
              </w:r>
            </w:hyperlink>
            <w:r w:rsidR="004E468C" w:rsidRPr="004E468C">
              <w:rPr>
                <w:rStyle w:val="Hyperlink"/>
                <w:color w:val="auto"/>
                <w:sz w:val="24"/>
                <w:u w:val="none"/>
              </w:rPr>
              <w:t xml:space="preserve">, </w:t>
            </w:r>
            <w:proofErr w:type="spellStart"/>
            <w:r w:rsidR="004E468C" w:rsidRPr="004E468C">
              <w:rPr>
                <w:rStyle w:val="Hyperlink"/>
                <w:color w:val="auto"/>
                <w:sz w:val="24"/>
                <w:u w:val="none"/>
              </w:rPr>
              <w:t>Onecard</w:t>
            </w:r>
            <w:proofErr w:type="spellEnd"/>
            <w:r w:rsidR="004E468C">
              <w:rPr>
                <w:rStyle w:val="Hyperlink"/>
                <w:color w:val="auto"/>
                <w:sz w:val="24"/>
                <w:u w:val="none"/>
              </w:rPr>
              <w:t>, set up new faculty member with travel office,</w:t>
            </w:r>
            <w:r w:rsidR="00CF5490" w:rsidRPr="004E468C">
              <w:rPr>
                <w:sz w:val="24"/>
              </w:rPr>
              <w:t xml:space="preserve"> </w:t>
            </w:r>
            <w:r w:rsidRPr="00A211EA">
              <w:rPr>
                <w:sz w:val="24"/>
              </w:rPr>
              <w:t>etc.)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07F1760D" w14:textId="77777777" w:rsidR="00577E1F" w:rsidRPr="00A211EA" w:rsidRDefault="00577E1F" w:rsidP="007871F5">
            <w:pPr>
              <w:rPr>
                <w:b/>
                <w:sz w:val="24"/>
              </w:rPr>
            </w:pPr>
          </w:p>
        </w:tc>
      </w:tr>
      <w:tr w:rsidR="00577E1F" w:rsidRPr="00A211EA" w14:paraId="6EEBA62E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277F0189" w14:textId="1D1FB4FE" w:rsidR="00577E1F" w:rsidRPr="00A211EA" w:rsidRDefault="00577E1F" w:rsidP="00CF5490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 xml:space="preserve">Discuss </w:t>
            </w:r>
            <w:hyperlink r:id="rId13" w:history="1">
              <w:r w:rsidR="00CF5490" w:rsidRPr="00CF5490">
                <w:rPr>
                  <w:rStyle w:val="Hyperlink"/>
                  <w:sz w:val="24"/>
                </w:rPr>
                <w:t>relocation expenses</w:t>
              </w:r>
            </w:hyperlink>
            <w:r w:rsidR="00CF5490">
              <w:rPr>
                <w:sz w:val="24"/>
              </w:rPr>
              <w:t xml:space="preserve"> </w:t>
            </w:r>
            <w:r w:rsidRPr="00A211EA">
              <w:rPr>
                <w:sz w:val="24"/>
              </w:rPr>
              <w:t>and support information, if applicable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4E6AB697" w14:textId="77777777" w:rsidR="00577E1F" w:rsidRPr="00A211EA" w:rsidRDefault="00577E1F" w:rsidP="007871F5">
            <w:pPr>
              <w:rPr>
                <w:b/>
                <w:sz w:val="24"/>
              </w:rPr>
            </w:pPr>
          </w:p>
        </w:tc>
      </w:tr>
      <w:tr w:rsidR="00577E1F" w:rsidRPr="00A211EA" w14:paraId="14766B52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61531F0E" w14:textId="646F298C" w:rsidR="00577E1F" w:rsidRPr="00A211EA" w:rsidRDefault="00577E1F" w:rsidP="00577E1F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 xml:space="preserve">Nine-month faculty: Discuss </w:t>
            </w:r>
            <w:hyperlink r:id="rId14" w:history="1">
              <w:r w:rsidRPr="00A211EA">
                <w:rPr>
                  <w:rStyle w:val="Hyperlink"/>
                  <w:sz w:val="24"/>
                </w:rPr>
                <w:t>twelve-month pay option</w:t>
              </w:r>
            </w:hyperlink>
            <w:r w:rsidRPr="00A211EA">
              <w:rPr>
                <w:sz w:val="24"/>
              </w:rPr>
              <w:t xml:space="preserve"> and provide </w:t>
            </w:r>
            <w:hyperlink r:id="rId15" w:history="1">
              <w:r w:rsidRPr="00A211EA">
                <w:rPr>
                  <w:rStyle w:val="Hyperlink"/>
                  <w:sz w:val="24"/>
                </w:rPr>
                <w:t>deferred payroll form</w:t>
              </w:r>
            </w:hyperlink>
            <w:r w:rsidR="00197BF5">
              <w:rPr>
                <w:rStyle w:val="Hyperlink"/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4CDB4F1A" w14:textId="77777777" w:rsidR="00577E1F" w:rsidRPr="00A211EA" w:rsidRDefault="00577E1F" w:rsidP="007871F5">
            <w:pPr>
              <w:rPr>
                <w:b/>
                <w:sz w:val="24"/>
              </w:rPr>
            </w:pPr>
          </w:p>
        </w:tc>
      </w:tr>
    </w:tbl>
    <w:p w14:paraId="1DFFD839" w14:textId="77777777" w:rsidR="00CF5490" w:rsidRDefault="00CF5490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10975" w:type="dxa"/>
        <w:tblLook w:val="04A0" w:firstRow="1" w:lastRow="0" w:firstColumn="1" w:lastColumn="0" w:noHBand="0" w:noVBand="1"/>
      </w:tblPr>
      <w:tblGrid>
        <w:gridCol w:w="7645"/>
        <w:gridCol w:w="3330"/>
      </w:tblGrid>
      <w:tr w:rsidR="00487AB0" w:rsidRPr="00A211EA" w14:paraId="5A34BE0D" w14:textId="77777777" w:rsidTr="00487AB0">
        <w:trPr>
          <w:cantSplit/>
          <w:trHeight w:val="350"/>
        </w:trPr>
        <w:tc>
          <w:tcPr>
            <w:tcW w:w="7645" w:type="dxa"/>
            <w:shd w:val="clear" w:color="auto" w:fill="D9D9D9" w:themeFill="background1" w:themeFillShade="D9"/>
          </w:tcPr>
          <w:p w14:paraId="7B16B55B" w14:textId="77777777" w:rsidR="00487AB0" w:rsidRPr="00A211EA" w:rsidRDefault="00487AB0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lastRenderedPageBreak/>
              <w:t>Policies and Procedures: University and Departmental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1385C2B" w14:textId="77777777" w:rsidR="00487AB0" w:rsidRPr="00A211EA" w:rsidRDefault="00487AB0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Notes</w:t>
            </w:r>
          </w:p>
        </w:tc>
      </w:tr>
      <w:tr w:rsidR="00487AB0" w:rsidRPr="00A211EA" w14:paraId="727F87C6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346BF029" w14:textId="7D4FA1C6" w:rsidR="00577E1F" w:rsidRPr="00A211EA" w:rsidRDefault="00577E1F" w:rsidP="00577E1F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Discuss the following department policies and procedures, as applicable</w:t>
            </w:r>
            <w:r w:rsidR="00F923AC">
              <w:rPr>
                <w:sz w:val="24"/>
              </w:rPr>
              <w:t xml:space="preserve">, </w:t>
            </w:r>
            <w:r w:rsidR="00F923AC">
              <w:t xml:space="preserve">many of which are addressed in the </w:t>
            </w:r>
            <w:hyperlink r:id="rId16" w:history="1">
              <w:r w:rsidR="00F923AC">
                <w:rPr>
                  <w:rStyle w:val="Hyperlink"/>
                </w:rPr>
                <w:t>Faculty Handbook</w:t>
              </w:r>
            </w:hyperlink>
            <w:r w:rsidRPr="00A211EA">
              <w:rPr>
                <w:sz w:val="24"/>
              </w:rPr>
              <w:t>:</w:t>
            </w:r>
          </w:p>
          <w:p w14:paraId="2BE91CE7" w14:textId="004D7001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 xml:space="preserve">Professional responsibilities (TTF, NTTF, </w:t>
            </w:r>
            <w:r w:rsidR="004E468C">
              <w:rPr>
                <w:sz w:val="24"/>
              </w:rPr>
              <w:t>P</w:t>
            </w:r>
            <w:r w:rsidRPr="00A211EA">
              <w:rPr>
                <w:sz w:val="24"/>
              </w:rPr>
              <w:t xml:space="preserve">ro </w:t>
            </w:r>
            <w:r w:rsidR="004E468C">
              <w:rPr>
                <w:sz w:val="24"/>
              </w:rPr>
              <w:t>T</w:t>
            </w:r>
            <w:r w:rsidRPr="00A211EA">
              <w:rPr>
                <w:sz w:val="24"/>
              </w:rPr>
              <w:t>em</w:t>
            </w:r>
            <w:r w:rsidR="004C6D4A" w:rsidRPr="00A211EA">
              <w:rPr>
                <w:sz w:val="24"/>
              </w:rPr>
              <w:t>)</w:t>
            </w:r>
          </w:p>
          <w:p w14:paraId="290692C0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>Internal governance policy</w:t>
            </w:r>
          </w:p>
          <w:p w14:paraId="7C389881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 xml:space="preserve">Merit </w:t>
            </w:r>
            <w:r w:rsidR="004E468C">
              <w:rPr>
                <w:sz w:val="24"/>
              </w:rPr>
              <w:t>increase</w:t>
            </w:r>
            <w:r w:rsidRPr="00A211EA">
              <w:rPr>
                <w:sz w:val="24"/>
              </w:rPr>
              <w:t xml:space="preserve"> evaluation procedure</w:t>
            </w:r>
          </w:p>
          <w:p w14:paraId="223F7504" w14:textId="1AC92739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 xml:space="preserve">Promotion and </w:t>
            </w:r>
            <w:r w:rsidRPr="00F923AC">
              <w:rPr>
                <w:sz w:val="24"/>
              </w:rPr>
              <w:t xml:space="preserve">tenure </w:t>
            </w:r>
            <w:r w:rsidRPr="00F923AC">
              <w:rPr>
                <w:rStyle w:val="Hyperlink"/>
                <w:color w:val="auto"/>
                <w:sz w:val="24"/>
                <w:u w:val="none"/>
              </w:rPr>
              <w:t>procedure</w:t>
            </w:r>
          </w:p>
          <w:p w14:paraId="7778E082" w14:textId="77777777" w:rsidR="00487AB0" w:rsidRPr="00A211EA" w:rsidRDefault="00577E1F" w:rsidP="00525D15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Other departmental policies as applicable (</w:t>
            </w:r>
            <w:r w:rsidR="004C6D4A" w:rsidRPr="00A211EA">
              <w:rPr>
                <w:sz w:val="24"/>
              </w:rPr>
              <w:t>e.g.</w:t>
            </w:r>
            <w:r w:rsidRPr="00A211EA">
              <w:rPr>
                <w:sz w:val="24"/>
              </w:rPr>
              <w:t xml:space="preserve"> Course Release, Term without Teaching, Summer Session)</w:t>
            </w:r>
          </w:p>
        </w:tc>
        <w:tc>
          <w:tcPr>
            <w:tcW w:w="3330" w:type="dxa"/>
            <w:shd w:val="clear" w:color="auto" w:fill="auto"/>
          </w:tcPr>
          <w:p w14:paraId="7349D50F" w14:textId="77777777" w:rsidR="00487AB0" w:rsidRPr="00A211EA" w:rsidRDefault="00487AB0" w:rsidP="007871F5">
            <w:pPr>
              <w:rPr>
                <w:b/>
                <w:sz w:val="24"/>
              </w:rPr>
            </w:pPr>
          </w:p>
        </w:tc>
      </w:tr>
      <w:tr w:rsidR="00577E1F" w:rsidRPr="00A211EA" w14:paraId="2D241D4E" w14:textId="77777777" w:rsidTr="00487AB0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2188A35A" w14:textId="35CE8738" w:rsidR="00577E1F" w:rsidRPr="00A211EA" w:rsidRDefault="00577E1F" w:rsidP="00577E1F">
            <w:pPr>
              <w:pStyle w:val="ListParagraph"/>
              <w:numPr>
                <w:ilvl w:val="0"/>
                <w:numId w:val="3"/>
              </w:numPr>
              <w:spacing w:after="120"/>
              <w:ind w:left="340"/>
              <w:contextualSpacing w:val="0"/>
              <w:rPr>
                <w:sz w:val="24"/>
              </w:rPr>
            </w:pPr>
            <w:r w:rsidRPr="00A211EA">
              <w:rPr>
                <w:sz w:val="24"/>
              </w:rPr>
              <w:t>Connect with grant and fellowship information (</w:t>
            </w:r>
            <w:hyperlink r:id="rId17" w:history="1">
              <w:r w:rsidRPr="00A211EA">
                <w:rPr>
                  <w:rStyle w:val="Hyperlink"/>
                  <w:sz w:val="24"/>
                </w:rPr>
                <w:t>Sponsored Project</w:t>
              </w:r>
              <w:r w:rsidR="005232C9">
                <w:rPr>
                  <w:rStyle w:val="Hyperlink"/>
                  <w:sz w:val="24"/>
                </w:rPr>
                <w:t>s</w:t>
              </w:r>
              <w:r w:rsidRPr="00A211EA">
                <w:rPr>
                  <w:rStyle w:val="Hyperlink"/>
                  <w:sz w:val="24"/>
                </w:rPr>
                <w:t xml:space="preserve"> Services</w:t>
              </w:r>
            </w:hyperlink>
            <w:r w:rsidRPr="00A211EA">
              <w:rPr>
                <w:sz w:val="24"/>
              </w:rPr>
              <w:t>, E-PCS system, grant coordinator)</w:t>
            </w:r>
            <w:r w:rsidR="00197BF5">
              <w:rPr>
                <w:sz w:val="24"/>
              </w:rPr>
              <w:t>.</w:t>
            </w:r>
          </w:p>
        </w:tc>
        <w:tc>
          <w:tcPr>
            <w:tcW w:w="3330" w:type="dxa"/>
            <w:shd w:val="clear" w:color="auto" w:fill="auto"/>
          </w:tcPr>
          <w:p w14:paraId="11EF873E" w14:textId="77777777" w:rsidR="00577E1F" w:rsidRPr="00A211EA" w:rsidRDefault="00577E1F" w:rsidP="007871F5">
            <w:pPr>
              <w:rPr>
                <w:b/>
                <w:sz w:val="24"/>
              </w:rPr>
            </w:pPr>
          </w:p>
        </w:tc>
      </w:tr>
      <w:tr w:rsidR="00577E1F" w:rsidRPr="00A211EA" w14:paraId="47B24F8D" w14:textId="77777777" w:rsidTr="00577E1F">
        <w:trPr>
          <w:cantSplit/>
          <w:trHeight w:val="350"/>
        </w:trPr>
        <w:tc>
          <w:tcPr>
            <w:tcW w:w="7645" w:type="dxa"/>
            <w:shd w:val="clear" w:color="auto" w:fill="D9D9D9" w:themeFill="background1" w:themeFillShade="D9"/>
          </w:tcPr>
          <w:p w14:paraId="5D8513A0" w14:textId="77777777" w:rsidR="00577E1F" w:rsidRPr="00A211EA" w:rsidRDefault="00577E1F" w:rsidP="00577E1F">
            <w:pPr>
              <w:spacing w:after="120"/>
              <w:ind w:left="-20"/>
              <w:rPr>
                <w:b/>
                <w:sz w:val="28"/>
              </w:rPr>
            </w:pPr>
            <w:r w:rsidRPr="00A211EA">
              <w:br w:type="page"/>
            </w:r>
            <w:r w:rsidRPr="00A211EA">
              <w:rPr>
                <w:b/>
                <w:sz w:val="28"/>
              </w:rPr>
              <w:t>Administrative Support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54EB63E" w14:textId="77777777" w:rsidR="00577E1F" w:rsidRPr="00A211EA" w:rsidRDefault="00577E1F" w:rsidP="007871F5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Notes</w:t>
            </w:r>
          </w:p>
        </w:tc>
      </w:tr>
      <w:tr w:rsidR="00577E1F" w:rsidRPr="00A211EA" w14:paraId="4F46DAEF" w14:textId="77777777" w:rsidTr="00577E1F">
        <w:trPr>
          <w:cantSplit/>
          <w:trHeight w:val="350"/>
        </w:trPr>
        <w:tc>
          <w:tcPr>
            <w:tcW w:w="7645" w:type="dxa"/>
            <w:shd w:val="clear" w:color="auto" w:fill="auto"/>
          </w:tcPr>
          <w:p w14:paraId="1EA2A4B3" w14:textId="352E7641" w:rsidR="00577E1F" w:rsidRPr="00A211EA" w:rsidRDefault="00197BF5" w:rsidP="00577E1F">
            <w:pPr>
              <w:pStyle w:val="ListParagraph"/>
              <w:numPr>
                <w:ilvl w:val="0"/>
                <w:numId w:val="15"/>
              </w:numPr>
              <w:spacing w:after="120"/>
              <w:ind w:left="420"/>
              <w:rPr>
                <w:sz w:val="24"/>
              </w:rPr>
            </w:pPr>
            <w:r>
              <w:rPr>
                <w:sz w:val="24"/>
              </w:rPr>
              <w:t>Identify a</w:t>
            </w:r>
            <w:r w:rsidR="00577E1F" w:rsidRPr="00A211EA">
              <w:rPr>
                <w:sz w:val="24"/>
              </w:rPr>
              <w:t xml:space="preserve">dministrative </w:t>
            </w:r>
            <w:r>
              <w:rPr>
                <w:sz w:val="24"/>
              </w:rPr>
              <w:t>s</w:t>
            </w:r>
            <w:r w:rsidR="00577E1F" w:rsidRPr="00A211EA">
              <w:rPr>
                <w:sz w:val="24"/>
              </w:rPr>
              <w:t xml:space="preserve">upport and key contacts </w:t>
            </w:r>
            <w:r w:rsidR="00577E1F" w:rsidRPr="00A211EA">
              <w:rPr>
                <w:sz w:val="24"/>
              </w:rPr>
              <w:br/>
              <w:t>(examples below; not an exhaustive list</w:t>
            </w:r>
            <w:r w:rsidR="004C6D4A" w:rsidRPr="00A211EA">
              <w:rPr>
                <w:sz w:val="24"/>
              </w:rPr>
              <w:t>. Tailor the list to your department’s practices</w:t>
            </w:r>
            <w:r w:rsidR="00577E1F" w:rsidRPr="00A211EA">
              <w:rPr>
                <w:sz w:val="24"/>
              </w:rPr>
              <w:t>):</w:t>
            </w:r>
          </w:p>
          <w:p w14:paraId="60951DA6" w14:textId="77777777" w:rsidR="00577E1F" w:rsidRPr="00A211EA" w:rsidRDefault="004E468C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>
              <w:rPr>
                <w:sz w:val="24"/>
              </w:rPr>
              <w:t>Communication, g</w:t>
            </w:r>
            <w:r w:rsidR="00577E1F" w:rsidRPr="00A211EA">
              <w:rPr>
                <w:sz w:val="24"/>
              </w:rPr>
              <w:t xml:space="preserve">raphic </w:t>
            </w:r>
            <w:r>
              <w:rPr>
                <w:sz w:val="24"/>
              </w:rPr>
              <w:t>d</w:t>
            </w:r>
            <w:r w:rsidR="00577E1F" w:rsidRPr="00A211EA">
              <w:rPr>
                <w:sz w:val="24"/>
              </w:rPr>
              <w:t>esign, and printing procedures</w:t>
            </w:r>
          </w:p>
          <w:p w14:paraId="539F531A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>Facilities/Building issues</w:t>
            </w:r>
          </w:p>
          <w:p w14:paraId="2243F892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 xml:space="preserve">Guest/Visitors (Speakers, collaborators, etc.) </w:t>
            </w:r>
          </w:p>
          <w:p w14:paraId="24A3B0A3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 xml:space="preserve">Events </w:t>
            </w:r>
          </w:p>
          <w:p w14:paraId="36BC2E83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>Technology support</w:t>
            </w:r>
          </w:p>
          <w:p w14:paraId="6C513480" w14:textId="77777777" w:rsidR="00577E1F" w:rsidRPr="00A211EA" w:rsidRDefault="00577E1F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sz w:val="24"/>
              </w:rPr>
            </w:pPr>
            <w:r w:rsidRPr="00A211EA">
              <w:rPr>
                <w:sz w:val="24"/>
              </w:rPr>
              <w:t>Books and/or desk copies for courses</w:t>
            </w:r>
          </w:p>
          <w:p w14:paraId="0257F556" w14:textId="77777777" w:rsidR="00577E1F" w:rsidRPr="00A211EA" w:rsidRDefault="001047F9" w:rsidP="00577E1F">
            <w:pPr>
              <w:pStyle w:val="ListParagraph"/>
              <w:numPr>
                <w:ilvl w:val="1"/>
                <w:numId w:val="3"/>
              </w:numPr>
              <w:spacing w:after="120"/>
              <w:ind w:left="720"/>
              <w:rPr>
                <w:i/>
                <w:sz w:val="24"/>
              </w:rPr>
            </w:pPr>
            <w:r w:rsidRPr="00A211EA">
              <w:rPr>
                <w:sz w:val="24"/>
              </w:rPr>
              <w:t xml:space="preserve">Unit/Department </w:t>
            </w:r>
            <w:r w:rsidR="00577E1F" w:rsidRPr="00A211EA">
              <w:rPr>
                <w:sz w:val="24"/>
              </w:rPr>
              <w:t>HR representative (for hiring, payroll, trainings, employment concerns)</w:t>
            </w:r>
          </w:p>
        </w:tc>
        <w:tc>
          <w:tcPr>
            <w:tcW w:w="3330" w:type="dxa"/>
            <w:shd w:val="clear" w:color="auto" w:fill="auto"/>
          </w:tcPr>
          <w:p w14:paraId="036B87D6" w14:textId="77777777" w:rsidR="00577E1F" w:rsidRPr="00A211EA" w:rsidRDefault="00577E1F" w:rsidP="007871F5">
            <w:pPr>
              <w:rPr>
                <w:b/>
                <w:sz w:val="24"/>
              </w:rPr>
            </w:pPr>
          </w:p>
        </w:tc>
      </w:tr>
    </w:tbl>
    <w:p w14:paraId="6C49EA83" w14:textId="77777777" w:rsidR="00487AB0" w:rsidRPr="00A211EA" w:rsidRDefault="00487AB0" w:rsidP="007944E3"/>
    <w:sectPr w:rsidR="00487AB0" w:rsidRPr="00A211EA" w:rsidSect="001D7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300"/>
    <w:multiLevelType w:val="hybridMultilevel"/>
    <w:tmpl w:val="BCB04AAA"/>
    <w:lvl w:ilvl="0" w:tplc="A9A6E8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0F3"/>
    <w:multiLevelType w:val="hybridMultilevel"/>
    <w:tmpl w:val="D8143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167F"/>
    <w:multiLevelType w:val="hybridMultilevel"/>
    <w:tmpl w:val="65C0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2642"/>
    <w:multiLevelType w:val="hybridMultilevel"/>
    <w:tmpl w:val="3562470E"/>
    <w:lvl w:ilvl="0" w:tplc="3C389D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56F7F"/>
    <w:multiLevelType w:val="hybridMultilevel"/>
    <w:tmpl w:val="F55E9C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3023"/>
    <w:multiLevelType w:val="hybridMultilevel"/>
    <w:tmpl w:val="40B25FB8"/>
    <w:lvl w:ilvl="0" w:tplc="AD0E986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422E2"/>
    <w:multiLevelType w:val="hybridMultilevel"/>
    <w:tmpl w:val="8D486F20"/>
    <w:lvl w:ilvl="0" w:tplc="76307E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357F6"/>
    <w:multiLevelType w:val="multilevel"/>
    <w:tmpl w:val="7B2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96811"/>
    <w:multiLevelType w:val="hybridMultilevel"/>
    <w:tmpl w:val="12D26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32CB"/>
    <w:multiLevelType w:val="multilevel"/>
    <w:tmpl w:val="862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95C39"/>
    <w:multiLevelType w:val="hybridMultilevel"/>
    <w:tmpl w:val="917A9F8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1" w15:restartNumberingAfterBreak="0">
    <w:nsid w:val="50923CF3"/>
    <w:multiLevelType w:val="hybridMultilevel"/>
    <w:tmpl w:val="817AB7B8"/>
    <w:lvl w:ilvl="0" w:tplc="B170BE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852C8"/>
    <w:multiLevelType w:val="hybridMultilevel"/>
    <w:tmpl w:val="39EE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24449"/>
    <w:multiLevelType w:val="hybridMultilevel"/>
    <w:tmpl w:val="C6FA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9A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D6399"/>
    <w:multiLevelType w:val="hybridMultilevel"/>
    <w:tmpl w:val="D2386AC4"/>
    <w:lvl w:ilvl="0" w:tplc="0D8C08A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54C09A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560A6"/>
    <w:multiLevelType w:val="hybridMultilevel"/>
    <w:tmpl w:val="0F80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13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15"/>
  </w:num>
  <w:num w:numId="12">
    <w:abstractNumId w:val="3"/>
  </w:num>
  <w:num w:numId="13">
    <w:abstractNumId w:val="12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A"/>
    <w:rsid w:val="00055785"/>
    <w:rsid w:val="000603B6"/>
    <w:rsid w:val="0006665F"/>
    <w:rsid w:val="00074B31"/>
    <w:rsid w:val="0009639B"/>
    <w:rsid w:val="000E2A2B"/>
    <w:rsid w:val="001047F9"/>
    <w:rsid w:val="001214A7"/>
    <w:rsid w:val="00197BF5"/>
    <w:rsid w:val="001B388D"/>
    <w:rsid w:val="001B427E"/>
    <w:rsid w:val="001C150F"/>
    <w:rsid w:val="001C65D4"/>
    <w:rsid w:val="001D363A"/>
    <w:rsid w:val="001D794F"/>
    <w:rsid w:val="001E45AE"/>
    <w:rsid w:val="00204D27"/>
    <w:rsid w:val="0023133C"/>
    <w:rsid w:val="0028517A"/>
    <w:rsid w:val="002A376D"/>
    <w:rsid w:val="00304A94"/>
    <w:rsid w:val="00322370"/>
    <w:rsid w:val="003362CB"/>
    <w:rsid w:val="00396A62"/>
    <w:rsid w:val="003A1F76"/>
    <w:rsid w:val="003B17BF"/>
    <w:rsid w:val="003D37A7"/>
    <w:rsid w:val="003E16E8"/>
    <w:rsid w:val="003E6A8F"/>
    <w:rsid w:val="003F7DDB"/>
    <w:rsid w:val="00402749"/>
    <w:rsid w:val="00414079"/>
    <w:rsid w:val="00414553"/>
    <w:rsid w:val="00463CE4"/>
    <w:rsid w:val="00487AB0"/>
    <w:rsid w:val="004B3977"/>
    <w:rsid w:val="004C1EE2"/>
    <w:rsid w:val="004C6D4A"/>
    <w:rsid w:val="004E25BC"/>
    <w:rsid w:val="004E468C"/>
    <w:rsid w:val="005232C9"/>
    <w:rsid w:val="00525D15"/>
    <w:rsid w:val="00577E1F"/>
    <w:rsid w:val="005D7EF9"/>
    <w:rsid w:val="005E3D8C"/>
    <w:rsid w:val="005E4E1F"/>
    <w:rsid w:val="00647C20"/>
    <w:rsid w:val="00654E99"/>
    <w:rsid w:val="006733D7"/>
    <w:rsid w:val="006A0F6C"/>
    <w:rsid w:val="006B5CBA"/>
    <w:rsid w:val="006E5B19"/>
    <w:rsid w:val="007227B0"/>
    <w:rsid w:val="00732793"/>
    <w:rsid w:val="007944E3"/>
    <w:rsid w:val="007A43F5"/>
    <w:rsid w:val="007E5645"/>
    <w:rsid w:val="008522C7"/>
    <w:rsid w:val="00860726"/>
    <w:rsid w:val="008A1117"/>
    <w:rsid w:val="008A7268"/>
    <w:rsid w:val="008D24DE"/>
    <w:rsid w:val="008F5347"/>
    <w:rsid w:val="008F7BF3"/>
    <w:rsid w:val="00934571"/>
    <w:rsid w:val="0095575C"/>
    <w:rsid w:val="00975623"/>
    <w:rsid w:val="009E250D"/>
    <w:rsid w:val="009E5220"/>
    <w:rsid w:val="00A1293E"/>
    <w:rsid w:val="00A14A69"/>
    <w:rsid w:val="00A211EA"/>
    <w:rsid w:val="00A25AE6"/>
    <w:rsid w:val="00A27119"/>
    <w:rsid w:val="00A85F65"/>
    <w:rsid w:val="00AB5487"/>
    <w:rsid w:val="00B11C39"/>
    <w:rsid w:val="00B20172"/>
    <w:rsid w:val="00B21256"/>
    <w:rsid w:val="00B44FD3"/>
    <w:rsid w:val="00B56B7A"/>
    <w:rsid w:val="00B90912"/>
    <w:rsid w:val="00BA5741"/>
    <w:rsid w:val="00C174BD"/>
    <w:rsid w:val="00C7781E"/>
    <w:rsid w:val="00CB1546"/>
    <w:rsid w:val="00CC35E7"/>
    <w:rsid w:val="00CC3C92"/>
    <w:rsid w:val="00CC3CE0"/>
    <w:rsid w:val="00CC6A3B"/>
    <w:rsid w:val="00CF3875"/>
    <w:rsid w:val="00CF5490"/>
    <w:rsid w:val="00D12F94"/>
    <w:rsid w:val="00D55124"/>
    <w:rsid w:val="00D744F4"/>
    <w:rsid w:val="00E34294"/>
    <w:rsid w:val="00E44125"/>
    <w:rsid w:val="00EA54EF"/>
    <w:rsid w:val="00EB03D8"/>
    <w:rsid w:val="00EB296D"/>
    <w:rsid w:val="00EB3CF7"/>
    <w:rsid w:val="00ED2393"/>
    <w:rsid w:val="00F0250D"/>
    <w:rsid w:val="00F13C1B"/>
    <w:rsid w:val="00F13C7F"/>
    <w:rsid w:val="00F41E53"/>
    <w:rsid w:val="00F923AC"/>
    <w:rsid w:val="00FD59DB"/>
    <w:rsid w:val="00FE2683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727B"/>
  <w15:chartTrackingRefBased/>
  <w15:docId w15:val="{E2FFF524-7B2B-452C-9D78-46698339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851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D2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3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393"/>
    <w:rPr>
      <w:b/>
      <w:bCs/>
    </w:rPr>
  </w:style>
  <w:style w:type="paragraph" w:styleId="ListParagraph">
    <w:name w:val="List Paragraph"/>
    <w:basedOn w:val="Normal"/>
    <w:uiPriority w:val="34"/>
    <w:qFormat/>
    <w:rsid w:val="002A3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6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44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2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A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A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ty.uoregon.edu/resources-faculty" TargetMode="External"/><Relationship Id="rId13" Type="http://schemas.openxmlformats.org/officeDocument/2006/relationships/hyperlink" Target="https://ba.uoregon.edu/content/movingrelocation-expens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y.uoregon.edu/cmet/" TargetMode="External"/><Relationship Id="rId12" Type="http://schemas.openxmlformats.org/officeDocument/2006/relationships/hyperlink" Target="https://ba.uoregon.edu/content/concur-project" TargetMode="External"/><Relationship Id="rId17" Type="http://schemas.openxmlformats.org/officeDocument/2006/relationships/hyperlink" Target="http://orsa.uoregon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vost.uoregon.edu/faculty-hand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vost.uoregon.edu/" TargetMode="External"/><Relationship Id="rId11" Type="http://schemas.openxmlformats.org/officeDocument/2006/relationships/hyperlink" Target="https://ba.uoregon.edu/content/trave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pages.uoregon.edu/baoforms/bao_drupal_6/sites/ba.uoregon.edu/files/forms/reg12pay.pdf" TargetMode="External"/><Relationship Id="rId10" Type="http://schemas.openxmlformats.org/officeDocument/2006/relationships/hyperlink" Target="https://pcs.uoregon.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p.uoregon.edu/" TargetMode="External"/><Relationship Id="rId14" Type="http://schemas.openxmlformats.org/officeDocument/2006/relationships/hyperlink" Target="https://ba.uoregon.edu/content/twelve-month-pay-o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 M Bybee</dc:creator>
  <cp:keywords/>
  <dc:description/>
  <cp:lastModifiedBy>Sandee Bybee</cp:lastModifiedBy>
  <cp:revision>7</cp:revision>
  <cp:lastPrinted>2018-09-19T18:21:00Z</cp:lastPrinted>
  <dcterms:created xsi:type="dcterms:W3CDTF">2018-10-15T15:55:00Z</dcterms:created>
  <dcterms:modified xsi:type="dcterms:W3CDTF">2018-10-24T23:09:00Z</dcterms:modified>
</cp:coreProperties>
</file>