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26225" w14:textId="77777777" w:rsidR="000A0B3A" w:rsidRDefault="000A0B3A" w:rsidP="003441AA">
      <w:pPr>
        <w:pStyle w:val="BodyText"/>
        <w:spacing w:line="274" w:lineRule="exact"/>
        <w:ind w:left="0" w:right="416"/>
      </w:pPr>
    </w:p>
    <w:p w14:paraId="7B8BF22A" w14:textId="77777777" w:rsidR="005955C3" w:rsidRPr="00A95563" w:rsidRDefault="00074B9A" w:rsidP="00074B9A">
      <w:pPr>
        <w:spacing w:before="56"/>
        <w:ind w:left="604" w:right="416"/>
        <w:jc w:val="center"/>
        <w:rPr>
          <w:rFonts w:ascii="Times New Roman" w:eastAsia="Times New Roman" w:hAnsi="Times New Roman" w:cs="Times New Roman"/>
          <w:sz w:val="24"/>
          <w:szCs w:val="24"/>
        </w:rPr>
      </w:pPr>
      <w:r w:rsidRPr="00A95563">
        <w:rPr>
          <w:rFonts w:ascii="Times New Roman"/>
          <w:b/>
          <w:sz w:val="24"/>
        </w:rPr>
        <w:t xml:space="preserve">TEMPLATE FOR COE POLICY ON </w:t>
      </w:r>
      <w:r w:rsidR="00B475D8" w:rsidRPr="00A95563">
        <w:rPr>
          <w:rFonts w:ascii="Times New Roman"/>
          <w:b/>
          <w:sz w:val="24"/>
        </w:rPr>
        <w:t>SUMMER SESSION APPOINTMENTS AND</w:t>
      </w:r>
      <w:r w:rsidR="00B475D8" w:rsidRPr="00A95563">
        <w:rPr>
          <w:rFonts w:ascii="Times New Roman"/>
          <w:b/>
          <w:spacing w:val="-19"/>
          <w:sz w:val="24"/>
        </w:rPr>
        <w:t xml:space="preserve"> </w:t>
      </w:r>
      <w:r w:rsidR="00B475D8" w:rsidRPr="00A95563">
        <w:rPr>
          <w:rFonts w:ascii="Times New Roman"/>
          <w:b/>
          <w:sz w:val="24"/>
        </w:rPr>
        <w:t>ASSIGNMENTS</w:t>
      </w:r>
    </w:p>
    <w:p w14:paraId="42D63576" w14:textId="77777777" w:rsidR="005955C3" w:rsidRPr="00A95563" w:rsidRDefault="00074B9A" w:rsidP="000A0B3A">
      <w:pPr>
        <w:spacing w:before="7"/>
        <w:rPr>
          <w:rFonts w:ascii="Times New Roman" w:eastAsia="Times New Roman" w:hAnsi="Times New Roman" w:cs="Times New Roman"/>
          <w:b/>
          <w:bCs/>
          <w:sz w:val="23"/>
          <w:szCs w:val="23"/>
        </w:rPr>
      </w:pPr>
      <w:r w:rsidRPr="00A95563">
        <w:rPr>
          <w:rFonts w:ascii="Times New Roman" w:eastAsia="Times New Roman" w:hAnsi="Times New Roman" w:cs="Times New Roman"/>
          <w:b/>
          <w:bCs/>
          <w:sz w:val="23"/>
          <w:szCs w:val="23"/>
        </w:rPr>
        <w:t>Preamble</w:t>
      </w:r>
    </w:p>
    <w:p w14:paraId="2ECDC19E" w14:textId="6F4A42FE" w:rsidR="00074B9A" w:rsidRPr="00A95563" w:rsidRDefault="00074B9A" w:rsidP="000A0B3A">
      <w:pPr>
        <w:pStyle w:val="BodyText"/>
        <w:ind w:left="0" w:right="416"/>
      </w:pPr>
      <w:r w:rsidRPr="00A95563">
        <w:t>The College of Education (COE) Summer Session Appointments and Assignments Policy is designed to meet a variety the goals of equity, effectiveness, and transparency in the assignment of the appointment, professional</w:t>
      </w:r>
      <w:r w:rsidRPr="00A95563">
        <w:rPr>
          <w:spacing w:val="-19"/>
        </w:rPr>
        <w:t xml:space="preserve"> </w:t>
      </w:r>
      <w:r w:rsidRPr="00A95563">
        <w:t>responsibilities, course cancelation and compensation for Summer Session</w:t>
      </w:r>
      <w:r w:rsidRPr="00A95563">
        <w:rPr>
          <w:spacing w:val="-11"/>
        </w:rPr>
        <w:t xml:space="preserve"> </w:t>
      </w:r>
      <w:r w:rsidRPr="00A95563">
        <w:t>work</w:t>
      </w:r>
      <w:r w:rsidR="00442A94">
        <w:t>.</w:t>
      </w:r>
    </w:p>
    <w:p w14:paraId="26898465" w14:textId="77777777" w:rsidR="00074B9A" w:rsidRPr="00A95563" w:rsidRDefault="00074B9A" w:rsidP="000A0B3A">
      <w:pPr>
        <w:pStyle w:val="BodyText"/>
        <w:ind w:left="0" w:right="416"/>
      </w:pPr>
    </w:p>
    <w:p w14:paraId="04A8E0CD" w14:textId="77777777" w:rsidR="00E54F73" w:rsidRPr="00A95563" w:rsidRDefault="000A0B3A" w:rsidP="000A0B3A">
      <w:pPr>
        <w:pStyle w:val="BodyText"/>
        <w:ind w:left="0" w:right="416"/>
        <w:rPr>
          <w:b/>
        </w:rPr>
      </w:pPr>
      <w:r w:rsidRPr="00A95563">
        <w:rPr>
          <w:b/>
        </w:rPr>
        <w:t>Workload</w:t>
      </w:r>
      <w:r w:rsidR="00074B9A" w:rsidRPr="00A95563">
        <w:rPr>
          <w:b/>
        </w:rPr>
        <w:t xml:space="preserve"> </w:t>
      </w:r>
      <w:r w:rsidRPr="00A95563">
        <w:rPr>
          <w:b/>
        </w:rPr>
        <w:t xml:space="preserve">and Appointments </w:t>
      </w:r>
      <w:r w:rsidR="00074B9A" w:rsidRPr="00A95563">
        <w:rPr>
          <w:b/>
        </w:rPr>
        <w:t>for Summer Session</w:t>
      </w:r>
    </w:p>
    <w:p w14:paraId="5DC4BE3C" w14:textId="77777777" w:rsidR="000A0B3A" w:rsidRPr="00A95563" w:rsidRDefault="000A0B3A" w:rsidP="000A0B3A">
      <w:pPr>
        <w:pStyle w:val="BodyText"/>
        <w:ind w:left="0" w:right="58"/>
      </w:pPr>
      <w:r w:rsidRPr="00A95563">
        <w:t xml:space="preserve">Summer appointments for those on academic </w:t>
      </w:r>
      <w:r w:rsidRPr="00A95563">
        <w:rPr>
          <w:spacing w:val="-3"/>
        </w:rPr>
        <w:t xml:space="preserve">year </w:t>
      </w:r>
      <w:r w:rsidRPr="00A95563">
        <w:t>appointments are in</w:t>
      </w:r>
      <w:r w:rsidRPr="00A95563">
        <w:rPr>
          <w:spacing w:val="-15"/>
        </w:rPr>
        <w:t xml:space="preserve"> </w:t>
      </w:r>
      <w:r w:rsidRPr="00A95563">
        <w:t>addition to the academic year contract. Summer Session appointments may include Coordinator</w:t>
      </w:r>
      <w:r w:rsidRPr="00A95563">
        <w:rPr>
          <w:spacing w:val="-29"/>
        </w:rPr>
        <w:t xml:space="preserve"> </w:t>
      </w:r>
      <w:r w:rsidRPr="00A95563">
        <w:t>of Summer Session or other similar</w:t>
      </w:r>
      <w:r w:rsidRPr="00A95563">
        <w:rPr>
          <w:spacing w:val="-13"/>
        </w:rPr>
        <w:t xml:space="preserve"> </w:t>
      </w:r>
      <w:r w:rsidRPr="00A95563">
        <w:t xml:space="preserve">appointments. </w:t>
      </w:r>
    </w:p>
    <w:p w14:paraId="5FC2F29D" w14:textId="77777777" w:rsidR="000A0B3A" w:rsidRPr="00A95563" w:rsidRDefault="000A0B3A" w:rsidP="000A0B3A">
      <w:pPr>
        <w:pStyle w:val="BodyText"/>
        <w:ind w:left="0" w:right="58"/>
      </w:pPr>
    </w:p>
    <w:p w14:paraId="5EF3A08F" w14:textId="7A8B2899" w:rsidR="009216C3" w:rsidRPr="00A95563" w:rsidRDefault="000A0B3A" w:rsidP="000A0B3A">
      <w:pPr>
        <w:pStyle w:val="BodyText"/>
        <w:ind w:left="0" w:right="58"/>
      </w:pPr>
      <w:r w:rsidRPr="00A95563">
        <w:rPr>
          <w:u w:val="single"/>
        </w:rPr>
        <w:t>Workload FTE.</w:t>
      </w:r>
      <w:r w:rsidRPr="00A95563">
        <w:t xml:space="preserve"> The combination of </w:t>
      </w:r>
      <w:r w:rsidRPr="00A95563">
        <w:rPr>
          <w:i/>
        </w:rPr>
        <w:t>summer research and instructional appointments</w:t>
      </w:r>
      <w:r w:rsidRPr="00A95563">
        <w:t xml:space="preserve"> for the same faculty member must not exceed 1.0 FTE during summer </w:t>
      </w:r>
      <w:r w:rsidR="005266B5">
        <w:t>session</w:t>
      </w:r>
      <w:r w:rsidR="00F91D1E">
        <w:t>. Nine-</w:t>
      </w:r>
      <w:r w:rsidRPr="00A95563">
        <w:t xml:space="preserve">month faculty should not accept 1.0 FTE summer appointments for any period of time when they will </w:t>
      </w:r>
      <w:r w:rsidR="007A4602">
        <w:t xml:space="preserve">not be working on the </w:t>
      </w:r>
      <w:r w:rsidR="00F91D1E">
        <w:t>appointment work.</w:t>
      </w:r>
      <w:r w:rsidR="004D611C">
        <w:t xml:space="preserve"> </w:t>
      </w:r>
      <w:bookmarkStart w:id="0" w:name="_GoBack"/>
      <w:bookmarkEnd w:id="0"/>
      <w:r w:rsidR="009F4D4D" w:rsidRPr="00A95563">
        <w:t xml:space="preserve">The FTE assigned </w:t>
      </w:r>
      <w:r w:rsidRPr="00A95563">
        <w:t xml:space="preserve">to </w:t>
      </w:r>
      <w:r w:rsidR="009F4D4D" w:rsidRPr="00A95563">
        <w:t>a course must be the same no matter who teaches the course</w:t>
      </w:r>
      <w:r w:rsidR="00042713">
        <w:t xml:space="preserve">, </w:t>
      </w:r>
    </w:p>
    <w:p w14:paraId="1838D028" w14:textId="654F4B2D" w:rsidR="009216C3" w:rsidRDefault="009216C3" w:rsidP="000A0B3A">
      <w:pPr>
        <w:pStyle w:val="BodyText"/>
        <w:ind w:left="0" w:right="58"/>
      </w:pPr>
    </w:p>
    <w:p w14:paraId="20CC43C7" w14:textId="0FA30CFA" w:rsidR="00042713" w:rsidRPr="00356D9A" w:rsidRDefault="00042713" w:rsidP="00042713">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 xml:space="preserve">In </w:t>
      </w:r>
      <w:r w:rsidR="00381EE4" w:rsidRPr="00356D9A">
        <w:rPr>
          <w:rFonts w:ascii="Times New Roman" w:eastAsia="Times New Roman" w:hAnsi="Times New Roman"/>
          <w:sz w:val="24"/>
          <w:szCs w:val="24"/>
        </w:rPr>
        <w:t xml:space="preserve">the </w:t>
      </w:r>
      <w:r w:rsidRPr="00356D9A">
        <w:rPr>
          <w:rFonts w:ascii="Times New Roman" w:eastAsia="Times New Roman" w:hAnsi="Times New Roman"/>
          <w:sz w:val="24"/>
          <w:szCs w:val="24"/>
        </w:rPr>
        <w:t xml:space="preserve">COE, a </w:t>
      </w:r>
      <w:r w:rsidR="009A34C8">
        <w:rPr>
          <w:rFonts w:ascii="Times New Roman" w:eastAsia="Times New Roman" w:hAnsi="Times New Roman"/>
          <w:sz w:val="24"/>
          <w:szCs w:val="24"/>
        </w:rPr>
        <w:t xml:space="preserve">summer session </w:t>
      </w:r>
      <w:r w:rsidR="004D611C">
        <w:rPr>
          <w:rFonts w:ascii="Times New Roman" w:eastAsia="Times New Roman" w:hAnsi="Times New Roman"/>
          <w:sz w:val="24"/>
          <w:szCs w:val="24"/>
        </w:rPr>
        <w:t>FTE is based on the table below</w:t>
      </w:r>
      <w:r w:rsidRPr="00356D9A">
        <w:rPr>
          <w:rFonts w:ascii="Times New Roman" w:eastAsia="Times New Roman" w:hAnsi="Times New Roman"/>
          <w:sz w:val="24"/>
          <w:szCs w:val="24"/>
        </w:rPr>
        <w:t>.</w:t>
      </w:r>
      <w:r w:rsidR="00442A94">
        <w:rPr>
          <w:rFonts w:ascii="Times New Roman" w:eastAsia="Times New Roman" w:hAnsi="Times New Roman"/>
          <w:sz w:val="24"/>
          <w:szCs w:val="24"/>
        </w:rPr>
        <w:t xml:space="preserve"> </w:t>
      </w:r>
      <w:r w:rsidRPr="00356D9A">
        <w:rPr>
          <w:rFonts w:ascii="Times New Roman" w:eastAsia="Times New Roman" w:hAnsi="Times New Roman"/>
          <w:sz w:val="24"/>
          <w:szCs w:val="24"/>
        </w:rPr>
        <w:t xml:space="preserve">Course credit hours and their associated 12-week </w:t>
      </w:r>
      <w:r w:rsidR="009A34C8">
        <w:rPr>
          <w:rFonts w:ascii="Times New Roman" w:eastAsia="Times New Roman" w:hAnsi="Times New Roman"/>
          <w:sz w:val="24"/>
          <w:szCs w:val="24"/>
        </w:rPr>
        <w:t xml:space="preserve">summer </w:t>
      </w:r>
      <w:r w:rsidRPr="00356D9A">
        <w:rPr>
          <w:rFonts w:ascii="Times New Roman" w:eastAsia="Times New Roman" w:hAnsi="Times New Roman"/>
          <w:sz w:val="24"/>
          <w:szCs w:val="24"/>
        </w:rPr>
        <w:t>contract FTE are as follows:</w:t>
      </w:r>
    </w:p>
    <w:p w14:paraId="5750EE9A" w14:textId="77777777" w:rsidR="00042713" w:rsidRPr="00356D9A" w:rsidRDefault="00042713" w:rsidP="00042713">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                             </w:t>
      </w:r>
    </w:p>
    <w:tbl>
      <w:tblPr>
        <w:tblW w:w="7020" w:type="dxa"/>
        <w:jc w:val="center"/>
        <w:tblBorders>
          <w:top w:val="nil"/>
          <w:left w:val="nil"/>
          <w:right w:val="nil"/>
        </w:tblBorders>
        <w:tblLayout w:type="fixed"/>
        <w:tblLook w:val="0000" w:firstRow="0" w:lastRow="0" w:firstColumn="0" w:lastColumn="0" w:noHBand="0" w:noVBand="0"/>
      </w:tblPr>
      <w:tblGrid>
        <w:gridCol w:w="3718"/>
        <w:gridCol w:w="3302"/>
      </w:tblGrid>
      <w:tr w:rsidR="00042713" w:rsidRPr="00356D9A" w14:paraId="7A8D03B4" w14:textId="77777777" w:rsidTr="00067940">
        <w:trPr>
          <w:jc w:val="center"/>
        </w:trPr>
        <w:tc>
          <w:tcPr>
            <w:tcW w:w="3392" w:type="dxa"/>
            <w:tcBorders>
              <w:top w:val="single" w:sz="10" w:space="0" w:color="000000"/>
              <w:left w:val="single" w:sz="10" w:space="0" w:color="000000"/>
              <w:bottom w:val="single" w:sz="10" w:space="0" w:color="000000"/>
              <w:right w:val="single" w:sz="10" w:space="0" w:color="000000"/>
            </w:tcBorders>
            <w:shd w:val="clear" w:color="auto" w:fill="D0D0D0"/>
            <w:tcMar>
              <w:top w:w="144" w:type="nil"/>
              <w:right w:w="144" w:type="nil"/>
            </w:tcMar>
          </w:tcPr>
          <w:p w14:paraId="56DE6475"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Course Credit Hours</w:t>
            </w:r>
          </w:p>
        </w:tc>
        <w:tc>
          <w:tcPr>
            <w:tcW w:w="3012" w:type="dxa"/>
            <w:tcBorders>
              <w:top w:val="single" w:sz="10" w:space="0" w:color="000000"/>
              <w:bottom w:val="single" w:sz="10" w:space="0" w:color="000000"/>
              <w:right w:val="single" w:sz="10" w:space="0" w:color="000000"/>
            </w:tcBorders>
            <w:shd w:val="clear" w:color="auto" w:fill="D0D0D0"/>
            <w:tcMar>
              <w:top w:w="144" w:type="nil"/>
              <w:right w:w="144" w:type="nil"/>
            </w:tcMar>
          </w:tcPr>
          <w:p w14:paraId="2CC0C687"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12-week Contract FTE</w:t>
            </w:r>
          </w:p>
        </w:tc>
      </w:tr>
      <w:tr w:rsidR="00042713" w:rsidRPr="00356D9A" w14:paraId="01BF2C1F" w14:textId="77777777" w:rsidTr="00067940">
        <w:tblPrEx>
          <w:tblBorders>
            <w:top w:val="none" w:sz="0" w:space="0" w:color="auto"/>
          </w:tblBorders>
        </w:tblPrEx>
        <w:trPr>
          <w:jc w:val="center"/>
        </w:trPr>
        <w:tc>
          <w:tcPr>
            <w:tcW w:w="3392" w:type="dxa"/>
            <w:tcBorders>
              <w:left w:val="single" w:sz="10" w:space="0" w:color="000000"/>
              <w:bottom w:val="single" w:sz="10" w:space="0" w:color="000000"/>
              <w:right w:val="single" w:sz="10" w:space="0" w:color="000000"/>
            </w:tcBorders>
            <w:tcMar>
              <w:top w:w="144" w:type="nil"/>
              <w:right w:w="144" w:type="nil"/>
            </w:tcMar>
          </w:tcPr>
          <w:p w14:paraId="0ED4085B"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1</w:t>
            </w:r>
          </w:p>
        </w:tc>
        <w:tc>
          <w:tcPr>
            <w:tcW w:w="3012" w:type="dxa"/>
            <w:tcBorders>
              <w:bottom w:val="single" w:sz="10" w:space="0" w:color="000000"/>
              <w:right w:val="single" w:sz="10" w:space="0" w:color="000000"/>
            </w:tcBorders>
            <w:tcMar>
              <w:top w:w="144" w:type="nil"/>
              <w:right w:w="144" w:type="nil"/>
            </w:tcMar>
          </w:tcPr>
          <w:p w14:paraId="77513730"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.075</w:t>
            </w:r>
          </w:p>
        </w:tc>
      </w:tr>
      <w:tr w:rsidR="00042713" w:rsidRPr="00356D9A" w14:paraId="1DDF2064" w14:textId="77777777" w:rsidTr="00067940">
        <w:tblPrEx>
          <w:tblBorders>
            <w:top w:val="none" w:sz="0" w:space="0" w:color="auto"/>
          </w:tblBorders>
        </w:tblPrEx>
        <w:trPr>
          <w:jc w:val="center"/>
        </w:trPr>
        <w:tc>
          <w:tcPr>
            <w:tcW w:w="3392" w:type="dxa"/>
            <w:tcBorders>
              <w:left w:val="single" w:sz="10" w:space="0" w:color="000000"/>
              <w:bottom w:val="single" w:sz="10" w:space="0" w:color="000000"/>
              <w:right w:val="single" w:sz="10" w:space="0" w:color="000000"/>
            </w:tcBorders>
            <w:tcMar>
              <w:top w:w="144" w:type="nil"/>
              <w:right w:w="144" w:type="nil"/>
            </w:tcMar>
          </w:tcPr>
          <w:p w14:paraId="1E0C4228"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2</w:t>
            </w:r>
          </w:p>
        </w:tc>
        <w:tc>
          <w:tcPr>
            <w:tcW w:w="3012" w:type="dxa"/>
            <w:tcBorders>
              <w:bottom w:val="single" w:sz="10" w:space="0" w:color="000000"/>
              <w:right w:val="single" w:sz="10" w:space="0" w:color="000000"/>
            </w:tcBorders>
            <w:tcMar>
              <w:top w:w="144" w:type="nil"/>
              <w:right w:w="144" w:type="nil"/>
            </w:tcMar>
          </w:tcPr>
          <w:p w14:paraId="5752C868"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.15</w:t>
            </w:r>
          </w:p>
        </w:tc>
      </w:tr>
      <w:tr w:rsidR="00042713" w:rsidRPr="00356D9A" w14:paraId="23EA916E" w14:textId="77777777" w:rsidTr="00067940">
        <w:tblPrEx>
          <w:tblBorders>
            <w:top w:val="none" w:sz="0" w:space="0" w:color="auto"/>
          </w:tblBorders>
        </w:tblPrEx>
        <w:trPr>
          <w:jc w:val="center"/>
        </w:trPr>
        <w:tc>
          <w:tcPr>
            <w:tcW w:w="3392" w:type="dxa"/>
            <w:tcBorders>
              <w:left w:val="single" w:sz="10" w:space="0" w:color="000000"/>
              <w:bottom w:val="single" w:sz="10" w:space="0" w:color="000000"/>
              <w:right w:val="single" w:sz="10" w:space="0" w:color="000000"/>
            </w:tcBorders>
            <w:tcMar>
              <w:top w:w="144" w:type="nil"/>
              <w:right w:w="144" w:type="nil"/>
            </w:tcMar>
          </w:tcPr>
          <w:p w14:paraId="13EA514E"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3, 4 or 5</w:t>
            </w:r>
          </w:p>
        </w:tc>
        <w:tc>
          <w:tcPr>
            <w:tcW w:w="3012" w:type="dxa"/>
            <w:tcBorders>
              <w:bottom w:val="single" w:sz="10" w:space="0" w:color="000000"/>
              <w:right w:val="single" w:sz="10" w:space="0" w:color="000000"/>
            </w:tcBorders>
            <w:tcMar>
              <w:top w:w="144" w:type="nil"/>
              <w:right w:w="144" w:type="nil"/>
            </w:tcMar>
          </w:tcPr>
          <w:p w14:paraId="1F3DE0EC"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.30</w:t>
            </w:r>
          </w:p>
        </w:tc>
      </w:tr>
      <w:tr w:rsidR="00042713" w:rsidRPr="00356D9A" w14:paraId="13E458EC" w14:textId="77777777" w:rsidTr="00067940">
        <w:tblPrEx>
          <w:tblBorders>
            <w:top w:val="none" w:sz="0" w:space="0" w:color="auto"/>
          </w:tblBorders>
        </w:tblPrEx>
        <w:trPr>
          <w:jc w:val="center"/>
        </w:trPr>
        <w:tc>
          <w:tcPr>
            <w:tcW w:w="3392" w:type="dxa"/>
            <w:tcBorders>
              <w:left w:val="single" w:sz="10" w:space="0" w:color="000000"/>
              <w:bottom w:val="single" w:sz="10" w:space="0" w:color="000000"/>
              <w:right w:val="single" w:sz="10" w:space="0" w:color="000000"/>
            </w:tcBorders>
            <w:tcMar>
              <w:top w:w="144" w:type="nil"/>
              <w:right w:w="144" w:type="nil"/>
            </w:tcMar>
          </w:tcPr>
          <w:p w14:paraId="78D9FEAD"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8</w:t>
            </w:r>
          </w:p>
        </w:tc>
        <w:tc>
          <w:tcPr>
            <w:tcW w:w="3012" w:type="dxa"/>
            <w:tcBorders>
              <w:bottom w:val="single" w:sz="10" w:space="0" w:color="000000"/>
              <w:right w:val="single" w:sz="10" w:space="0" w:color="000000"/>
            </w:tcBorders>
            <w:tcMar>
              <w:top w:w="144" w:type="nil"/>
              <w:right w:w="144" w:type="nil"/>
            </w:tcMar>
          </w:tcPr>
          <w:p w14:paraId="5E0C2B42"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.60</w:t>
            </w:r>
          </w:p>
        </w:tc>
      </w:tr>
      <w:tr w:rsidR="00042713" w:rsidRPr="00356D9A" w14:paraId="42E90923" w14:textId="77777777" w:rsidTr="00067940">
        <w:trPr>
          <w:jc w:val="center"/>
        </w:trPr>
        <w:tc>
          <w:tcPr>
            <w:tcW w:w="3392" w:type="dxa"/>
            <w:tcBorders>
              <w:left w:val="single" w:sz="10" w:space="0" w:color="000000"/>
              <w:bottom w:val="single" w:sz="10" w:space="0" w:color="000000"/>
              <w:right w:val="single" w:sz="10" w:space="0" w:color="000000"/>
            </w:tcBorders>
            <w:tcMar>
              <w:top w:w="144" w:type="nil"/>
              <w:right w:w="144" w:type="nil"/>
            </w:tcMar>
          </w:tcPr>
          <w:p w14:paraId="3A341653"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12</w:t>
            </w:r>
          </w:p>
        </w:tc>
        <w:tc>
          <w:tcPr>
            <w:tcW w:w="3012" w:type="dxa"/>
            <w:tcBorders>
              <w:bottom w:val="single" w:sz="10" w:space="0" w:color="000000"/>
              <w:right w:val="single" w:sz="10" w:space="0" w:color="000000"/>
            </w:tcBorders>
            <w:tcMar>
              <w:top w:w="144" w:type="nil"/>
              <w:right w:w="144" w:type="nil"/>
            </w:tcMar>
          </w:tcPr>
          <w:p w14:paraId="7B4937A7" w14:textId="77777777" w:rsidR="00042713" w:rsidRPr="00356D9A" w:rsidRDefault="00042713" w:rsidP="00067940">
            <w:pPr>
              <w:autoSpaceDE w:val="0"/>
              <w:autoSpaceDN w:val="0"/>
              <w:adjustRightInd w:val="0"/>
              <w:rPr>
                <w:rFonts w:ascii="Times New Roman" w:eastAsia="Times New Roman" w:hAnsi="Times New Roman"/>
                <w:sz w:val="24"/>
                <w:szCs w:val="24"/>
              </w:rPr>
            </w:pPr>
            <w:r w:rsidRPr="00356D9A">
              <w:rPr>
                <w:rFonts w:ascii="Times New Roman" w:eastAsia="Times New Roman" w:hAnsi="Times New Roman"/>
                <w:sz w:val="24"/>
                <w:szCs w:val="24"/>
              </w:rPr>
              <w:t>.90</w:t>
            </w:r>
          </w:p>
        </w:tc>
      </w:tr>
    </w:tbl>
    <w:p w14:paraId="01106D25" w14:textId="77777777" w:rsidR="00042713" w:rsidRPr="00AC2118" w:rsidRDefault="00042713" w:rsidP="00042713">
      <w:pPr>
        <w:autoSpaceDE w:val="0"/>
        <w:autoSpaceDN w:val="0"/>
        <w:adjustRightInd w:val="0"/>
        <w:rPr>
          <w:rFonts w:cs="Arial"/>
          <w:color w:val="1A1A1A"/>
          <w:lang w:eastAsia="ja-JP"/>
        </w:rPr>
      </w:pPr>
      <w:r w:rsidRPr="00AC2118">
        <w:rPr>
          <w:rFonts w:cs="Arial"/>
          <w:color w:val="1A1A1A"/>
          <w:lang w:eastAsia="ja-JP"/>
        </w:rPr>
        <w:t> </w:t>
      </w:r>
    </w:p>
    <w:p w14:paraId="7A1C863E" w14:textId="0DA8C9F2" w:rsidR="00042713" w:rsidRDefault="00042713" w:rsidP="000A0B3A">
      <w:pPr>
        <w:pStyle w:val="BodyText"/>
        <w:ind w:left="0" w:right="58"/>
      </w:pPr>
    </w:p>
    <w:p w14:paraId="1F5803BC" w14:textId="77777777" w:rsidR="00042713" w:rsidRPr="00A95563" w:rsidRDefault="00042713" w:rsidP="000A0B3A">
      <w:pPr>
        <w:pStyle w:val="BodyText"/>
        <w:ind w:left="0" w:right="58"/>
      </w:pPr>
    </w:p>
    <w:p w14:paraId="56964DFF" w14:textId="03164613" w:rsidR="000A0B3A" w:rsidRPr="00A95563" w:rsidRDefault="009F4D4D" w:rsidP="000A0B3A">
      <w:pPr>
        <w:pStyle w:val="BodyText"/>
        <w:ind w:left="0" w:right="416"/>
      </w:pPr>
      <w:r w:rsidRPr="00A95563">
        <w:rPr>
          <w:u w:val="single"/>
        </w:rPr>
        <w:t>Course overload</w:t>
      </w:r>
      <w:r w:rsidRPr="00A95563">
        <w:rPr>
          <w:b/>
        </w:rPr>
        <w:t>.</w:t>
      </w:r>
      <w:r w:rsidR="00857127" w:rsidRPr="00A95563">
        <w:rPr>
          <w:b/>
        </w:rPr>
        <w:t xml:space="preserve"> </w:t>
      </w:r>
      <w:r w:rsidR="00B475D8" w:rsidRPr="00A95563">
        <w:t xml:space="preserve">Normally, the maximum teaching effort during any given session during summer </w:t>
      </w:r>
      <w:r w:rsidR="005266B5">
        <w:t>session</w:t>
      </w:r>
      <w:r w:rsidR="005F3A0E">
        <w:t xml:space="preserve"> </w:t>
      </w:r>
      <w:r w:rsidR="00B475D8" w:rsidRPr="00A95563">
        <w:t>is 100%.</w:t>
      </w:r>
      <w:r w:rsidR="00611314" w:rsidRPr="00A95563" w:rsidDel="00611314">
        <w:t xml:space="preserve"> </w:t>
      </w:r>
      <w:r w:rsidR="00B475D8" w:rsidRPr="00A95563">
        <w:t xml:space="preserve">The combination of summer research and instructional appointments for the same faculty member must not exceed 1.0 FTE during summer term. </w:t>
      </w:r>
      <w:r w:rsidR="00611314" w:rsidRPr="00A95563">
        <w:t xml:space="preserve">On occasion, faculty may be asked to teach more than one </w:t>
      </w:r>
      <w:r w:rsidR="00C53568">
        <w:t xml:space="preserve">three-, </w:t>
      </w:r>
      <w:r w:rsidR="00611314" w:rsidRPr="00A95563">
        <w:t>f</w:t>
      </w:r>
      <w:r w:rsidR="00ED3C75">
        <w:t>our</w:t>
      </w:r>
      <w:r w:rsidR="00C53568">
        <w:t>, or five-</w:t>
      </w:r>
      <w:r w:rsidR="00ED3C75">
        <w:t>credit hour course in a one-</w:t>
      </w:r>
      <w:r w:rsidR="00611314" w:rsidRPr="00A95563">
        <w:t>month period</w:t>
      </w:r>
      <w:r w:rsidR="009F764A">
        <w:t xml:space="preserve"> which </w:t>
      </w:r>
      <w:r w:rsidR="003266F4">
        <w:t>c</w:t>
      </w:r>
      <w:r w:rsidR="009F764A">
        <w:t>ould result in an overload</w:t>
      </w:r>
      <w:r w:rsidR="00611314" w:rsidRPr="00A95563">
        <w:t>. </w:t>
      </w:r>
      <w:r w:rsidR="009216C3" w:rsidRPr="00A95563">
        <w:t>In the case of the need for an overload assignment, s</w:t>
      </w:r>
      <w:r w:rsidR="00E54F73" w:rsidRPr="00A95563">
        <w:rPr>
          <w:rFonts w:cs="Times New Roman"/>
        </w:rPr>
        <w:t xml:space="preserve">uch assignments are unusual and must be specified and agreed upon in writing by the faculty member, department head, and dean </w:t>
      </w:r>
      <w:r w:rsidR="00E54F73" w:rsidRPr="00A95563">
        <w:rPr>
          <w:rFonts w:cs="Times New Roman"/>
          <w:i/>
        </w:rPr>
        <w:t>prior</w:t>
      </w:r>
      <w:r w:rsidR="00E54F73" w:rsidRPr="00A95563">
        <w:rPr>
          <w:rFonts w:cs="Times New Roman"/>
        </w:rPr>
        <w:t xml:space="preserve"> to initiating the overload.</w:t>
      </w:r>
      <w:r w:rsidR="00857127" w:rsidRPr="00A95563">
        <w:rPr>
          <w:rFonts w:cs="Times New Roman"/>
        </w:rPr>
        <w:t xml:space="preserve"> </w:t>
      </w:r>
      <w:r w:rsidR="00B475D8" w:rsidRPr="00A95563">
        <w:rPr>
          <w:rFonts w:cs="Times New Roman"/>
        </w:rPr>
        <w:t xml:space="preserve"> </w:t>
      </w:r>
    </w:p>
    <w:p w14:paraId="2913CD5C" w14:textId="77777777" w:rsidR="001412D2" w:rsidRPr="00A95563" w:rsidRDefault="001412D2" w:rsidP="001412D2">
      <w:pPr>
        <w:pStyle w:val="BodyText"/>
        <w:ind w:left="0" w:right="58"/>
        <w:rPr>
          <w:u w:val="single"/>
        </w:rPr>
      </w:pPr>
    </w:p>
    <w:p w14:paraId="38A83C08" w14:textId="4CC32512" w:rsidR="001412D2" w:rsidRPr="00A95563" w:rsidRDefault="001412D2" w:rsidP="001412D2">
      <w:pPr>
        <w:pStyle w:val="BodyText"/>
        <w:ind w:left="0" w:right="58"/>
      </w:pPr>
      <w:r w:rsidRPr="00A95563">
        <w:rPr>
          <w:u w:val="single"/>
        </w:rPr>
        <w:t>12 month employees.</w:t>
      </w:r>
      <w:r w:rsidRPr="00A95563">
        <w:t xml:space="preserve">  Current 12 month employees should be r</w:t>
      </w:r>
      <w:r w:rsidR="00F91D1E">
        <w:t>eleased from duties in their 12-</w:t>
      </w:r>
      <w:r w:rsidRPr="00A95563">
        <w:t>month position during the period of their teaching assignment. Research faculty shall not exceed 1.0 during summer appointments.</w:t>
      </w:r>
    </w:p>
    <w:p w14:paraId="5F3B03B4" w14:textId="77777777" w:rsidR="000A0B3A" w:rsidRPr="00A95563" w:rsidRDefault="000A0B3A" w:rsidP="000A0B3A">
      <w:pPr>
        <w:pStyle w:val="BodyText"/>
        <w:ind w:left="0" w:right="416"/>
      </w:pPr>
    </w:p>
    <w:p w14:paraId="760A08F3" w14:textId="1426E8CF" w:rsidR="000A0B3A" w:rsidRPr="00A95563" w:rsidRDefault="000A0B3A" w:rsidP="000A0B3A">
      <w:pPr>
        <w:pStyle w:val="BodyText"/>
        <w:ind w:left="0" w:right="58"/>
      </w:pPr>
      <w:r w:rsidRPr="00A95563">
        <w:rPr>
          <w:u w:val="single"/>
        </w:rPr>
        <w:t>Appointment offer.</w:t>
      </w:r>
      <w:r w:rsidRPr="00A95563">
        <w:t xml:space="preserve"> Summer </w:t>
      </w:r>
      <w:r w:rsidR="005266B5">
        <w:t>session</w:t>
      </w:r>
      <w:r w:rsidRPr="00A95563">
        <w:t xml:space="preserve"> teaching assignments are unique due to the variable length </w:t>
      </w:r>
      <w:r w:rsidRPr="00A95563">
        <w:lastRenderedPageBreak/>
        <w:t xml:space="preserve">of courses. The summer </w:t>
      </w:r>
      <w:r w:rsidR="005266B5">
        <w:t>session</w:t>
      </w:r>
      <w:r w:rsidRPr="00A95563">
        <w:t xml:space="preserve"> assignment and payroll dates begin June 16 and end September 15. Most summer </w:t>
      </w:r>
      <w:r w:rsidR="005266B5">
        <w:t>session</w:t>
      </w:r>
      <w:r w:rsidRPr="00A95563">
        <w:t xml:space="preserve"> courses are offered in four or eight week sessions.</w:t>
      </w:r>
      <w:r w:rsidR="00B475D8" w:rsidRPr="00A95563">
        <w:t xml:space="preserve"> </w:t>
      </w:r>
      <w:r w:rsidR="009F764A">
        <w:t>S</w:t>
      </w:r>
      <w:r w:rsidR="00B475D8" w:rsidRPr="00A95563">
        <w:t>ummer teaching assignments for courses other than four or eight week long courses will be for the dates that the course is held. Week-end</w:t>
      </w:r>
      <w:r w:rsidR="00741C1E">
        <w:t xml:space="preserve"> only</w:t>
      </w:r>
      <w:r w:rsidR="00B475D8" w:rsidRPr="00A95563">
        <w:t xml:space="preserve"> classes need to include a day on either side of the weekend. </w:t>
      </w:r>
      <w:r w:rsidR="00741C1E">
        <w:t>Faculty time a</w:t>
      </w:r>
      <w:r w:rsidR="00B475D8" w:rsidRPr="00A95563">
        <w:t xml:space="preserve">ssignment dates for those classes will reflect the </w:t>
      </w:r>
      <w:r w:rsidR="00741C1E">
        <w:t xml:space="preserve">time </w:t>
      </w:r>
      <w:r w:rsidR="00B475D8" w:rsidRPr="00A95563">
        <w:t xml:space="preserve">period during which </w:t>
      </w:r>
      <w:r w:rsidR="00741C1E">
        <w:t xml:space="preserve">faculty </w:t>
      </w:r>
      <w:r w:rsidR="00B475D8" w:rsidRPr="00A95563">
        <w:t>effort is expended, not to exceed 100% for the</w:t>
      </w:r>
      <w:r w:rsidR="00741C1E">
        <w:t xml:space="preserve"> </w:t>
      </w:r>
      <w:r w:rsidR="00B475D8" w:rsidRPr="00A95563">
        <w:t>perio</w:t>
      </w:r>
      <w:r w:rsidR="00741C1E">
        <w:t>d</w:t>
      </w:r>
      <w:r w:rsidR="00B475D8" w:rsidRPr="00A95563">
        <w:t xml:space="preserve"> of one month.</w:t>
      </w:r>
    </w:p>
    <w:p w14:paraId="7A063614" w14:textId="77777777" w:rsidR="000A0B3A" w:rsidRPr="00A95563" w:rsidRDefault="000A0B3A" w:rsidP="000A0B3A">
      <w:pPr>
        <w:pStyle w:val="BodyText"/>
        <w:ind w:left="0" w:right="58"/>
      </w:pPr>
    </w:p>
    <w:p w14:paraId="5B559B5E" w14:textId="33BE0F49" w:rsidR="000A0B3A" w:rsidRPr="00A95563" w:rsidRDefault="000A0B3A" w:rsidP="000A0B3A">
      <w:pPr>
        <w:pStyle w:val="BodyText"/>
        <w:ind w:left="0" w:right="58"/>
      </w:pPr>
      <w:r w:rsidRPr="00A95563">
        <w:t>An offer of a Summer Session appointment will be made at least five weeks prior</w:t>
      </w:r>
      <w:r w:rsidRPr="00A95563">
        <w:rPr>
          <w:spacing w:val="10"/>
        </w:rPr>
        <w:t xml:space="preserve"> </w:t>
      </w:r>
      <w:r w:rsidRPr="00A95563">
        <w:t>to the beginning of the appointment, whenever</w:t>
      </w:r>
      <w:r w:rsidRPr="00A95563">
        <w:rPr>
          <w:spacing w:val="-17"/>
        </w:rPr>
        <w:t xml:space="preserve"> </w:t>
      </w:r>
      <w:r w:rsidRPr="00A95563">
        <w:t>feasible. A communication (</w:t>
      </w:r>
      <w:r w:rsidR="00A95563">
        <w:t xml:space="preserve">e.g., </w:t>
      </w:r>
      <w:r w:rsidRPr="00A95563">
        <w:t xml:space="preserve">memo, email) must be sent to each faculty member from the department head with the teaching assignments for summer </w:t>
      </w:r>
      <w:r w:rsidR="005266B5">
        <w:t>session</w:t>
      </w:r>
      <w:r w:rsidR="00B475D8" w:rsidRPr="00A95563">
        <w:t xml:space="preserve"> (See attached </w:t>
      </w:r>
      <w:r w:rsidR="003441AA" w:rsidRPr="00A95563">
        <w:t>sample</w:t>
      </w:r>
      <w:r w:rsidR="00B475D8" w:rsidRPr="00A95563">
        <w:t>)</w:t>
      </w:r>
      <w:r w:rsidRPr="00A95563">
        <w:t xml:space="preserve">. For 9-month faculty doing summer research, assignment memos </w:t>
      </w:r>
      <w:r w:rsidR="003441AA" w:rsidRPr="00A95563">
        <w:t>do not need to</w:t>
      </w:r>
      <w:r w:rsidRPr="00A95563">
        <w:t xml:space="preserve"> be issued.  </w:t>
      </w:r>
    </w:p>
    <w:p w14:paraId="7E3659F5" w14:textId="77777777" w:rsidR="000A0B3A" w:rsidRPr="00A95563" w:rsidRDefault="000A0B3A" w:rsidP="000A0B3A">
      <w:pPr>
        <w:pStyle w:val="BodyText"/>
        <w:ind w:left="0" w:right="308"/>
      </w:pPr>
    </w:p>
    <w:p w14:paraId="06261307" w14:textId="275F92CE" w:rsidR="000A0B3A" w:rsidRPr="00A95563" w:rsidRDefault="000A0B3A" w:rsidP="000A0B3A">
      <w:pPr>
        <w:pStyle w:val="BodyText"/>
        <w:ind w:left="0" w:right="308"/>
      </w:pPr>
      <w:r w:rsidRPr="00A95563">
        <w:t>A</w:t>
      </w:r>
      <w:r w:rsidRPr="00A95563">
        <w:rPr>
          <w:spacing w:val="3"/>
        </w:rPr>
        <w:t xml:space="preserve"> </w:t>
      </w:r>
      <w:r w:rsidRPr="00A95563">
        <w:t>bargaining</w:t>
      </w:r>
      <w:r w:rsidRPr="00A95563">
        <w:rPr>
          <w:spacing w:val="-5"/>
        </w:rPr>
        <w:t xml:space="preserve"> </w:t>
      </w:r>
      <w:r w:rsidRPr="00A95563">
        <w:t xml:space="preserve">unit faculty member on an academic </w:t>
      </w:r>
      <w:r w:rsidRPr="00A95563">
        <w:rPr>
          <w:spacing w:val="-3"/>
        </w:rPr>
        <w:t xml:space="preserve">year </w:t>
      </w:r>
      <w:r w:rsidRPr="00A95563">
        <w:t>appointment is not required to accept a Summer</w:t>
      </w:r>
      <w:r w:rsidRPr="00A95563">
        <w:rPr>
          <w:spacing w:val="25"/>
        </w:rPr>
        <w:t xml:space="preserve"> </w:t>
      </w:r>
      <w:r w:rsidRPr="00A95563">
        <w:t>Session</w:t>
      </w:r>
      <w:r w:rsidRPr="00A95563">
        <w:rPr>
          <w:spacing w:val="-3"/>
        </w:rPr>
        <w:t xml:space="preserve"> </w:t>
      </w:r>
      <w:r w:rsidRPr="00A95563">
        <w:t>appointment,</w:t>
      </w:r>
      <w:r w:rsidRPr="00A95563">
        <w:rPr>
          <w:spacing w:val="-7"/>
        </w:rPr>
        <w:t xml:space="preserve"> </w:t>
      </w:r>
      <w:r w:rsidRPr="00A95563">
        <w:t>and</w:t>
      </w:r>
      <w:r w:rsidRPr="00A95563">
        <w:rPr>
          <w:spacing w:val="-7"/>
        </w:rPr>
        <w:t xml:space="preserve"> </w:t>
      </w:r>
      <w:r w:rsidRPr="00A95563">
        <w:t>will</w:t>
      </w:r>
      <w:r w:rsidRPr="00A95563">
        <w:rPr>
          <w:spacing w:val="-7"/>
        </w:rPr>
        <w:t xml:space="preserve"> </w:t>
      </w:r>
      <w:r w:rsidRPr="00A95563">
        <w:t>not</w:t>
      </w:r>
      <w:r w:rsidRPr="00A95563">
        <w:rPr>
          <w:spacing w:val="-9"/>
        </w:rPr>
        <w:t xml:space="preserve"> </w:t>
      </w:r>
      <w:r w:rsidRPr="00A95563">
        <w:t>be</w:t>
      </w:r>
      <w:r w:rsidRPr="00A95563">
        <w:rPr>
          <w:spacing w:val="-8"/>
        </w:rPr>
        <w:t xml:space="preserve"> </w:t>
      </w:r>
      <w:r w:rsidRPr="00A95563">
        <w:t>subject</w:t>
      </w:r>
      <w:r w:rsidRPr="00A95563">
        <w:rPr>
          <w:spacing w:val="-7"/>
        </w:rPr>
        <w:t xml:space="preserve"> </w:t>
      </w:r>
      <w:r w:rsidRPr="00A95563">
        <w:t>to</w:t>
      </w:r>
      <w:r w:rsidRPr="00A95563">
        <w:rPr>
          <w:spacing w:val="-7"/>
        </w:rPr>
        <w:t xml:space="preserve"> </w:t>
      </w:r>
      <w:r w:rsidRPr="00A95563">
        <w:t>discrimination</w:t>
      </w:r>
      <w:r w:rsidRPr="00A95563">
        <w:rPr>
          <w:spacing w:val="-7"/>
        </w:rPr>
        <w:t xml:space="preserve"> </w:t>
      </w:r>
      <w:r w:rsidRPr="00A95563">
        <w:t>and/or</w:t>
      </w:r>
      <w:r w:rsidRPr="00A95563">
        <w:rPr>
          <w:spacing w:val="-8"/>
        </w:rPr>
        <w:t xml:space="preserve"> </w:t>
      </w:r>
      <w:r w:rsidRPr="00A95563">
        <w:t>retaliation</w:t>
      </w:r>
      <w:r w:rsidRPr="00A95563">
        <w:rPr>
          <w:spacing w:val="-7"/>
        </w:rPr>
        <w:t xml:space="preserve"> </w:t>
      </w:r>
      <w:r w:rsidRPr="00A95563">
        <w:t>for</w:t>
      </w:r>
      <w:r w:rsidRPr="00A95563">
        <w:rPr>
          <w:spacing w:val="-8"/>
        </w:rPr>
        <w:t xml:space="preserve"> </w:t>
      </w:r>
      <w:r w:rsidRPr="00A95563">
        <w:t>declining</w:t>
      </w:r>
      <w:r w:rsidRPr="00A95563">
        <w:rPr>
          <w:spacing w:val="-12"/>
        </w:rPr>
        <w:t xml:space="preserve"> </w:t>
      </w:r>
      <w:r w:rsidRPr="00A95563">
        <w:t>a</w:t>
      </w:r>
      <w:r w:rsidRPr="00A95563">
        <w:rPr>
          <w:spacing w:val="-8"/>
        </w:rPr>
        <w:t xml:space="preserve"> </w:t>
      </w:r>
      <w:r w:rsidRPr="00A95563">
        <w:t>Summer Session</w:t>
      </w:r>
      <w:r w:rsidRPr="00A95563">
        <w:rPr>
          <w:spacing w:val="-3"/>
        </w:rPr>
        <w:t xml:space="preserve"> </w:t>
      </w:r>
      <w:r w:rsidRPr="00A95563">
        <w:t>appointment. One exception is a bargaining unit faculty member may be required to accept a Summer</w:t>
      </w:r>
      <w:r w:rsidRPr="00A95563">
        <w:rPr>
          <w:spacing w:val="-8"/>
        </w:rPr>
        <w:t xml:space="preserve"> </w:t>
      </w:r>
      <w:r w:rsidRPr="00A95563">
        <w:t>Session appointment</w:t>
      </w:r>
      <w:r w:rsidRPr="00A95563">
        <w:rPr>
          <w:strike/>
        </w:rPr>
        <w:t xml:space="preserve">s </w:t>
      </w:r>
      <w:r w:rsidRPr="00A95563">
        <w:t>as a condition of a 9-month appointment in programs or departments where there</w:t>
      </w:r>
      <w:r w:rsidRPr="00A95563">
        <w:rPr>
          <w:spacing w:val="-18"/>
        </w:rPr>
        <w:t xml:space="preserve"> </w:t>
      </w:r>
      <w:r w:rsidRPr="00A95563">
        <w:t>is a past practice of such Summer Session</w:t>
      </w:r>
      <w:r w:rsidRPr="00A95563">
        <w:rPr>
          <w:spacing w:val="-12"/>
        </w:rPr>
        <w:t xml:space="preserve"> </w:t>
      </w:r>
      <w:r w:rsidRPr="00A95563">
        <w:t>requirements. If a bargaining unit faculty member is required to accept a Summer Session appointment,</w:t>
      </w:r>
      <w:r w:rsidRPr="00A95563">
        <w:rPr>
          <w:spacing w:val="-20"/>
        </w:rPr>
        <w:t xml:space="preserve"> </w:t>
      </w:r>
      <w:r w:rsidRPr="00A95563">
        <w:t>the terms and conditions of the Summer Session appointment will be specified at the time of the</w:t>
      </w:r>
      <w:r w:rsidRPr="00A95563">
        <w:rPr>
          <w:spacing w:val="-24"/>
        </w:rPr>
        <w:t xml:space="preserve"> </w:t>
      </w:r>
      <w:r w:rsidRPr="00A95563">
        <w:t>9- month appointment in accordance with Article</w:t>
      </w:r>
      <w:r w:rsidRPr="00A95563">
        <w:rPr>
          <w:spacing w:val="-12"/>
        </w:rPr>
        <w:t xml:space="preserve"> </w:t>
      </w:r>
      <w:r w:rsidRPr="00A95563">
        <w:t>16 and will be assigned an FTE percentage commensurate with normal workload duties and compensated at the bargaining unit faculty member’s normal base salary.</w:t>
      </w:r>
    </w:p>
    <w:p w14:paraId="42D13705" w14:textId="77777777" w:rsidR="000A0B3A" w:rsidRPr="00A95563" w:rsidRDefault="000A0B3A" w:rsidP="000A0B3A">
      <w:pPr>
        <w:rPr>
          <w:rFonts w:ascii="Times New Roman" w:eastAsia="Times New Roman" w:hAnsi="Times New Roman" w:cs="Times New Roman"/>
          <w:sz w:val="24"/>
          <w:szCs w:val="24"/>
        </w:rPr>
      </w:pPr>
    </w:p>
    <w:p w14:paraId="6F3887B1" w14:textId="40271BE6" w:rsidR="000A0B3A" w:rsidRPr="00A95563" w:rsidRDefault="000A0B3A" w:rsidP="000A0B3A">
      <w:pPr>
        <w:pStyle w:val="BodyText"/>
        <w:ind w:left="0" w:right="416"/>
      </w:pPr>
      <w:r w:rsidRPr="00A95563">
        <w:rPr>
          <w:u w:val="single"/>
        </w:rPr>
        <w:t>Summer workload funded through sponsored projects</w:t>
      </w:r>
      <w:r w:rsidRPr="00A95563">
        <w:t>. To comply with federal regulations, non-instructional summer pay funded by a sponsored project</w:t>
      </w:r>
      <w:r w:rsidR="00A95563">
        <w:t xml:space="preserve"> (e.g., grant, contract)</w:t>
      </w:r>
      <w:r w:rsidRPr="00A95563">
        <w:t xml:space="preserve"> is based on a faculty member’s academic year base salary. To comply with federal requirements, when a </w:t>
      </w:r>
      <w:r w:rsidR="003441AA" w:rsidRPr="00A95563">
        <w:t>9</w:t>
      </w:r>
      <w:r w:rsidRPr="00A95563">
        <w:t>-month faculty member is funded at 1.0 FTE on a research contract during the summer, the faculty member must work exclusively on that project.</w:t>
      </w:r>
    </w:p>
    <w:p w14:paraId="66BA7913" w14:textId="77777777" w:rsidR="000A0B3A" w:rsidRPr="00A95563" w:rsidRDefault="000A0B3A" w:rsidP="000A0B3A">
      <w:pPr>
        <w:pStyle w:val="BodyText"/>
        <w:ind w:left="0" w:right="416"/>
      </w:pPr>
    </w:p>
    <w:p w14:paraId="4DEA22E8" w14:textId="0E55302D" w:rsidR="000A0B3A" w:rsidRPr="00A95563" w:rsidRDefault="00E54F73" w:rsidP="00F91D1E">
      <w:pPr>
        <w:pStyle w:val="BodyText"/>
        <w:ind w:left="0" w:right="416"/>
      </w:pPr>
      <w:r w:rsidRPr="00A95563">
        <w:rPr>
          <w:b/>
        </w:rPr>
        <w:t>Compensation</w:t>
      </w:r>
      <w:r w:rsidR="000A0B3A" w:rsidRPr="00A95563">
        <w:rPr>
          <w:b/>
        </w:rPr>
        <w:t xml:space="preserve"> for Summer S</w:t>
      </w:r>
      <w:r w:rsidR="00074B9A" w:rsidRPr="00A95563">
        <w:rPr>
          <w:b/>
        </w:rPr>
        <w:t>ession</w:t>
      </w:r>
      <w:r w:rsidR="00F91D1E">
        <w:rPr>
          <w:b/>
        </w:rPr>
        <w:t xml:space="preserve"> </w:t>
      </w:r>
      <w:r w:rsidR="009F4D4D" w:rsidRPr="00A95563">
        <w:t>Summer instructional contracts are distinct and separate from nine-month, academic year contracts</w:t>
      </w:r>
      <w:r w:rsidR="00857127" w:rsidRPr="00A95563">
        <w:t xml:space="preserve">. </w:t>
      </w:r>
      <w:r w:rsidR="007A4602">
        <w:t>Compensation must be FTE based.</w:t>
      </w:r>
      <w:r w:rsidR="007A4602" w:rsidRPr="00A95563">
        <w:t xml:space="preserve"> </w:t>
      </w:r>
      <w:r w:rsidR="00857127" w:rsidRPr="00A95563">
        <w:t xml:space="preserve">Nine-month employees are paid based on their 9-month salary. Summer session base salary </w:t>
      </w:r>
      <w:r w:rsidR="00A95563" w:rsidRPr="00B27008">
        <w:t>monthly</w:t>
      </w:r>
      <w:r w:rsidR="00A95563">
        <w:t xml:space="preserve"> </w:t>
      </w:r>
      <w:r w:rsidR="00857127" w:rsidRPr="00A95563">
        <w:t>for 12</w:t>
      </w:r>
      <w:r w:rsidR="00C3189D">
        <w:t>-</w:t>
      </w:r>
      <w:r w:rsidR="00F91D1E">
        <w:t>month employees is their 12-</w:t>
      </w:r>
      <w:r w:rsidR="00857127" w:rsidRPr="00A95563">
        <w:t xml:space="preserve">month salary divided by 11 months to compensate for loss of paid vacation time. </w:t>
      </w:r>
      <w:r w:rsidR="00741C1E">
        <w:t xml:space="preserve"> </w:t>
      </w:r>
      <w:r w:rsidR="000A0B3A" w:rsidRPr="00A95563">
        <w:t xml:space="preserve">For 9-month faculty doing summer research, assignment memos will not be issued.  </w:t>
      </w:r>
    </w:p>
    <w:p w14:paraId="2A4A0DED" w14:textId="77777777" w:rsidR="000A0B3A" w:rsidRPr="00A95563" w:rsidRDefault="000A0B3A" w:rsidP="000A0B3A">
      <w:pPr>
        <w:pStyle w:val="BodyText"/>
        <w:ind w:left="0" w:right="416"/>
      </w:pPr>
    </w:p>
    <w:p w14:paraId="7171CE32" w14:textId="77777777" w:rsidR="00265BA1" w:rsidRPr="00A95563" w:rsidRDefault="00265BA1" w:rsidP="000A0B3A">
      <w:pPr>
        <w:pStyle w:val="BodyText"/>
        <w:ind w:left="0" w:right="416"/>
        <w:rPr>
          <w:b/>
        </w:rPr>
      </w:pPr>
    </w:p>
    <w:p w14:paraId="7605094C" w14:textId="77777777" w:rsidR="00074B9A" w:rsidRPr="00A95563" w:rsidRDefault="00074B9A" w:rsidP="000A0B3A">
      <w:pPr>
        <w:pStyle w:val="BodyText"/>
        <w:ind w:left="0" w:right="416"/>
        <w:rPr>
          <w:b/>
        </w:rPr>
      </w:pPr>
      <w:r w:rsidRPr="00A95563">
        <w:rPr>
          <w:b/>
        </w:rPr>
        <w:t>Course cancelations</w:t>
      </w:r>
    </w:p>
    <w:p w14:paraId="3A429E66" w14:textId="42CDEBED" w:rsidR="00074B9A" w:rsidRPr="00A95563" w:rsidRDefault="00074B9A" w:rsidP="000A0B3A">
      <w:pPr>
        <w:pStyle w:val="BodyText"/>
        <w:ind w:left="0" w:right="416"/>
      </w:pPr>
      <w:r w:rsidRPr="00A95563">
        <w:t>The department or unit head may cancel a scheduled class or reassign a</w:t>
      </w:r>
      <w:r w:rsidRPr="00A95563">
        <w:rPr>
          <w:spacing w:val="-23"/>
        </w:rPr>
        <w:t xml:space="preserve"> </w:t>
      </w:r>
      <w:r w:rsidRPr="00A95563">
        <w:t>bargaining unit faculty member based on faculty expertise; student demand; unit, school, college,</w:t>
      </w:r>
      <w:r w:rsidRPr="00A95563">
        <w:rPr>
          <w:spacing w:val="-23"/>
        </w:rPr>
        <w:t xml:space="preserve"> </w:t>
      </w:r>
      <w:r w:rsidRPr="00A95563">
        <w:t xml:space="preserve">or university needs; and in accordance with approved policies. </w:t>
      </w:r>
      <w:r w:rsidRPr="00A95563">
        <w:rPr>
          <w:spacing w:val="-4"/>
        </w:rPr>
        <w:t xml:space="preserve">In </w:t>
      </w:r>
      <w:r w:rsidRPr="00A95563">
        <w:t>the event that a course</w:t>
      </w:r>
      <w:r w:rsidRPr="00A95563">
        <w:rPr>
          <w:spacing w:val="-10"/>
        </w:rPr>
        <w:t xml:space="preserve"> </w:t>
      </w:r>
      <w:r w:rsidRPr="00A95563">
        <w:t xml:space="preserve">is cancelled, the department or unit will attempt to appoint the faculty member </w:t>
      </w:r>
      <w:proofErr w:type="gramStart"/>
      <w:r w:rsidRPr="00A95563">
        <w:t>to</w:t>
      </w:r>
      <w:r w:rsidR="00104820">
        <w:t xml:space="preserve"> </w:t>
      </w:r>
      <w:r w:rsidRPr="00A95563">
        <w:rPr>
          <w:spacing w:val="-39"/>
        </w:rPr>
        <w:t xml:space="preserve"> </w:t>
      </w:r>
      <w:r w:rsidRPr="00A95563">
        <w:t>a</w:t>
      </w:r>
      <w:proofErr w:type="gramEnd"/>
      <w:r w:rsidRPr="00A95563">
        <w:t xml:space="preserve"> new</w:t>
      </w:r>
      <w:r w:rsidRPr="00A95563">
        <w:rPr>
          <w:spacing w:val="-7"/>
        </w:rPr>
        <w:t xml:space="preserve"> </w:t>
      </w:r>
      <w:r w:rsidR="009216C3" w:rsidRPr="00A95563">
        <w:t xml:space="preserve">assignment. The department head should try to notify as soon as possible (in most cases before the class starts) the </w:t>
      </w:r>
      <w:r w:rsidR="000A0B3A" w:rsidRPr="00A95563">
        <w:t>faculty member</w:t>
      </w:r>
      <w:r w:rsidR="009216C3" w:rsidRPr="00A95563">
        <w:t xml:space="preserve"> in writing that the class and assignment are cancelled prior to the start date of the class and if another assignment has been identified.</w:t>
      </w:r>
    </w:p>
    <w:p w14:paraId="28C37736" w14:textId="77777777" w:rsidR="00074B9A" w:rsidRPr="00A95563" w:rsidRDefault="00074B9A" w:rsidP="000A0B3A">
      <w:pPr>
        <w:pStyle w:val="BodyText"/>
        <w:ind w:left="0" w:right="416"/>
      </w:pPr>
    </w:p>
    <w:p w14:paraId="6DC12962" w14:textId="77777777" w:rsidR="00857127" w:rsidRPr="00A95563" w:rsidRDefault="00857127" w:rsidP="000A0B3A">
      <w:pPr>
        <w:pStyle w:val="BodyText"/>
        <w:spacing w:line="274" w:lineRule="exact"/>
        <w:ind w:left="0" w:right="416"/>
        <w:rPr>
          <w:b/>
        </w:rPr>
      </w:pPr>
      <w:r w:rsidRPr="00A95563">
        <w:rPr>
          <w:b/>
        </w:rPr>
        <w:t>Changes to policy</w:t>
      </w:r>
    </w:p>
    <w:p w14:paraId="7EE78970" w14:textId="11557C35" w:rsidR="005955C3" w:rsidRPr="00A95563" w:rsidRDefault="00074B9A" w:rsidP="00A95563">
      <w:pPr>
        <w:pStyle w:val="BodyText"/>
        <w:spacing w:line="274" w:lineRule="exact"/>
        <w:ind w:left="0" w:right="416"/>
        <w:rPr>
          <w:rFonts w:cs="Times New Roman"/>
          <w:sz w:val="26"/>
          <w:szCs w:val="26"/>
        </w:rPr>
      </w:pPr>
      <w:r w:rsidRPr="00A95563">
        <w:t xml:space="preserve">Deans and faculty may initiate changes to </w:t>
      </w:r>
      <w:r w:rsidR="00A95563">
        <w:t>COE</w:t>
      </w:r>
      <w:r w:rsidRPr="00A95563">
        <w:t xml:space="preserve"> Summer Session policies pursuant</w:t>
      </w:r>
      <w:r w:rsidRPr="00A95563">
        <w:rPr>
          <w:spacing w:val="-20"/>
        </w:rPr>
        <w:t xml:space="preserve"> </w:t>
      </w:r>
      <w:r w:rsidRPr="00A95563">
        <w:t xml:space="preserve">to </w:t>
      </w:r>
      <w:r w:rsidR="00857127" w:rsidRPr="00A95563">
        <w:t xml:space="preserve">Internal Governance procedures of the </w:t>
      </w:r>
      <w:r w:rsidR="00A95563">
        <w:t>COE</w:t>
      </w:r>
      <w:r w:rsidR="00857127" w:rsidRPr="00A95563">
        <w:t xml:space="preserve"> and the University of Oregon.</w:t>
      </w:r>
    </w:p>
    <w:p w14:paraId="2D49A270" w14:textId="553C9812" w:rsidR="00B475D8" w:rsidRPr="00356D9A" w:rsidRDefault="003441AA" w:rsidP="00A95563">
      <w:pPr>
        <w:rPr>
          <w:rFonts w:ascii="Times New Roman" w:eastAsia="Times New Roman" w:hAnsi="Times New Roman"/>
          <w:sz w:val="24"/>
          <w:szCs w:val="24"/>
        </w:rPr>
      </w:pPr>
      <w:r w:rsidRPr="00A95563">
        <w:rPr>
          <w:b/>
          <w:sz w:val="28"/>
          <w:szCs w:val="28"/>
        </w:rPr>
        <w:br w:type="page"/>
      </w:r>
      <w:r w:rsidR="00B475D8" w:rsidRPr="00356D9A">
        <w:rPr>
          <w:rFonts w:ascii="Times New Roman" w:eastAsia="Times New Roman" w:hAnsi="Times New Roman"/>
          <w:sz w:val="24"/>
          <w:szCs w:val="24"/>
        </w:rPr>
        <w:lastRenderedPageBreak/>
        <w:t xml:space="preserve">Summer </w:t>
      </w:r>
      <w:r w:rsidR="005266B5" w:rsidRPr="00356D9A">
        <w:rPr>
          <w:rFonts w:ascii="Times New Roman" w:eastAsia="Times New Roman" w:hAnsi="Times New Roman"/>
          <w:sz w:val="24"/>
          <w:szCs w:val="24"/>
        </w:rPr>
        <w:t>Session</w:t>
      </w:r>
      <w:r w:rsidR="00B475D8" w:rsidRPr="00356D9A">
        <w:rPr>
          <w:rFonts w:ascii="Times New Roman" w:eastAsia="Times New Roman" w:hAnsi="Times New Roman"/>
          <w:sz w:val="24"/>
          <w:szCs w:val="24"/>
        </w:rPr>
        <w:t xml:space="preserve"> Teaching Appointment Memo Template</w:t>
      </w:r>
    </w:p>
    <w:p w14:paraId="7CE96093" w14:textId="77777777" w:rsidR="00B475D8" w:rsidRPr="00356D9A" w:rsidRDefault="00B475D8" w:rsidP="00B475D8">
      <w:pPr>
        <w:rPr>
          <w:rFonts w:ascii="Times New Roman" w:eastAsia="Times New Roman" w:hAnsi="Times New Roman"/>
          <w:sz w:val="24"/>
          <w:szCs w:val="24"/>
        </w:rPr>
      </w:pPr>
    </w:p>
    <w:p w14:paraId="202AE8F5" w14:textId="77777777" w:rsidR="00B475D8" w:rsidRPr="00356D9A" w:rsidRDefault="00B475D8" w:rsidP="00B475D8">
      <w:pPr>
        <w:rPr>
          <w:rFonts w:ascii="Times New Roman" w:eastAsia="Times New Roman" w:hAnsi="Times New Roman"/>
          <w:sz w:val="24"/>
          <w:szCs w:val="24"/>
        </w:rPr>
      </w:pPr>
      <w:r w:rsidRPr="00356D9A">
        <w:rPr>
          <w:rFonts w:ascii="Times New Roman" w:eastAsia="Times New Roman" w:hAnsi="Times New Roman"/>
          <w:sz w:val="24"/>
          <w:szCs w:val="24"/>
        </w:rPr>
        <w:t>Date:</w:t>
      </w:r>
      <w:r w:rsidRPr="00356D9A">
        <w:rPr>
          <w:rFonts w:ascii="Times New Roman" w:eastAsia="Times New Roman" w:hAnsi="Times New Roman"/>
          <w:sz w:val="24"/>
          <w:szCs w:val="24"/>
        </w:rPr>
        <w:tab/>
      </w:r>
    </w:p>
    <w:p w14:paraId="2937B4BB" w14:textId="77777777" w:rsidR="00B475D8" w:rsidRPr="00356D9A" w:rsidRDefault="00B475D8" w:rsidP="00B475D8">
      <w:pPr>
        <w:rPr>
          <w:rFonts w:ascii="Times New Roman" w:eastAsia="Times New Roman" w:hAnsi="Times New Roman"/>
          <w:sz w:val="24"/>
          <w:szCs w:val="24"/>
        </w:rPr>
      </w:pPr>
      <w:r w:rsidRPr="00356D9A">
        <w:rPr>
          <w:rFonts w:ascii="Times New Roman" w:eastAsia="Times New Roman" w:hAnsi="Times New Roman"/>
          <w:sz w:val="24"/>
          <w:szCs w:val="24"/>
        </w:rPr>
        <w:t xml:space="preserve">To: </w:t>
      </w:r>
      <w:r w:rsidRPr="00356D9A">
        <w:rPr>
          <w:rFonts w:ascii="Times New Roman" w:eastAsia="Times New Roman" w:hAnsi="Times New Roman"/>
          <w:sz w:val="24"/>
          <w:szCs w:val="24"/>
        </w:rPr>
        <w:tab/>
      </w:r>
    </w:p>
    <w:p w14:paraId="591D2679" w14:textId="77777777" w:rsidR="00B475D8" w:rsidRPr="00356D9A" w:rsidRDefault="00B475D8" w:rsidP="00B475D8">
      <w:pPr>
        <w:rPr>
          <w:rFonts w:ascii="Times New Roman" w:eastAsia="Times New Roman" w:hAnsi="Times New Roman"/>
          <w:sz w:val="24"/>
          <w:szCs w:val="24"/>
        </w:rPr>
      </w:pPr>
      <w:r w:rsidRPr="00356D9A">
        <w:rPr>
          <w:rFonts w:ascii="Times New Roman" w:eastAsia="Times New Roman" w:hAnsi="Times New Roman"/>
          <w:sz w:val="24"/>
          <w:szCs w:val="24"/>
        </w:rPr>
        <w:t>From:</w:t>
      </w:r>
      <w:r w:rsidRPr="00356D9A">
        <w:rPr>
          <w:rFonts w:ascii="Times New Roman" w:eastAsia="Times New Roman" w:hAnsi="Times New Roman"/>
          <w:sz w:val="24"/>
          <w:szCs w:val="24"/>
        </w:rPr>
        <w:tab/>
      </w:r>
    </w:p>
    <w:p w14:paraId="4E59E72B" w14:textId="4FB935D9" w:rsidR="00B475D8" w:rsidRPr="00356D9A" w:rsidRDefault="00B475D8" w:rsidP="00B475D8">
      <w:pPr>
        <w:rPr>
          <w:rFonts w:ascii="Times New Roman" w:eastAsia="Times New Roman" w:hAnsi="Times New Roman"/>
          <w:sz w:val="24"/>
          <w:szCs w:val="24"/>
        </w:rPr>
      </w:pPr>
      <w:r w:rsidRPr="00356D9A">
        <w:rPr>
          <w:rFonts w:ascii="Times New Roman" w:eastAsia="Times New Roman" w:hAnsi="Times New Roman"/>
          <w:sz w:val="24"/>
          <w:szCs w:val="24"/>
        </w:rPr>
        <w:t>Re:</w:t>
      </w:r>
      <w:r w:rsidRPr="00356D9A">
        <w:rPr>
          <w:rFonts w:ascii="Times New Roman" w:eastAsia="Times New Roman" w:hAnsi="Times New Roman"/>
          <w:sz w:val="24"/>
          <w:szCs w:val="24"/>
        </w:rPr>
        <w:tab/>
        <w:t xml:space="preserve">Summer </w:t>
      </w:r>
      <w:r w:rsidR="005266B5" w:rsidRPr="00356D9A">
        <w:rPr>
          <w:rFonts w:ascii="Times New Roman" w:eastAsia="Times New Roman" w:hAnsi="Times New Roman"/>
          <w:sz w:val="24"/>
          <w:szCs w:val="24"/>
        </w:rPr>
        <w:t>Session</w:t>
      </w:r>
      <w:r w:rsidRPr="00356D9A">
        <w:rPr>
          <w:rFonts w:ascii="Times New Roman" w:eastAsia="Times New Roman" w:hAnsi="Times New Roman"/>
          <w:sz w:val="24"/>
          <w:szCs w:val="24"/>
        </w:rPr>
        <w:t xml:space="preserve"> 201</w:t>
      </w:r>
      <w:r w:rsidR="007A4602" w:rsidRPr="00356D9A">
        <w:rPr>
          <w:rFonts w:ascii="Times New Roman" w:eastAsia="Times New Roman" w:hAnsi="Times New Roman"/>
          <w:sz w:val="24"/>
          <w:szCs w:val="24"/>
        </w:rPr>
        <w:t>7</w:t>
      </w:r>
      <w:r w:rsidRPr="00356D9A">
        <w:rPr>
          <w:rFonts w:ascii="Times New Roman" w:eastAsia="Times New Roman" w:hAnsi="Times New Roman"/>
          <w:sz w:val="24"/>
          <w:szCs w:val="24"/>
        </w:rPr>
        <w:t xml:space="preserve"> Teaching Assignment </w:t>
      </w:r>
    </w:p>
    <w:p w14:paraId="6A063615" w14:textId="77777777" w:rsidR="00B475D8" w:rsidRPr="00356D9A" w:rsidRDefault="004D611C" w:rsidP="00B475D8">
      <w:pPr>
        <w:rPr>
          <w:rFonts w:ascii="Times New Roman" w:eastAsia="Times New Roman" w:hAnsi="Times New Roman"/>
          <w:sz w:val="24"/>
          <w:szCs w:val="24"/>
        </w:rPr>
      </w:pPr>
      <w:r>
        <w:rPr>
          <w:rFonts w:ascii="Times New Roman" w:eastAsia="Times New Roman" w:hAnsi="Times New Roman"/>
          <w:sz w:val="24"/>
          <w:szCs w:val="24"/>
        </w:rPr>
        <w:pict w14:anchorId="49584492">
          <v:rect id="_x0000_i1025" style="width:0;height:1.5pt" o:hralign="center" o:hrstd="t" o:hr="t" fillcolor="#a0a0a0" stroked="f"/>
        </w:pict>
      </w:r>
    </w:p>
    <w:p w14:paraId="0B55BF30" w14:textId="163E19DE" w:rsidR="00B475D8" w:rsidRPr="00356D9A" w:rsidRDefault="00B475D8" w:rsidP="00B475D8">
      <w:pPr>
        <w:rPr>
          <w:rFonts w:ascii="Times New Roman" w:eastAsia="Times New Roman" w:hAnsi="Times New Roman"/>
          <w:sz w:val="24"/>
          <w:szCs w:val="24"/>
        </w:rPr>
      </w:pPr>
      <w:r w:rsidRPr="00356D9A">
        <w:rPr>
          <w:rFonts w:ascii="Times New Roman" w:eastAsia="Times New Roman" w:hAnsi="Times New Roman"/>
          <w:sz w:val="24"/>
          <w:szCs w:val="24"/>
        </w:rPr>
        <w:t>Your 201</w:t>
      </w:r>
      <w:r w:rsidR="007A4602" w:rsidRPr="00356D9A">
        <w:rPr>
          <w:rFonts w:ascii="Times New Roman" w:eastAsia="Times New Roman" w:hAnsi="Times New Roman"/>
          <w:sz w:val="24"/>
          <w:szCs w:val="24"/>
        </w:rPr>
        <w:t>7</w:t>
      </w:r>
      <w:r w:rsidRPr="00356D9A">
        <w:rPr>
          <w:rFonts w:ascii="Times New Roman" w:eastAsia="Times New Roman" w:hAnsi="Times New Roman"/>
          <w:sz w:val="24"/>
          <w:szCs w:val="24"/>
        </w:rPr>
        <w:t xml:space="preserve"> summer </w:t>
      </w:r>
      <w:r w:rsidR="005266B5" w:rsidRPr="00356D9A">
        <w:rPr>
          <w:rFonts w:ascii="Times New Roman" w:eastAsia="Times New Roman" w:hAnsi="Times New Roman"/>
          <w:sz w:val="24"/>
          <w:szCs w:val="24"/>
        </w:rPr>
        <w:t>session</w:t>
      </w:r>
      <w:r w:rsidRPr="00356D9A">
        <w:rPr>
          <w:rFonts w:ascii="Times New Roman" w:eastAsia="Times New Roman" w:hAnsi="Times New Roman"/>
          <w:sz w:val="24"/>
          <w:szCs w:val="24"/>
        </w:rPr>
        <w:t xml:space="preserve"> teaching assignment is the following:</w:t>
      </w:r>
    </w:p>
    <w:tbl>
      <w:tblPr>
        <w:tblStyle w:val="TableGrid"/>
        <w:tblW w:w="0" w:type="auto"/>
        <w:tblLook w:val="04A0" w:firstRow="1" w:lastRow="0" w:firstColumn="1" w:lastColumn="0" w:noHBand="0" w:noVBand="1"/>
      </w:tblPr>
      <w:tblGrid>
        <w:gridCol w:w="3775"/>
        <w:gridCol w:w="1620"/>
        <w:gridCol w:w="1440"/>
        <w:gridCol w:w="990"/>
        <w:gridCol w:w="1440"/>
      </w:tblGrid>
      <w:tr w:rsidR="00B475D8" w:rsidRPr="00356D9A" w14:paraId="243EFEAD" w14:textId="77777777" w:rsidTr="00634842">
        <w:tc>
          <w:tcPr>
            <w:tcW w:w="3775" w:type="dxa"/>
            <w:tcBorders>
              <w:top w:val="nil"/>
              <w:left w:val="nil"/>
              <w:bottom w:val="single" w:sz="4" w:space="0" w:color="auto"/>
              <w:right w:val="nil"/>
            </w:tcBorders>
          </w:tcPr>
          <w:p w14:paraId="73945C11"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Class Assignment</w:t>
            </w:r>
          </w:p>
        </w:tc>
        <w:tc>
          <w:tcPr>
            <w:tcW w:w="1620" w:type="dxa"/>
            <w:tcBorders>
              <w:top w:val="nil"/>
              <w:left w:val="nil"/>
              <w:bottom w:val="single" w:sz="4" w:space="0" w:color="auto"/>
              <w:right w:val="nil"/>
            </w:tcBorders>
          </w:tcPr>
          <w:p w14:paraId="1D9CEAE5"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Start Date</w:t>
            </w:r>
          </w:p>
        </w:tc>
        <w:tc>
          <w:tcPr>
            <w:tcW w:w="1440" w:type="dxa"/>
            <w:tcBorders>
              <w:top w:val="nil"/>
              <w:left w:val="nil"/>
              <w:bottom w:val="single" w:sz="4" w:space="0" w:color="auto"/>
              <w:right w:val="nil"/>
            </w:tcBorders>
          </w:tcPr>
          <w:p w14:paraId="27EC0A44"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End Date</w:t>
            </w:r>
          </w:p>
        </w:tc>
        <w:tc>
          <w:tcPr>
            <w:tcW w:w="990" w:type="dxa"/>
            <w:tcBorders>
              <w:top w:val="nil"/>
              <w:left w:val="nil"/>
              <w:bottom w:val="single" w:sz="4" w:space="0" w:color="auto"/>
              <w:right w:val="nil"/>
            </w:tcBorders>
          </w:tcPr>
          <w:p w14:paraId="25529996"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FTE</w:t>
            </w:r>
          </w:p>
        </w:tc>
        <w:tc>
          <w:tcPr>
            <w:tcW w:w="1440" w:type="dxa"/>
            <w:tcBorders>
              <w:top w:val="nil"/>
              <w:left w:val="nil"/>
              <w:bottom w:val="single" w:sz="4" w:space="0" w:color="auto"/>
              <w:right w:val="nil"/>
            </w:tcBorders>
          </w:tcPr>
          <w:p w14:paraId="6CDAE2E3"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 xml:space="preserve">Total Pay </w:t>
            </w:r>
          </w:p>
        </w:tc>
      </w:tr>
      <w:tr w:rsidR="00B475D8" w:rsidRPr="00356D9A" w14:paraId="662274FD" w14:textId="77777777" w:rsidTr="00634842">
        <w:tc>
          <w:tcPr>
            <w:tcW w:w="3775" w:type="dxa"/>
            <w:tcBorders>
              <w:top w:val="single" w:sz="4" w:space="0" w:color="auto"/>
            </w:tcBorders>
          </w:tcPr>
          <w:p w14:paraId="1FBCEF04" w14:textId="77777777" w:rsidR="00B475D8" w:rsidRPr="00356D9A" w:rsidRDefault="00B475D8" w:rsidP="00634842">
            <w:pPr>
              <w:rPr>
                <w:rFonts w:ascii="Times New Roman" w:eastAsia="Times New Roman" w:hAnsi="Times New Roman"/>
                <w:sz w:val="24"/>
                <w:szCs w:val="24"/>
              </w:rPr>
            </w:pPr>
          </w:p>
        </w:tc>
        <w:tc>
          <w:tcPr>
            <w:tcW w:w="1620" w:type="dxa"/>
            <w:tcBorders>
              <w:top w:val="single" w:sz="4" w:space="0" w:color="auto"/>
            </w:tcBorders>
          </w:tcPr>
          <w:p w14:paraId="2E2A40D3" w14:textId="77777777" w:rsidR="00B475D8" w:rsidRPr="00356D9A" w:rsidRDefault="00B475D8" w:rsidP="00634842">
            <w:pPr>
              <w:rPr>
                <w:rFonts w:ascii="Times New Roman" w:eastAsia="Times New Roman" w:hAnsi="Times New Roman"/>
                <w:sz w:val="24"/>
                <w:szCs w:val="24"/>
              </w:rPr>
            </w:pPr>
          </w:p>
        </w:tc>
        <w:tc>
          <w:tcPr>
            <w:tcW w:w="1440" w:type="dxa"/>
            <w:tcBorders>
              <w:top w:val="single" w:sz="4" w:space="0" w:color="auto"/>
            </w:tcBorders>
          </w:tcPr>
          <w:p w14:paraId="2605A65C" w14:textId="77777777" w:rsidR="00B475D8" w:rsidRPr="00356D9A" w:rsidRDefault="00B475D8" w:rsidP="00634842">
            <w:pPr>
              <w:rPr>
                <w:rFonts w:ascii="Times New Roman" w:eastAsia="Times New Roman" w:hAnsi="Times New Roman"/>
                <w:sz w:val="24"/>
                <w:szCs w:val="24"/>
              </w:rPr>
            </w:pPr>
          </w:p>
        </w:tc>
        <w:tc>
          <w:tcPr>
            <w:tcW w:w="990" w:type="dxa"/>
            <w:tcBorders>
              <w:top w:val="single" w:sz="4" w:space="0" w:color="auto"/>
            </w:tcBorders>
          </w:tcPr>
          <w:p w14:paraId="41CBEABE" w14:textId="77777777" w:rsidR="00B475D8" w:rsidRPr="00356D9A" w:rsidRDefault="00B475D8" w:rsidP="00634842">
            <w:pPr>
              <w:rPr>
                <w:rFonts w:ascii="Times New Roman" w:eastAsia="Times New Roman" w:hAnsi="Times New Roman"/>
                <w:sz w:val="24"/>
                <w:szCs w:val="24"/>
              </w:rPr>
            </w:pPr>
          </w:p>
        </w:tc>
        <w:tc>
          <w:tcPr>
            <w:tcW w:w="1440" w:type="dxa"/>
            <w:tcBorders>
              <w:top w:val="single" w:sz="4" w:space="0" w:color="auto"/>
            </w:tcBorders>
          </w:tcPr>
          <w:p w14:paraId="46F95443" w14:textId="77777777" w:rsidR="00B475D8" w:rsidRPr="00356D9A" w:rsidRDefault="00B475D8" w:rsidP="00634842">
            <w:pPr>
              <w:rPr>
                <w:rFonts w:ascii="Times New Roman" w:eastAsia="Times New Roman" w:hAnsi="Times New Roman"/>
                <w:sz w:val="24"/>
                <w:szCs w:val="24"/>
              </w:rPr>
            </w:pPr>
          </w:p>
        </w:tc>
      </w:tr>
      <w:tr w:rsidR="00B475D8" w:rsidRPr="00356D9A" w14:paraId="189CAEE5" w14:textId="77777777" w:rsidTr="00634842">
        <w:tc>
          <w:tcPr>
            <w:tcW w:w="3775" w:type="dxa"/>
          </w:tcPr>
          <w:p w14:paraId="52EF0844" w14:textId="77777777" w:rsidR="00B475D8" w:rsidRPr="00356D9A" w:rsidRDefault="00B475D8" w:rsidP="00634842">
            <w:pPr>
              <w:rPr>
                <w:rFonts w:ascii="Times New Roman" w:eastAsia="Times New Roman" w:hAnsi="Times New Roman"/>
                <w:sz w:val="24"/>
                <w:szCs w:val="24"/>
              </w:rPr>
            </w:pPr>
          </w:p>
        </w:tc>
        <w:tc>
          <w:tcPr>
            <w:tcW w:w="1620" w:type="dxa"/>
          </w:tcPr>
          <w:p w14:paraId="371D0A4C" w14:textId="77777777" w:rsidR="00B475D8" w:rsidRPr="00356D9A" w:rsidRDefault="00B475D8" w:rsidP="00634842">
            <w:pPr>
              <w:rPr>
                <w:rFonts w:ascii="Times New Roman" w:eastAsia="Times New Roman" w:hAnsi="Times New Roman"/>
                <w:sz w:val="24"/>
                <w:szCs w:val="24"/>
              </w:rPr>
            </w:pPr>
          </w:p>
        </w:tc>
        <w:tc>
          <w:tcPr>
            <w:tcW w:w="1440" w:type="dxa"/>
          </w:tcPr>
          <w:p w14:paraId="7020C72B" w14:textId="77777777" w:rsidR="00B475D8" w:rsidRPr="00356D9A" w:rsidRDefault="00B475D8" w:rsidP="00634842">
            <w:pPr>
              <w:rPr>
                <w:rFonts w:ascii="Times New Roman" w:eastAsia="Times New Roman" w:hAnsi="Times New Roman"/>
                <w:sz w:val="24"/>
                <w:szCs w:val="24"/>
              </w:rPr>
            </w:pPr>
          </w:p>
        </w:tc>
        <w:tc>
          <w:tcPr>
            <w:tcW w:w="990" w:type="dxa"/>
          </w:tcPr>
          <w:p w14:paraId="3485BA5A" w14:textId="77777777" w:rsidR="00B475D8" w:rsidRPr="00356D9A" w:rsidRDefault="00B475D8" w:rsidP="00634842">
            <w:pPr>
              <w:rPr>
                <w:rFonts w:ascii="Times New Roman" w:eastAsia="Times New Roman" w:hAnsi="Times New Roman"/>
                <w:sz w:val="24"/>
                <w:szCs w:val="24"/>
              </w:rPr>
            </w:pPr>
          </w:p>
        </w:tc>
        <w:tc>
          <w:tcPr>
            <w:tcW w:w="1440" w:type="dxa"/>
          </w:tcPr>
          <w:p w14:paraId="094AE0BF" w14:textId="77777777" w:rsidR="00B475D8" w:rsidRPr="00356D9A" w:rsidRDefault="00B475D8" w:rsidP="00634842">
            <w:pPr>
              <w:rPr>
                <w:rFonts w:ascii="Times New Roman" w:eastAsia="Times New Roman" w:hAnsi="Times New Roman"/>
                <w:sz w:val="24"/>
                <w:szCs w:val="24"/>
              </w:rPr>
            </w:pPr>
          </w:p>
        </w:tc>
      </w:tr>
      <w:tr w:rsidR="00B475D8" w:rsidRPr="00356D9A" w14:paraId="71F947A3" w14:textId="77777777" w:rsidTr="00634842">
        <w:tc>
          <w:tcPr>
            <w:tcW w:w="3775" w:type="dxa"/>
          </w:tcPr>
          <w:p w14:paraId="4DEE40D0" w14:textId="77777777" w:rsidR="00B475D8" w:rsidRPr="00356D9A" w:rsidRDefault="00B475D8" w:rsidP="00634842">
            <w:pPr>
              <w:rPr>
                <w:rFonts w:ascii="Times New Roman" w:eastAsia="Times New Roman" w:hAnsi="Times New Roman"/>
                <w:sz w:val="24"/>
                <w:szCs w:val="24"/>
              </w:rPr>
            </w:pPr>
          </w:p>
        </w:tc>
        <w:tc>
          <w:tcPr>
            <w:tcW w:w="1620" w:type="dxa"/>
          </w:tcPr>
          <w:p w14:paraId="48393930" w14:textId="77777777" w:rsidR="00B475D8" w:rsidRPr="00356D9A" w:rsidRDefault="00B475D8" w:rsidP="00634842">
            <w:pPr>
              <w:rPr>
                <w:rFonts w:ascii="Times New Roman" w:eastAsia="Times New Roman" w:hAnsi="Times New Roman"/>
                <w:sz w:val="24"/>
                <w:szCs w:val="24"/>
              </w:rPr>
            </w:pPr>
          </w:p>
        </w:tc>
        <w:tc>
          <w:tcPr>
            <w:tcW w:w="1440" w:type="dxa"/>
          </w:tcPr>
          <w:p w14:paraId="5653C72B" w14:textId="77777777" w:rsidR="00B475D8" w:rsidRPr="00356D9A" w:rsidRDefault="00B475D8" w:rsidP="00634842">
            <w:pPr>
              <w:rPr>
                <w:rFonts w:ascii="Times New Roman" w:eastAsia="Times New Roman" w:hAnsi="Times New Roman"/>
                <w:sz w:val="24"/>
                <w:szCs w:val="24"/>
              </w:rPr>
            </w:pPr>
          </w:p>
        </w:tc>
        <w:tc>
          <w:tcPr>
            <w:tcW w:w="990" w:type="dxa"/>
          </w:tcPr>
          <w:p w14:paraId="670CA991" w14:textId="77777777" w:rsidR="00B475D8" w:rsidRPr="00356D9A" w:rsidRDefault="00B475D8" w:rsidP="00634842">
            <w:pPr>
              <w:rPr>
                <w:rFonts w:ascii="Times New Roman" w:eastAsia="Times New Roman" w:hAnsi="Times New Roman"/>
                <w:sz w:val="24"/>
                <w:szCs w:val="24"/>
              </w:rPr>
            </w:pPr>
          </w:p>
        </w:tc>
        <w:tc>
          <w:tcPr>
            <w:tcW w:w="1440" w:type="dxa"/>
          </w:tcPr>
          <w:p w14:paraId="6BD1FD8F" w14:textId="77777777" w:rsidR="00B475D8" w:rsidRPr="00356D9A" w:rsidRDefault="00B475D8" w:rsidP="00634842">
            <w:pPr>
              <w:rPr>
                <w:rFonts w:ascii="Times New Roman" w:eastAsia="Times New Roman" w:hAnsi="Times New Roman"/>
                <w:sz w:val="24"/>
                <w:szCs w:val="24"/>
              </w:rPr>
            </w:pPr>
          </w:p>
        </w:tc>
      </w:tr>
      <w:tr w:rsidR="00B475D8" w:rsidRPr="00356D9A" w14:paraId="70BFCDB2" w14:textId="77777777" w:rsidTr="00634842">
        <w:tc>
          <w:tcPr>
            <w:tcW w:w="3775" w:type="dxa"/>
          </w:tcPr>
          <w:p w14:paraId="033E3F9D" w14:textId="77777777" w:rsidR="00B475D8" w:rsidRPr="00356D9A" w:rsidRDefault="00B475D8" w:rsidP="00634842">
            <w:pPr>
              <w:rPr>
                <w:rFonts w:ascii="Times New Roman" w:eastAsia="Times New Roman" w:hAnsi="Times New Roman"/>
                <w:sz w:val="24"/>
                <w:szCs w:val="24"/>
              </w:rPr>
            </w:pPr>
          </w:p>
        </w:tc>
        <w:tc>
          <w:tcPr>
            <w:tcW w:w="1620" w:type="dxa"/>
          </w:tcPr>
          <w:p w14:paraId="061B2635" w14:textId="77777777" w:rsidR="00B475D8" w:rsidRPr="00356D9A" w:rsidRDefault="00B475D8" w:rsidP="00634842">
            <w:pPr>
              <w:rPr>
                <w:rFonts w:ascii="Times New Roman" w:eastAsia="Times New Roman" w:hAnsi="Times New Roman"/>
                <w:sz w:val="24"/>
                <w:szCs w:val="24"/>
              </w:rPr>
            </w:pPr>
          </w:p>
        </w:tc>
        <w:tc>
          <w:tcPr>
            <w:tcW w:w="1440" w:type="dxa"/>
          </w:tcPr>
          <w:p w14:paraId="5A956D43" w14:textId="77777777" w:rsidR="00B475D8" w:rsidRPr="00356D9A" w:rsidRDefault="00B475D8" w:rsidP="00634842">
            <w:pPr>
              <w:rPr>
                <w:rFonts w:ascii="Times New Roman" w:eastAsia="Times New Roman" w:hAnsi="Times New Roman"/>
                <w:sz w:val="24"/>
                <w:szCs w:val="24"/>
              </w:rPr>
            </w:pPr>
          </w:p>
        </w:tc>
        <w:tc>
          <w:tcPr>
            <w:tcW w:w="990" w:type="dxa"/>
          </w:tcPr>
          <w:p w14:paraId="318D820B" w14:textId="77777777" w:rsidR="00B475D8" w:rsidRPr="00356D9A" w:rsidRDefault="00B475D8" w:rsidP="00634842">
            <w:pPr>
              <w:rPr>
                <w:rFonts w:ascii="Times New Roman" w:eastAsia="Times New Roman" w:hAnsi="Times New Roman"/>
                <w:sz w:val="24"/>
                <w:szCs w:val="24"/>
              </w:rPr>
            </w:pPr>
          </w:p>
        </w:tc>
        <w:tc>
          <w:tcPr>
            <w:tcW w:w="1440" w:type="dxa"/>
          </w:tcPr>
          <w:p w14:paraId="1CC29AF8" w14:textId="77777777" w:rsidR="00B475D8" w:rsidRPr="00356D9A" w:rsidRDefault="00B475D8" w:rsidP="00634842">
            <w:pPr>
              <w:rPr>
                <w:rFonts w:ascii="Times New Roman" w:eastAsia="Times New Roman" w:hAnsi="Times New Roman"/>
                <w:sz w:val="24"/>
                <w:szCs w:val="24"/>
              </w:rPr>
            </w:pPr>
          </w:p>
        </w:tc>
      </w:tr>
      <w:tr w:rsidR="00B475D8" w:rsidRPr="00356D9A" w14:paraId="37ABE0E2" w14:textId="77777777" w:rsidTr="00634842">
        <w:tc>
          <w:tcPr>
            <w:tcW w:w="3775" w:type="dxa"/>
          </w:tcPr>
          <w:p w14:paraId="094308F3" w14:textId="77777777" w:rsidR="00B475D8" w:rsidRPr="00356D9A" w:rsidRDefault="00B475D8" w:rsidP="00634842">
            <w:pPr>
              <w:rPr>
                <w:rFonts w:ascii="Times New Roman" w:eastAsia="Times New Roman" w:hAnsi="Times New Roman"/>
                <w:sz w:val="24"/>
                <w:szCs w:val="24"/>
              </w:rPr>
            </w:pPr>
          </w:p>
        </w:tc>
        <w:tc>
          <w:tcPr>
            <w:tcW w:w="1620" w:type="dxa"/>
          </w:tcPr>
          <w:p w14:paraId="6BBAF950" w14:textId="77777777" w:rsidR="00B475D8" w:rsidRPr="00356D9A" w:rsidRDefault="00B475D8" w:rsidP="00634842">
            <w:pPr>
              <w:rPr>
                <w:rFonts w:ascii="Times New Roman" w:eastAsia="Times New Roman" w:hAnsi="Times New Roman"/>
                <w:sz w:val="24"/>
                <w:szCs w:val="24"/>
              </w:rPr>
            </w:pPr>
          </w:p>
        </w:tc>
        <w:tc>
          <w:tcPr>
            <w:tcW w:w="1440" w:type="dxa"/>
          </w:tcPr>
          <w:p w14:paraId="7EFB6440" w14:textId="77777777" w:rsidR="00B475D8" w:rsidRPr="00356D9A" w:rsidRDefault="00B475D8" w:rsidP="00634842">
            <w:pPr>
              <w:rPr>
                <w:rFonts w:ascii="Times New Roman" w:eastAsia="Times New Roman" w:hAnsi="Times New Roman"/>
                <w:sz w:val="24"/>
                <w:szCs w:val="24"/>
              </w:rPr>
            </w:pPr>
          </w:p>
        </w:tc>
        <w:tc>
          <w:tcPr>
            <w:tcW w:w="990" w:type="dxa"/>
          </w:tcPr>
          <w:p w14:paraId="0D41E490" w14:textId="77777777" w:rsidR="00B475D8" w:rsidRPr="00356D9A" w:rsidRDefault="00B475D8" w:rsidP="00634842">
            <w:pPr>
              <w:rPr>
                <w:rFonts w:ascii="Times New Roman" w:eastAsia="Times New Roman" w:hAnsi="Times New Roman"/>
                <w:sz w:val="24"/>
                <w:szCs w:val="24"/>
              </w:rPr>
            </w:pPr>
          </w:p>
        </w:tc>
        <w:tc>
          <w:tcPr>
            <w:tcW w:w="1440" w:type="dxa"/>
          </w:tcPr>
          <w:p w14:paraId="33EA1EC9" w14:textId="77777777" w:rsidR="00B475D8" w:rsidRPr="00356D9A" w:rsidRDefault="00B475D8" w:rsidP="00634842">
            <w:pPr>
              <w:rPr>
                <w:rFonts w:ascii="Times New Roman" w:eastAsia="Times New Roman" w:hAnsi="Times New Roman"/>
                <w:sz w:val="24"/>
                <w:szCs w:val="24"/>
              </w:rPr>
            </w:pPr>
          </w:p>
        </w:tc>
      </w:tr>
    </w:tbl>
    <w:p w14:paraId="57DF0C1A" w14:textId="77777777" w:rsidR="00B475D8" w:rsidRPr="00356D9A" w:rsidRDefault="00B475D8" w:rsidP="00B475D8">
      <w:pPr>
        <w:rPr>
          <w:rFonts w:ascii="Times New Roman" w:eastAsia="Times New Roman" w:hAnsi="Times New Roman"/>
          <w:sz w:val="24"/>
          <w:szCs w:val="24"/>
        </w:rPr>
      </w:pPr>
    </w:p>
    <w:p w14:paraId="22E01EA9" w14:textId="77777777" w:rsidR="00B475D8" w:rsidRPr="00356D9A" w:rsidRDefault="00B475D8" w:rsidP="00B475D8">
      <w:pPr>
        <w:rPr>
          <w:rFonts w:ascii="Times New Roman" w:eastAsia="Times New Roman" w:hAnsi="Times New Roman"/>
          <w:sz w:val="24"/>
          <w:szCs w:val="24"/>
        </w:rPr>
      </w:pPr>
      <w:r w:rsidRPr="00356D9A">
        <w:rPr>
          <w:rFonts w:ascii="Times New Roman" w:eastAsia="Times New Roman" w:hAnsi="Times New Roman"/>
          <w:sz w:val="24"/>
          <w:szCs w:val="24"/>
        </w:rPr>
        <w:t>By your signature on this notice or confirmation via email, you agree to complete the duties and responsibilities of your position for the courses assigned. Normal expectations with regards to the responsibility to hold office hours and the timely submission of grades apply during the summer term. We reserve the right to CANCEL CLASSES due to inadequate enrollment. In the event of such a cancellation, this notice may be rescinded and the University will have no liability for such rescission.</w:t>
      </w:r>
    </w:p>
    <w:p w14:paraId="0B04EB60" w14:textId="77777777" w:rsidR="00B475D8" w:rsidRPr="00356D9A" w:rsidRDefault="00B475D8" w:rsidP="00B475D8">
      <w:pPr>
        <w:rPr>
          <w:rFonts w:ascii="Times New Roman" w:eastAsia="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3150"/>
        <w:gridCol w:w="90"/>
        <w:gridCol w:w="1610"/>
      </w:tblGrid>
      <w:tr w:rsidR="00B475D8" w:rsidRPr="00356D9A" w14:paraId="2573C954" w14:textId="77777777" w:rsidTr="00634842">
        <w:tc>
          <w:tcPr>
            <w:tcW w:w="4230" w:type="dxa"/>
            <w:tcBorders>
              <w:bottom w:val="single" w:sz="4" w:space="0" w:color="auto"/>
            </w:tcBorders>
          </w:tcPr>
          <w:p w14:paraId="56C67B45" w14:textId="77777777" w:rsidR="00B475D8" w:rsidRPr="00356D9A" w:rsidRDefault="00B475D8" w:rsidP="00634842">
            <w:pPr>
              <w:rPr>
                <w:rFonts w:ascii="Times New Roman" w:eastAsia="Times New Roman" w:hAnsi="Times New Roman"/>
                <w:sz w:val="24"/>
                <w:szCs w:val="24"/>
              </w:rPr>
            </w:pPr>
          </w:p>
        </w:tc>
        <w:tc>
          <w:tcPr>
            <w:tcW w:w="270" w:type="dxa"/>
          </w:tcPr>
          <w:p w14:paraId="1773E527" w14:textId="77777777" w:rsidR="00B475D8" w:rsidRPr="00356D9A" w:rsidRDefault="00B475D8" w:rsidP="00634842">
            <w:pPr>
              <w:rPr>
                <w:rFonts w:ascii="Times New Roman" w:eastAsia="Times New Roman" w:hAnsi="Times New Roman"/>
                <w:sz w:val="24"/>
                <w:szCs w:val="24"/>
              </w:rPr>
            </w:pPr>
          </w:p>
        </w:tc>
        <w:tc>
          <w:tcPr>
            <w:tcW w:w="3150" w:type="dxa"/>
            <w:tcBorders>
              <w:bottom w:val="single" w:sz="4" w:space="0" w:color="auto"/>
            </w:tcBorders>
          </w:tcPr>
          <w:p w14:paraId="542ACFE6" w14:textId="77777777" w:rsidR="00B475D8" w:rsidRPr="00356D9A" w:rsidRDefault="00B475D8" w:rsidP="00634842">
            <w:pPr>
              <w:rPr>
                <w:rFonts w:ascii="Times New Roman" w:eastAsia="Times New Roman" w:hAnsi="Times New Roman"/>
                <w:sz w:val="24"/>
                <w:szCs w:val="24"/>
              </w:rPr>
            </w:pPr>
          </w:p>
        </w:tc>
        <w:tc>
          <w:tcPr>
            <w:tcW w:w="1700" w:type="dxa"/>
            <w:gridSpan w:val="2"/>
            <w:tcBorders>
              <w:bottom w:val="single" w:sz="4" w:space="0" w:color="auto"/>
            </w:tcBorders>
          </w:tcPr>
          <w:p w14:paraId="09769661" w14:textId="77777777" w:rsidR="00B475D8" w:rsidRPr="00356D9A" w:rsidRDefault="00B475D8" w:rsidP="00634842">
            <w:pPr>
              <w:rPr>
                <w:rFonts w:ascii="Times New Roman" w:eastAsia="Times New Roman" w:hAnsi="Times New Roman"/>
                <w:sz w:val="24"/>
                <w:szCs w:val="24"/>
              </w:rPr>
            </w:pPr>
          </w:p>
        </w:tc>
      </w:tr>
      <w:tr w:rsidR="00B475D8" w:rsidRPr="00356D9A" w14:paraId="0BE52B55" w14:textId="77777777" w:rsidTr="00634842">
        <w:tc>
          <w:tcPr>
            <w:tcW w:w="4230" w:type="dxa"/>
            <w:tcBorders>
              <w:top w:val="single" w:sz="4" w:space="0" w:color="auto"/>
            </w:tcBorders>
          </w:tcPr>
          <w:p w14:paraId="65FF56EF"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Printed Name</w:t>
            </w:r>
          </w:p>
        </w:tc>
        <w:tc>
          <w:tcPr>
            <w:tcW w:w="270" w:type="dxa"/>
          </w:tcPr>
          <w:p w14:paraId="0FB6EA3D" w14:textId="77777777" w:rsidR="00B475D8" w:rsidRPr="00356D9A" w:rsidRDefault="00B475D8" w:rsidP="00634842">
            <w:pPr>
              <w:rPr>
                <w:rFonts w:ascii="Times New Roman" w:eastAsia="Times New Roman" w:hAnsi="Times New Roman"/>
                <w:sz w:val="24"/>
                <w:szCs w:val="24"/>
              </w:rPr>
            </w:pPr>
          </w:p>
        </w:tc>
        <w:tc>
          <w:tcPr>
            <w:tcW w:w="3240" w:type="dxa"/>
            <w:gridSpan w:val="2"/>
            <w:tcBorders>
              <w:top w:val="single" w:sz="4" w:space="0" w:color="auto"/>
            </w:tcBorders>
          </w:tcPr>
          <w:p w14:paraId="7744F0B6"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Signature</w:t>
            </w:r>
          </w:p>
        </w:tc>
        <w:tc>
          <w:tcPr>
            <w:tcW w:w="1610" w:type="dxa"/>
            <w:tcBorders>
              <w:top w:val="single" w:sz="4" w:space="0" w:color="auto"/>
            </w:tcBorders>
          </w:tcPr>
          <w:p w14:paraId="2AD36C0E" w14:textId="77777777" w:rsidR="00B475D8" w:rsidRPr="00356D9A" w:rsidRDefault="00B475D8" w:rsidP="00634842">
            <w:pPr>
              <w:rPr>
                <w:rFonts w:ascii="Times New Roman" w:eastAsia="Times New Roman" w:hAnsi="Times New Roman"/>
                <w:sz w:val="24"/>
                <w:szCs w:val="24"/>
              </w:rPr>
            </w:pPr>
            <w:r w:rsidRPr="00356D9A">
              <w:rPr>
                <w:rFonts w:ascii="Times New Roman" w:eastAsia="Times New Roman" w:hAnsi="Times New Roman"/>
                <w:sz w:val="24"/>
                <w:szCs w:val="24"/>
              </w:rPr>
              <w:t>Date</w:t>
            </w:r>
          </w:p>
        </w:tc>
      </w:tr>
    </w:tbl>
    <w:p w14:paraId="71BC11F9" w14:textId="77777777" w:rsidR="00B475D8" w:rsidRPr="00356D9A" w:rsidRDefault="00B475D8" w:rsidP="00B475D8">
      <w:pPr>
        <w:rPr>
          <w:rFonts w:ascii="Times New Roman" w:eastAsia="Times New Roman" w:hAnsi="Times New Roman"/>
          <w:sz w:val="24"/>
          <w:szCs w:val="24"/>
        </w:rPr>
      </w:pPr>
    </w:p>
    <w:p w14:paraId="570A8334" w14:textId="77777777" w:rsidR="005955C3" w:rsidRDefault="005955C3" w:rsidP="000A0B3A">
      <w:pPr>
        <w:pStyle w:val="BodyText"/>
        <w:ind w:left="0" w:right="145"/>
      </w:pPr>
    </w:p>
    <w:sectPr w:rsidR="005955C3" w:rsidSect="003441AA">
      <w:headerReference w:type="default" r:id="rId8"/>
      <w:footerReference w:type="default" r:id="rId9"/>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81083" w14:textId="77777777" w:rsidR="009261AF" w:rsidRDefault="009261AF" w:rsidP="003441AA">
      <w:r>
        <w:separator/>
      </w:r>
    </w:p>
  </w:endnote>
  <w:endnote w:type="continuationSeparator" w:id="0">
    <w:p w14:paraId="0B8B9A25" w14:textId="77777777" w:rsidR="009261AF" w:rsidRDefault="009261AF" w:rsidP="0034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530622"/>
      <w:docPartObj>
        <w:docPartGallery w:val="Page Numbers (Bottom of Page)"/>
        <w:docPartUnique/>
      </w:docPartObj>
    </w:sdtPr>
    <w:sdtEndPr>
      <w:rPr>
        <w:noProof/>
      </w:rPr>
    </w:sdtEndPr>
    <w:sdtContent>
      <w:p w14:paraId="50632449" w14:textId="768625DA" w:rsidR="003441AA" w:rsidRDefault="003441AA">
        <w:pPr>
          <w:pStyle w:val="Footer"/>
          <w:jc w:val="right"/>
        </w:pPr>
        <w:r>
          <w:fldChar w:fldCharType="begin"/>
        </w:r>
        <w:r>
          <w:instrText xml:space="preserve"> PAGE   \* MERGEFORMAT </w:instrText>
        </w:r>
        <w:r>
          <w:fldChar w:fldCharType="separate"/>
        </w:r>
        <w:r w:rsidR="004D611C">
          <w:rPr>
            <w:noProof/>
          </w:rPr>
          <w:t>4</w:t>
        </w:r>
        <w:r>
          <w:rPr>
            <w:noProof/>
          </w:rPr>
          <w:fldChar w:fldCharType="end"/>
        </w:r>
      </w:p>
    </w:sdtContent>
  </w:sdt>
  <w:p w14:paraId="0673E6C1" w14:textId="77777777" w:rsidR="003441AA" w:rsidRDefault="003441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108D3" w14:textId="77777777" w:rsidR="009261AF" w:rsidRDefault="009261AF" w:rsidP="003441AA">
      <w:r>
        <w:separator/>
      </w:r>
    </w:p>
  </w:footnote>
  <w:footnote w:type="continuationSeparator" w:id="0">
    <w:p w14:paraId="4CC427AD" w14:textId="77777777" w:rsidR="009261AF" w:rsidRDefault="009261AF" w:rsidP="003441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ED973" w14:textId="6585192D" w:rsidR="003441AA" w:rsidRDefault="00A95563">
    <w:pPr>
      <w:pStyle w:val="Header"/>
    </w:pPr>
    <w:r>
      <w:t>4-17</w:t>
    </w:r>
    <w:r w:rsidR="003441AA">
      <w:t>-2016</w:t>
    </w:r>
  </w:p>
  <w:p w14:paraId="5078E6F2" w14:textId="77777777" w:rsidR="003441AA" w:rsidRDefault="003441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768"/>
    <w:multiLevelType w:val="hybridMultilevel"/>
    <w:tmpl w:val="7664754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AFC753F"/>
    <w:multiLevelType w:val="hybridMultilevel"/>
    <w:tmpl w:val="86E6BB5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3064C42"/>
    <w:multiLevelType w:val="hybridMultilevel"/>
    <w:tmpl w:val="A6EE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7587A"/>
    <w:multiLevelType w:val="hybridMultilevel"/>
    <w:tmpl w:val="C628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D1F2B"/>
    <w:multiLevelType w:val="hybridMultilevel"/>
    <w:tmpl w:val="5A64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E31FC"/>
    <w:multiLevelType w:val="hybridMultilevel"/>
    <w:tmpl w:val="9B1064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7E210B4B"/>
    <w:multiLevelType w:val="multilevel"/>
    <w:tmpl w:val="48B2412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3"/>
  </w:num>
  <w:num w:numId="2">
    <w:abstractNumId w:val="5"/>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3"/>
    <w:rsid w:val="00042713"/>
    <w:rsid w:val="000433BE"/>
    <w:rsid w:val="00071B3B"/>
    <w:rsid w:val="00074B9A"/>
    <w:rsid w:val="000A0B3A"/>
    <w:rsid w:val="00104820"/>
    <w:rsid w:val="00124419"/>
    <w:rsid w:val="001315D7"/>
    <w:rsid w:val="001412D2"/>
    <w:rsid w:val="00192F37"/>
    <w:rsid w:val="001A0597"/>
    <w:rsid w:val="00265BA1"/>
    <w:rsid w:val="002C7B69"/>
    <w:rsid w:val="003266F4"/>
    <w:rsid w:val="003441AA"/>
    <w:rsid w:val="00356D9A"/>
    <w:rsid w:val="00381EE4"/>
    <w:rsid w:val="003A495E"/>
    <w:rsid w:val="00427F99"/>
    <w:rsid w:val="00442A94"/>
    <w:rsid w:val="004D611C"/>
    <w:rsid w:val="005266B5"/>
    <w:rsid w:val="0054256C"/>
    <w:rsid w:val="005955C3"/>
    <w:rsid w:val="005F3A0E"/>
    <w:rsid w:val="00604DE5"/>
    <w:rsid w:val="00611314"/>
    <w:rsid w:val="00624AB6"/>
    <w:rsid w:val="006C33E8"/>
    <w:rsid w:val="00741C1E"/>
    <w:rsid w:val="007A4602"/>
    <w:rsid w:val="00857127"/>
    <w:rsid w:val="00902FC2"/>
    <w:rsid w:val="0091275D"/>
    <w:rsid w:val="009216C3"/>
    <w:rsid w:val="009261AF"/>
    <w:rsid w:val="00997312"/>
    <w:rsid w:val="009A34C8"/>
    <w:rsid w:val="009E67AE"/>
    <w:rsid w:val="009F4D4D"/>
    <w:rsid w:val="009F764A"/>
    <w:rsid w:val="00A95563"/>
    <w:rsid w:val="00AA249D"/>
    <w:rsid w:val="00AD66A1"/>
    <w:rsid w:val="00AF23DF"/>
    <w:rsid w:val="00B007A0"/>
    <w:rsid w:val="00B27008"/>
    <w:rsid w:val="00B475D8"/>
    <w:rsid w:val="00B94B11"/>
    <w:rsid w:val="00BF53E3"/>
    <w:rsid w:val="00BF70F6"/>
    <w:rsid w:val="00C3189D"/>
    <w:rsid w:val="00C53568"/>
    <w:rsid w:val="00CE0263"/>
    <w:rsid w:val="00DA3490"/>
    <w:rsid w:val="00DB3C06"/>
    <w:rsid w:val="00DD73F8"/>
    <w:rsid w:val="00E03F18"/>
    <w:rsid w:val="00E153C6"/>
    <w:rsid w:val="00E53C4E"/>
    <w:rsid w:val="00E54F73"/>
    <w:rsid w:val="00EB20B0"/>
    <w:rsid w:val="00ED3C75"/>
    <w:rsid w:val="00EE2003"/>
    <w:rsid w:val="00EF058A"/>
    <w:rsid w:val="00F31E5A"/>
    <w:rsid w:val="00F4557F"/>
    <w:rsid w:val="00F84208"/>
    <w:rsid w:val="00F91D1E"/>
    <w:rsid w:val="00FC1DE4"/>
    <w:rsid w:val="00FE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E9089"/>
  <w15:docId w15:val="{98BC9D00-1238-4744-893B-CCF53B5C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54F73"/>
    <w:rPr>
      <w:color w:val="0563C1"/>
      <w:u w:val="single"/>
    </w:rPr>
  </w:style>
  <w:style w:type="character" w:styleId="CommentReference">
    <w:name w:val="annotation reference"/>
    <w:basedOn w:val="DefaultParagraphFont"/>
    <w:uiPriority w:val="99"/>
    <w:semiHidden/>
    <w:unhideWhenUsed/>
    <w:rsid w:val="009F4D4D"/>
    <w:rPr>
      <w:sz w:val="16"/>
      <w:szCs w:val="16"/>
    </w:rPr>
  </w:style>
  <w:style w:type="paragraph" w:styleId="CommentText">
    <w:name w:val="annotation text"/>
    <w:basedOn w:val="Normal"/>
    <w:link w:val="CommentTextChar"/>
    <w:uiPriority w:val="99"/>
    <w:semiHidden/>
    <w:unhideWhenUsed/>
    <w:rsid w:val="009F4D4D"/>
    <w:rPr>
      <w:sz w:val="20"/>
      <w:szCs w:val="20"/>
    </w:rPr>
  </w:style>
  <w:style w:type="character" w:customStyle="1" w:styleId="CommentTextChar">
    <w:name w:val="Comment Text Char"/>
    <w:basedOn w:val="DefaultParagraphFont"/>
    <w:link w:val="CommentText"/>
    <w:uiPriority w:val="99"/>
    <w:semiHidden/>
    <w:rsid w:val="009F4D4D"/>
    <w:rPr>
      <w:sz w:val="20"/>
      <w:szCs w:val="20"/>
    </w:rPr>
  </w:style>
  <w:style w:type="paragraph" w:styleId="CommentSubject">
    <w:name w:val="annotation subject"/>
    <w:basedOn w:val="CommentText"/>
    <w:next w:val="CommentText"/>
    <w:link w:val="CommentSubjectChar"/>
    <w:uiPriority w:val="99"/>
    <w:semiHidden/>
    <w:unhideWhenUsed/>
    <w:rsid w:val="009F4D4D"/>
    <w:rPr>
      <w:b/>
      <w:bCs/>
    </w:rPr>
  </w:style>
  <w:style w:type="character" w:customStyle="1" w:styleId="CommentSubjectChar">
    <w:name w:val="Comment Subject Char"/>
    <w:basedOn w:val="CommentTextChar"/>
    <w:link w:val="CommentSubject"/>
    <w:uiPriority w:val="99"/>
    <w:semiHidden/>
    <w:rsid w:val="009F4D4D"/>
    <w:rPr>
      <w:b/>
      <w:bCs/>
      <w:sz w:val="20"/>
      <w:szCs w:val="20"/>
    </w:rPr>
  </w:style>
  <w:style w:type="paragraph" w:styleId="BalloonText">
    <w:name w:val="Balloon Text"/>
    <w:basedOn w:val="Normal"/>
    <w:link w:val="BalloonTextChar"/>
    <w:uiPriority w:val="99"/>
    <w:semiHidden/>
    <w:unhideWhenUsed/>
    <w:rsid w:val="009F4D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D4D"/>
    <w:rPr>
      <w:rFonts w:ascii="Segoe UI" w:hAnsi="Segoe UI" w:cs="Segoe UI"/>
      <w:sz w:val="18"/>
      <w:szCs w:val="18"/>
    </w:rPr>
  </w:style>
  <w:style w:type="table" w:styleId="TableGrid">
    <w:name w:val="Table Grid"/>
    <w:basedOn w:val="TableNormal"/>
    <w:uiPriority w:val="39"/>
    <w:rsid w:val="00B475D8"/>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1AA"/>
    <w:pPr>
      <w:tabs>
        <w:tab w:val="center" w:pos="4680"/>
        <w:tab w:val="right" w:pos="9360"/>
      </w:tabs>
    </w:pPr>
  </w:style>
  <w:style w:type="character" w:customStyle="1" w:styleId="HeaderChar">
    <w:name w:val="Header Char"/>
    <w:basedOn w:val="DefaultParagraphFont"/>
    <w:link w:val="Header"/>
    <w:uiPriority w:val="99"/>
    <w:rsid w:val="003441AA"/>
  </w:style>
  <w:style w:type="paragraph" w:styleId="Footer">
    <w:name w:val="footer"/>
    <w:basedOn w:val="Normal"/>
    <w:link w:val="FooterChar"/>
    <w:uiPriority w:val="99"/>
    <w:unhideWhenUsed/>
    <w:rsid w:val="003441AA"/>
    <w:pPr>
      <w:tabs>
        <w:tab w:val="center" w:pos="4680"/>
        <w:tab w:val="right" w:pos="9360"/>
      </w:tabs>
    </w:pPr>
  </w:style>
  <w:style w:type="character" w:customStyle="1" w:styleId="FooterChar">
    <w:name w:val="Footer Char"/>
    <w:basedOn w:val="DefaultParagraphFont"/>
    <w:link w:val="Footer"/>
    <w:uiPriority w:val="99"/>
    <w:rsid w:val="003441AA"/>
  </w:style>
  <w:style w:type="character" w:styleId="FollowedHyperlink">
    <w:name w:val="FollowedHyperlink"/>
    <w:basedOn w:val="DefaultParagraphFont"/>
    <w:uiPriority w:val="99"/>
    <w:semiHidden/>
    <w:unhideWhenUsed/>
    <w:rsid w:val="001412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674825">
      <w:bodyDiv w:val="1"/>
      <w:marLeft w:val="0"/>
      <w:marRight w:val="0"/>
      <w:marTop w:val="0"/>
      <w:marBottom w:val="0"/>
      <w:divBdr>
        <w:top w:val="none" w:sz="0" w:space="0" w:color="auto"/>
        <w:left w:val="none" w:sz="0" w:space="0" w:color="auto"/>
        <w:bottom w:val="none" w:sz="0" w:space="0" w:color="auto"/>
        <w:right w:val="none" w:sz="0" w:space="0" w:color="auto"/>
      </w:divBdr>
    </w:div>
    <w:div w:id="1764836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A8092-E1C7-4726-935C-9A39EEDD7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Gretchen Drew</dc:creator>
  <cp:lastModifiedBy>Dianna Carrizales-Engelmann</cp:lastModifiedBy>
  <cp:revision>3</cp:revision>
  <cp:lastPrinted>2016-10-22T01:57:00Z</cp:lastPrinted>
  <dcterms:created xsi:type="dcterms:W3CDTF">2017-02-06T16:27:00Z</dcterms:created>
  <dcterms:modified xsi:type="dcterms:W3CDTF">2017-02-06T16:28:00Z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Acrobat PDFMaker 11 for Word</vt:lpwstr>
  </property>
  <property fmtid="{D5CDD505-2E9C-101B-9397-08002B2CF9AE}" pid="4" name="LastSaved">
    <vt:filetime>2016-03-06T00:00:00Z</vt:filetime>
  </property>
</Properties>
</file>