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63053" w14:textId="111BE69D" w:rsidR="00FC521E" w:rsidRPr="00B837E0" w:rsidRDefault="00186DAF">
      <w:pPr>
        <w:rPr>
          <w:b/>
        </w:rPr>
      </w:pPr>
      <w:bookmarkStart w:id="0" w:name="_GoBack"/>
      <w:bookmarkEnd w:id="0"/>
      <w:r w:rsidRPr="00B837E0">
        <w:rPr>
          <w:b/>
        </w:rPr>
        <w:t xml:space="preserve">“Local” </w:t>
      </w:r>
      <w:r w:rsidR="00B837E0">
        <w:rPr>
          <w:b/>
        </w:rPr>
        <w:t xml:space="preserve">Research </w:t>
      </w:r>
      <w:r w:rsidRPr="00B837E0">
        <w:rPr>
          <w:b/>
        </w:rPr>
        <w:t>Metrics Planning and Timeline</w:t>
      </w:r>
    </w:p>
    <w:p w14:paraId="33F897FA" w14:textId="77777777" w:rsidR="00186DAF" w:rsidRDefault="00186DAF"/>
    <w:p w14:paraId="6F1150F1" w14:textId="322B1ED5" w:rsidR="00385E5B" w:rsidRDefault="00186DAF">
      <w:r>
        <w:t xml:space="preserve">“Local” </w:t>
      </w:r>
      <w:r w:rsidR="00B837E0">
        <w:t xml:space="preserve">research </w:t>
      </w:r>
      <w:r>
        <w:t xml:space="preserve">metrics will </w:t>
      </w:r>
      <w:r w:rsidR="001D56F1">
        <w:t>define</w:t>
      </w:r>
      <w:r>
        <w:t xml:space="preserve"> discipline-specific categories of work produced under a tenure-track faculty members’ </w:t>
      </w:r>
      <w:r w:rsidR="00AE24C4">
        <w:t>research/creative activity</w:t>
      </w:r>
      <w:r>
        <w:t xml:space="preserve"> FTE.  The categories should capture the sort of work recognized within the discipline as </w:t>
      </w:r>
      <w:r w:rsidR="00AE24C4">
        <w:t xml:space="preserve">research/creative activity and should include </w:t>
      </w:r>
      <w:r w:rsidR="00385E5B">
        <w:t xml:space="preserve">statements of how quality is determined in each category.  While categories will differ across </w:t>
      </w:r>
      <w:r w:rsidR="00DC470D">
        <w:t>disciplines</w:t>
      </w:r>
      <w:r w:rsidR="00385E5B">
        <w:t>, for purposes of organizing the information, categories should fall under the following classes:</w:t>
      </w:r>
    </w:p>
    <w:p w14:paraId="5654C3A2" w14:textId="369BBF55" w:rsidR="00DC470D" w:rsidRDefault="00385E5B" w:rsidP="00B837E0">
      <w:pPr>
        <w:ind w:left="2880"/>
      </w:pPr>
      <w:r>
        <w:t xml:space="preserve">Publications/Creative </w:t>
      </w:r>
      <w:r w:rsidR="00DC470D">
        <w:t>Performance</w:t>
      </w:r>
    </w:p>
    <w:p w14:paraId="6EBB67B0" w14:textId="77777777" w:rsidR="00385E5B" w:rsidRDefault="00385E5B" w:rsidP="00B837E0">
      <w:pPr>
        <w:ind w:left="2880"/>
      </w:pPr>
      <w:r>
        <w:t>Citations</w:t>
      </w:r>
    </w:p>
    <w:p w14:paraId="00E4EBE0" w14:textId="65609C12" w:rsidR="00DC470D" w:rsidRDefault="00DC470D" w:rsidP="00B837E0">
      <w:pPr>
        <w:ind w:left="2880"/>
      </w:pPr>
      <w:r>
        <w:t>Grants</w:t>
      </w:r>
    </w:p>
    <w:p w14:paraId="6939B1A3" w14:textId="118F3062" w:rsidR="00DC470D" w:rsidRDefault="00DC470D" w:rsidP="00B837E0">
      <w:pPr>
        <w:ind w:left="2880"/>
      </w:pPr>
      <w:r>
        <w:t>Fellowships</w:t>
      </w:r>
    </w:p>
    <w:p w14:paraId="46504C62" w14:textId="3D3FDED7" w:rsidR="00DC470D" w:rsidRDefault="00DC470D" w:rsidP="00B837E0">
      <w:pPr>
        <w:ind w:left="2880"/>
      </w:pPr>
      <w:r>
        <w:t>Awards</w:t>
      </w:r>
    </w:p>
    <w:p w14:paraId="415A8E37" w14:textId="4A0EB024" w:rsidR="00270F7F" w:rsidRDefault="00270F7F" w:rsidP="00B837E0">
      <w:pPr>
        <w:ind w:left="2880"/>
      </w:pPr>
      <w:r>
        <w:t>Other</w:t>
      </w:r>
    </w:p>
    <w:p w14:paraId="3FDC61F5" w14:textId="77777777" w:rsidR="00A72E66" w:rsidRDefault="00A72E66" w:rsidP="00A72E66"/>
    <w:p w14:paraId="5C0443AD" w14:textId="7A0E1616" w:rsidR="00B837E0" w:rsidRPr="00B837E0" w:rsidRDefault="00B837E0">
      <w:pPr>
        <w:rPr>
          <w:b/>
        </w:rPr>
      </w:pPr>
      <w:r w:rsidRPr="00B837E0">
        <w:rPr>
          <w:b/>
        </w:rPr>
        <w:t xml:space="preserve">Sample </w:t>
      </w:r>
      <w:r>
        <w:rPr>
          <w:b/>
        </w:rPr>
        <w:t xml:space="preserve">Metrics </w:t>
      </w:r>
      <w:r w:rsidRPr="00B837E0">
        <w:rPr>
          <w:b/>
        </w:rPr>
        <w:t>Table (based on SOMD Categories)</w:t>
      </w:r>
    </w:p>
    <w:p w14:paraId="2AA534EB" w14:textId="77777777" w:rsidR="00B837E0" w:rsidRDefault="00B837E0"/>
    <w:tbl>
      <w:tblPr>
        <w:tblStyle w:val="TableGrid"/>
        <w:tblW w:w="9715" w:type="dxa"/>
        <w:jc w:val="center"/>
        <w:tblLook w:val="04A0" w:firstRow="1" w:lastRow="0" w:firstColumn="1" w:lastColumn="0" w:noHBand="0" w:noVBand="1"/>
      </w:tblPr>
      <w:tblGrid>
        <w:gridCol w:w="2605"/>
        <w:gridCol w:w="2069"/>
        <w:gridCol w:w="2881"/>
        <w:gridCol w:w="2160"/>
      </w:tblGrid>
      <w:tr w:rsidR="00B837E0" w:rsidRPr="00B837E0" w14:paraId="69472CBB" w14:textId="77777777" w:rsidTr="00B837E0">
        <w:trPr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3A95A169" w14:textId="73C4BF12" w:rsidR="00342325" w:rsidRPr="00B837E0" w:rsidRDefault="00342325">
            <w:pPr>
              <w:rPr>
                <w:sz w:val="20"/>
                <w:szCs w:val="20"/>
              </w:rPr>
            </w:pPr>
            <w:r w:rsidRPr="00B837E0">
              <w:rPr>
                <w:sz w:val="20"/>
                <w:szCs w:val="20"/>
              </w:rPr>
              <w:t>Category of Work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195E0DE4" w14:textId="5DE2F84B" w:rsidR="00342325" w:rsidRPr="00B837E0" w:rsidRDefault="00342325">
            <w:pPr>
              <w:rPr>
                <w:sz w:val="20"/>
                <w:szCs w:val="20"/>
              </w:rPr>
            </w:pPr>
            <w:r w:rsidRPr="00B837E0">
              <w:rPr>
                <w:sz w:val="20"/>
                <w:szCs w:val="20"/>
              </w:rPr>
              <w:t>Venue(s)</w:t>
            </w:r>
          </w:p>
        </w:tc>
        <w:tc>
          <w:tcPr>
            <w:tcW w:w="2881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4847A803" w14:textId="675C3EAB" w:rsidR="00342325" w:rsidRPr="00B837E0" w:rsidRDefault="00342325">
            <w:pPr>
              <w:rPr>
                <w:sz w:val="20"/>
                <w:szCs w:val="20"/>
              </w:rPr>
            </w:pPr>
            <w:r w:rsidRPr="00B837E0">
              <w:rPr>
                <w:sz w:val="20"/>
                <w:szCs w:val="20"/>
              </w:rPr>
              <w:t>Quality Standard or Proxy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0005602C" w14:textId="58DD15C3" w:rsidR="00342325" w:rsidRPr="00B837E0" w:rsidRDefault="00342325">
            <w:pPr>
              <w:rPr>
                <w:sz w:val="20"/>
                <w:szCs w:val="20"/>
              </w:rPr>
            </w:pPr>
            <w:r w:rsidRPr="00B837E0">
              <w:rPr>
                <w:sz w:val="20"/>
                <w:szCs w:val="20"/>
              </w:rPr>
              <w:t>Data Source</w:t>
            </w:r>
          </w:p>
        </w:tc>
      </w:tr>
      <w:tr w:rsidR="00B837E0" w:rsidRPr="00B837E0" w14:paraId="494E402B" w14:textId="77777777" w:rsidTr="00B837E0">
        <w:trPr>
          <w:jc w:val="center"/>
        </w:trPr>
        <w:tc>
          <w:tcPr>
            <w:tcW w:w="2605" w:type="dxa"/>
            <w:shd w:val="clear" w:color="auto" w:fill="E2EFD9" w:themeFill="accent6" w:themeFillTint="33"/>
          </w:tcPr>
          <w:p w14:paraId="6A8BFD57" w14:textId="79F79668" w:rsidR="00342325" w:rsidRPr="00B837E0" w:rsidRDefault="00342325">
            <w:pPr>
              <w:rPr>
                <w:sz w:val="20"/>
                <w:szCs w:val="20"/>
              </w:rPr>
            </w:pPr>
            <w:r w:rsidRPr="00B837E0">
              <w:rPr>
                <w:sz w:val="20"/>
                <w:szCs w:val="20"/>
              </w:rPr>
              <w:t>Publication/Creative Performance</w:t>
            </w:r>
          </w:p>
        </w:tc>
        <w:tc>
          <w:tcPr>
            <w:tcW w:w="2069" w:type="dxa"/>
            <w:shd w:val="clear" w:color="auto" w:fill="E2EFD9" w:themeFill="accent6" w:themeFillTint="33"/>
          </w:tcPr>
          <w:p w14:paraId="1782E087" w14:textId="77777777" w:rsidR="00342325" w:rsidRPr="00B837E0" w:rsidRDefault="00342325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shd w:val="clear" w:color="auto" w:fill="E2EFD9" w:themeFill="accent6" w:themeFillTint="33"/>
          </w:tcPr>
          <w:p w14:paraId="12EC606E" w14:textId="77777777" w:rsidR="00342325" w:rsidRPr="00B837E0" w:rsidRDefault="00342325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E2EFD9" w:themeFill="accent6" w:themeFillTint="33"/>
          </w:tcPr>
          <w:p w14:paraId="113C1715" w14:textId="77777777" w:rsidR="00342325" w:rsidRPr="00B837E0" w:rsidRDefault="00342325">
            <w:pPr>
              <w:rPr>
                <w:sz w:val="20"/>
                <w:szCs w:val="20"/>
              </w:rPr>
            </w:pPr>
          </w:p>
        </w:tc>
      </w:tr>
      <w:tr w:rsidR="00B837E0" w:rsidRPr="00B837E0" w14:paraId="76B019EF" w14:textId="77777777" w:rsidTr="00B837E0">
        <w:trPr>
          <w:jc w:val="center"/>
        </w:trPr>
        <w:tc>
          <w:tcPr>
            <w:tcW w:w="2605" w:type="dxa"/>
          </w:tcPr>
          <w:p w14:paraId="5A008CA8" w14:textId="0A797B57" w:rsidR="00C9676B" w:rsidRPr="00B837E0" w:rsidRDefault="00C9676B" w:rsidP="00270F7F">
            <w:pPr>
              <w:jc w:val="right"/>
              <w:rPr>
                <w:sz w:val="20"/>
                <w:szCs w:val="20"/>
              </w:rPr>
            </w:pPr>
            <w:r w:rsidRPr="00B837E0">
              <w:rPr>
                <w:sz w:val="20"/>
                <w:szCs w:val="20"/>
              </w:rPr>
              <w:t>Books</w:t>
            </w:r>
          </w:p>
        </w:tc>
        <w:tc>
          <w:tcPr>
            <w:tcW w:w="2069" w:type="dxa"/>
          </w:tcPr>
          <w:p w14:paraId="6220FD78" w14:textId="329C0B75" w:rsidR="00342325" w:rsidRPr="00B837E0" w:rsidRDefault="00C9676B">
            <w:pPr>
              <w:rPr>
                <w:sz w:val="20"/>
                <w:szCs w:val="20"/>
              </w:rPr>
            </w:pPr>
            <w:r w:rsidRPr="00B837E0">
              <w:rPr>
                <w:sz w:val="20"/>
                <w:szCs w:val="20"/>
              </w:rPr>
              <w:t>University/Academic Presses</w:t>
            </w:r>
          </w:p>
        </w:tc>
        <w:tc>
          <w:tcPr>
            <w:tcW w:w="2881" w:type="dxa"/>
          </w:tcPr>
          <w:p w14:paraId="26A8C8C6" w14:textId="0A1595E8" w:rsidR="00342325" w:rsidRPr="00B837E0" w:rsidRDefault="00C9676B">
            <w:pPr>
              <w:rPr>
                <w:sz w:val="20"/>
                <w:szCs w:val="20"/>
              </w:rPr>
            </w:pPr>
            <w:r w:rsidRPr="00B837E0">
              <w:rPr>
                <w:sz w:val="20"/>
                <w:szCs w:val="20"/>
              </w:rPr>
              <w:t xml:space="preserve">Types of press (with or without peer review), published reviews </w:t>
            </w:r>
          </w:p>
        </w:tc>
        <w:tc>
          <w:tcPr>
            <w:tcW w:w="2160" w:type="dxa"/>
          </w:tcPr>
          <w:p w14:paraId="342B2826" w14:textId="79248E0A" w:rsidR="00342325" w:rsidRPr="00B837E0" w:rsidRDefault="00C9676B">
            <w:pPr>
              <w:rPr>
                <w:sz w:val="20"/>
                <w:szCs w:val="20"/>
              </w:rPr>
            </w:pPr>
            <w:r w:rsidRPr="00B837E0">
              <w:rPr>
                <w:sz w:val="20"/>
                <w:szCs w:val="20"/>
              </w:rPr>
              <w:t>Faculty Reported</w:t>
            </w:r>
          </w:p>
        </w:tc>
      </w:tr>
      <w:tr w:rsidR="00B837E0" w:rsidRPr="00B837E0" w14:paraId="1417E54F" w14:textId="77777777" w:rsidTr="00B837E0">
        <w:trPr>
          <w:jc w:val="center"/>
        </w:trPr>
        <w:tc>
          <w:tcPr>
            <w:tcW w:w="2605" w:type="dxa"/>
          </w:tcPr>
          <w:p w14:paraId="5CDFE7C0" w14:textId="717D6389" w:rsidR="00342325" w:rsidRPr="00B837E0" w:rsidRDefault="00C9676B" w:rsidP="00270F7F">
            <w:pPr>
              <w:jc w:val="right"/>
              <w:rPr>
                <w:sz w:val="20"/>
                <w:szCs w:val="20"/>
              </w:rPr>
            </w:pPr>
            <w:r w:rsidRPr="00B837E0">
              <w:rPr>
                <w:sz w:val="20"/>
                <w:szCs w:val="20"/>
              </w:rPr>
              <w:t>Book Chapters</w:t>
            </w:r>
          </w:p>
        </w:tc>
        <w:tc>
          <w:tcPr>
            <w:tcW w:w="2069" w:type="dxa"/>
          </w:tcPr>
          <w:p w14:paraId="14CA8965" w14:textId="0A6A0EA5" w:rsidR="00342325" w:rsidRPr="00B837E0" w:rsidRDefault="00C9676B">
            <w:pPr>
              <w:rPr>
                <w:sz w:val="20"/>
                <w:szCs w:val="20"/>
              </w:rPr>
            </w:pPr>
            <w:r w:rsidRPr="00B837E0">
              <w:rPr>
                <w:sz w:val="20"/>
                <w:szCs w:val="20"/>
              </w:rPr>
              <w:t>University/Academic Presses</w:t>
            </w:r>
          </w:p>
        </w:tc>
        <w:tc>
          <w:tcPr>
            <w:tcW w:w="2881" w:type="dxa"/>
          </w:tcPr>
          <w:p w14:paraId="39059699" w14:textId="57640908" w:rsidR="00342325" w:rsidRPr="00B837E0" w:rsidRDefault="00C9676B">
            <w:pPr>
              <w:rPr>
                <w:sz w:val="20"/>
                <w:szCs w:val="20"/>
              </w:rPr>
            </w:pPr>
            <w:r w:rsidRPr="00B837E0">
              <w:rPr>
                <w:sz w:val="20"/>
                <w:szCs w:val="20"/>
              </w:rPr>
              <w:t>Peer review (or not), reputation of other contributors, editors.</w:t>
            </w:r>
          </w:p>
        </w:tc>
        <w:tc>
          <w:tcPr>
            <w:tcW w:w="2160" w:type="dxa"/>
          </w:tcPr>
          <w:p w14:paraId="266F3A2F" w14:textId="33BB6920" w:rsidR="00342325" w:rsidRPr="00B837E0" w:rsidRDefault="00C9676B">
            <w:pPr>
              <w:rPr>
                <w:sz w:val="20"/>
                <w:szCs w:val="20"/>
              </w:rPr>
            </w:pPr>
            <w:r w:rsidRPr="00B837E0">
              <w:rPr>
                <w:sz w:val="20"/>
                <w:szCs w:val="20"/>
              </w:rPr>
              <w:t>Faculty Reported</w:t>
            </w:r>
          </w:p>
        </w:tc>
      </w:tr>
      <w:tr w:rsidR="00B837E0" w:rsidRPr="00B837E0" w14:paraId="3DC987CB" w14:textId="77777777" w:rsidTr="00B837E0">
        <w:trPr>
          <w:jc w:val="center"/>
        </w:trPr>
        <w:tc>
          <w:tcPr>
            <w:tcW w:w="2605" w:type="dxa"/>
          </w:tcPr>
          <w:p w14:paraId="05DDEEE1" w14:textId="5D347F63" w:rsidR="00C9676B" w:rsidRPr="00B837E0" w:rsidRDefault="00C9676B" w:rsidP="00270F7F">
            <w:pPr>
              <w:jc w:val="right"/>
              <w:rPr>
                <w:sz w:val="20"/>
                <w:szCs w:val="20"/>
              </w:rPr>
            </w:pPr>
            <w:r w:rsidRPr="00B837E0">
              <w:rPr>
                <w:sz w:val="20"/>
                <w:szCs w:val="20"/>
              </w:rPr>
              <w:t>Articles</w:t>
            </w:r>
          </w:p>
        </w:tc>
        <w:tc>
          <w:tcPr>
            <w:tcW w:w="2069" w:type="dxa"/>
          </w:tcPr>
          <w:p w14:paraId="2E21CEC8" w14:textId="37BCB5B6" w:rsidR="00C9676B" w:rsidRPr="00B837E0" w:rsidRDefault="00C9676B">
            <w:pPr>
              <w:rPr>
                <w:sz w:val="20"/>
                <w:szCs w:val="20"/>
              </w:rPr>
            </w:pPr>
            <w:r w:rsidRPr="00B837E0">
              <w:rPr>
                <w:sz w:val="20"/>
                <w:szCs w:val="20"/>
              </w:rPr>
              <w:t>Peer reviewed journals</w:t>
            </w:r>
          </w:p>
        </w:tc>
        <w:tc>
          <w:tcPr>
            <w:tcW w:w="2881" w:type="dxa"/>
          </w:tcPr>
          <w:p w14:paraId="6206AC77" w14:textId="41716678" w:rsidR="00C9676B" w:rsidRPr="00B837E0" w:rsidRDefault="0042190E">
            <w:pPr>
              <w:rPr>
                <w:sz w:val="20"/>
                <w:szCs w:val="20"/>
              </w:rPr>
            </w:pPr>
            <w:r w:rsidRPr="00B837E0">
              <w:rPr>
                <w:sz w:val="20"/>
                <w:szCs w:val="20"/>
              </w:rPr>
              <w:t>Journal Quality</w:t>
            </w:r>
          </w:p>
        </w:tc>
        <w:tc>
          <w:tcPr>
            <w:tcW w:w="2160" w:type="dxa"/>
          </w:tcPr>
          <w:p w14:paraId="35133AF5" w14:textId="2AE25CFE" w:rsidR="00C9676B" w:rsidRPr="00B837E0" w:rsidRDefault="0042190E" w:rsidP="00270F7F">
            <w:pPr>
              <w:rPr>
                <w:sz w:val="20"/>
                <w:szCs w:val="20"/>
              </w:rPr>
            </w:pPr>
            <w:r w:rsidRPr="00B837E0">
              <w:rPr>
                <w:sz w:val="20"/>
                <w:szCs w:val="20"/>
              </w:rPr>
              <w:t>SJR Ranking</w:t>
            </w:r>
          </w:p>
        </w:tc>
      </w:tr>
      <w:tr w:rsidR="00B837E0" w:rsidRPr="00B837E0" w14:paraId="133CDD9F" w14:textId="77777777" w:rsidTr="00B837E0">
        <w:trPr>
          <w:jc w:val="center"/>
        </w:trPr>
        <w:tc>
          <w:tcPr>
            <w:tcW w:w="2605" w:type="dxa"/>
          </w:tcPr>
          <w:p w14:paraId="776B58D3" w14:textId="4207E4A3" w:rsidR="00C9676B" w:rsidRPr="00B837E0" w:rsidRDefault="00C9676B" w:rsidP="00270F7F">
            <w:pPr>
              <w:jc w:val="right"/>
              <w:rPr>
                <w:sz w:val="20"/>
                <w:szCs w:val="20"/>
              </w:rPr>
            </w:pPr>
            <w:r w:rsidRPr="00B837E0">
              <w:rPr>
                <w:sz w:val="20"/>
                <w:szCs w:val="20"/>
              </w:rPr>
              <w:t>Digital Recordings</w:t>
            </w:r>
          </w:p>
        </w:tc>
        <w:tc>
          <w:tcPr>
            <w:tcW w:w="2069" w:type="dxa"/>
          </w:tcPr>
          <w:p w14:paraId="6C3B8DF0" w14:textId="77777777" w:rsidR="00C9676B" w:rsidRPr="00B837E0" w:rsidRDefault="00C9676B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</w:tcPr>
          <w:p w14:paraId="43C1109F" w14:textId="77777777" w:rsidR="00C9676B" w:rsidRPr="00B837E0" w:rsidRDefault="00C9676B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60A774E8" w14:textId="77777777" w:rsidR="00C9676B" w:rsidRPr="00B837E0" w:rsidRDefault="00C9676B">
            <w:pPr>
              <w:rPr>
                <w:sz w:val="20"/>
                <w:szCs w:val="20"/>
              </w:rPr>
            </w:pPr>
          </w:p>
        </w:tc>
      </w:tr>
      <w:tr w:rsidR="00B837E0" w:rsidRPr="00B837E0" w14:paraId="65D65A5E" w14:textId="77777777" w:rsidTr="00B837E0">
        <w:trPr>
          <w:jc w:val="center"/>
        </w:trPr>
        <w:tc>
          <w:tcPr>
            <w:tcW w:w="2605" w:type="dxa"/>
          </w:tcPr>
          <w:p w14:paraId="210EE179" w14:textId="43DB1BBA" w:rsidR="00C9676B" w:rsidRPr="00B837E0" w:rsidRDefault="00C9676B" w:rsidP="00270F7F">
            <w:pPr>
              <w:jc w:val="right"/>
              <w:rPr>
                <w:sz w:val="20"/>
                <w:szCs w:val="20"/>
              </w:rPr>
            </w:pPr>
            <w:r w:rsidRPr="00B837E0">
              <w:rPr>
                <w:sz w:val="20"/>
                <w:szCs w:val="20"/>
              </w:rPr>
              <w:t>Compositions</w:t>
            </w:r>
          </w:p>
        </w:tc>
        <w:tc>
          <w:tcPr>
            <w:tcW w:w="2069" w:type="dxa"/>
          </w:tcPr>
          <w:p w14:paraId="52ECA816" w14:textId="77777777" w:rsidR="00C9676B" w:rsidRPr="00B837E0" w:rsidRDefault="00C9676B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</w:tcPr>
          <w:p w14:paraId="5BF9389F" w14:textId="77777777" w:rsidR="00C9676B" w:rsidRPr="00B837E0" w:rsidRDefault="00C9676B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2FE036F" w14:textId="77777777" w:rsidR="00C9676B" w:rsidRPr="00B837E0" w:rsidRDefault="00C9676B">
            <w:pPr>
              <w:rPr>
                <w:sz w:val="20"/>
                <w:szCs w:val="20"/>
              </w:rPr>
            </w:pPr>
          </w:p>
        </w:tc>
      </w:tr>
      <w:tr w:rsidR="00B837E0" w:rsidRPr="00B837E0" w14:paraId="35FE1E22" w14:textId="77777777" w:rsidTr="00B837E0">
        <w:trPr>
          <w:jc w:val="center"/>
        </w:trPr>
        <w:tc>
          <w:tcPr>
            <w:tcW w:w="2605" w:type="dxa"/>
          </w:tcPr>
          <w:p w14:paraId="5BE7F1FC" w14:textId="47C39898" w:rsidR="00C9676B" w:rsidRPr="00B837E0" w:rsidRDefault="00C9676B" w:rsidP="00270F7F">
            <w:pPr>
              <w:jc w:val="right"/>
              <w:rPr>
                <w:sz w:val="20"/>
                <w:szCs w:val="20"/>
              </w:rPr>
            </w:pPr>
            <w:r w:rsidRPr="00B837E0">
              <w:rPr>
                <w:sz w:val="20"/>
                <w:szCs w:val="20"/>
              </w:rPr>
              <w:t>Choreographies</w:t>
            </w:r>
          </w:p>
        </w:tc>
        <w:tc>
          <w:tcPr>
            <w:tcW w:w="2069" w:type="dxa"/>
          </w:tcPr>
          <w:p w14:paraId="6C3B38B2" w14:textId="77777777" w:rsidR="00C9676B" w:rsidRPr="00B837E0" w:rsidRDefault="00C9676B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</w:tcPr>
          <w:p w14:paraId="36FAF0F0" w14:textId="77777777" w:rsidR="00C9676B" w:rsidRPr="00B837E0" w:rsidRDefault="00C9676B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53F9ECCC" w14:textId="77777777" w:rsidR="00C9676B" w:rsidRPr="00B837E0" w:rsidRDefault="00C9676B">
            <w:pPr>
              <w:rPr>
                <w:sz w:val="20"/>
                <w:szCs w:val="20"/>
              </w:rPr>
            </w:pPr>
          </w:p>
        </w:tc>
      </w:tr>
      <w:tr w:rsidR="00B837E0" w:rsidRPr="00B837E0" w14:paraId="20644292" w14:textId="77777777" w:rsidTr="00B837E0">
        <w:trPr>
          <w:jc w:val="center"/>
        </w:trPr>
        <w:tc>
          <w:tcPr>
            <w:tcW w:w="2605" w:type="dxa"/>
            <w:tcBorders>
              <w:bottom w:val="single" w:sz="4" w:space="0" w:color="auto"/>
            </w:tcBorders>
          </w:tcPr>
          <w:p w14:paraId="67490A3B" w14:textId="77777777" w:rsidR="00270F7F" w:rsidRPr="00B837E0" w:rsidRDefault="00270F7F">
            <w:pPr>
              <w:rPr>
                <w:sz w:val="20"/>
                <w:szCs w:val="20"/>
              </w:rPr>
            </w:pPr>
          </w:p>
        </w:tc>
        <w:tc>
          <w:tcPr>
            <w:tcW w:w="2069" w:type="dxa"/>
            <w:tcBorders>
              <w:bottom w:val="single" w:sz="4" w:space="0" w:color="auto"/>
            </w:tcBorders>
          </w:tcPr>
          <w:p w14:paraId="781A6195" w14:textId="77777777" w:rsidR="00270F7F" w:rsidRPr="00B837E0" w:rsidRDefault="00270F7F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tcBorders>
              <w:bottom w:val="single" w:sz="4" w:space="0" w:color="auto"/>
            </w:tcBorders>
          </w:tcPr>
          <w:p w14:paraId="271E7D67" w14:textId="77777777" w:rsidR="00270F7F" w:rsidRPr="00B837E0" w:rsidRDefault="00270F7F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57BD9E06" w14:textId="77777777" w:rsidR="00270F7F" w:rsidRPr="00B837E0" w:rsidRDefault="00270F7F">
            <w:pPr>
              <w:rPr>
                <w:sz w:val="20"/>
                <w:szCs w:val="20"/>
              </w:rPr>
            </w:pPr>
          </w:p>
        </w:tc>
      </w:tr>
      <w:tr w:rsidR="00B837E0" w:rsidRPr="00B837E0" w14:paraId="399EA1AD" w14:textId="77777777" w:rsidTr="00B837E0">
        <w:trPr>
          <w:jc w:val="center"/>
        </w:trPr>
        <w:tc>
          <w:tcPr>
            <w:tcW w:w="2605" w:type="dxa"/>
            <w:shd w:val="clear" w:color="auto" w:fill="E2EFD9" w:themeFill="accent6" w:themeFillTint="33"/>
          </w:tcPr>
          <w:p w14:paraId="5E45AB5E" w14:textId="77777777" w:rsidR="00270F7F" w:rsidRPr="00B837E0" w:rsidRDefault="00270F7F" w:rsidP="00577C37">
            <w:pPr>
              <w:rPr>
                <w:sz w:val="20"/>
                <w:szCs w:val="20"/>
              </w:rPr>
            </w:pPr>
            <w:r w:rsidRPr="00B837E0">
              <w:rPr>
                <w:sz w:val="20"/>
                <w:szCs w:val="20"/>
              </w:rPr>
              <w:t>Grants</w:t>
            </w:r>
          </w:p>
        </w:tc>
        <w:tc>
          <w:tcPr>
            <w:tcW w:w="2069" w:type="dxa"/>
            <w:shd w:val="clear" w:color="auto" w:fill="E2EFD9" w:themeFill="accent6" w:themeFillTint="33"/>
          </w:tcPr>
          <w:p w14:paraId="31CC2DB6" w14:textId="15AD4F01" w:rsidR="00270F7F" w:rsidRPr="00B837E0" w:rsidRDefault="00270F7F" w:rsidP="00577C37">
            <w:pPr>
              <w:rPr>
                <w:sz w:val="20"/>
                <w:szCs w:val="20"/>
              </w:rPr>
            </w:pPr>
            <w:r w:rsidRPr="00B837E0">
              <w:rPr>
                <w:sz w:val="20"/>
                <w:szCs w:val="20"/>
              </w:rPr>
              <w:t>External Foundations, NEA, NEH, UO Internal</w:t>
            </w:r>
          </w:p>
        </w:tc>
        <w:tc>
          <w:tcPr>
            <w:tcW w:w="2881" w:type="dxa"/>
            <w:shd w:val="clear" w:color="auto" w:fill="E2EFD9" w:themeFill="accent6" w:themeFillTint="33"/>
          </w:tcPr>
          <w:p w14:paraId="01025C90" w14:textId="34BC9515" w:rsidR="00270F7F" w:rsidRPr="00B837E0" w:rsidRDefault="00270F7F" w:rsidP="00577C37">
            <w:pPr>
              <w:rPr>
                <w:sz w:val="20"/>
                <w:szCs w:val="20"/>
              </w:rPr>
            </w:pPr>
            <w:r w:rsidRPr="00B837E0">
              <w:rPr>
                <w:sz w:val="20"/>
                <w:szCs w:val="20"/>
              </w:rPr>
              <w:t>Amount, competitiveness, reputation of awarding organization</w:t>
            </w:r>
          </w:p>
        </w:tc>
        <w:tc>
          <w:tcPr>
            <w:tcW w:w="2160" w:type="dxa"/>
            <w:shd w:val="clear" w:color="auto" w:fill="E2EFD9" w:themeFill="accent6" w:themeFillTint="33"/>
          </w:tcPr>
          <w:p w14:paraId="52A5B1B0" w14:textId="41B0178D" w:rsidR="00270F7F" w:rsidRPr="00B837E0" w:rsidRDefault="00270F7F" w:rsidP="00577C37">
            <w:pPr>
              <w:rPr>
                <w:sz w:val="20"/>
                <w:szCs w:val="20"/>
              </w:rPr>
            </w:pPr>
            <w:r w:rsidRPr="00B837E0">
              <w:rPr>
                <w:sz w:val="20"/>
                <w:szCs w:val="20"/>
              </w:rPr>
              <w:t>Faculty reports, Academic Analytics</w:t>
            </w:r>
          </w:p>
        </w:tc>
      </w:tr>
      <w:tr w:rsidR="00B837E0" w:rsidRPr="00B837E0" w14:paraId="201B575E" w14:textId="77777777" w:rsidTr="00B837E0">
        <w:trPr>
          <w:jc w:val="center"/>
        </w:trPr>
        <w:tc>
          <w:tcPr>
            <w:tcW w:w="2605" w:type="dxa"/>
            <w:tcBorders>
              <w:bottom w:val="single" w:sz="4" w:space="0" w:color="auto"/>
            </w:tcBorders>
          </w:tcPr>
          <w:p w14:paraId="596C641C" w14:textId="77777777" w:rsidR="00270F7F" w:rsidRPr="00B837E0" w:rsidRDefault="00270F7F">
            <w:pPr>
              <w:rPr>
                <w:sz w:val="20"/>
                <w:szCs w:val="20"/>
              </w:rPr>
            </w:pPr>
          </w:p>
        </w:tc>
        <w:tc>
          <w:tcPr>
            <w:tcW w:w="2069" w:type="dxa"/>
            <w:tcBorders>
              <w:bottom w:val="single" w:sz="4" w:space="0" w:color="auto"/>
            </w:tcBorders>
          </w:tcPr>
          <w:p w14:paraId="2E49731E" w14:textId="77777777" w:rsidR="00270F7F" w:rsidRPr="00B837E0" w:rsidRDefault="00270F7F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tcBorders>
              <w:bottom w:val="single" w:sz="4" w:space="0" w:color="auto"/>
            </w:tcBorders>
          </w:tcPr>
          <w:p w14:paraId="52D223C8" w14:textId="77777777" w:rsidR="00270F7F" w:rsidRPr="00B837E0" w:rsidRDefault="00270F7F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62B3A059" w14:textId="77777777" w:rsidR="00270F7F" w:rsidRPr="00B837E0" w:rsidRDefault="00270F7F">
            <w:pPr>
              <w:rPr>
                <w:sz w:val="20"/>
                <w:szCs w:val="20"/>
              </w:rPr>
            </w:pPr>
          </w:p>
        </w:tc>
      </w:tr>
      <w:tr w:rsidR="00B837E0" w:rsidRPr="00B837E0" w14:paraId="5FC6FFB1" w14:textId="77777777" w:rsidTr="00B837E0">
        <w:trPr>
          <w:jc w:val="center"/>
        </w:trPr>
        <w:tc>
          <w:tcPr>
            <w:tcW w:w="2605" w:type="dxa"/>
            <w:shd w:val="clear" w:color="auto" w:fill="E2EFD9" w:themeFill="accent6" w:themeFillTint="33"/>
          </w:tcPr>
          <w:p w14:paraId="6220E479" w14:textId="77777777" w:rsidR="00270F7F" w:rsidRPr="00B837E0" w:rsidRDefault="00270F7F" w:rsidP="00577C37">
            <w:pPr>
              <w:rPr>
                <w:sz w:val="20"/>
                <w:szCs w:val="20"/>
              </w:rPr>
            </w:pPr>
            <w:r w:rsidRPr="00B837E0">
              <w:rPr>
                <w:sz w:val="20"/>
                <w:szCs w:val="20"/>
              </w:rPr>
              <w:t>Awards</w:t>
            </w:r>
          </w:p>
        </w:tc>
        <w:tc>
          <w:tcPr>
            <w:tcW w:w="2069" w:type="dxa"/>
            <w:shd w:val="clear" w:color="auto" w:fill="E2EFD9" w:themeFill="accent6" w:themeFillTint="33"/>
          </w:tcPr>
          <w:p w14:paraId="22E9DD83" w14:textId="77777777" w:rsidR="00270F7F" w:rsidRPr="00B837E0" w:rsidRDefault="00270F7F" w:rsidP="00577C37">
            <w:pPr>
              <w:rPr>
                <w:sz w:val="20"/>
                <w:szCs w:val="20"/>
              </w:rPr>
            </w:pPr>
            <w:r w:rsidRPr="00B837E0">
              <w:rPr>
                <w:sz w:val="20"/>
                <w:szCs w:val="20"/>
              </w:rPr>
              <w:t>National and International Societies</w:t>
            </w:r>
          </w:p>
        </w:tc>
        <w:tc>
          <w:tcPr>
            <w:tcW w:w="2881" w:type="dxa"/>
            <w:shd w:val="clear" w:color="auto" w:fill="E2EFD9" w:themeFill="accent6" w:themeFillTint="33"/>
          </w:tcPr>
          <w:p w14:paraId="00E39F1E" w14:textId="77777777" w:rsidR="00270F7F" w:rsidRPr="00B837E0" w:rsidRDefault="00270F7F" w:rsidP="00577C37">
            <w:pPr>
              <w:rPr>
                <w:sz w:val="20"/>
                <w:szCs w:val="20"/>
              </w:rPr>
            </w:pPr>
            <w:r w:rsidRPr="00B837E0">
              <w:rPr>
                <w:sz w:val="20"/>
                <w:szCs w:val="20"/>
              </w:rPr>
              <w:t>Competitiveness or scope of award selection</w:t>
            </w:r>
          </w:p>
        </w:tc>
        <w:tc>
          <w:tcPr>
            <w:tcW w:w="2160" w:type="dxa"/>
            <w:shd w:val="clear" w:color="auto" w:fill="E2EFD9" w:themeFill="accent6" w:themeFillTint="33"/>
          </w:tcPr>
          <w:p w14:paraId="375C020A" w14:textId="77777777" w:rsidR="00270F7F" w:rsidRPr="00B837E0" w:rsidRDefault="00270F7F" w:rsidP="00577C37">
            <w:pPr>
              <w:rPr>
                <w:sz w:val="20"/>
                <w:szCs w:val="20"/>
              </w:rPr>
            </w:pPr>
            <w:r w:rsidRPr="00B837E0">
              <w:rPr>
                <w:sz w:val="20"/>
                <w:szCs w:val="20"/>
              </w:rPr>
              <w:t>Faculty Report</w:t>
            </w:r>
          </w:p>
        </w:tc>
      </w:tr>
      <w:tr w:rsidR="00B837E0" w:rsidRPr="00B837E0" w14:paraId="1F4DCEB6" w14:textId="77777777" w:rsidTr="00B837E0">
        <w:trPr>
          <w:jc w:val="center"/>
        </w:trPr>
        <w:tc>
          <w:tcPr>
            <w:tcW w:w="2605" w:type="dxa"/>
            <w:tcBorders>
              <w:bottom w:val="single" w:sz="4" w:space="0" w:color="auto"/>
            </w:tcBorders>
          </w:tcPr>
          <w:p w14:paraId="5C34CE00" w14:textId="77777777" w:rsidR="00C9676B" w:rsidRPr="00B837E0" w:rsidRDefault="00C9676B">
            <w:pPr>
              <w:rPr>
                <w:sz w:val="20"/>
                <w:szCs w:val="20"/>
              </w:rPr>
            </w:pPr>
          </w:p>
        </w:tc>
        <w:tc>
          <w:tcPr>
            <w:tcW w:w="2069" w:type="dxa"/>
            <w:tcBorders>
              <w:bottom w:val="single" w:sz="4" w:space="0" w:color="auto"/>
            </w:tcBorders>
          </w:tcPr>
          <w:p w14:paraId="70CFCBDC" w14:textId="77777777" w:rsidR="00C9676B" w:rsidRPr="00B837E0" w:rsidRDefault="00C9676B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tcBorders>
              <w:bottom w:val="single" w:sz="4" w:space="0" w:color="auto"/>
            </w:tcBorders>
          </w:tcPr>
          <w:p w14:paraId="6ECCAC68" w14:textId="77777777" w:rsidR="00C9676B" w:rsidRPr="00B837E0" w:rsidRDefault="00C9676B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3CFF0ACA" w14:textId="77777777" w:rsidR="00C9676B" w:rsidRPr="00B837E0" w:rsidRDefault="00C9676B">
            <w:pPr>
              <w:rPr>
                <w:sz w:val="20"/>
                <w:szCs w:val="20"/>
              </w:rPr>
            </w:pPr>
          </w:p>
        </w:tc>
      </w:tr>
      <w:tr w:rsidR="00B837E0" w:rsidRPr="00B837E0" w14:paraId="27E2BE03" w14:textId="77777777" w:rsidTr="00B837E0">
        <w:trPr>
          <w:jc w:val="center"/>
        </w:trPr>
        <w:tc>
          <w:tcPr>
            <w:tcW w:w="2605" w:type="dxa"/>
            <w:shd w:val="clear" w:color="auto" w:fill="E2EFD9" w:themeFill="accent6" w:themeFillTint="33"/>
          </w:tcPr>
          <w:p w14:paraId="06FFE21B" w14:textId="39D4D078" w:rsidR="00270F7F" w:rsidRPr="00B837E0" w:rsidRDefault="00270F7F">
            <w:pPr>
              <w:rPr>
                <w:sz w:val="20"/>
                <w:szCs w:val="20"/>
              </w:rPr>
            </w:pPr>
            <w:r w:rsidRPr="00B837E0">
              <w:rPr>
                <w:sz w:val="20"/>
                <w:szCs w:val="20"/>
              </w:rPr>
              <w:t>Other</w:t>
            </w:r>
          </w:p>
        </w:tc>
        <w:tc>
          <w:tcPr>
            <w:tcW w:w="2069" w:type="dxa"/>
            <w:shd w:val="clear" w:color="auto" w:fill="E2EFD9" w:themeFill="accent6" w:themeFillTint="33"/>
          </w:tcPr>
          <w:p w14:paraId="2191CBF3" w14:textId="77777777" w:rsidR="00C9676B" w:rsidRPr="00B837E0" w:rsidRDefault="00C9676B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shd w:val="clear" w:color="auto" w:fill="E2EFD9" w:themeFill="accent6" w:themeFillTint="33"/>
          </w:tcPr>
          <w:p w14:paraId="7149EE35" w14:textId="77777777" w:rsidR="00C9676B" w:rsidRPr="00B837E0" w:rsidRDefault="00C9676B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E2EFD9" w:themeFill="accent6" w:themeFillTint="33"/>
          </w:tcPr>
          <w:p w14:paraId="3C446BA7" w14:textId="77777777" w:rsidR="00C9676B" w:rsidRPr="00B837E0" w:rsidRDefault="00C9676B">
            <w:pPr>
              <w:rPr>
                <w:sz w:val="20"/>
                <w:szCs w:val="20"/>
              </w:rPr>
            </w:pPr>
          </w:p>
        </w:tc>
      </w:tr>
      <w:tr w:rsidR="00B837E0" w:rsidRPr="00B837E0" w14:paraId="103E3C3D" w14:textId="77777777" w:rsidTr="00B837E0">
        <w:trPr>
          <w:jc w:val="center"/>
        </w:trPr>
        <w:tc>
          <w:tcPr>
            <w:tcW w:w="2605" w:type="dxa"/>
          </w:tcPr>
          <w:p w14:paraId="344E53C0" w14:textId="77777777" w:rsidR="00270F7F" w:rsidRPr="00B837E0" w:rsidRDefault="00270F7F" w:rsidP="00577C37">
            <w:pPr>
              <w:jc w:val="right"/>
              <w:rPr>
                <w:sz w:val="20"/>
                <w:szCs w:val="20"/>
              </w:rPr>
            </w:pPr>
            <w:r w:rsidRPr="00B837E0">
              <w:rPr>
                <w:sz w:val="20"/>
                <w:szCs w:val="20"/>
              </w:rPr>
              <w:t>Consultations</w:t>
            </w:r>
          </w:p>
        </w:tc>
        <w:tc>
          <w:tcPr>
            <w:tcW w:w="2069" w:type="dxa"/>
          </w:tcPr>
          <w:p w14:paraId="3BEFC384" w14:textId="77777777" w:rsidR="00270F7F" w:rsidRPr="00B837E0" w:rsidRDefault="00270F7F" w:rsidP="00577C37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</w:tcPr>
          <w:p w14:paraId="782C85D4" w14:textId="77777777" w:rsidR="00270F7F" w:rsidRPr="00B837E0" w:rsidRDefault="00270F7F" w:rsidP="00577C3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5F16FEEA" w14:textId="77777777" w:rsidR="00270F7F" w:rsidRPr="00B837E0" w:rsidRDefault="00270F7F" w:rsidP="00577C37">
            <w:pPr>
              <w:rPr>
                <w:sz w:val="20"/>
                <w:szCs w:val="20"/>
              </w:rPr>
            </w:pPr>
          </w:p>
        </w:tc>
      </w:tr>
      <w:tr w:rsidR="00B837E0" w:rsidRPr="00B837E0" w14:paraId="7E384FED" w14:textId="77777777" w:rsidTr="00B837E0">
        <w:trPr>
          <w:jc w:val="center"/>
        </w:trPr>
        <w:tc>
          <w:tcPr>
            <w:tcW w:w="2605" w:type="dxa"/>
          </w:tcPr>
          <w:p w14:paraId="35A29E51" w14:textId="4BFB17D7" w:rsidR="00B837E0" w:rsidRPr="00B837E0" w:rsidRDefault="00B837E0" w:rsidP="00577C3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 Location (Intl)</w:t>
            </w:r>
          </w:p>
        </w:tc>
        <w:tc>
          <w:tcPr>
            <w:tcW w:w="2069" w:type="dxa"/>
          </w:tcPr>
          <w:p w14:paraId="3AA05302" w14:textId="77777777" w:rsidR="00B837E0" w:rsidRPr="00B837E0" w:rsidRDefault="00B837E0" w:rsidP="00577C37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</w:tcPr>
          <w:p w14:paraId="339D3571" w14:textId="77777777" w:rsidR="00B837E0" w:rsidRPr="00B837E0" w:rsidRDefault="00B837E0" w:rsidP="00577C3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3117EEFE" w14:textId="77777777" w:rsidR="00B837E0" w:rsidRPr="00B837E0" w:rsidRDefault="00B837E0" w:rsidP="00577C37">
            <w:pPr>
              <w:rPr>
                <w:sz w:val="20"/>
                <w:szCs w:val="20"/>
              </w:rPr>
            </w:pPr>
          </w:p>
        </w:tc>
      </w:tr>
      <w:tr w:rsidR="00B837E0" w:rsidRPr="00B837E0" w14:paraId="49604DFE" w14:textId="77777777" w:rsidTr="00B837E0">
        <w:trPr>
          <w:jc w:val="center"/>
        </w:trPr>
        <w:tc>
          <w:tcPr>
            <w:tcW w:w="2605" w:type="dxa"/>
            <w:tcBorders>
              <w:bottom w:val="single" w:sz="4" w:space="0" w:color="auto"/>
            </w:tcBorders>
          </w:tcPr>
          <w:p w14:paraId="3F286878" w14:textId="7ACE76D5" w:rsidR="00B837E0" w:rsidRPr="00B837E0" w:rsidRDefault="00B837E0" w:rsidP="00577C3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 Location (Natl)</w:t>
            </w:r>
          </w:p>
        </w:tc>
        <w:tc>
          <w:tcPr>
            <w:tcW w:w="2069" w:type="dxa"/>
            <w:tcBorders>
              <w:bottom w:val="single" w:sz="4" w:space="0" w:color="auto"/>
            </w:tcBorders>
          </w:tcPr>
          <w:p w14:paraId="0C3C8875" w14:textId="77777777" w:rsidR="00B837E0" w:rsidRPr="00B837E0" w:rsidRDefault="00B837E0" w:rsidP="00577C37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tcBorders>
              <w:bottom w:val="single" w:sz="4" w:space="0" w:color="auto"/>
            </w:tcBorders>
          </w:tcPr>
          <w:p w14:paraId="094BA136" w14:textId="77777777" w:rsidR="00B837E0" w:rsidRPr="00B837E0" w:rsidRDefault="00B837E0" w:rsidP="00577C3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35744AA4" w14:textId="77777777" w:rsidR="00B837E0" w:rsidRPr="00B837E0" w:rsidRDefault="00B837E0" w:rsidP="00577C37">
            <w:pPr>
              <w:rPr>
                <w:sz w:val="20"/>
                <w:szCs w:val="20"/>
              </w:rPr>
            </w:pPr>
          </w:p>
        </w:tc>
      </w:tr>
    </w:tbl>
    <w:p w14:paraId="5DB1C083" w14:textId="77777777" w:rsidR="00B837E0" w:rsidRDefault="00B837E0"/>
    <w:p w14:paraId="07335A9A" w14:textId="748F227E" w:rsidR="00B837E0" w:rsidRDefault="00B837E0">
      <w:r w:rsidRPr="00B837E0">
        <w:rPr>
          <w:b/>
        </w:rPr>
        <w:t>Timeline</w:t>
      </w:r>
      <w:r>
        <w:t xml:space="preserve">: </w:t>
      </w:r>
      <w:r w:rsidR="00A72E66">
        <w:t xml:space="preserve">Each department/unit with tenure track faculty members should complete a separate worksheet detailing the unit’s research metrics. These should be reviewed and approved in draft by the appropriate school/college dean and submitted to Scott Pratt no later than April 9, 2018. </w:t>
      </w:r>
      <w:r>
        <w:t>OPAA will review the drafts and provide feedback by May 1. Final metrics table will be due June 1.</w:t>
      </w:r>
    </w:p>
    <w:sectPr w:rsidR="00B837E0" w:rsidSect="00576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311190" w14:textId="77777777" w:rsidR="005C69EC" w:rsidRDefault="005C69EC" w:rsidP="00B837E0">
      <w:r>
        <w:separator/>
      </w:r>
    </w:p>
  </w:endnote>
  <w:endnote w:type="continuationSeparator" w:id="0">
    <w:p w14:paraId="2E9D9FA4" w14:textId="77777777" w:rsidR="005C69EC" w:rsidRDefault="005C69EC" w:rsidP="00B83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693723" w14:textId="77777777" w:rsidR="005C69EC" w:rsidRDefault="005C69EC" w:rsidP="00B837E0">
      <w:r>
        <w:separator/>
      </w:r>
    </w:p>
  </w:footnote>
  <w:footnote w:type="continuationSeparator" w:id="0">
    <w:p w14:paraId="7AD267E2" w14:textId="77777777" w:rsidR="005C69EC" w:rsidRDefault="005C69EC" w:rsidP="00B837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DAF"/>
    <w:rsid w:val="00186DAF"/>
    <w:rsid w:val="001D56F1"/>
    <w:rsid w:val="00270F7F"/>
    <w:rsid w:val="002E3FF3"/>
    <w:rsid w:val="00342325"/>
    <w:rsid w:val="00385E5B"/>
    <w:rsid w:val="003A54D3"/>
    <w:rsid w:val="0042190E"/>
    <w:rsid w:val="00576B5A"/>
    <w:rsid w:val="005806B4"/>
    <w:rsid w:val="005C69EC"/>
    <w:rsid w:val="007930D8"/>
    <w:rsid w:val="00A72E66"/>
    <w:rsid w:val="00AE24C4"/>
    <w:rsid w:val="00B837E0"/>
    <w:rsid w:val="00C81130"/>
    <w:rsid w:val="00C9676B"/>
    <w:rsid w:val="00D66531"/>
    <w:rsid w:val="00DC470D"/>
    <w:rsid w:val="00E2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B57E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23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37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7E0"/>
  </w:style>
  <w:style w:type="paragraph" w:styleId="Footer">
    <w:name w:val="footer"/>
    <w:basedOn w:val="Normal"/>
    <w:link w:val="FooterChar"/>
    <w:uiPriority w:val="99"/>
    <w:unhideWhenUsed/>
    <w:rsid w:val="00B837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279</Words>
  <Characters>1593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Pratt</dc:creator>
  <cp:keywords/>
  <dc:description/>
  <cp:lastModifiedBy>Dianna Carrizales-Engelmann</cp:lastModifiedBy>
  <cp:revision>2</cp:revision>
  <dcterms:created xsi:type="dcterms:W3CDTF">2018-03-19T23:42:00Z</dcterms:created>
  <dcterms:modified xsi:type="dcterms:W3CDTF">2018-03-19T23:42:00Z</dcterms:modified>
</cp:coreProperties>
</file>