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5093" w:type="pct"/>
        <w:tblBorders>
          <w:top w:val="single" w:sz="4" w:space="0" w:color="A6A6A6"/>
          <w:left w:val="none" w:sz="0" w:space="0" w:color="auto"/>
          <w:bottom w:val="none" w:sz="0" w:space="0" w:color="auto"/>
          <w:right w:val="none" w:sz="0" w:space="0" w:color="auto"/>
          <w:insideH w:val="single" w:sz="4" w:space="0" w:color="A6A6A6"/>
          <w:insideV w:val="none" w:sz="0" w:space="0" w:color="auto"/>
        </w:tblBorders>
        <w:tblCellMar>
          <w:left w:w="0" w:type="dxa"/>
          <w:right w:w="0" w:type="dxa"/>
        </w:tblCellMar>
        <w:tblLook w:val="04A0" w:firstRow="1" w:lastRow="0" w:firstColumn="1" w:lastColumn="0" w:noHBand="0" w:noVBand="1"/>
        <w:tblDescription w:val="First table has company name and second table has memo information"/>
      </w:tblPr>
      <w:tblGrid>
        <w:gridCol w:w="1264"/>
        <w:gridCol w:w="8637"/>
      </w:tblGrid>
      <w:tr w:rsidR="00722A93" w:rsidRPr="00722A93" w14:paraId="2016E969" w14:textId="77777777" w:rsidTr="00722A93">
        <w:trPr>
          <w:trHeight w:val="26"/>
        </w:trPr>
        <w:tc>
          <w:tcPr>
            <w:tcW w:w="1264" w:type="dxa"/>
            <w:tcBorders>
              <w:top w:val="nil"/>
              <w:bottom w:val="nil"/>
            </w:tcBorders>
          </w:tcPr>
          <w:p w14:paraId="3E15F439" w14:textId="77777777" w:rsidR="00722A93" w:rsidRPr="00722A93" w:rsidRDefault="00722A93" w:rsidP="00437BAD">
            <w:pPr>
              <w:spacing w:after="120" w:line="259" w:lineRule="auto"/>
              <w:rPr>
                <w:rFonts w:ascii="Times New Roman" w:hAnsi="Times New Roman" w:cs="Times New Roman"/>
                <w:sz w:val="22"/>
                <w:szCs w:val="22"/>
              </w:rPr>
            </w:pPr>
            <w:r w:rsidRPr="00722A93">
              <w:rPr>
                <w:rFonts w:ascii="Times New Roman" w:hAnsi="Times New Roman" w:cs="Times New Roman"/>
                <w:sz w:val="22"/>
                <w:szCs w:val="22"/>
              </w:rPr>
              <w:t>To:</w:t>
            </w:r>
          </w:p>
        </w:tc>
        <w:tc>
          <w:tcPr>
            <w:tcW w:w="8637" w:type="dxa"/>
            <w:tcBorders>
              <w:top w:val="nil"/>
              <w:bottom w:val="nil"/>
            </w:tcBorders>
          </w:tcPr>
          <w:p w14:paraId="6B470EFD" w14:textId="77777777" w:rsidR="00722A93" w:rsidRPr="00722A93" w:rsidRDefault="00722A93" w:rsidP="00437BAD">
            <w:pPr>
              <w:spacing w:after="120" w:line="259" w:lineRule="auto"/>
              <w:rPr>
                <w:rFonts w:ascii="Times New Roman" w:hAnsi="Times New Roman" w:cs="Times New Roman"/>
                <w:sz w:val="22"/>
                <w:szCs w:val="22"/>
              </w:rPr>
            </w:pPr>
            <w:r w:rsidRPr="00722A93">
              <w:rPr>
                <w:rFonts w:ascii="Times New Roman" w:hAnsi="Times New Roman" w:cs="Times New Roman"/>
                <w:sz w:val="22"/>
                <w:szCs w:val="22"/>
              </w:rPr>
              <w:t>Faculty</w:t>
            </w:r>
          </w:p>
        </w:tc>
      </w:tr>
      <w:tr w:rsidR="00722A93" w:rsidRPr="00722A93" w14:paraId="7B4AF6BA" w14:textId="77777777" w:rsidTr="00722A93">
        <w:trPr>
          <w:trHeight w:val="30"/>
        </w:trPr>
        <w:tc>
          <w:tcPr>
            <w:tcW w:w="1264" w:type="dxa"/>
            <w:tcBorders>
              <w:top w:val="nil"/>
              <w:bottom w:val="nil"/>
            </w:tcBorders>
          </w:tcPr>
          <w:p w14:paraId="2A053165" w14:textId="77777777" w:rsidR="00722A93" w:rsidRPr="00722A93" w:rsidRDefault="00722A93" w:rsidP="00437BAD">
            <w:pPr>
              <w:spacing w:after="120" w:line="259" w:lineRule="auto"/>
              <w:rPr>
                <w:rFonts w:ascii="Times New Roman" w:hAnsi="Times New Roman" w:cs="Times New Roman"/>
                <w:sz w:val="22"/>
                <w:szCs w:val="22"/>
              </w:rPr>
            </w:pPr>
            <w:r w:rsidRPr="00722A93">
              <w:rPr>
                <w:rFonts w:ascii="Times New Roman" w:hAnsi="Times New Roman" w:cs="Times New Roman"/>
                <w:sz w:val="22"/>
                <w:szCs w:val="22"/>
              </w:rPr>
              <w:t>From:</w:t>
            </w:r>
          </w:p>
        </w:tc>
        <w:tc>
          <w:tcPr>
            <w:tcW w:w="8637" w:type="dxa"/>
            <w:tcBorders>
              <w:top w:val="nil"/>
              <w:bottom w:val="nil"/>
            </w:tcBorders>
          </w:tcPr>
          <w:p w14:paraId="2444B7C6" w14:textId="77777777" w:rsidR="00722A93" w:rsidRPr="00722A93" w:rsidRDefault="00722A93" w:rsidP="00437BAD">
            <w:pPr>
              <w:spacing w:after="120" w:line="259" w:lineRule="auto"/>
              <w:rPr>
                <w:rFonts w:ascii="Times New Roman" w:hAnsi="Times New Roman" w:cs="Times New Roman"/>
                <w:sz w:val="22"/>
                <w:szCs w:val="22"/>
              </w:rPr>
            </w:pPr>
            <w:r w:rsidRPr="00722A93">
              <w:rPr>
                <w:rFonts w:ascii="Times New Roman" w:hAnsi="Times New Roman" w:cs="Times New Roman"/>
                <w:sz w:val="22"/>
                <w:szCs w:val="22"/>
              </w:rPr>
              <w:t>R.W. Kamphaus, Dean and Professor</w:t>
            </w:r>
          </w:p>
        </w:tc>
      </w:tr>
      <w:tr w:rsidR="00722A93" w:rsidRPr="00722A93" w14:paraId="7BAB2C46" w14:textId="77777777" w:rsidTr="00722A93">
        <w:trPr>
          <w:trHeight w:val="30"/>
        </w:trPr>
        <w:tc>
          <w:tcPr>
            <w:tcW w:w="1264" w:type="dxa"/>
            <w:tcBorders>
              <w:top w:val="nil"/>
              <w:bottom w:val="nil"/>
            </w:tcBorders>
          </w:tcPr>
          <w:p w14:paraId="05E82892" w14:textId="77777777" w:rsidR="00722A93" w:rsidRPr="00722A93" w:rsidRDefault="00722A93" w:rsidP="00437BAD">
            <w:pPr>
              <w:spacing w:after="120" w:line="259" w:lineRule="auto"/>
              <w:rPr>
                <w:rFonts w:ascii="Times New Roman" w:hAnsi="Times New Roman" w:cs="Times New Roman"/>
                <w:sz w:val="22"/>
                <w:szCs w:val="22"/>
              </w:rPr>
            </w:pPr>
            <w:r w:rsidRPr="00722A93">
              <w:rPr>
                <w:rFonts w:ascii="Times New Roman" w:hAnsi="Times New Roman" w:cs="Times New Roman"/>
                <w:sz w:val="22"/>
                <w:szCs w:val="22"/>
              </w:rPr>
              <w:t>CC:</w:t>
            </w:r>
          </w:p>
        </w:tc>
        <w:tc>
          <w:tcPr>
            <w:tcW w:w="8637" w:type="dxa"/>
            <w:tcBorders>
              <w:top w:val="nil"/>
              <w:bottom w:val="nil"/>
            </w:tcBorders>
          </w:tcPr>
          <w:p w14:paraId="36692B34" w14:textId="77777777" w:rsidR="00722A93" w:rsidRPr="00722A93" w:rsidRDefault="00722A93" w:rsidP="00437BAD">
            <w:pPr>
              <w:spacing w:after="120" w:line="259" w:lineRule="auto"/>
              <w:rPr>
                <w:rFonts w:ascii="Times New Roman" w:hAnsi="Times New Roman" w:cs="Times New Roman"/>
                <w:sz w:val="22"/>
                <w:szCs w:val="22"/>
              </w:rPr>
            </w:pPr>
            <w:r w:rsidRPr="00722A93">
              <w:rPr>
                <w:rFonts w:ascii="Times New Roman" w:hAnsi="Times New Roman" w:cs="Times New Roman"/>
                <w:sz w:val="22"/>
                <w:szCs w:val="22"/>
              </w:rPr>
              <w:t>Staff, Graduate School</w:t>
            </w:r>
          </w:p>
        </w:tc>
      </w:tr>
      <w:tr w:rsidR="00722A93" w:rsidRPr="00722A93" w14:paraId="1C4576BC" w14:textId="77777777" w:rsidTr="00722A93">
        <w:trPr>
          <w:trHeight w:val="30"/>
        </w:trPr>
        <w:tc>
          <w:tcPr>
            <w:tcW w:w="1264" w:type="dxa"/>
            <w:tcBorders>
              <w:top w:val="nil"/>
              <w:bottom w:val="nil"/>
            </w:tcBorders>
          </w:tcPr>
          <w:p w14:paraId="70CE7715" w14:textId="77777777" w:rsidR="00722A93" w:rsidRPr="00722A93" w:rsidRDefault="00722A93" w:rsidP="00437BAD">
            <w:pPr>
              <w:spacing w:after="120" w:line="259" w:lineRule="auto"/>
              <w:rPr>
                <w:rFonts w:ascii="Times New Roman" w:hAnsi="Times New Roman" w:cs="Times New Roman"/>
                <w:sz w:val="22"/>
                <w:szCs w:val="22"/>
              </w:rPr>
            </w:pPr>
            <w:r w:rsidRPr="00722A93">
              <w:rPr>
                <w:rFonts w:ascii="Times New Roman" w:hAnsi="Times New Roman" w:cs="Times New Roman"/>
                <w:sz w:val="22"/>
                <w:szCs w:val="22"/>
              </w:rPr>
              <w:t>Date:</w:t>
            </w:r>
          </w:p>
        </w:tc>
        <w:tc>
          <w:tcPr>
            <w:tcW w:w="8637" w:type="dxa"/>
            <w:tcBorders>
              <w:top w:val="nil"/>
              <w:bottom w:val="nil"/>
            </w:tcBorders>
          </w:tcPr>
          <w:p w14:paraId="3BBB51FF" w14:textId="644D777B" w:rsidR="00722A93" w:rsidRPr="00722A93" w:rsidRDefault="00E11C99" w:rsidP="00437BAD">
            <w:pPr>
              <w:spacing w:after="120" w:line="259" w:lineRule="auto"/>
              <w:rPr>
                <w:rFonts w:ascii="Times New Roman" w:hAnsi="Times New Roman" w:cs="Times New Roman"/>
                <w:sz w:val="22"/>
                <w:szCs w:val="22"/>
              </w:rPr>
            </w:pPr>
            <w:r>
              <w:rPr>
                <w:rFonts w:ascii="Times New Roman" w:hAnsi="Times New Roman" w:cs="Times New Roman"/>
                <w:sz w:val="22"/>
                <w:szCs w:val="22"/>
              </w:rPr>
              <w:t>18</w:t>
            </w:r>
            <w:r w:rsidR="00722A93" w:rsidRPr="00722A93">
              <w:rPr>
                <w:rFonts w:ascii="Times New Roman" w:hAnsi="Times New Roman" w:cs="Times New Roman"/>
                <w:sz w:val="22"/>
                <w:szCs w:val="22"/>
              </w:rPr>
              <w:t xml:space="preserve"> January 2019</w:t>
            </w:r>
          </w:p>
        </w:tc>
      </w:tr>
      <w:tr w:rsidR="00722A93" w:rsidRPr="00722A93" w14:paraId="2849CCBC" w14:textId="77777777" w:rsidTr="00722A93">
        <w:trPr>
          <w:trHeight w:val="73"/>
        </w:trPr>
        <w:tc>
          <w:tcPr>
            <w:tcW w:w="1264" w:type="dxa"/>
            <w:tcBorders>
              <w:top w:val="nil"/>
              <w:bottom w:val="single" w:sz="4" w:space="0" w:color="A6A6A6"/>
            </w:tcBorders>
            <w:tcMar>
              <w:bottom w:w="576" w:type="dxa"/>
            </w:tcMar>
          </w:tcPr>
          <w:p w14:paraId="2FE8CEA2" w14:textId="77777777" w:rsidR="00722A93" w:rsidRPr="00722A93" w:rsidRDefault="00722A93" w:rsidP="00437BAD">
            <w:pPr>
              <w:spacing w:after="120" w:line="259" w:lineRule="auto"/>
              <w:rPr>
                <w:rFonts w:ascii="Times New Roman" w:hAnsi="Times New Roman" w:cs="Times New Roman"/>
                <w:sz w:val="22"/>
                <w:szCs w:val="22"/>
              </w:rPr>
            </w:pPr>
            <w:r w:rsidRPr="00722A93">
              <w:rPr>
                <w:rFonts w:ascii="Times New Roman" w:hAnsi="Times New Roman" w:cs="Times New Roman"/>
                <w:sz w:val="22"/>
                <w:szCs w:val="22"/>
              </w:rPr>
              <w:t>Re:</w:t>
            </w:r>
          </w:p>
        </w:tc>
        <w:tc>
          <w:tcPr>
            <w:tcW w:w="8637" w:type="dxa"/>
            <w:tcBorders>
              <w:top w:val="nil"/>
              <w:bottom w:val="single" w:sz="4" w:space="0" w:color="A6A6A6"/>
            </w:tcBorders>
            <w:tcMar>
              <w:bottom w:w="576" w:type="dxa"/>
            </w:tcMar>
          </w:tcPr>
          <w:p w14:paraId="114BE982" w14:textId="73A296E0" w:rsidR="00722A93" w:rsidRPr="00722A93" w:rsidRDefault="00722A93" w:rsidP="00437BAD">
            <w:pPr>
              <w:spacing w:after="120" w:line="259" w:lineRule="auto"/>
              <w:rPr>
                <w:rFonts w:ascii="Times New Roman" w:hAnsi="Times New Roman" w:cs="Times New Roman"/>
                <w:sz w:val="22"/>
                <w:szCs w:val="22"/>
              </w:rPr>
            </w:pPr>
            <w:r w:rsidRPr="00722A93">
              <w:rPr>
                <w:rFonts w:ascii="Times New Roman" w:hAnsi="Times New Roman" w:cs="Times New Roman"/>
                <w:sz w:val="22"/>
                <w:szCs w:val="22"/>
              </w:rPr>
              <w:t>D</w:t>
            </w:r>
            <w:r w:rsidR="00271CA0">
              <w:rPr>
                <w:rFonts w:ascii="Times New Roman" w:hAnsi="Times New Roman" w:cs="Times New Roman"/>
                <w:sz w:val="22"/>
                <w:szCs w:val="22"/>
              </w:rPr>
              <w:t>octoral Student Enrollment Planning</w:t>
            </w:r>
            <w:r w:rsidRPr="00722A93">
              <w:rPr>
                <w:rFonts w:ascii="Times New Roman" w:hAnsi="Times New Roman" w:cs="Times New Roman"/>
                <w:sz w:val="22"/>
                <w:szCs w:val="22"/>
              </w:rPr>
              <w:t xml:space="preserve"> for AY 2019-20</w:t>
            </w:r>
          </w:p>
        </w:tc>
      </w:tr>
    </w:tbl>
    <w:p w14:paraId="32401E17" w14:textId="34B42472" w:rsidR="00722A93" w:rsidRPr="00722A93" w:rsidRDefault="00722A93" w:rsidP="00722A93">
      <w:pPr>
        <w:jc w:val="center"/>
        <w:rPr>
          <w:b/>
          <w:sz w:val="22"/>
          <w:szCs w:val="22"/>
        </w:rPr>
      </w:pPr>
    </w:p>
    <w:p w14:paraId="60CF315E" w14:textId="32E07D32" w:rsidR="00722A93" w:rsidRPr="00722A93" w:rsidRDefault="00491FC4" w:rsidP="00722A93">
      <w:pPr>
        <w:rPr>
          <w:rFonts w:ascii="Times New Roman" w:hAnsi="Times New Roman"/>
          <w:b/>
          <w:sz w:val="22"/>
          <w:szCs w:val="22"/>
        </w:rPr>
      </w:pPr>
      <w:r>
        <w:rPr>
          <w:rFonts w:ascii="Times New Roman" w:hAnsi="Times New Roman"/>
          <w:b/>
          <w:sz w:val="22"/>
          <w:szCs w:val="22"/>
        </w:rPr>
        <w:t>Enrollment Planning Goals</w:t>
      </w:r>
    </w:p>
    <w:p w14:paraId="07A5DB43" w14:textId="77777777" w:rsidR="00722A93" w:rsidRPr="00722A93" w:rsidRDefault="00722A93" w:rsidP="00722A93">
      <w:pPr>
        <w:rPr>
          <w:rFonts w:ascii="Times New Roman" w:hAnsi="Times New Roman"/>
          <w:sz w:val="22"/>
          <w:szCs w:val="22"/>
        </w:rPr>
      </w:pPr>
    </w:p>
    <w:p w14:paraId="00D95357" w14:textId="77777777" w:rsidR="00722A93" w:rsidRPr="00722A93" w:rsidRDefault="00722A93" w:rsidP="00722A93">
      <w:pPr>
        <w:rPr>
          <w:rFonts w:ascii="Times New Roman" w:hAnsi="Times New Roman"/>
          <w:sz w:val="22"/>
          <w:szCs w:val="22"/>
        </w:rPr>
      </w:pPr>
      <w:r w:rsidRPr="00722A93">
        <w:rPr>
          <w:rFonts w:ascii="Times New Roman" w:hAnsi="Times New Roman"/>
          <w:sz w:val="22"/>
          <w:szCs w:val="22"/>
        </w:rPr>
        <w:t>Our goals include,</w:t>
      </w:r>
    </w:p>
    <w:p w14:paraId="2C5ED459" w14:textId="0B4A964A" w:rsidR="00722A93" w:rsidRPr="00722A93" w:rsidRDefault="00722A93" w:rsidP="00722A93">
      <w:pPr>
        <w:pStyle w:val="ListParagraph"/>
        <w:numPr>
          <w:ilvl w:val="0"/>
          <w:numId w:val="18"/>
        </w:numPr>
        <w:contextualSpacing w:val="0"/>
        <w:rPr>
          <w:sz w:val="22"/>
          <w:szCs w:val="22"/>
        </w:rPr>
      </w:pPr>
      <w:r w:rsidRPr="00722A93">
        <w:rPr>
          <w:sz w:val="22"/>
          <w:szCs w:val="22"/>
        </w:rPr>
        <w:t>Recruiting students who enrich our academic experience because they bring diverse expertise, knowledge bases, backgrounds, languages, cultures and traditions, academic preparation, etc.,</w:t>
      </w:r>
    </w:p>
    <w:p w14:paraId="4D052676" w14:textId="2439BDD4" w:rsidR="00722A93" w:rsidRPr="00722A93" w:rsidRDefault="00722A93" w:rsidP="00722A93">
      <w:pPr>
        <w:pStyle w:val="ListParagraph"/>
        <w:numPr>
          <w:ilvl w:val="0"/>
          <w:numId w:val="18"/>
        </w:numPr>
        <w:contextualSpacing w:val="0"/>
        <w:rPr>
          <w:sz w:val="22"/>
          <w:szCs w:val="22"/>
        </w:rPr>
      </w:pPr>
      <w:r w:rsidRPr="00722A93">
        <w:rPr>
          <w:sz w:val="22"/>
          <w:szCs w:val="22"/>
        </w:rPr>
        <w:t>Competing successfully for the best doctoral students nationally and internationally,</w:t>
      </w:r>
    </w:p>
    <w:p w14:paraId="59A150D3" w14:textId="0322BC7D" w:rsidR="00722A93" w:rsidRPr="00722A93" w:rsidRDefault="00722A93" w:rsidP="00722A93">
      <w:pPr>
        <w:pStyle w:val="ListParagraph"/>
        <w:numPr>
          <w:ilvl w:val="0"/>
          <w:numId w:val="18"/>
        </w:numPr>
        <w:contextualSpacing w:val="0"/>
        <w:rPr>
          <w:sz w:val="22"/>
          <w:szCs w:val="22"/>
        </w:rPr>
      </w:pPr>
      <w:r w:rsidRPr="00722A93">
        <w:rPr>
          <w:sz w:val="22"/>
          <w:szCs w:val="22"/>
        </w:rPr>
        <w:t>Guaranteeing funding for four years so that students ca</w:t>
      </w:r>
      <w:r w:rsidR="00E11C99">
        <w:rPr>
          <w:sz w:val="22"/>
          <w:szCs w:val="22"/>
        </w:rPr>
        <w:t>n focus on their studies and less</w:t>
      </w:r>
      <w:r w:rsidR="00B756F4">
        <w:rPr>
          <w:sz w:val="22"/>
          <w:szCs w:val="22"/>
        </w:rPr>
        <w:t xml:space="preserve"> on employment transitions,</w:t>
      </w:r>
    </w:p>
    <w:p w14:paraId="16005D20" w14:textId="05D9D2F2" w:rsidR="00B756F4" w:rsidRDefault="00B756F4" w:rsidP="00722A93">
      <w:pPr>
        <w:pStyle w:val="ListParagraph"/>
        <w:numPr>
          <w:ilvl w:val="0"/>
          <w:numId w:val="18"/>
        </w:numPr>
        <w:contextualSpacing w:val="0"/>
        <w:rPr>
          <w:sz w:val="22"/>
          <w:szCs w:val="22"/>
        </w:rPr>
      </w:pPr>
      <w:r>
        <w:rPr>
          <w:sz w:val="22"/>
          <w:szCs w:val="22"/>
        </w:rPr>
        <w:t>Ensuring equitable</w:t>
      </w:r>
      <w:r w:rsidR="00722A93" w:rsidRPr="00722A93">
        <w:rPr>
          <w:sz w:val="22"/>
          <w:szCs w:val="22"/>
        </w:rPr>
        <w:t xml:space="preserve"> faculty workload</w:t>
      </w:r>
      <w:r>
        <w:rPr>
          <w:sz w:val="22"/>
          <w:szCs w:val="22"/>
        </w:rPr>
        <w:t>s, and</w:t>
      </w:r>
    </w:p>
    <w:p w14:paraId="1CA6899E" w14:textId="5997F07B" w:rsidR="00722A93" w:rsidRPr="00722A93" w:rsidRDefault="00B756F4" w:rsidP="00722A93">
      <w:pPr>
        <w:pStyle w:val="ListParagraph"/>
        <w:numPr>
          <w:ilvl w:val="0"/>
          <w:numId w:val="18"/>
        </w:numPr>
        <w:contextualSpacing w:val="0"/>
        <w:rPr>
          <w:sz w:val="22"/>
          <w:szCs w:val="22"/>
        </w:rPr>
      </w:pPr>
      <w:r>
        <w:rPr>
          <w:sz w:val="22"/>
          <w:szCs w:val="22"/>
        </w:rPr>
        <w:t>Managing p</w:t>
      </w:r>
      <w:r w:rsidR="00722A93" w:rsidRPr="00722A93">
        <w:rPr>
          <w:sz w:val="22"/>
          <w:szCs w:val="22"/>
        </w:rPr>
        <w:t>ersonnel expenses associated with doctoral education.</w:t>
      </w:r>
    </w:p>
    <w:p w14:paraId="3BFA3982" w14:textId="77777777" w:rsidR="00722A93" w:rsidRPr="00722A93" w:rsidRDefault="00722A93" w:rsidP="00722A93">
      <w:pPr>
        <w:rPr>
          <w:rFonts w:ascii="Times New Roman" w:hAnsi="Times New Roman"/>
          <w:sz w:val="22"/>
          <w:szCs w:val="22"/>
        </w:rPr>
      </w:pPr>
    </w:p>
    <w:p w14:paraId="097CF22B" w14:textId="12AD1097" w:rsidR="00722A93" w:rsidRPr="00722A93" w:rsidRDefault="00722A93" w:rsidP="00722A93">
      <w:pPr>
        <w:rPr>
          <w:rFonts w:ascii="Times New Roman" w:hAnsi="Times New Roman"/>
          <w:b/>
          <w:sz w:val="22"/>
          <w:szCs w:val="22"/>
        </w:rPr>
      </w:pPr>
      <w:r w:rsidRPr="00722A93">
        <w:rPr>
          <w:rFonts w:ascii="Times New Roman" w:hAnsi="Times New Roman"/>
          <w:b/>
          <w:sz w:val="22"/>
          <w:szCs w:val="22"/>
        </w:rPr>
        <w:t>Background and Rationale</w:t>
      </w:r>
    </w:p>
    <w:p w14:paraId="1963091B" w14:textId="2980C24F" w:rsidR="00722A93" w:rsidRPr="00722A93" w:rsidRDefault="00722A93" w:rsidP="00722A93">
      <w:pPr>
        <w:rPr>
          <w:rFonts w:ascii="Times New Roman" w:hAnsi="Times New Roman"/>
          <w:sz w:val="22"/>
          <w:szCs w:val="22"/>
        </w:rPr>
      </w:pPr>
    </w:p>
    <w:p w14:paraId="6158751D" w14:textId="773B7BB7" w:rsidR="00F44051" w:rsidRDefault="00722A93" w:rsidP="00722A93">
      <w:pPr>
        <w:rPr>
          <w:rFonts w:ascii="Times New Roman" w:hAnsi="Times New Roman"/>
          <w:sz w:val="22"/>
          <w:szCs w:val="22"/>
        </w:rPr>
      </w:pPr>
      <w:r w:rsidRPr="00722A93">
        <w:rPr>
          <w:rFonts w:ascii="Times New Roman" w:hAnsi="Times New Roman"/>
          <w:sz w:val="22"/>
          <w:szCs w:val="22"/>
        </w:rPr>
        <w:t>At my request, our academic department heads and deans met on October 10, 2018 to</w:t>
      </w:r>
      <w:r w:rsidR="00582740">
        <w:rPr>
          <w:rFonts w:ascii="Times New Roman" w:hAnsi="Times New Roman"/>
          <w:sz w:val="22"/>
          <w:szCs w:val="22"/>
        </w:rPr>
        <w:t xml:space="preserve"> begin making</w:t>
      </w:r>
      <w:r w:rsidR="00271CA0">
        <w:rPr>
          <w:rFonts w:ascii="Times New Roman" w:hAnsi="Times New Roman"/>
          <w:sz w:val="22"/>
          <w:szCs w:val="22"/>
        </w:rPr>
        <w:t xml:space="preserve"> plans for the current</w:t>
      </w:r>
      <w:r w:rsidRPr="00722A93">
        <w:rPr>
          <w:rFonts w:ascii="Times New Roman" w:hAnsi="Times New Roman"/>
          <w:sz w:val="22"/>
          <w:szCs w:val="22"/>
        </w:rPr>
        <w:t xml:space="preserve"> admission cycle. </w:t>
      </w:r>
      <w:r w:rsidR="00271CA0">
        <w:rPr>
          <w:rFonts w:ascii="Times New Roman" w:hAnsi="Times New Roman"/>
          <w:sz w:val="22"/>
          <w:szCs w:val="22"/>
        </w:rPr>
        <w:t xml:space="preserve">Among other consultations, </w:t>
      </w:r>
      <w:r w:rsidRPr="00722A93">
        <w:rPr>
          <w:rFonts w:ascii="Times New Roman" w:hAnsi="Times New Roman"/>
          <w:sz w:val="22"/>
          <w:szCs w:val="22"/>
        </w:rPr>
        <w:t>I met with members of our Faculty Advisory Committee on January 14, 2019 to obtai</w:t>
      </w:r>
      <w:r w:rsidR="00F44051">
        <w:rPr>
          <w:rFonts w:ascii="Times New Roman" w:hAnsi="Times New Roman"/>
          <w:sz w:val="22"/>
          <w:szCs w:val="22"/>
        </w:rPr>
        <w:t xml:space="preserve">n their counsel. </w:t>
      </w:r>
    </w:p>
    <w:p w14:paraId="070E0ADE" w14:textId="77777777" w:rsidR="00F44051" w:rsidRDefault="00F44051" w:rsidP="00722A93">
      <w:pPr>
        <w:rPr>
          <w:rFonts w:ascii="Times New Roman" w:hAnsi="Times New Roman"/>
          <w:sz w:val="22"/>
          <w:szCs w:val="22"/>
        </w:rPr>
      </w:pPr>
    </w:p>
    <w:p w14:paraId="7044C554" w14:textId="10361A22" w:rsidR="00722A93" w:rsidRPr="00722A93" w:rsidRDefault="006C50D9" w:rsidP="00F44051">
      <w:pPr>
        <w:rPr>
          <w:sz w:val="22"/>
          <w:szCs w:val="22"/>
        </w:rPr>
      </w:pPr>
      <w:r>
        <w:rPr>
          <w:rFonts w:ascii="Times New Roman" w:hAnsi="Times New Roman"/>
          <w:sz w:val="22"/>
          <w:szCs w:val="22"/>
        </w:rPr>
        <w:t xml:space="preserve">There are many reasons to engage in enrollment planning. For example, we have </w:t>
      </w:r>
      <w:r w:rsidR="00F44051">
        <w:rPr>
          <w:rFonts w:ascii="Times New Roman" w:hAnsi="Times New Roman"/>
          <w:sz w:val="22"/>
          <w:szCs w:val="22"/>
        </w:rPr>
        <w:t>highly variable and heavy faculty</w:t>
      </w:r>
      <w:r w:rsidR="00582740">
        <w:rPr>
          <w:rFonts w:ascii="Times New Roman" w:hAnsi="Times New Roman"/>
          <w:sz w:val="22"/>
          <w:szCs w:val="22"/>
        </w:rPr>
        <w:t xml:space="preserve"> doctoral advising</w:t>
      </w:r>
      <w:r w:rsidR="00F44051">
        <w:rPr>
          <w:rFonts w:ascii="Times New Roman" w:hAnsi="Times New Roman"/>
          <w:sz w:val="22"/>
          <w:szCs w:val="22"/>
        </w:rPr>
        <w:t xml:space="preserve"> workloads (See Graph 1).</w:t>
      </w:r>
      <w:r w:rsidR="008256EF">
        <w:rPr>
          <w:rFonts w:ascii="Times New Roman" w:hAnsi="Times New Roman"/>
          <w:sz w:val="22"/>
          <w:szCs w:val="22"/>
        </w:rPr>
        <w:t xml:space="preserve"> (Please note that G</w:t>
      </w:r>
      <w:r w:rsidR="00722A93" w:rsidRPr="00722A93">
        <w:rPr>
          <w:rFonts w:ascii="Times New Roman" w:hAnsi="Times New Roman"/>
          <w:sz w:val="22"/>
          <w:szCs w:val="22"/>
        </w:rPr>
        <w:t>raph</w:t>
      </w:r>
      <w:r w:rsidR="008256EF">
        <w:rPr>
          <w:rFonts w:ascii="Times New Roman" w:hAnsi="Times New Roman"/>
          <w:sz w:val="22"/>
          <w:szCs w:val="22"/>
        </w:rPr>
        <w:t xml:space="preserve"> 1</w:t>
      </w:r>
      <w:r w:rsidR="00722A93" w:rsidRPr="00722A93">
        <w:rPr>
          <w:rFonts w:ascii="Times New Roman" w:hAnsi="Times New Roman"/>
          <w:sz w:val="22"/>
          <w:szCs w:val="22"/>
        </w:rPr>
        <w:t xml:space="preserve"> also includes career track faculty who have been approved by the graduate school to supervise dissertations). </w:t>
      </w:r>
    </w:p>
    <w:p w14:paraId="1953179C" w14:textId="4C098005" w:rsidR="00722A93" w:rsidRDefault="008662B7" w:rsidP="00722A93">
      <w:pPr>
        <w:rPr>
          <w:rFonts w:ascii="Times New Roman" w:hAnsi="Times New Roman"/>
          <w:sz w:val="22"/>
          <w:szCs w:val="22"/>
        </w:rPr>
      </w:pPr>
      <w:r>
        <w:rPr>
          <w:noProof/>
        </w:rPr>
        <w:drawing>
          <wp:anchor distT="0" distB="0" distL="114300" distR="114300" simplePos="0" relativeHeight="251661312" behindDoc="1" locked="0" layoutInCell="1" allowOverlap="1" wp14:anchorId="28DF69D0" wp14:editId="5F5FEA8E">
            <wp:simplePos x="0" y="0"/>
            <wp:positionH relativeFrom="margin">
              <wp:posOffset>695325</wp:posOffset>
            </wp:positionH>
            <wp:positionV relativeFrom="paragraph">
              <wp:posOffset>127635</wp:posOffset>
            </wp:positionV>
            <wp:extent cx="4286250" cy="2533650"/>
            <wp:effectExtent l="0" t="0" r="0" b="0"/>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349A5972" w14:textId="70221184" w:rsidR="00BD01D9" w:rsidRDefault="00BD01D9" w:rsidP="00BD01D9">
      <w:pPr>
        <w:rPr>
          <w:rFonts w:ascii="Times New Roman" w:hAnsi="Times New Roman"/>
          <w:b/>
          <w:sz w:val="22"/>
          <w:szCs w:val="22"/>
        </w:rPr>
      </w:pPr>
      <w:r>
        <w:rPr>
          <w:rFonts w:ascii="Times New Roman" w:hAnsi="Times New Roman"/>
          <w:b/>
          <w:sz w:val="22"/>
          <w:szCs w:val="22"/>
        </w:rPr>
        <w:t>Graph 1</w:t>
      </w:r>
    </w:p>
    <w:p w14:paraId="20664049" w14:textId="20FAAE9D" w:rsidR="00BD01D9" w:rsidRDefault="00BD01D9" w:rsidP="00BD01D9">
      <w:pPr>
        <w:rPr>
          <w:rFonts w:ascii="Times New Roman" w:hAnsi="Times New Roman"/>
          <w:b/>
          <w:sz w:val="22"/>
          <w:szCs w:val="22"/>
        </w:rPr>
      </w:pPr>
    </w:p>
    <w:p w14:paraId="0DBCEA25" w14:textId="0DD73100" w:rsidR="00BD01D9" w:rsidRDefault="00BD01D9" w:rsidP="00BD01D9">
      <w:pPr>
        <w:rPr>
          <w:rFonts w:ascii="Times New Roman" w:hAnsi="Times New Roman"/>
          <w:b/>
          <w:sz w:val="22"/>
          <w:szCs w:val="22"/>
        </w:rPr>
      </w:pPr>
    </w:p>
    <w:p w14:paraId="236F34B5" w14:textId="2D4A9638" w:rsidR="00BD01D9" w:rsidRDefault="00BD01D9" w:rsidP="00BD01D9">
      <w:pPr>
        <w:rPr>
          <w:rFonts w:ascii="Times New Roman" w:hAnsi="Times New Roman"/>
          <w:b/>
          <w:sz w:val="22"/>
          <w:szCs w:val="22"/>
        </w:rPr>
      </w:pPr>
    </w:p>
    <w:p w14:paraId="7C45BE1F" w14:textId="5E73AF26" w:rsidR="00BD01D9" w:rsidRDefault="00BD01D9" w:rsidP="00BD01D9">
      <w:pPr>
        <w:rPr>
          <w:rFonts w:ascii="Times New Roman" w:hAnsi="Times New Roman"/>
          <w:b/>
          <w:sz w:val="22"/>
          <w:szCs w:val="22"/>
        </w:rPr>
      </w:pPr>
    </w:p>
    <w:p w14:paraId="1A9B9836" w14:textId="0CD73BF4" w:rsidR="00BD01D9" w:rsidRDefault="00BD01D9" w:rsidP="00BD01D9">
      <w:pPr>
        <w:rPr>
          <w:rFonts w:ascii="Times New Roman" w:hAnsi="Times New Roman"/>
          <w:b/>
          <w:sz w:val="22"/>
          <w:szCs w:val="22"/>
        </w:rPr>
      </w:pPr>
    </w:p>
    <w:p w14:paraId="5E2B074A" w14:textId="77777777" w:rsidR="00BD01D9" w:rsidRDefault="00BD01D9" w:rsidP="00BD01D9">
      <w:pPr>
        <w:rPr>
          <w:rFonts w:ascii="Times New Roman" w:hAnsi="Times New Roman"/>
          <w:b/>
          <w:sz w:val="22"/>
          <w:szCs w:val="22"/>
        </w:rPr>
      </w:pPr>
    </w:p>
    <w:p w14:paraId="33C37A26" w14:textId="77777777" w:rsidR="00BD01D9" w:rsidRDefault="00BD01D9" w:rsidP="00BD01D9">
      <w:pPr>
        <w:rPr>
          <w:rFonts w:ascii="Times New Roman" w:hAnsi="Times New Roman"/>
          <w:b/>
          <w:sz w:val="22"/>
          <w:szCs w:val="22"/>
        </w:rPr>
      </w:pPr>
    </w:p>
    <w:p w14:paraId="6D31DC98" w14:textId="77777777" w:rsidR="00BD01D9" w:rsidRDefault="00BD01D9" w:rsidP="00BD01D9">
      <w:pPr>
        <w:rPr>
          <w:rFonts w:ascii="Times New Roman" w:hAnsi="Times New Roman"/>
          <w:b/>
          <w:sz w:val="22"/>
          <w:szCs w:val="22"/>
        </w:rPr>
      </w:pPr>
    </w:p>
    <w:p w14:paraId="1595B35C" w14:textId="77777777" w:rsidR="0035550D" w:rsidRDefault="0035550D" w:rsidP="00722A93">
      <w:pPr>
        <w:rPr>
          <w:rFonts w:ascii="Times New Roman" w:hAnsi="Times New Roman"/>
          <w:b/>
          <w:sz w:val="22"/>
          <w:szCs w:val="22"/>
        </w:rPr>
      </w:pPr>
    </w:p>
    <w:p w14:paraId="7E6AC775" w14:textId="77777777" w:rsidR="00F44051" w:rsidRDefault="00F44051" w:rsidP="00722A93">
      <w:pPr>
        <w:rPr>
          <w:rFonts w:ascii="Times New Roman" w:hAnsi="Times New Roman"/>
          <w:sz w:val="22"/>
          <w:szCs w:val="22"/>
        </w:rPr>
      </w:pPr>
    </w:p>
    <w:p w14:paraId="0E24ED70" w14:textId="77777777" w:rsidR="00F44051" w:rsidRDefault="00F44051" w:rsidP="00722A93">
      <w:pPr>
        <w:rPr>
          <w:rFonts w:ascii="Times New Roman" w:hAnsi="Times New Roman"/>
          <w:sz w:val="22"/>
          <w:szCs w:val="22"/>
        </w:rPr>
      </w:pPr>
    </w:p>
    <w:p w14:paraId="05566760" w14:textId="77777777" w:rsidR="00F44051" w:rsidRDefault="00F44051" w:rsidP="00722A93">
      <w:pPr>
        <w:rPr>
          <w:rFonts w:ascii="Times New Roman" w:hAnsi="Times New Roman"/>
          <w:sz w:val="22"/>
          <w:szCs w:val="22"/>
        </w:rPr>
      </w:pPr>
    </w:p>
    <w:p w14:paraId="4C1D169E" w14:textId="77777777" w:rsidR="00F44051" w:rsidRDefault="00F44051" w:rsidP="00722A93">
      <w:pPr>
        <w:rPr>
          <w:rFonts w:ascii="Times New Roman" w:hAnsi="Times New Roman"/>
          <w:sz w:val="22"/>
          <w:szCs w:val="22"/>
        </w:rPr>
      </w:pPr>
    </w:p>
    <w:p w14:paraId="749D6806" w14:textId="77777777" w:rsidR="00F44051" w:rsidRDefault="00F44051" w:rsidP="00F44051">
      <w:pPr>
        <w:rPr>
          <w:rFonts w:ascii="Times New Roman" w:hAnsi="Times New Roman"/>
          <w:sz w:val="22"/>
          <w:szCs w:val="22"/>
        </w:rPr>
      </w:pPr>
    </w:p>
    <w:p w14:paraId="395418F1" w14:textId="61EDDAA4" w:rsidR="00F44051" w:rsidRPr="00722A93" w:rsidRDefault="00F44051" w:rsidP="00F44051">
      <w:pPr>
        <w:rPr>
          <w:rFonts w:ascii="Times New Roman" w:hAnsi="Times New Roman"/>
          <w:sz w:val="22"/>
          <w:szCs w:val="22"/>
        </w:rPr>
      </w:pPr>
      <w:r>
        <w:rPr>
          <w:rFonts w:ascii="Times New Roman" w:hAnsi="Times New Roman"/>
          <w:sz w:val="22"/>
          <w:szCs w:val="22"/>
        </w:rPr>
        <w:t>Some examples of workload variability include,</w:t>
      </w:r>
    </w:p>
    <w:p w14:paraId="6A4D989C" w14:textId="35AF1CEE" w:rsidR="00F44051" w:rsidRPr="00722A93" w:rsidRDefault="00582740" w:rsidP="00F44051">
      <w:pPr>
        <w:pStyle w:val="ListParagraph"/>
        <w:numPr>
          <w:ilvl w:val="0"/>
          <w:numId w:val="17"/>
        </w:numPr>
        <w:contextualSpacing w:val="0"/>
        <w:rPr>
          <w:sz w:val="22"/>
          <w:szCs w:val="22"/>
        </w:rPr>
      </w:pPr>
      <w:r>
        <w:rPr>
          <w:sz w:val="22"/>
          <w:szCs w:val="22"/>
        </w:rPr>
        <w:t>F</w:t>
      </w:r>
      <w:r w:rsidR="00F44051" w:rsidRPr="00722A93">
        <w:rPr>
          <w:sz w:val="22"/>
          <w:szCs w:val="22"/>
        </w:rPr>
        <w:t xml:space="preserve">ive assistant professors do not have doctoral advisees, </w:t>
      </w:r>
    </w:p>
    <w:p w14:paraId="3DE48851" w14:textId="25F363DE" w:rsidR="00F44051" w:rsidRPr="00722A93" w:rsidRDefault="00582740" w:rsidP="00F44051">
      <w:pPr>
        <w:pStyle w:val="ListParagraph"/>
        <w:numPr>
          <w:ilvl w:val="0"/>
          <w:numId w:val="17"/>
        </w:numPr>
        <w:contextualSpacing w:val="0"/>
        <w:rPr>
          <w:sz w:val="22"/>
          <w:szCs w:val="22"/>
        </w:rPr>
      </w:pPr>
      <w:r>
        <w:rPr>
          <w:sz w:val="22"/>
          <w:szCs w:val="22"/>
        </w:rPr>
        <w:t>E</w:t>
      </w:r>
      <w:r w:rsidR="00F44051" w:rsidRPr="00722A93">
        <w:rPr>
          <w:sz w:val="22"/>
          <w:szCs w:val="22"/>
        </w:rPr>
        <w:t xml:space="preserve">ight assistant professors have doctoral student advising workloads ranging from one to eight students, and </w:t>
      </w:r>
    </w:p>
    <w:p w14:paraId="034E57A2" w14:textId="04434331" w:rsidR="00F44051" w:rsidRDefault="00582740" w:rsidP="00F44051">
      <w:pPr>
        <w:pStyle w:val="ListParagraph"/>
        <w:numPr>
          <w:ilvl w:val="0"/>
          <w:numId w:val="17"/>
        </w:numPr>
        <w:contextualSpacing w:val="0"/>
        <w:rPr>
          <w:sz w:val="22"/>
          <w:szCs w:val="22"/>
        </w:rPr>
      </w:pPr>
      <w:r>
        <w:rPr>
          <w:sz w:val="22"/>
          <w:szCs w:val="22"/>
        </w:rPr>
        <w:t>S</w:t>
      </w:r>
      <w:r w:rsidR="00F44051" w:rsidRPr="00722A93">
        <w:rPr>
          <w:sz w:val="22"/>
          <w:szCs w:val="22"/>
        </w:rPr>
        <w:t xml:space="preserve">even </w:t>
      </w:r>
      <w:r w:rsidR="006C50D9">
        <w:rPr>
          <w:sz w:val="22"/>
          <w:szCs w:val="22"/>
        </w:rPr>
        <w:t xml:space="preserve">tenured </w:t>
      </w:r>
      <w:r w:rsidR="00F44051" w:rsidRPr="00722A93">
        <w:rPr>
          <w:sz w:val="22"/>
          <w:szCs w:val="22"/>
        </w:rPr>
        <w:t>associate professors or professors</w:t>
      </w:r>
      <w:r>
        <w:rPr>
          <w:sz w:val="22"/>
          <w:szCs w:val="22"/>
        </w:rPr>
        <w:t xml:space="preserve"> </w:t>
      </w:r>
      <w:r w:rsidR="00F44051" w:rsidRPr="00722A93">
        <w:rPr>
          <w:sz w:val="22"/>
          <w:szCs w:val="22"/>
        </w:rPr>
        <w:t xml:space="preserve">do not have doctoral advisees. </w:t>
      </w:r>
    </w:p>
    <w:p w14:paraId="2E022A97" w14:textId="77777777" w:rsidR="00F44051" w:rsidRPr="00722A93" w:rsidRDefault="00F44051" w:rsidP="00F44051">
      <w:pPr>
        <w:pStyle w:val="ListParagraph"/>
        <w:contextualSpacing w:val="0"/>
        <w:rPr>
          <w:sz w:val="22"/>
          <w:szCs w:val="22"/>
        </w:rPr>
      </w:pPr>
    </w:p>
    <w:p w14:paraId="4FDACD53" w14:textId="50C7BCA7" w:rsidR="00E260BA" w:rsidRDefault="00E260BA" w:rsidP="00E260BA">
      <w:pPr>
        <w:rPr>
          <w:rFonts w:ascii="Times New Roman" w:hAnsi="Times New Roman"/>
          <w:sz w:val="22"/>
          <w:szCs w:val="22"/>
        </w:rPr>
      </w:pPr>
      <w:r>
        <w:rPr>
          <w:rFonts w:ascii="Times New Roman" w:hAnsi="Times New Roman"/>
          <w:sz w:val="22"/>
          <w:szCs w:val="22"/>
        </w:rPr>
        <w:t>T</w:t>
      </w:r>
      <w:r w:rsidRPr="00722A93">
        <w:rPr>
          <w:rFonts w:ascii="Times New Roman" w:hAnsi="Times New Roman"/>
          <w:sz w:val="22"/>
          <w:szCs w:val="22"/>
        </w:rPr>
        <w:t>he overall doctoral student advising loads of some of our faculty are among the highes</w:t>
      </w:r>
      <w:r>
        <w:rPr>
          <w:rFonts w:ascii="Times New Roman" w:hAnsi="Times New Roman"/>
          <w:sz w:val="22"/>
          <w:szCs w:val="22"/>
        </w:rPr>
        <w:t>t on campus</w:t>
      </w:r>
      <w:r w:rsidRPr="00722A93">
        <w:rPr>
          <w:rFonts w:ascii="Times New Roman" w:hAnsi="Times New Roman"/>
          <w:sz w:val="22"/>
          <w:szCs w:val="22"/>
        </w:rPr>
        <w:t>. And, these advising loads do not include Master’s and undergradu</w:t>
      </w:r>
      <w:r w:rsidR="00795DC9">
        <w:rPr>
          <w:rFonts w:ascii="Times New Roman" w:hAnsi="Times New Roman"/>
          <w:sz w:val="22"/>
          <w:szCs w:val="22"/>
        </w:rPr>
        <w:t>ate student advising as is expected by</w:t>
      </w:r>
      <w:r w:rsidRPr="00722A93">
        <w:rPr>
          <w:rFonts w:ascii="Times New Roman" w:hAnsi="Times New Roman"/>
          <w:sz w:val="22"/>
          <w:szCs w:val="22"/>
        </w:rPr>
        <w:t xml:space="preserve"> our tenure-related faculty workload policy.  </w:t>
      </w:r>
    </w:p>
    <w:p w14:paraId="2D31E1D1" w14:textId="77777777" w:rsidR="00E260BA" w:rsidRPr="00722A93" w:rsidRDefault="00E260BA" w:rsidP="00E260BA">
      <w:pPr>
        <w:rPr>
          <w:rFonts w:ascii="Times New Roman" w:hAnsi="Times New Roman"/>
          <w:sz w:val="22"/>
          <w:szCs w:val="22"/>
        </w:rPr>
      </w:pPr>
    </w:p>
    <w:p w14:paraId="23BD8B53" w14:textId="1B943886" w:rsidR="00722A93" w:rsidRPr="00722A93" w:rsidRDefault="00E260BA" w:rsidP="00722A93">
      <w:pPr>
        <w:rPr>
          <w:rFonts w:ascii="Times New Roman" w:hAnsi="Times New Roman"/>
          <w:sz w:val="22"/>
          <w:szCs w:val="22"/>
        </w:rPr>
      </w:pPr>
      <w:r>
        <w:rPr>
          <w:rFonts w:ascii="Times New Roman" w:hAnsi="Times New Roman"/>
          <w:sz w:val="22"/>
          <w:szCs w:val="22"/>
        </w:rPr>
        <w:t>Given that student</w:t>
      </w:r>
      <w:r w:rsidR="00722A93" w:rsidRPr="00722A93">
        <w:rPr>
          <w:rFonts w:ascii="Times New Roman" w:hAnsi="Times New Roman"/>
          <w:sz w:val="22"/>
          <w:szCs w:val="22"/>
        </w:rPr>
        <w:t xml:space="preserve"> advising</w:t>
      </w:r>
      <w:r>
        <w:rPr>
          <w:rFonts w:ascii="Times New Roman" w:hAnsi="Times New Roman"/>
          <w:sz w:val="22"/>
          <w:szCs w:val="22"/>
        </w:rPr>
        <w:t xml:space="preserve"> and mentoring</w:t>
      </w:r>
      <w:r w:rsidR="00722A93" w:rsidRPr="00722A93">
        <w:rPr>
          <w:rFonts w:ascii="Times New Roman" w:hAnsi="Times New Roman"/>
          <w:sz w:val="22"/>
          <w:szCs w:val="22"/>
        </w:rPr>
        <w:t xml:space="preserve"> load is complex and individualized, I have asked department heads to work with their individual faculty to ensure that doctoral student advising loads are fair, and serving our </w:t>
      </w:r>
      <w:r>
        <w:rPr>
          <w:rFonts w:ascii="Times New Roman" w:hAnsi="Times New Roman"/>
          <w:sz w:val="22"/>
          <w:szCs w:val="22"/>
        </w:rPr>
        <w:t>students well. In the end, we all</w:t>
      </w:r>
      <w:r w:rsidR="00722A93" w:rsidRPr="00722A93">
        <w:rPr>
          <w:rFonts w:ascii="Times New Roman" w:hAnsi="Times New Roman"/>
          <w:sz w:val="22"/>
          <w:szCs w:val="22"/>
        </w:rPr>
        <w:t xml:space="preserve"> agreed on the general principle that all tenure-related faculty should be advising doctoral students.</w:t>
      </w:r>
    </w:p>
    <w:p w14:paraId="388E24FA" w14:textId="77777777" w:rsidR="001B1398" w:rsidRDefault="001B1398" w:rsidP="00722A93">
      <w:pPr>
        <w:rPr>
          <w:rFonts w:ascii="Times New Roman" w:hAnsi="Times New Roman"/>
          <w:sz w:val="22"/>
          <w:szCs w:val="22"/>
        </w:rPr>
      </w:pPr>
    </w:p>
    <w:p w14:paraId="49B0A977" w14:textId="34A4F682" w:rsidR="00722A93" w:rsidRDefault="001B1398" w:rsidP="00722A93">
      <w:pPr>
        <w:rPr>
          <w:rFonts w:ascii="Times New Roman" w:hAnsi="Times New Roman"/>
          <w:sz w:val="22"/>
          <w:szCs w:val="22"/>
        </w:rPr>
      </w:pPr>
      <w:r>
        <w:rPr>
          <w:rFonts w:ascii="Times New Roman" w:hAnsi="Times New Roman"/>
          <w:sz w:val="22"/>
          <w:szCs w:val="22"/>
        </w:rPr>
        <w:t>Among other potential reasons to engage in planning, o</w:t>
      </w:r>
      <w:r w:rsidR="00DC0811">
        <w:rPr>
          <w:rFonts w:ascii="Times New Roman" w:hAnsi="Times New Roman"/>
          <w:sz w:val="22"/>
          <w:szCs w:val="22"/>
        </w:rPr>
        <w:t>ur substantial</w:t>
      </w:r>
      <w:r w:rsidR="00722A93" w:rsidRPr="00722A93">
        <w:rPr>
          <w:rFonts w:ascii="Times New Roman" w:hAnsi="Times New Roman"/>
          <w:sz w:val="22"/>
          <w:szCs w:val="22"/>
        </w:rPr>
        <w:t xml:space="preserve"> increase in doctoral enrollments </w:t>
      </w:r>
      <w:r w:rsidR="007318B1">
        <w:rPr>
          <w:rFonts w:ascii="Times New Roman" w:hAnsi="Times New Roman"/>
          <w:sz w:val="22"/>
          <w:szCs w:val="22"/>
        </w:rPr>
        <w:t xml:space="preserve">during the past five years </w:t>
      </w:r>
      <w:r w:rsidR="00722A93" w:rsidRPr="00722A93">
        <w:rPr>
          <w:rFonts w:ascii="Times New Roman" w:hAnsi="Times New Roman"/>
          <w:sz w:val="22"/>
          <w:szCs w:val="22"/>
        </w:rPr>
        <w:t>has served the goals of our graduate school and university well. We increased our doctoral student census from 174 in AY 2014-</w:t>
      </w:r>
      <w:r w:rsidR="0035550D">
        <w:rPr>
          <w:rFonts w:ascii="Times New Roman" w:hAnsi="Times New Roman"/>
          <w:sz w:val="22"/>
          <w:szCs w:val="22"/>
        </w:rPr>
        <w:t>15 to 198 in 2018-19. Graph 2</w:t>
      </w:r>
      <w:r w:rsidR="00722A93" w:rsidRPr="00722A93">
        <w:rPr>
          <w:rFonts w:ascii="Times New Roman" w:hAnsi="Times New Roman"/>
          <w:sz w:val="22"/>
          <w:szCs w:val="22"/>
        </w:rPr>
        <w:t xml:space="preserve"> reflects this trend. Please note that this</w:t>
      </w:r>
      <w:r w:rsidR="00DC0811">
        <w:rPr>
          <w:rFonts w:ascii="Times New Roman" w:hAnsi="Times New Roman"/>
          <w:sz w:val="22"/>
          <w:szCs w:val="22"/>
        </w:rPr>
        <w:t xml:space="preserve"> graph</w:t>
      </w:r>
      <w:r w:rsidR="00722A93" w:rsidRPr="00722A93">
        <w:rPr>
          <w:rFonts w:ascii="Times New Roman" w:hAnsi="Times New Roman"/>
          <w:sz w:val="22"/>
          <w:szCs w:val="22"/>
        </w:rPr>
        <w:t xml:space="preserve"> represents an u</w:t>
      </w:r>
      <w:r w:rsidR="00DC0811">
        <w:rPr>
          <w:rFonts w:ascii="Times New Roman" w:hAnsi="Times New Roman"/>
          <w:sz w:val="22"/>
          <w:szCs w:val="22"/>
        </w:rPr>
        <w:t>nduplicated head count, including</w:t>
      </w:r>
      <w:r w:rsidR="00722A93" w:rsidRPr="00722A93">
        <w:rPr>
          <w:rFonts w:ascii="Times New Roman" w:hAnsi="Times New Roman"/>
          <w:sz w:val="22"/>
          <w:szCs w:val="22"/>
        </w:rPr>
        <w:t xml:space="preserve"> both Ph.D.</w:t>
      </w:r>
      <w:r w:rsidR="00DC0811">
        <w:rPr>
          <w:rFonts w:ascii="Times New Roman" w:hAnsi="Times New Roman"/>
          <w:sz w:val="22"/>
          <w:szCs w:val="22"/>
        </w:rPr>
        <w:t xml:space="preserve"> and D.Ed. students</w:t>
      </w:r>
      <w:r w:rsidR="00A508A2">
        <w:rPr>
          <w:rFonts w:ascii="Times New Roman" w:hAnsi="Times New Roman"/>
          <w:sz w:val="22"/>
          <w:szCs w:val="22"/>
        </w:rPr>
        <w:t>,</w:t>
      </w:r>
      <w:r w:rsidR="00DC0811">
        <w:rPr>
          <w:rFonts w:ascii="Times New Roman" w:hAnsi="Times New Roman"/>
          <w:sz w:val="22"/>
          <w:szCs w:val="22"/>
        </w:rPr>
        <w:t xml:space="preserve"> and excluding</w:t>
      </w:r>
      <w:r w:rsidR="00722A93" w:rsidRPr="00722A93">
        <w:rPr>
          <w:rFonts w:ascii="Times New Roman" w:hAnsi="Times New Roman"/>
          <w:sz w:val="22"/>
          <w:szCs w:val="22"/>
        </w:rPr>
        <w:t xml:space="preserve"> non-registered students (i.e., </w:t>
      </w:r>
      <w:r w:rsidR="00A508A2">
        <w:rPr>
          <w:rFonts w:ascii="Times New Roman" w:hAnsi="Times New Roman"/>
          <w:sz w:val="22"/>
          <w:szCs w:val="22"/>
        </w:rPr>
        <w:t xml:space="preserve">those on </w:t>
      </w:r>
      <w:r w:rsidR="00722A93" w:rsidRPr="00722A93">
        <w:rPr>
          <w:rFonts w:ascii="Times New Roman" w:hAnsi="Times New Roman"/>
          <w:sz w:val="22"/>
          <w:szCs w:val="22"/>
        </w:rPr>
        <w:t xml:space="preserve">internship). </w:t>
      </w:r>
    </w:p>
    <w:p w14:paraId="638B276D" w14:textId="614218C6" w:rsidR="00287F44" w:rsidRDefault="00287F44" w:rsidP="00722A93">
      <w:pPr>
        <w:rPr>
          <w:rFonts w:ascii="Times New Roman" w:hAnsi="Times New Roman"/>
          <w:sz w:val="22"/>
          <w:szCs w:val="22"/>
        </w:rPr>
      </w:pPr>
    </w:p>
    <w:p w14:paraId="3FBD54C6" w14:textId="18CA2803" w:rsidR="003F7F6F" w:rsidRPr="003F7F6F" w:rsidRDefault="003F7F6F" w:rsidP="00722A93">
      <w:pPr>
        <w:rPr>
          <w:rFonts w:ascii="Times New Roman" w:hAnsi="Times New Roman"/>
          <w:b/>
          <w:sz w:val="22"/>
          <w:szCs w:val="22"/>
        </w:rPr>
      </w:pPr>
      <w:r>
        <w:rPr>
          <w:rFonts w:ascii="Times New Roman" w:hAnsi="Times New Roman"/>
          <w:b/>
          <w:sz w:val="22"/>
          <w:szCs w:val="22"/>
        </w:rPr>
        <w:t>Graph 2</w:t>
      </w:r>
    </w:p>
    <w:tbl>
      <w:tblPr>
        <w:tblW w:w="4990" w:type="pct"/>
        <w:tblInd w:w="730" w:type="dxa"/>
        <w:tblCellMar>
          <w:left w:w="0" w:type="dxa"/>
          <w:right w:w="0" w:type="dxa"/>
        </w:tblCellMar>
        <w:tblLook w:val="04A0" w:firstRow="1" w:lastRow="0" w:firstColumn="1" w:lastColumn="0" w:noHBand="0" w:noVBand="1"/>
      </w:tblPr>
      <w:tblGrid>
        <w:gridCol w:w="222"/>
        <w:gridCol w:w="7041"/>
        <w:gridCol w:w="1328"/>
        <w:gridCol w:w="222"/>
        <w:gridCol w:w="222"/>
        <w:gridCol w:w="222"/>
        <w:gridCol w:w="222"/>
        <w:gridCol w:w="222"/>
      </w:tblGrid>
      <w:tr w:rsidR="00722A93" w:rsidRPr="00722A93" w14:paraId="513822F2" w14:textId="77777777" w:rsidTr="003F7F6F">
        <w:trPr>
          <w:trHeight w:val="255"/>
        </w:trPr>
        <w:tc>
          <w:tcPr>
            <w:tcW w:w="452" w:type="pct"/>
            <w:noWrap/>
            <w:tcMar>
              <w:top w:w="0" w:type="dxa"/>
              <w:left w:w="108" w:type="dxa"/>
              <w:bottom w:w="0" w:type="dxa"/>
              <w:right w:w="108" w:type="dxa"/>
            </w:tcMar>
            <w:vAlign w:val="bottom"/>
          </w:tcPr>
          <w:p w14:paraId="014D9ACA" w14:textId="77777777" w:rsidR="00722A93" w:rsidRPr="00722A93" w:rsidRDefault="00722A93" w:rsidP="003F7F6F">
            <w:pPr>
              <w:rPr>
                <w:color w:val="000000"/>
                <w:sz w:val="22"/>
                <w:szCs w:val="22"/>
              </w:rPr>
            </w:pPr>
          </w:p>
        </w:tc>
        <w:tc>
          <w:tcPr>
            <w:tcW w:w="1224" w:type="pct"/>
            <w:noWrap/>
            <w:tcMar>
              <w:top w:w="0" w:type="dxa"/>
              <w:left w:w="108" w:type="dxa"/>
              <w:bottom w:w="0" w:type="dxa"/>
              <w:right w:w="108" w:type="dxa"/>
            </w:tcMar>
            <w:vAlign w:val="bottom"/>
          </w:tcPr>
          <w:p w14:paraId="1937D61B" w14:textId="5E5D1634" w:rsidR="00722A93" w:rsidRPr="00722A93" w:rsidRDefault="003F7F6F" w:rsidP="00437BAD">
            <w:pPr>
              <w:jc w:val="center"/>
              <w:rPr>
                <w:rFonts w:ascii="Times New Roman" w:eastAsia="Times New Roman" w:hAnsi="Times New Roman"/>
                <w:sz w:val="22"/>
                <w:szCs w:val="22"/>
              </w:rPr>
            </w:pPr>
            <w:r>
              <w:rPr>
                <w:rFonts w:ascii="Times New Roman" w:eastAsia="Times New Roman" w:hAnsi="Times New Roman"/>
                <w:noProof/>
                <w:sz w:val="22"/>
                <w:szCs w:val="22"/>
              </w:rPr>
              <w:drawing>
                <wp:inline distT="0" distB="0" distL="0" distR="0" wp14:anchorId="78F62C70" wp14:editId="4F1E356E">
                  <wp:extent cx="4333875" cy="325539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852" cy="3256884"/>
                          </a:xfrm>
                          <a:prstGeom prst="rect">
                            <a:avLst/>
                          </a:prstGeom>
                          <a:noFill/>
                        </pic:spPr>
                      </pic:pic>
                    </a:graphicData>
                  </a:graphic>
                </wp:inline>
              </w:drawing>
            </w:r>
          </w:p>
        </w:tc>
        <w:tc>
          <w:tcPr>
            <w:tcW w:w="1492" w:type="pct"/>
            <w:noWrap/>
            <w:tcMar>
              <w:top w:w="0" w:type="dxa"/>
              <w:left w:w="108" w:type="dxa"/>
              <w:bottom w:w="0" w:type="dxa"/>
              <w:right w:w="108" w:type="dxa"/>
            </w:tcMar>
            <w:vAlign w:val="bottom"/>
          </w:tcPr>
          <w:p w14:paraId="0E1D8F6C" w14:textId="77777777" w:rsidR="00722A93" w:rsidRPr="00722A93" w:rsidRDefault="00722A93" w:rsidP="00437BAD">
            <w:pPr>
              <w:ind w:firstLine="180"/>
              <w:jc w:val="center"/>
              <w:rPr>
                <w:color w:val="000000"/>
                <w:sz w:val="22"/>
                <w:szCs w:val="22"/>
              </w:rPr>
            </w:pPr>
          </w:p>
        </w:tc>
        <w:tc>
          <w:tcPr>
            <w:tcW w:w="375" w:type="pct"/>
            <w:noWrap/>
            <w:tcMar>
              <w:top w:w="0" w:type="dxa"/>
              <w:left w:w="108" w:type="dxa"/>
              <w:bottom w:w="0" w:type="dxa"/>
              <w:right w:w="108" w:type="dxa"/>
            </w:tcMar>
            <w:vAlign w:val="bottom"/>
          </w:tcPr>
          <w:p w14:paraId="1F13D766" w14:textId="77777777" w:rsidR="00722A93" w:rsidRPr="00722A93" w:rsidRDefault="00722A93" w:rsidP="00437BAD">
            <w:pPr>
              <w:jc w:val="center"/>
              <w:rPr>
                <w:color w:val="000000"/>
                <w:sz w:val="22"/>
                <w:szCs w:val="22"/>
              </w:rPr>
            </w:pPr>
          </w:p>
        </w:tc>
        <w:tc>
          <w:tcPr>
            <w:tcW w:w="353" w:type="pct"/>
            <w:noWrap/>
            <w:tcMar>
              <w:top w:w="0" w:type="dxa"/>
              <w:left w:w="108" w:type="dxa"/>
              <w:bottom w:w="0" w:type="dxa"/>
              <w:right w:w="108" w:type="dxa"/>
            </w:tcMar>
            <w:vAlign w:val="bottom"/>
          </w:tcPr>
          <w:p w14:paraId="573B25E1" w14:textId="77777777" w:rsidR="00722A93" w:rsidRPr="00722A93" w:rsidRDefault="00722A93" w:rsidP="00437BAD">
            <w:pPr>
              <w:jc w:val="center"/>
              <w:rPr>
                <w:color w:val="000000"/>
                <w:sz w:val="22"/>
                <w:szCs w:val="22"/>
              </w:rPr>
            </w:pPr>
          </w:p>
        </w:tc>
        <w:tc>
          <w:tcPr>
            <w:tcW w:w="370" w:type="pct"/>
            <w:noWrap/>
            <w:tcMar>
              <w:top w:w="0" w:type="dxa"/>
              <w:left w:w="108" w:type="dxa"/>
              <w:bottom w:w="0" w:type="dxa"/>
              <w:right w:w="108" w:type="dxa"/>
            </w:tcMar>
            <w:vAlign w:val="bottom"/>
          </w:tcPr>
          <w:p w14:paraId="13290551" w14:textId="77777777" w:rsidR="00722A93" w:rsidRPr="00722A93" w:rsidRDefault="00722A93" w:rsidP="00437BAD">
            <w:pPr>
              <w:jc w:val="right"/>
              <w:rPr>
                <w:color w:val="000000"/>
                <w:sz w:val="22"/>
                <w:szCs w:val="22"/>
              </w:rPr>
            </w:pPr>
          </w:p>
        </w:tc>
        <w:tc>
          <w:tcPr>
            <w:tcW w:w="370" w:type="pct"/>
            <w:noWrap/>
            <w:tcMar>
              <w:top w:w="0" w:type="dxa"/>
              <w:left w:w="108" w:type="dxa"/>
              <w:bottom w:w="0" w:type="dxa"/>
              <w:right w:w="108" w:type="dxa"/>
            </w:tcMar>
            <w:vAlign w:val="bottom"/>
          </w:tcPr>
          <w:p w14:paraId="27BDA4AE" w14:textId="77777777" w:rsidR="00722A93" w:rsidRPr="00722A93" w:rsidRDefault="00722A93" w:rsidP="00437BAD">
            <w:pPr>
              <w:jc w:val="right"/>
              <w:rPr>
                <w:color w:val="000000"/>
                <w:sz w:val="22"/>
                <w:szCs w:val="22"/>
              </w:rPr>
            </w:pPr>
          </w:p>
        </w:tc>
        <w:tc>
          <w:tcPr>
            <w:tcW w:w="365" w:type="pct"/>
            <w:noWrap/>
            <w:tcMar>
              <w:top w:w="0" w:type="dxa"/>
              <w:left w:w="108" w:type="dxa"/>
              <w:bottom w:w="0" w:type="dxa"/>
              <w:right w:w="108" w:type="dxa"/>
            </w:tcMar>
            <w:vAlign w:val="bottom"/>
          </w:tcPr>
          <w:p w14:paraId="31638027" w14:textId="77777777" w:rsidR="00722A93" w:rsidRPr="00722A93" w:rsidRDefault="00722A93" w:rsidP="00437BAD">
            <w:pPr>
              <w:jc w:val="right"/>
              <w:rPr>
                <w:color w:val="000000"/>
                <w:sz w:val="22"/>
                <w:szCs w:val="22"/>
              </w:rPr>
            </w:pPr>
          </w:p>
        </w:tc>
      </w:tr>
    </w:tbl>
    <w:p w14:paraId="40BD8456" w14:textId="77777777" w:rsidR="000A55C6" w:rsidRDefault="000A55C6" w:rsidP="00722A93">
      <w:pPr>
        <w:rPr>
          <w:rFonts w:ascii="Times New Roman" w:hAnsi="Times New Roman"/>
          <w:b/>
          <w:sz w:val="22"/>
          <w:szCs w:val="22"/>
        </w:rPr>
      </w:pPr>
    </w:p>
    <w:p w14:paraId="6B16AA47" w14:textId="77777777" w:rsidR="001B1398" w:rsidRDefault="001B1398" w:rsidP="00722A93">
      <w:pPr>
        <w:rPr>
          <w:rFonts w:ascii="Times New Roman" w:hAnsi="Times New Roman"/>
          <w:b/>
          <w:sz w:val="22"/>
          <w:szCs w:val="22"/>
        </w:rPr>
      </w:pPr>
    </w:p>
    <w:p w14:paraId="1868DA7E" w14:textId="77777777" w:rsidR="001B1398" w:rsidRDefault="001B1398" w:rsidP="00722A93">
      <w:pPr>
        <w:rPr>
          <w:rFonts w:ascii="Times New Roman" w:hAnsi="Times New Roman"/>
          <w:b/>
          <w:sz w:val="22"/>
          <w:szCs w:val="22"/>
        </w:rPr>
      </w:pPr>
    </w:p>
    <w:p w14:paraId="62CCA790" w14:textId="77777777" w:rsidR="001B1398" w:rsidRDefault="001B1398" w:rsidP="00722A93">
      <w:pPr>
        <w:rPr>
          <w:rFonts w:ascii="Times New Roman" w:hAnsi="Times New Roman"/>
          <w:b/>
          <w:sz w:val="22"/>
          <w:szCs w:val="22"/>
        </w:rPr>
      </w:pPr>
    </w:p>
    <w:p w14:paraId="71A18264" w14:textId="0992E0F4" w:rsidR="00722A93" w:rsidRPr="00722A93" w:rsidRDefault="00722A93" w:rsidP="00722A93">
      <w:pPr>
        <w:rPr>
          <w:rFonts w:ascii="Times New Roman" w:hAnsi="Times New Roman"/>
          <w:b/>
          <w:sz w:val="22"/>
          <w:szCs w:val="22"/>
        </w:rPr>
      </w:pPr>
      <w:r w:rsidRPr="00722A93">
        <w:rPr>
          <w:rFonts w:ascii="Times New Roman" w:hAnsi="Times New Roman"/>
          <w:b/>
          <w:sz w:val="22"/>
          <w:szCs w:val="22"/>
        </w:rPr>
        <w:t xml:space="preserve">Enrollment </w:t>
      </w:r>
      <w:r w:rsidR="000A55C6">
        <w:rPr>
          <w:rFonts w:ascii="Times New Roman" w:hAnsi="Times New Roman"/>
          <w:b/>
          <w:sz w:val="22"/>
          <w:szCs w:val="22"/>
        </w:rPr>
        <w:t xml:space="preserve">Planning </w:t>
      </w:r>
      <w:r w:rsidRPr="00722A93">
        <w:rPr>
          <w:rFonts w:ascii="Times New Roman" w:hAnsi="Times New Roman"/>
          <w:b/>
          <w:sz w:val="22"/>
          <w:szCs w:val="22"/>
        </w:rPr>
        <w:t>Considerations</w:t>
      </w:r>
    </w:p>
    <w:p w14:paraId="5C14266B" w14:textId="77777777" w:rsidR="00722A93" w:rsidRPr="00722A93" w:rsidRDefault="00722A93" w:rsidP="00722A93">
      <w:pPr>
        <w:rPr>
          <w:rFonts w:ascii="Times New Roman" w:hAnsi="Times New Roman"/>
          <w:sz w:val="22"/>
          <w:szCs w:val="22"/>
        </w:rPr>
      </w:pPr>
    </w:p>
    <w:p w14:paraId="0C12CCE3" w14:textId="202CB6F9" w:rsidR="00722A93" w:rsidRPr="00722A93" w:rsidRDefault="00722A93" w:rsidP="00722A93">
      <w:pPr>
        <w:rPr>
          <w:rFonts w:ascii="Times New Roman" w:hAnsi="Times New Roman"/>
          <w:sz w:val="22"/>
          <w:szCs w:val="22"/>
        </w:rPr>
      </w:pPr>
      <w:r w:rsidRPr="00722A93">
        <w:rPr>
          <w:rFonts w:ascii="Times New Roman" w:hAnsi="Times New Roman"/>
          <w:sz w:val="22"/>
          <w:szCs w:val="22"/>
        </w:rPr>
        <w:t xml:space="preserve">Owing to the increased awareness across campus of our high level </w:t>
      </w:r>
      <w:r w:rsidR="00A508A2">
        <w:rPr>
          <w:rFonts w:ascii="Times New Roman" w:hAnsi="Times New Roman"/>
          <w:sz w:val="22"/>
          <w:szCs w:val="22"/>
        </w:rPr>
        <w:t xml:space="preserve">of </w:t>
      </w:r>
      <w:r w:rsidRPr="00722A93">
        <w:rPr>
          <w:rFonts w:ascii="Times New Roman" w:hAnsi="Times New Roman"/>
          <w:sz w:val="22"/>
          <w:szCs w:val="22"/>
        </w:rPr>
        <w:t>productivity, the graduate school increa</w:t>
      </w:r>
      <w:r w:rsidR="00A508A2">
        <w:rPr>
          <w:rFonts w:ascii="Times New Roman" w:hAnsi="Times New Roman"/>
          <w:sz w:val="22"/>
          <w:szCs w:val="22"/>
        </w:rPr>
        <w:t>sed funding for our GE allocations</w:t>
      </w:r>
      <w:r w:rsidRPr="00722A93">
        <w:rPr>
          <w:rFonts w:ascii="Times New Roman" w:hAnsi="Times New Roman"/>
          <w:sz w:val="22"/>
          <w:szCs w:val="22"/>
        </w:rPr>
        <w:t xml:space="preserve"> from 55 </w:t>
      </w:r>
      <w:r w:rsidR="00A508A2">
        <w:rPr>
          <w:rFonts w:ascii="Times New Roman" w:hAnsi="Times New Roman"/>
          <w:sz w:val="22"/>
          <w:szCs w:val="22"/>
        </w:rPr>
        <w:t xml:space="preserve">academic year positions </w:t>
      </w:r>
      <w:r w:rsidRPr="00722A93">
        <w:rPr>
          <w:rFonts w:ascii="Times New Roman" w:hAnsi="Times New Roman"/>
          <w:sz w:val="22"/>
          <w:szCs w:val="22"/>
        </w:rPr>
        <w:t xml:space="preserve">last year to 60 for the 2019-20 </w:t>
      </w:r>
      <w:r w:rsidR="00A508A2">
        <w:rPr>
          <w:rFonts w:ascii="Times New Roman" w:hAnsi="Times New Roman"/>
          <w:sz w:val="22"/>
          <w:szCs w:val="22"/>
        </w:rPr>
        <w:t xml:space="preserve">academic year. </w:t>
      </w:r>
      <w:r w:rsidRPr="00722A93">
        <w:rPr>
          <w:rFonts w:ascii="Times New Roman" w:hAnsi="Times New Roman"/>
          <w:sz w:val="22"/>
          <w:szCs w:val="22"/>
        </w:rPr>
        <w:t>This figure</w:t>
      </w:r>
      <w:r w:rsidR="00A508A2">
        <w:rPr>
          <w:rFonts w:ascii="Times New Roman" w:hAnsi="Times New Roman"/>
          <w:sz w:val="22"/>
          <w:szCs w:val="22"/>
        </w:rPr>
        <w:t>, however, still</w:t>
      </w:r>
      <w:r w:rsidRPr="00722A93">
        <w:rPr>
          <w:rFonts w:ascii="Times New Roman" w:hAnsi="Times New Roman"/>
          <w:sz w:val="22"/>
          <w:szCs w:val="22"/>
        </w:rPr>
        <w:t xml:space="preserve"> falls far short of what we need to fund our </w:t>
      </w:r>
      <w:r w:rsidR="004401D9">
        <w:rPr>
          <w:rFonts w:ascii="Times New Roman" w:hAnsi="Times New Roman"/>
          <w:sz w:val="22"/>
          <w:szCs w:val="22"/>
        </w:rPr>
        <w:t xml:space="preserve">typical census of full-time </w:t>
      </w:r>
      <w:r w:rsidRPr="00722A93">
        <w:rPr>
          <w:rFonts w:ascii="Times New Roman" w:hAnsi="Times New Roman"/>
          <w:sz w:val="22"/>
          <w:szCs w:val="22"/>
        </w:rPr>
        <w:t>Ph.D. students</w:t>
      </w:r>
      <w:r w:rsidR="004401D9">
        <w:rPr>
          <w:rFonts w:ascii="Times New Roman" w:hAnsi="Times New Roman"/>
          <w:sz w:val="22"/>
          <w:szCs w:val="22"/>
        </w:rPr>
        <w:t xml:space="preserve"> seeking funding</w:t>
      </w:r>
      <w:r w:rsidRPr="00722A93">
        <w:rPr>
          <w:rFonts w:ascii="Times New Roman" w:hAnsi="Times New Roman"/>
          <w:sz w:val="22"/>
          <w:szCs w:val="22"/>
        </w:rPr>
        <w:t>. Our faculty and students have been able to fill this funding gap with GE positions across campus, grant funding,</w:t>
      </w:r>
      <w:r w:rsidR="00A508A2">
        <w:rPr>
          <w:rFonts w:ascii="Times New Roman" w:hAnsi="Times New Roman"/>
          <w:sz w:val="22"/>
          <w:szCs w:val="22"/>
        </w:rPr>
        <w:t xml:space="preserve"> new faculty</w:t>
      </w:r>
      <w:r w:rsidRPr="00722A93">
        <w:rPr>
          <w:rFonts w:ascii="Times New Roman" w:hAnsi="Times New Roman"/>
          <w:sz w:val="22"/>
          <w:szCs w:val="22"/>
        </w:rPr>
        <w:t xml:space="preserve"> start-up funds, graduate school fellowships, and special allocations from the Offices of the Provost and the Vice Presid</w:t>
      </w:r>
      <w:r w:rsidR="00A508A2">
        <w:rPr>
          <w:rFonts w:ascii="Times New Roman" w:hAnsi="Times New Roman"/>
          <w:sz w:val="22"/>
          <w:szCs w:val="22"/>
        </w:rPr>
        <w:t>ent for Research and Innovation, among other sources.</w:t>
      </w:r>
      <w:r w:rsidRPr="00722A93">
        <w:rPr>
          <w:rFonts w:ascii="Times New Roman" w:hAnsi="Times New Roman"/>
          <w:sz w:val="22"/>
          <w:szCs w:val="22"/>
        </w:rPr>
        <w:t xml:space="preserve">  </w:t>
      </w:r>
    </w:p>
    <w:p w14:paraId="484AD72A" w14:textId="77777777" w:rsidR="00722A93" w:rsidRPr="00722A93" w:rsidRDefault="00722A93" w:rsidP="00722A93">
      <w:pPr>
        <w:rPr>
          <w:rFonts w:ascii="Times New Roman" w:hAnsi="Times New Roman"/>
          <w:sz w:val="22"/>
          <w:szCs w:val="22"/>
        </w:rPr>
      </w:pPr>
    </w:p>
    <w:p w14:paraId="7A2D30A9" w14:textId="7A7DE4D2" w:rsidR="00722A93" w:rsidRPr="00722A93" w:rsidRDefault="00A508A2" w:rsidP="00722A93">
      <w:pPr>
        <w:rPr>
          <w:rFonts w:ascii="Times New Roman" w:hAnsi="Times New Roman"/>
          <w:sz w:val="22"/>
          <w:szCs w:val="22"/>
        </w:rPr>
      </w:pPr>
      <w:r>
        <w:rPr>
          <w:rFonts w:ascii="Times New Roman" w:hAnsi="Times New Roman"/>
          <w:sz w:val="22"/>
          <w:szCs w:val="22"/>
        </w:rPr>
        <w:t xml:space="preserve">The combination of new GE funding from the graduate school and university, and our history of finding alternative GE positions for our large number of doctoral students gives me the confidence to improve our funding commitment to new students. </w:t>
      </w:r>
      <w:r w:rsidR="00AB7B94">
        <w:rPr>
          <w:rFonts w:ascii="Times New Roman" w:hAnsi="Times New Roman"/>
          <w:sz w:val="22"/>
          <w:szCs w:val="22"/>
        </w:rPr>
        <w:t>We will now</w:t>
      </w:r>
      <w:r>
        <w:rPr>
          <w:rFonts w:ascii="Times New Roman" w:hAnsi="Times New Roman"/>
          <w:sz w:val="22"/>
          <w:szCs w:val="22"/>
        </w:rPr>
        <w:t xml:space="preserve"> commit</w:t>
      </w:r>
      <w:r w:rsidR="00722A93" w:rsidRPr="00722A93">
        <w:rPr>
          <w:rFonts w:ascii="Times New Roman" w:hAnsi="Times New Roman"/>
          <w:sz w:val="22"/>
          <w:szCs w:val="22"/>
        </w:rPr>
        <w:t xml:space="preserve"> multiple years of graduate employee funding - four years - to all newly admitted Ph.D. students</w:t>
      </w:r>
      <w:r>
        <w:rPr>
          <w:rFonts w:ascii="Times New Roman" w:hAnsi="Times New Roman"/>
          <w:sz w:val="22"/>
          <w:szCs w:val="22"/>
        </w:rPr>
        <w:t xml:space="preserve"> for the 2019-20 academic year</w:t>
      </w:r>
      <w:r w:rsidR="00722A93" w:rsidRPr="00722A93">
        <w:rPr>
          <w:rFonts w:ascii="Times New Roman" w:hAnsi="Times New Roman"/>
          <w:sz w:val="22"/>
          <w:szCs w:val="22"/>
        </w:rPr>
        <w:t>. I am confident that our faculty and students can continue to access the other sources of GE funding that will be necessary to honor our four-year funding commitment. On the other hand, this multi-year commitment will require us to better predict and monitor our GE costs on an ongoing basis</w:t>
      </w:r>
      <w:r>
        <w:rPr>
          <w:rFonts w:ascii="Times New Roman" w:hAnsi="Times New Roman"/>
          <w:sz w:val="22"/>
          <w:szCs w:val="22"/>
        </w:rPr>
        <w:t xml:space="preserve"> in order</w:t>
      </w:r>
      <w:r w:rsidR="00722A93" w:rsidRPr="00722A93">
        <w:rPr>
          <w:rFonts w:ascii="Times New Roman" w:hAnsi="Times New Roman"/>
          <w:sz w:val="22"/>
          <w:szCs w:val="22"/>
        </w:rPr>
        <w:t xml:space="preserve"> to ensure that we have </w:t>
      </w:r>
      <w:r w:rsidR="004401D9">
        <w:rPr>
          <w:rFonts w:ascii="Times New Roman" w:hAnsi="Times New Roman"/>
          <w:sz w:val="22"/>
          <w:szCs w:val="22"/>
        </w:rPr>
        <w:t>the financial resources necessary to maintain this commitment in the years ahead</w:t>
      </w:r>
      <w:r w:rsidR="00722A93" w:rsidRPr="00722A93">
        <w:rPr>
          <w:rFonts w:ascii="Times New Roman" w:hAnsi="Times New Roman"/>
          <w:sz w:val="22"/>
          <w:szCs w:val="22"/>
        </w:rPr>
        <w:t xml:space="preserve">. </w:t>
      </w:r>
    </w:p>
    <w:p w14:paraId="6C557A51" w14:textId="13D1882D" w:rsidR="00722A93" w:rsidRDefault="00722A93" w:rsidP="00722A93">
      <w:pPr>
        <w:rPr>
          <w:rFonts w:ascii="Times New Roman" w:hAnsi="Times New Roman"/>
        </w:rPr>
      </w:pPr>
    </w:p>
    <w:p w14:paraId="6B976A30" w14:textId="09F2047F" w:rsidR="00722A93" w:rsidRPr="00722A93" w:rsidRDefault="00722A93" w:rsidP="00722A93">
      <w:pPr>
        <w:rPr>
          <w:rFonts w:ascii="Times New Roman" w:hAnsi="Times New Roman"/>
          <w:b/>
          <w:sz w:val="22"/>
          <w:szCs w:val="22"/>
        </w:rPr>
      </w:pPr>
      <w:r w:rsidRPr="00722A93">
        <w:rPr>
          <w:rFonts w:ascii="Times New Roman" w:hAnsi="Times New Roman"/>
          <w:b/>
          <w:sz w:val="22"/>
          <w:szCs w:val="22"/>
        </w:rPr>
        <w:t>Admission Targets for Entering Ph.D. Class of AY 2019-20</w:t>
      </w:r>
    </w:p>
    <w:p w14:paraId="2AD19200" w14:textId="77777777" w:rsidR="00722A93" w:rsidRPr="00722A93" w:rsidRDefault="00722A93" w:rsidP="00722A93">
      <w:pPr>
        <w:rPr>
          <w:rFonts w:ascii="Times New Roman" w:hAnsi="Times New Roman"/>
          <w:sz w:val="22"/>
          <w:szCs w:val="22"/>
        </w:rPr>
      </w:pPr>
    </w:p>
    <w:p w14:paraId="44DAC678" w14:textId="7895D0BD" w:rsidR="00722A93" w:rsidRPr="00722A93" w:rsidRDefault="00722A93" w:rsidP="00722A93">
      <w:pPr>
        <w:rPr>
          <w:rFonts w:ascii="Times New Roman" w:hAnsi="Times New Roman"/>
          <w:sz w:val="22"/>
          <w:szCs w:val="22"/>
        </w:rPr>
      </w:pPr>
      <w:r w:rsidRPr="00722A93">
        <w:rPr>
          <w:rFonts w:ascii="Times New Roman" w:hAnsi="Times New Roman"/>
          <w:sz w:val="22"/>
          <w:szCs w:val="22"/>
        </w:rPr>
        <w:t>There are multiple countervailing forces that need be considered when creating enr</w:t>
      </w:r>
      <w:r w:rsidR="00CC1992">
        <w:rPr>
          <w:rFonts w:ascii="Times New Roman" w:hAnsi="Times New Roman"/>
          <w:sz w:val="22"/>
          <w:szCs w:val="22"/>
        </w:rPr>
        <w:t>ollment targets for the current</w:t>
      </w:r>
      <w:r w:rsidRPr="00722A93">
        <w:rPr>
          <w:rFonts w:ascii="Times New Roman" w:hAnsi="Times New Roman"/>
          <w:sz w:val="22"/>
          <w:szCs w:val="22"/>
        </w:rPr>
        <w:t xml:space="preserve"> admission season. On the positive side, there are,</w:t>
      </w:r>
    </w:p>
    <w:p w14:paraId="17FCB37A" w14:textId="77777777" w:rsidR="00722A93" w:rsidRPr="00722A93" w:rsidRDefault="00722A93" w:rsidP="00722A93">
      <w:pPr>
        <w:pStyle w:val="ListParagraph"/>
        <w:numPr>
          <w:ilvl w:val="0"/>
          <w:numId w:val="15"/>
        </w:numPr>
        <w:contextualSpacing w:val="0"/>
        <w:rPr>
          <w:sz w:val="22"/>
          <w:szCs w:val="22"/>
        </w:rPr>
      </w:pPr>
      <w:r w:rsidRPr="00722A93">
        <w:rPr>
          <w:sz w:val="22"/>
          <w:szCs w:val="22"/>
        </w:rPr>
        <w:t xml:space="preserve">Available TTF who are not currently advising doctoral students, </w:t>
      </w:r>
    </w:p>
    <w:p w14:paraId="547E068B" w14:textId="77777777" w:rsidR="00722A93" w:rsidRPr="00722A93" w:rsidRDefault="00722A93" w:rsidP="00722A93">
      <w:pPr>
        <w:pStyle w:val="ListParagraph"/>
        <w:numPr>
          <w:ilvl w:val="0"/>
          <w:numId w:val="15"/>
        </w:numPr>
        <w:contextualSpacing w:val="0"/>
        <w:rPr>
          <w:sz w:val="22"/>
          <w:szCs w:val="22"/>
        </w:rPr>
      </w:pPr>
      <w:r w:rsidRPr="00722A93">
        <w:rPr>
          <w:sz w:val="22"/>
          <w:szCs w:val="22"/>
        </w:rPr>
        <w:t>Likely to be three new TTF hires,</w:t>
      </w:r>
    </w:p>
    <w:p w14:paraId="01CDD752" w14:textId="24F924CA" w:rsidR="00722A93" w:rsidRPr="00722A93" w:rsidRDefault="00722A93" w:rsidP="00722A93">
      <w:pPr>
        <w:pStyle w:val="ListParagraph"/>
        <w:numPr>
          <w:ilvl w:val="0"/>
          <w:numId w:val="15"/>
        </w:numPr>
        <w:contextualSpacing w:val="0"/>
        <w:rPr>
          <w:sz w:val="22"/>
          <w:szCs w:val="22"/>
        </w:rPr>
      </w:pPr>
      <w:r w:rsidRPr="00722A93">
        <w:rPr>
          <w:sz w:val="22"/>
          <w:szCs w:val="22"/>
        </w:rPr>
        <w:t xml:space="preserve">New grants and contracts that will </w:t>
      </w:r>
      <w:r w:rsidR="00CC1992">
        <w:rPr>
          <w:sz w:val="22"/>
          <w:szCs w:val="22"/>
        </w:rPr>
        <w:t>support more GE positions</w:t>
      </w:r>
      <w:r w:rsidRPr="00722A93">
        <w:rPr>
          <w:sz w:val="22"/>
          <w:szCs w:val="22"/>
        </w:rPr>
        <w:t>, and</w:t>
      </w:r>
    </w:p>
    <w:p w14:paraId="50CA0994" w14:textId="19E3233D" w:rsidR="00722A93" w:rsidRPr="00722A93" w:rsidRDefault="00CC1992" w:rsidP="00722A93">
      <w:pPr>
        <w:pStyle w:val="ListParagraph"/>
        <w:numPr>
          <w:ilvl w:val="0"/>
          <w:numId w:val="15"/>
        </w:numPr>
        <w:contextualSpacing w:val="0"/>
        <w:rPr>
          <w:sz w:val="22"/>
          <w:szCs w:val="22"/>
        </w:rPr>
      </w:pPr>
      <w:r>
        <w:rPr>
          <w:sz w:val="22"/>
          <w:szCs w:val="22"/>
        </w:rPr>
        <w:t>We were awarded f</w:t>
      </w:r>
      <w:r w:rsidR="00722A93" w:rsidRPr="00722A93">
        <w:rPr>
          <w:sz w:val="22"/>
          <w:szCs w:val="22"/>
        </w:rPr>
        <w:t>ive new university-funded GE positions.</w:t>
      </w:r>
    </w:p>
    <w:p w14:paraId="71DE53B9" w14:textId="77777777" w:rsidR="00722A93" w:rsidRPr="00722A93" w:rsidRDefault="00722A93" w:rsidP="00722A93">
      <w:pPr>
        <w:rPr>
          <w:rFonts w:ascii="Times New Roman" w:hAnsi="Times New Roman"/>
          <w:sz w:val="22"/>
          <w:szCs w:val="22"/>
        </w:rPr>
      </w:pPr>
    </w:p>
    <w:p w14:paraId="793ED2B2" w14:textId="5F103103" w:rsidR="00722A93" w:rsidRPr="00722A93" w:rsidRDefault="00C57CEE" w:rsidP="00722A93">
      <w:pPr>
        <w:rPr>
          <w:rFonts w:ascii="Times New Roman" w:hAnsi="Times New Roman"/>
          <w:sz w:val="22"/>
          <w:szCs w:val="22"/>
        </w:rPr>
      </w:pPr>
      <w:r>
        <w:rPr>
          <w:rFonts w:ascii="Times New Roman" w:hAnsi="Times New Roman"/>
          <w:sz w:val="22"/>
          <w:szCs w:val="22"/>
        </w:rPr>
        <w:t>On the challenging</w:t>
      </w:r>
      <w:r w:rsidR="00CC1992">
        <w:rPr>
          <w:rFonts w:ascii="Times New Roman" w:hAnsi="Times New Roman"/>
          <w:sz w:val="22"/>
          <w:szCs w:val="22"/>
        </w:rPr>
        <w:t xml:space="preserve"> side,</w:t>
      </w:r>
    </w:p>
    <w:p w14:paraId="7A25E57B" w14:textId="5E6F7A89" w:rsidR="00722A93" w:rsidRPr="00722A93" w:rsidRDefault="00CC1992" w:rsidP="00722A93">
      <w:pPr>
        <w:pStyle w:val="ListParagraph"/>
        <w:numPr>
          <w:ilvl w:val="0"/>
          <w:numId w:val="15"/>
        </w:numPr>
        <w:contextualSpacing w:val="0"/>
        <w:rPr>
          <w:sz w:val="22"/>
          <w:szCs w:val="22"/>
        </w:rPr>
      </w:pPr>
      <w:r>
        <w:rPr>
          <w:sz w:val="22"/>
          <w:szCs w:val="22"/>
        </w:rPr>
        <w:t xml:space="preserve">Several students </w:t>
      </w:r>
      <w:r w:rsidR="00722A93" w:rsidRPr="00722A93">
        <w:rPr>
          <w:sz w:val="22"/>
          <w:szCs w:val="22"/>
        </w:rPr>
        <w:t>will</w:t>
      </w:r>
      <w:r>
        <w:rPr>
          <w:sz w:val="22"/>
          <w:szCs w:val="22"/>
        </w:rPr>
        <w:t xml:space="preserve"> have to find</w:t>
      </w:r>
      <w:r w:rsidR="00722A93" w:rsidRPr="00722A93">
        <w:rPr>
          <w:sz w:val="22"/>
          <w:szCs w:val="22"/>
        </w:rPr>
        <w:t xml:space="preserve"> new advisor</w:t>
      </w:r>
      <w:r>
        <w:rPr>
          <w:sz w:val="22"/>
          <w:szCs w:val="22"/>
        </w:rPr>
        <w:t>s as a result of TTF who have retired or resigned</w:t>
      </w:r>
      <w:r w:rsidR="00722A93" w:rsidRPr="00722A93">
        <w:rPr>
          <w:sz w:val="22"/>
          <w:szCs w:val="22"/>
        </w:rPr>
        <w:t>,</w:t>
      </w:r>
    </w:p>
    <w:p w14:paraId="1AE19267" w14:textId="7877983E" w:rsidR="00722A93" w:rsidRPr="00722A93" w:rsidRDefault="00795DC9" w:rsidP="00722A93">
      <w:pPr>
        <w:pStyle w:val="ListParagraph"/>
        <w:numPr>
          <w:ilvl w:val="0"/>
          <w:numId w:val="15"/>
        </w:numPr>
        <w:contextualSpacing w:val="0"/>
        <w:rPr>
          <w:sz w:val="22"/>
          <w:szCs w:val="22"/>
        </w:rPr>
      </w:pPr>
      <w:r>
        <w:rPr>
          <w:sz w:val="22"/>
          <w:szCs w:val="22"/>
        </w:rPr>
        <w:t>Several existing faculty have</w:t>
      </w:r>
      <w:r w:rsidR="00CC1992">
        <w:rPr>
          <w:sz w:val="22"/>
          <w:szCs w:val="22"/>
        </w:rPr>
        <w:t xml:space="preserve"> excessive </w:t>
      </w:r>
      <w:r>
        <w:rPr>
          <w:sz w:val="22"/>
          <w:szCs w:val="22"/>
        </w:rPr>
        <w:t xml:space="preserve">(i.e., double digit) </w:t>
      </w:r>
      <w:r w:rsidR="00722A93" w:rsidRPr="00722A93">
        <w:rPr>
          <w:sz w:val="22"/>
          <w:szCs w:val="22"/>
        </w:rPr>
        <w:t xml:space="preserve">doctoral student advising loads, </w:t>
      </w:r>
    </w:p>
    <w:p w14:paraId="5ABA307D" w14:textId="2968C634" w:rsidR="00722A93" w:rsidRPr="00722A93" w:rsidRDefault="00CC1992" w:rsidP="00722A93">
      <w:pPr>
        <w:pStyle w:val="ListParagraph"/>
        <w:numPr>
          <w:ilvl w:val="0"/>
          <w:numId w:val="15"/>
        </w:numPr>
        <w:contextualSpacing w:val="0"/>
        <w:rPr>
          <w:sz w:val="22"/>
          <w:szCs w:val="22"/>
        </w:rPr>
      </w:pPr>
      <w:r>
        <w:rPr>
          <w:sz w:val="22"/>
          <w:szCs w:val="22"/>
        </w:rPr>
        <w:t xml:space="preserve">We have to find funding for a </w:t>
      </w:r>
      <w:r w:rsidR="00722A93" w:rsidRPr="00722A93">
        <w:rPr>
          <w:sz w:val="22"/>
          <w:szCs w:val="22"/>
        </w:rPr>
        <w:t>record-setting</w:t>
      </w:r>
      <w:r>
        <w:rPr>
          <w:sz w:val="22"/>
          <w:szCs w:val="22"/>
        </w:rPr>
        <w:t xml:space="preserve"> large cohort of Ph.D. admits from AY</w:t>
      </w:r>
      <w:r w:rsidR="00722A93" w:rsidRPr="00722A93">
        <w:rPr>
          <w:sz w:val="22"/>
          <w:szCs w:val="22"/>
        </w:rPr>
        <w:t xml:space="preserve"> 2017</w:t>
      </w:r>
      <w:r>
        <w:rPr>
          <w:sz w:val="22"/>
          <w:szCs w:val="22"/>
        </w:rPr>
        <w:t>-18</w:t>
      </w:r>
      <w:r w:rsidR="00722A93" w:rsidRPr="00722A93">
        <w:rPr>
          <w:sz w:val="22"/>
          <w:szCs w:val="22"/>
        </w:rPr>
        <w:t>, and</w:t>
      </w:r>
    </w:p>
    <w:p w14:paraId="33E318A8" w14:textId="5DAEE7B7" w:rsidR="00722A93" w:rsidRPr="00722A93" w:rsidRDefault="000823D0" w:rsidP="00722A93">
      <w:pPr>
        <w:pStyle w:val="ListParagraph"/>
        <w:numPr>
          <w:ilvl w:val="0"/>
          <w:numId w:val="15"/>
        </w:numPr>
        <w:contextualSpacing w:val="0"/>
        <w:rPr>
          <w:sz w:val="22"/>
          <w:szCs w:val="22"/>
        </w:rPr>
      </w:pPr>
      <w:r>
        <w:rPr>
          <w:sz w:val="22"/>
          <w:szCs w:val="22"/>
        </w:rPr>
        <w:t xml:space="preserve">We have only enough </w:t>
      </w:r>
      <w:r w:rsidR="00722A93" w:rsidRPr="00722A93">
        <w:rPr>
          <w:sz w:val="22"/>
          <w:szCs w:val="22"/>
        </w:rPr>
        <w:t xml:space="preserve">university-funded </w:t>
      </w:r>
      <w:r>
        <w:rPr>
          <w:sz w:val="22"/>
          <w:szCs w:val="22"/>
        </w:rPr>
        <w:t>GE positions to fund a portion of our current Ph.D.</w:t>
      </w:r>
      <w:r w:rsidR="00722A93" w:rsidRPr="00722A93">
        <w:rPr>
          <w:sz w:val="22"/>
          <w:szCs w:val="22"/>
        </w:rPr>
        <w:t xml:space="preserve"> enrollment.</w:t>
      </w:r>
    </w:p>
    <w:p w14:paraId="2A35B86E" w14:textId="77777777" w:rsidR="00722A93" w:rsidRPr="00722A93" w:rsidRDefault="00722A93" w:rsidP="00722A93">
      <w:pPr>
        <w:rPr>
          <w:rFonts w:ascii="Times New Roman" w:hAnsi="Times New Roman"/>
          <w:sz w:val="22"/>
          <w:szCs w:val="22"/>
        </w:rPr>
      </w:pPr>
    </w:p>
    <w:p w14:paraId="69F10DCE" w14:textId="37C4EFE1" w:rsidR="00722A93" w:rsidRPr="00722A93" w:rsidRDefault="00722A93" w:rsidP="00722A93">
      <w:pPr>
        <w:rPr>
          <w:rFonts w:ascii="Times New Roman" w:hAnsi="Times New Roman"/>
          <w:sz w:val="22"/>
          <w:szCs w:val="22"/>
        </w:rPr>
      </w:pPr>
      <w:r w:rsidRPr="00722A93">
        <w:rPr>
          <w:rFonts w:ascii="Times New Roman" w:hAnsi="Times New Roman"/>
          <w:sz w:val="22"/>
          <w:szCs w:val="22"/>
        </w:rPr>
        <w:t>Balancing these opposing factors, I remain confident that for AY 2019-20, we can admit 34 new Ph.D. stud</w:t>
      </w:r>
      <w:r w:rsidR="00CC1992">
        <w:rPr>
          <w:rFonts w:ascii="Times New Roman" w:hAnsi="Times New Roman"/>
          <w:sz w:val="22"/>
          <w:szCs w:val="22"/>
        </w:rPr>
        <w:t>ents as shown in Table 1</w:t>
      </w:r>
      <w:r w:rsidRPr="00722A93">
        <w:rPr>
          <w:rFonts w:ascii="Times New Roman" w:hAnsi="Times New Roman"/>
          <w:sz w:val="22"/>
          <w:szCs w:val="22"/>
        </w:rPr>
        <w:t xml:space="preserve">. These admission targets will represent the second largest incoming class of Ph.D. students in the past five years.   </w:t>
      </w:r>
    </w:p>
    <w:p w14:paraId="5FAB7A5D" w14:textId="77777777" w:rsidR="00722A93" w:rsidRPr="00722A93" w:rsidRDefault="00722A93" w:rsidP="00722A93">
      <w:pPr>
        <w:rPr>
          <w:rFonts w:ascii="Times New Roman" w:hAnsi="Times New Roman"/>
          <w:sz w:val="22"/>
          <w:szCs w:val="22"/>
        </w:rPr>
      </w:pPr>
    </w:p>
    <w:p w14:paraId="1537444A" w14:textId="77777777" w:rsidR="000823D0" w:rsidRDefault="000823D0" w:rsidP="00722A93">
      <w:pPr>
        <w:rPr>
          <w:rFonts w:ascii="Times New Roman" w:hAnsi="Times New Roman"/>
          <w:sz w:val="22"/>
          <w:szCs w:val="22"/>
        </w:rPr>
      </w:pPr>
      <w:r>
        <w:rPr>
          <w:rFonts w:ascii="Times New Roman" w:hAnsi="Times New Roman"/>
          <w:sz w:val="22"/>
          <w:szCs w:val="22"/>
        </w:rPr>
        <w:t>These GE funding limits</w:t>
      </w:r>
      <w:r w:rsidR="00722A93" w:rsidRPr="00722A93">
        <w:rPr>
          <w:rFonts w:ascii="Times New Roman" w:hAnsi="Times New Roman"/>
          <w:sz w:val="22"/>
          <w:szCs w:val="22"/>
        </w:rPr>
        <w:t xml:space="preserve"> are based on considerable consultation and deliberation by faculty, department heads, and deans. For the EMPL </w:t>
      </w:r>
      <w:proofErr w:type="spellStart"/>
      <w:r w:rsidR="00722A93" w:rsidRPr="00722A93">
        <w:rPr>
          <w:rFonts w:ascii="Times New Roman" w:hAnsi="Times New Roman"/>
          <w:sz w:val="22"/>
          <w:szCs w:val="22"/>
        </w:rPr>
        <w:t>DEd</w:t>
      </w:r>
      <w:proofErr w:type="spellEnd"/>
      <w:r w:rsidR="00722A93" w:rsidRPr="00722A93">
        <w:rPr>
          <w:rFonts w:ascii="Times New Roman" w:hAnsi="Times New Roman"/>
          <w:sz w:val="22"/>
          <w:szCs w:val="22"/>
        </w:rPr>
        <w:t xml:space="preserve"> program, for example,</w:t>
      </w:r>
      <w:r w:rsidR="00CC1992">
        <w:rPr>
          <w:rFonts w:ascii="Times New Roman" w:hAnsi="Times New Roman"/>
          <w:sz w:val="22"/>
          <w:szCs w:val="22"/>
        </w:rPr>
        <w:t xml:space="preserve"> departmental</w:t>
      </w:r>
      <w:r w:rsidR="00722A93" w:rsidRPr="00722A93">
        <w:rPr>
          <w:rFonts w:ascii="Times New Roman" w:hAnsi="Times New Roman"/>
          <w:sz w:val="22"/>
          <w:szCs w:val="22"/>
        </w:rPr>
        <w:t xml:space="preserve"> faculty voted to move to an alternate year admission cycle </w:t>
      </w:r>
      <w:r w:rsidR="00CC1992">
        <w:rPr>
          <w:rFonts w:ascii="Times New Roman" w:hAnsi="Times New Roman"/>
          <w:sz w:val="22"/>
          <w:szCs w:val="22"/>
        </w:rPr>
        <w:t xml:space="preserve">in order </w:t>
      </w:r>
      <w:r w:rsidR="00722A93" w:rsidRPr="00722A93">
        <w:rPr>
          <w:rFonts w:ascii="Times New Roman" w:hAnsi="Times New Roman"/>
          <w:sz w:val="22"/>
          <w:szCs w:val="22"/>
        </w:rPr>
        <w:t xml:space="preserve">to give themselves </w:t>
      </w:r>
      <w:r w:rsidR="00CC1992">
        <w:rPr>
          <w:rFonts w:ascii="Times New Roman" w:hAnsi="Times New Roman"/>
          <w:sz w:val="22"/>
          <w:szCs w:val="22"/>
        </w:rPr>
        <w:t xml:space="preserve">more time to make </w:t>
      </w:r>
      <w:r w:rsidR="00722A93" w:rsidRPr="00722A93">
        <w:rPr>
          <w:rFonts w:ascii="Times New Roman" w:hAnsi="Times New Roman"/>
          <w:sz w:val="22"/>
          <w:szCs w:val="22"/>
        </w:rPr>
        <w:t>curricular improvements</w:t>
      </w:r>
      <w:r>
        <w:rPr>
          <w:rFonts w:ascii="Times New Roman" w:hAnsi="Times New Roman"/>
          <w:sz w:val="22"/>
          <w:szCs w:val="22"/>
        </w:rPr>
        <w:t>,</w:t>
      </w:r>
      <w:r w:rsidR="00722A93" w:rsidRPr="00722A93">
        <w:rPr>
          <w:rFonts w:ascii="Times New Roman" w:hAnsi="Times New Roman"/>
          <w:sz w:val="22"/>
          <w:szCs w:val="22"/>
        </w:rPr>
        <w:t xml:space="preserve"> and manage </w:t>
      </w:r>
      <w:r w:rsidR="00CC1992">
        <w:rPr>
          <w:rFonts w:ascii="Times New Roman" w:hAnsi="Times New Roman"/>
          <w:sz w:val="22"/>
          <w:szCs w:val="22"/>
        </w:rPr>
        <w:t xml:space="preserve">existing heavy </w:t>
      </w:r>
      <w:r w:rsidR="00722A93" w:rsidRPr="00722A93">
        <w:rPr>
          <w:rFonts w:ascii="Times New Roman" w:hAnsi="Times New Roman"/>
          <w:sz w:val="22"/>
          <w:szCs w:val="22"/>
        </w:rPr>
        <w:t xml:space="preserve">faculty advising loads. </w:t>
      </w:r>
    </w:p>
    <w:p w14:paraId="2F30601E" w14:textId="77777777" w:rsidR="000823D0" w:rsidRDefault="000823D0" w:rsidP="00722A93">
      <w:pPr>
        <w:rPr>
          <w:rFonts w:ascii="Times New Roman" w:hAnsi="Times New Roman"/>
          <w:sz w:val="22"/>
          <w:szCs w:val="22"/>
        </w:rPr>
      </w:pPr>
    </w:p>
    <w:p w14:paraId="0C02F7E2" w14:textId="77777777" w:rsidR="000823D0" w:rsidRDefault="000823D0" w:rsidP="00722A93">
      <w:pPr>
        <w:rPr>
          <w:rFonts w:ascii="Times New Roman" w:hAnsi="Times New Roman"/>
          <w:sz w:val="22"/>
          <w:szCs w:val="22"/>
        </w:rPr>
      </w:pPr>
    </w:p>
    <w:p w14:paraId="50823C84" w14:textId="48CD6E08" w:rsidR="00722A93" w:rsidRPr="00722A93" w:rsidRDefault="00722A93" w:rsidP="00722A93">
      <w:pPr>
        <w:rPr>
          <w:rFonts w:ascii="Times New Roman" w:hAnsi="Times New Roman"/>
          <w:sz w:val="22"/>
          <w:szCs w:val="22"/>
        </w:rPr>
      </w:pPr>
      <w:r w:rsidRPr="00722A93">
        <w:rPr>
          <w:rFonts w:ascii="Times New Roman" w:hAnsi="Times New Roman"/>
          <w:sz w:val="22"/>
          <w:szCs w:val="22"/>
        </w:rPr>
        <w:lastRenderedPageBreak/>
        <w:t>Overall, we considered,</w:t>
      </w:r>
    </w:p>
    <w:p w14:paraId="2F588206" w14:textId="77777777" w:rsidR="00722A93" w:rsidRPr="00722A93" w:rsidRDefault="00722A93" w:rsidP="00722A93">
      <w:pPr>
        <w:rPr>
          <w:rFonts w:ascii="Times New Roman" w:hAnsi="Times New Roman"/>
          <w:sz w:val="22"/>
          <w:szCs w:val="22"/>
        </w:rPr>
      </w:pPr>
    </w:p>
    <w:p w14:paraId="7180F37F" w14:textId="77777777" w:rsidR="00722A93" w:rsidRPr="00722A93" w:rsidRDefault="00722A93" w:rsidP="00722A93">
      <w:pPr>
        <w:pStyle w:val="ListParagraph"/>
        <w:numPr>
          <w:ilvl w:val="0"/>
          <w:numId w:val="16"/>
        </w:numPr>
        <w:contextualSpacing w:val="0"/>
        <w:rPr>
          <w:sz w:val="22"/>
          <w:szCs w:val="22"/>
        </w:rPr>
      </w:pPr>
      <w:r w:rsidRPr="00722A93">
        <w:rPr>
          <w:sz w:val="22"/>
          <w:szCs w:val="22"/>
        </w:rPr>
        <w:t>Historical admission rates,</w:t>
      </w:r>
    </w:p>
    <w:p w14:paraId="7B0A4EBC" w14:textId="19E25244" w:rsidR="00722A93" w:rsidRPr="00722A93" w:rsidRDefault="00722A93" w:rsidP="00722A93">
      <w:pPr>
        <w:pStyle w:val="ListParagraph"/>
        <w:numPr>
          <w:ilvl w:val="0"/>
          <w:numId w:val="16"/>
        </w:numPr>
        <w:contextualSpacing w:val="0"/>
        <w:rPr>
          <w:sz w:val="22"/>
          <w:szCs w:val="22"/>
        </w:rPr>
      </w:pPr>
      <w:r w:rsidRPr="00722A93">
        <w:rPr>
          <w:sz w:val="22"/>
          <w:szCs w:val="22"/>
        </w:rPr>
        <w:t>Growing some programs where there is more available TTF FTE for doctoral student mentoring and dissertat</w:t>
      </w:r>
      <w:r w:rsidR="00AB7B94">
        <w:rPr>
          <w:sz w:val="22"/>
          <w:szCs w:val="22"/>
        </w:rPr>
        <w:t>ion supervision (CDS</w:t>
      </w:r>
      <w:r w:rsidRPr="00722A93">
        <w:rPr>
          <w:sz w:val="22"/>
          <w:szCs w:val="22"/>
        </w:rPr>
        <w:t>),</w:t>
      </w:r>
    </w:p>
    <w:p w14:paraId="557B8F63" w14:textId="01C975FC" w:rsidR="00722A93" w:rsidRPr="00722A93" w:rsidRDefault="00722A93" w:rsidP="00722A93">
      <w:pPr>
        <w:pStyle w:val="ListParagraph"/>
        <w:numPr>
          <w:ilvl w:val="0"/>
          <w:numId w:val="16"/>
        </w:numPr>
        <w:contextualSpacing w:val="0"/>
        <w:rPr>
          <w:sz w:val="22"/>
          <w:szCs w:val="22"/>
        </w:rPr>
      </w:pPr>
      <w:r w:rsidRPr="00722A93">
        <w:rPr>
          <w:sz w:val="22"/>
          <w:szCs w:val="22"/>
        </w:rPr>
        <w:t>Maintaining reasonable advising loads in academic program areas with stable TTF FTE (</w:t>
      </w:r>
      <w:r w:rsidR="00AB7B94">
        <w:rPr>
          <w:sz w:val="22"/>
          <w:szCs w:val="22"/>
        </w:rPr>
        <w:t xml:space="preserve">CPSY, </w:t>
      </w:r>
      <w:r w:rsidRPr="00722A93">
        <w:rPr>
          <w:sz w:val="22"/>
          <w:szCs w:val="22"/>
        </w:rPr>
        <w:t xml:space="preserve">CSSE, </w:t>
      </w:r>
      <w:r w:rsidR="00AB7B94">
        <w:rPr>
          <w:sz w:val="22"/>
          <w:szCs w:val="22"/>
        </w:rPr>
        <w:t xml:space="preserve">PREV, CPSY, </w:t>
      </w:r>
      <w:r w:rsidRPr="00722A93">
        <w:rPr>
          <w:sz w:val="22"/>
          <w:szCs w:val="22"/>
        </w:rPr>
        <w:t>QRME), and</w:t>
      </w:r>
    </w:p>
    <w:p w14:paraId="0038A402" w14:textId="77777777" w:rsidR="00722A93" w:rsidRPr="00722A93" w:rsidRDefault="00722A93" w:rsidP="00722A93">
      <w:pPr>
        <w:pStyle w:val="ListParagraph"/>
        <w:numPr>
          <w:ilvl w:val="0"/>
          <w:numId w:val="16"/>
        </w:numPr>
        <w:contextualSpacing w:val="0"/>
        <w:rPr>
          <w:sz w:val="22"/>
          <w:szCs w:val="22"/>
        </w:rPr>
      </w:pPr>
      <w:r w:rsidRPr="00722A93">
        <w:rPr>
          <w:sz w:val="22"/>
          <w:szCs w:val="22"/>
        </w:rPr>
        <w:t>Reducing doctoral advising loads for programs where TTF are currently oversubscribed (SPED, SPSY).</w:t>
      </w:r>
    </w:p>
    <w:p w14:paraId="17F88871" w14:textId="77777777" w:rsidR="00722A93" w:rsidRPr="00722A93" w:rsidRDefault="00722A93" w:rsidP="00722A93">
      <w:pPr>
        <w:rPr>
          <w:rFonts w:ascii="Times New Roman" w:hAnsi="Times New Roman"/>
          <w:sz w:val="22"/>
          <w:szCs w:val="22"/>
        </w:rPr>
      </w:pPr>
    </w:p>
    <w:p w14:paraId="349714DE" w14:textId="584C8728" w:rsidR="00722A93" w:rsidRPr="00722A93" w:rsidRDefault="00722A93" w:rsidP="00722A93">
      <w:pPr>
        <w:rPr>
          <w:rFonts w:ascii="Times New Roman" w:hAnsi="Times New Roman"/>
          <w:sz w:val="22"/>
          <w:szCs w:val="22"/>
        </w:rPr>
      </w:pPr>
      <w:r w:rsidRPr="00722A93">
        <w:rPr>
          <w:rFonts w:ascii="Times New Roman" w:hAnsi="Times New Roman"/>
          <w:sz w:val="22"/>
          <w:szCs w:val="22"/>
        </w:rPr>
        <w:t>Please contact your department h</w:t>
      </w:r>
      <w:r w:rsidR="000823D0">
        <w:rPr>
          <w:rFonts w:ascii="Times New Roman" w:hAnsi="Times New Roman"/>
          <w:sz w:val="22"/>
          <w:szCs w:val="22"/>
        </w:rPr>
        <w:t xml:space="preserve">ead with any questions </w:t>
      </w:r>
      <w:r w:rsidRPr="00722A93">
        <w:rPr>
          <w:rFonts w:ascii="Times New Roman" w:hAnsi="Times New Roman"/>
          <w:sz w:val="22"/>
          <w:szCs w:val="22"/>
        </w:rPr>
        <w:t xml:space="preserve">about these targets </w:t>
      </w:r>
      <w:r w:rsidR="000823D0">
        <w:rPr>
          <w:rFonts w:ascii="Times New Roman" w:hAnsi="Times New Roman"/>
          <w:sz w:val="22"/>
          <w:szCs w:val="22"/>
        </w:rPr>
        <w:t xml:space="preserve">were reached </w:t>
      </w:r>
      <w:r w:rsidRPr="00722A93">
        <w:rPr>
          <w:rFonts w:ascii="Times New Roman" w:hAnsi="Times New Roman"/>
          <w:sz w:val="22"/>
          <w:szCs w:val="22"/>
        </w:rPr>
        <w:t>or the deliberations undergirding them.</w:t>
      </w:r>
    </w:p>
    <w:p w14:paraId="23086B3D" w14:textId="1C598369" w:rsidR="00722A93" w:rsidRDefault="00722A93" w:rsidP="00722A93">
      <w:pPr>
        <w:rPr>
          <w:rFonts w:ascii="Times New Roman" w:hAnsi="Times New Roman"/>
          <w:sz w:val="22"/>
          <w:szCs w:val="22"/>
        </w:rPr>
      </w:pPr>
    </w:p>
    <w:p w14:paraId="31131DC6" w14:textId="3529C6CF" w:rsidR="00287F44" w:rsidRPr="00287F44" w:rsidRDefault="00287F44" w:rsidP="00722A93">
      <w:pPr>
        <w:rPr>
          <w:rFonts w:ascii="Times New Roman" w:hAnsi="Times New Roman"/>
          <w:b/>
          <w:sz w:val="22"/>
          <w:szCs w:val="22"/>
        </w:rPr>
      </w:pPr>
      <w:r w:rsidRPr="00287F44">
        <w:rPr>
          <w:rFonts w:ascii="Times New Roman" w:hAnsi="Times New Roman"/>
          <w:b/>
          <w:sz w:val="22"/>
          <w:szCs w:val="22"/>
        </w:rPr>
        <w:t xml:space="preserve">Table </w:t>
      </w:r>
      <w:r w:rsidR="008F43EF">
        <w:rPr>
          <w:rFonts w:ascii="Times New Roman" w:hAnsi="Times New Roman"/>
          <w:b/>
          <w:sz w:val="22"/>
          <w:szCs w:val="22"/>
        </w:rPr>
        <w:t>1</w:t>
      </w:r>
    </w:p>
    <w:tbl>
      <w:tblPr>
        <w:tblW w:w="0" w:type="auto"/>
        <w:tblInd w:w="1440" w:type="dxa"/>
        <w:tblCellMar>
          <w:left w:w="0" w:type="dxa"/>
          <w:right w:w="0" w:type="dxa"/>
        </w:tblCellMar>
        <w:tblLook w:val="04A0" w:firstRow="1" w:lastRow="0" w:firstColumn="1" w:lastColumn="0" w:noHBand="0" w:noVBand="1"/>
      </w:tblPr>
      <w:tblGrid>
        <w:gridCol w:w="962"/>
        <w:gridCol w:w="576"/>
        <w:gridCol w:w="576"/>
        <w:gridCol w:w="576"/>
        <w:gridCol w:w="576"/>
        <w:gridCol w:w="576"/>
        <w:gridCol w:w="988"/>
      </w:tblGrid>
      <w:tr w:rsidR="00722A93" w14:paraId="3900E52A" w14:textId="77777777" w:rsidTr="00287F44">
        <w:trPr>
          <w:trHeight w:val="315"/>
        </w:trPr>
        <w:tc>
          <w:tcPr>
            <w:tcW w:w="0" w:type="auto"/>
            <w:tcBorders>
              <w:top w:val="single" w:sz="8" w:space="0" w:color="auto"/>
              <w:left w:val="single" w:sz="8" w:space="0" w:color="auto"/>
              <w:bottom w:val="single" w:sz="8" w:space="0" w:color="auto"/>
              <w:right w:val="single" w:sz="8" w:space="0" w:color="auto"/>
            </w:tcBorders>
            <w:shd w:val="clear" w:color="auto" w:fill="EEECE1" w:themeFill="background2"/>
            <w:tcMar>
              <w:top w:w="0" w:type="dxa"/>
              <w:left w:w="108" w:type="dxa"/>
              <w:bottom w:w="0" w:type="dxa"/>
              <w:right w:w="108" w:type="dxa"/>
            </w:tcMar>
            <w:vAlign w:val="center"/>
            <w:hideMark/>
          </w:tcPr>
          <w:p w14:paraId="1506C001" w14:textId="77777777" w:rsidR="00722A93" w:rsidRPr="006C2373" w:rsidRDefault="00722A93" w:rsidP="00437BAD">
            <w:pPr>
              <w:rPr>
                <w:color w:val="000000"/>
                <w:sz w:val="18"/>
                <w:szCs w:val="18"/>
              </w:rPr>
            </w:pPr>
            <w:r w:rsidRPr="006C2373">
              <w:rPr>
                <w:color w:val="000000"/>
                <w:sz w:val="18"/>
                <w:szCs w:val="18"/>
              </w:rPr>
              <w:t>Program</w:t>
            </w:r>
          </w:p>
        </w:tc>
        <w:tc>
          <w:tcPr>
            <w:tcW w:w="0" w:type="auto"/>
            <w:tcBorders>
              <w:top w:val="single" w:sz="8" w:space="0" w:color="auto"/>
              <w:left w:val="nil"/>
              <w:bottom w:val="single" w:sz="8" w:space="0" w:color="auto"/>
              <w:right w:val="single" w:sz="8" w:space="0" w:color="auto"/>
            </w:tcBorders>
            <w:shd w:val="clear" w:color="auto" w:fill="EEECE1" w:themeFill="background2"/>
            <w:tcMar>
              <w:top w:w="0" w:type="dxa"/>
              <w:left w:w="108" w:type="dxa"/>
              <w:bottom w:w="0" w:type="dxa"/>
              <w:right w:w="108" w:type="dxa"/>
            </w:tcMar>
            <w:vAlign w:val="center"/>
            <w:hideMark/>
          </w:tcPr>
          <w:p w14:paraId="3F00ACB9" w14:textId="77777777" w:rsidR="00722A93" w:rsidRPr="006C2373" w:rsidRDefault="00722A93" w:rsidP="00437BAD">
            <w:pPr>
              <w:jc w:val="center"/>
              <w:rPr>
                <w:color w:val="000000"/>
                <w:sz w:val="18"/>
                <w:szCs w:val="18"/>
              </w:rPr>
            </w:pPr>
            <w:r w:rsidRPr="006C2373">
              <w:rPr>
                <w:color w:val="000000"/>
                <w:sz w:val="18"/>
                <w:szCs w:val="18"/>
              </w:rPr>
              <w:t>2014</w:t>
            </w:r>
          </w:p>
        </w:tc>
        <w:tc>
          <w:tcPr>
            <w:tcW w:w="0" w:type="auto"/>
            <w:tcBorders>
              <w:top w:val="single" w:sz="8" w:space="0" w:color="auto"/>
              <w:left w:val="nil"/>
              <w:bottom w:val="single" w:sz="8" w:space="0" w:color="auto"/>
              <w:right w:val="single" w:sz="8" w:space="0" w:color="auto"/>
            </w:tcBorders>
            <w:shd w:val="clear" w:color="auto" w:fill="EEECE1" w:themeFill="background2"/>
            <w:tcMar>
              <w:top w:w="0" w:type="dxa"/>
              <w:left w:w="108" w:type="dxa"/>
              <w:bottom w:w="0" w:type="dxa"/>
              <w:right w:w="108" w:type="dxa"/>
            </w:tcMar>
            <w:vAlign w:val="center"/>
            <w:hideMark/>
          </w:tcPr>
          <w:p w14:paraId="17EEFE31" w14:textId="77777777" w:rsidR="00722A93" w:rsidRPr="006C2373" w:rsidRDefault="00722A93" w:rsidP="00437BAD">
            <w:pPr>
              <w:jc w:val="center"/>
              <w:rPr>
                <w:color w:val="000000"/>
                <w:sz w:val="18"/>
                <w:szCs w:val="18"/>
              </w:rPr>
            </w:pPr>
            <w:r w:rsidRPr="006C2373">
              <w:rPr>
                <w:color w:val="000000"/>
                <w:sz w:val="18"/>
                <w:szCs w:val="18"/>
              </w:rPr>
              <w:t>2015</w:t>
            </w:r>
          </w:p>
        </w:tc>
        <w:tc>
          <w:tcPr>
            <w:tcW w:w="0" w:type="auto"/>
            <w:tcBorders>
              <w:top w:val="single" w:sz="8" w:space="0" w:color="auto"/>
              <w:left w:val="nil"/>
              <w:bottom w:val="single" w:sz="8" w:space="0" w:color="auto"/>
              <w:right w:val="single" w:sz="8" w:space="0" w:color="auto"/>
            </w:tcBorders>
            <w:shd w:val="clear" w:color="auto" w:fill="EEECE1" w:themeFill="background2"/>
            <w:tcMar>
              <w:top w:w="0" w:type="dxa"/>
              <w:left w:w="108" w:type="dxa"/>
              <w:bottom w:w="0" w:type="dxa"/>
              <w:right w:w="108" w:type="dxa"/>
            </w:tcMar>
            <w:vAlign w:val="center"/>
            <w:hideMark/>
          </w:tcPr>
          <w:p w14:paraId="469A4E21" w14:textId="77777777" w:rsidR="00722A93" w:rsidRPr="006C2373" w:rsidRDefault="00722A93" w:rsidP="00437BAD">
            <w:pPr>
              <w:jc w:val="center"/>
              <w:rPr>
                <w:color w:val="000000"/>
                <w:sz w:val="18"/>
                <w:szCs w:val="18"/>
              </w:rPr>
            </w:pPr>
            <w:r w:rsidRPr="006C2373">
              <w:rPr>
                <w:color w:val="000000"/>
                <w:sz w:val="18"/>
                <w:szCs w:val="18"/>
              </w:rPr>
              <w:t>2016</w:t>
            </w:r>
          </w:p>
        </w:tc>
        <w:tc>
          <w:tcPr>
            <w:tcW w:w="0" w:type="auto"/>
            <w:tcBorders>
              <w:top w:val="single" w:sz="8" w:space="0" w:color="auto"/>
              <w:left w:val="nil"/>
              <w:bottom w:val="single" w:sz="8" w:space="0" w:color="auto"/>
              <w:right w:val="single" w:sz="8" w:space="0" w:color="auto"/>
            </w:tcBorders>
            <w:shd w:val="clear" w:color="auto" w:fill="EEECE1" w:themeFill="background2"/>
            <w:tcMar>
              <w:top w:w="0" w:type="dxa"/>
              <w:left w:w="108" w:type="dxa"/>
              <w:bottom w:w="0" w:type="dxa"/>
              <w:right w:w="108" w:type="dxa"/>
            </w:tcMar>
            <w:vAlign w:val="center"/>
            <w:hideMark/>
          </w:tcPr>
          <w:p w14:paraId="28B427E6" w14:textId="77777777" w:rsidR="00722A93" w:rsidRPr="006C2373" w:rsidRDefault="00722A93" w:rsidP="00437BAD">
            <w:pPr>
              <w:jc w:val="center"/>
              <w:rPr>
                <w:color w:val="000000"/>
                <w:sz w:val="18"/>
                <w:szCs w:val="18"/>
              </w:rPr>
            </w:pPr>
            <w:r w:rsidRPr="006C2373">
              <w:rPr>
                <w:color w:val="000000"/>
                <w:sz w:val="18"/>
                <w:szCs w:val="18"/>
              </w:rPr>
              <w:t>2017</w:t>
            </w:r>
          </w:p>
        </w:tc>
        <w:tc>
          <w:tcPr>
            <w:tcW w:w="0" w:type="auto"/>
            <w:tcBorders>
              <w:top w:val="single" w:sz="8" w:space="0" w:color="auto"/>
              <w:left w:val="nil"/>
              <w:bottom w:val="single" w:sz="8" w:space="0" w:color="auto"/>
              <w:right w:val="single" w:sz="8" w:space="0" w:color="auto"/>
            </w:tcBorders>
            <w:shd w:val="clear" w:color="auto" w:fill="EEECE1" w:themeFill="background2"/>
            <w:tcMar>
              <w:top w:w="0" w:type="dxa"/>
              <w:left w:w="108" w:type="dxa"/>
              <w:bottom w:w="0" w:type="dxa"/>
              <w:right w:w="108" w:type="dxa"/>
            </w:tcMar>
            <w:vAlign w:val="center"/>
            <w:hideMark/>
          </w:tcPr>
          <w:p w14:paraId="226B6937" w14:textId="77777777" w:rsidR="00722A93" w:rsidRPr="006C2373" w:rsidRDefault="00722A93" w:rsidP="00437BAD">
            <w:pPr>
              <w:jc w:val="center"/>
              <w:rPr>
                <w:sz w:val="18"/>
                <w:szCs w:val="18"/>
              </w:rPr>
            </w:pPr>
            <w:r w:rsidRPr="006C2373">
              <w:rPr>
                <w:sz w:val="18"/>
                <w:szCs w:val="18"/>
              </w:rPr>
              <w:t>2018</w:t>
            </w:r>
          </w:p>
        </w:tc>
        <w:tc>
          <w:tcPr>
            <w:tcW w:w="988" w:type="dxa"/>
            <w:tcBorders>
              <w:top w:val="single" w:sz="8" w:space="0" w:color="auto"/>
              <w:left w:val="nil"/>
              <w:bottom w:val="single" w:sz="8" w:space="0" w:color="auto"/>
              <w:right w:val="single" w:sz="8" w:space="0" w:color="auto"/>
            </w:tcBorders>
            <w:shd w:val="clear" w:color="auto" w:fill="EEECE1" w:themeFill="background2"/>
          </w:tcPr>
          <w:p w14:paraId="0DB02179" w14:textId="1742A781" w:rsidR="00722A93" w:rsidRPr="006C2373" w:rsidRDefault="00722A93" w:rsidP="00437BAD">
            <w:pPr>
              <w:jc w:val="center"/>
              <w:rPr>
                <w:color w:val="5B9BD5"/>
                <w:sz w:val="18"/>
                <w:szCs w:val="18"/>
              </w:rPr>
            </w:pPr>
            <w:r w:rsidRPr="006C2373">
              <w:rPr>
                <w:color w:val="5B9BD5"/>
                <w:sz w:val="18"/>
                <w:szCs w:val="18"/>
              </w:rPr>
              <w:t xml:space="preserve">AY 2019-20 </w:t>
            </w:r>
            <w:r w:rsidR="00166CBA">
              <w:rPr>
                <w:color w:val="5B9BD5"/>
                <w:sz w:val="18"/>
                <w:szCs w:val="18"/>
              </w:rPr>
              <w:t xml:space="preserve">Admission </w:t>
            </w:r>
            <w:r w:rsidRPr="006C2373">
              <w:rPr>
                <w:color w:val="5B9BD5"/>
                <w:sz w:val="18"/>
                <w:szCs w:val="18"/>
              </w:rPr>
              <w:t>Goal</w:t>
            </w:r>
          </w:p>
        </w:tc>
      </w:tr>
      <w:tr w:rsidR="00722A93" w14:paraId="2C6B1101" w14:textId="77777777" w:rsidTr="00437BAD">
        <w:trPr>
          <w:trHeight w:val="315"/>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2645DA9" w14:textId="77777777" w:rsidR="00722A93" w:rsidRPr="006C2373" w:rsidRDefault="00722A93" w:rsidP="00437BAD">
            <w:pPr>
              <w:rPr>
                <w:color w:val="000000"/>
                <w:sz w:val="18"/>
                <w:szCs w:val="18"/>
              </w:rPr>
            </w:pPr>
            <w:r w:rsidRPr="006C2373">
              <w:rPr>
                <w:color w:val="000000"/>
                <w:sz w:val="18"/>
                <w:szCs w:val="18"/>
              </w:rPr>
              <w:t>CDS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6A21B2" w14:textId="77777777" w:rsidR="00722A93" w:rsidRPr="006C2373" w:rsidRDefault="00722A93" w:rsidP="00437BAD">
            <w:pPr>
              <w:jc w:val="center"/>
              <w:rPr>
                <w:color w:val="000000"/>
                <w:sz w:val="18"/>
                <w:szCs w:val="18"/>
              </w:rPr>
            </w:pPr>
            <w:r w:rsidRPr="006C2373">
              <w:rPr>
                <w:color w:val="000000"/>
                <w:sz w:val="18"/>
                <w:szCs w:val="18"/>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9B6288" w14:textId="77777777" w:rsidR="00722A93" w:rsidRPr="006C2373" w:rsidRDefault="00722A93" w:rsidP="00437BAD">
            <w:pPr>
              <w:jc w:val="center"/>
              <w:rPr>
                <w:color w:val="000000"/>
                <w:sz w:val="18"/>
                <w:szCs w:val="18"/>
              </w:rPr>
            </w:pPr>
            <w:r w:rsidRPr="006C2373">
              <w:rPr>
                <w:color w:val="000000"/>
                <w:sz w:val="18"/>
                <w:szCs w:val="18"/>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1FF670" w14:textId="77777777" w:rsidR="00722A93" w:rsidRPr="006C2373" w:rsidRDefault="00722A93" w:rsidP="00437BAD">
            <w:pPr>
              <w:jc w:val="center"/>
              <w:rPr>
                <w:color w:val="000000"/>
                <w:sz w:val="18"/>
                <w:szCs w:val="18"/>
              </w:rPr>
            </w:pPr>
            <w:r w:rsidRPr="006C2373">
              <w:rPr>
                <w:color w:val="000000"/>
                <w:sz w:val="18"/>
                <w:szCs w:val="18"/>
              </w:rPr>
              <w:t>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3E0A6C" w14:textId="77777777" w:rsidR="00722A93" w:rsidRPr="006C2373" w:rsidRDefault="00722A93" w:rsidP="00437BAD">
            <w:pPr>
              <w:jc w:val="center"/>
              <w:rPr>
                <w:color w:val="000000"/>
                <w:sz w:val="18"/>
                <w:szCs w:val="18"/>
              </w:rPr>
            </w:pPr>
            <w:r w:rsidRPr="006C2373">
              <w:rPr>
                <w:color w:val="000000"/>
                <w:sz w:val="18"/>
                <w:szCs w:val="18"/>
              </w:rPr>
              <w:t>4</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227BA4" w14:textId="77777777" w:rsidR="00722A93" w:rsidRPr="006C2373" w:rsidRDefault="00722A93" w:rsidP="00437BAD">
            <w:pPr>
              <w:jc w:val="center"/>
              <w:rPr>
                <w:sz w:val="18"/>
                <w:szCs w:val="18"/>
              </w:rPr>
            </w:pPr>
            <w:r w:rsidRPr="006C2373">
              <w:rPr>
                <w:sz w:val="18"/>
                <w:szCs w:val="18"/>
              </w:rPr>
              <w:t>1</w:t>
            </w:r>
          </w:p>
        </w:tc>
        <w:tc>
          <w:tcPr>
            <w:tcW w:w="988" w:type="dxa"/>
            <w:tcBorders>
              <w:top w:val="nil"/>
              <w:left w:val="nil"/>
              <w:bottom w:val="single" w:sz="8" w:space="0" w:color="auto"/>
              <w:right w:val="single" w:sz="8" w:space="0" w:color="auto"/>
            </w:tcBorders>
          </w:tcPr>
          <w:p w14:paraId="76EE3B6F" w14:textId="77777777" w:rsidR="00722A93" w:rsidRPr="006C2373" w:rsidRDefault="00722A93" w:rsidP="00437BAD">
            <w:pPr>
              <w:jc w:val="center"/>
              <w:rPr>
                <w:color w:val="5B9BD5"/>
                <w:sz w:val="18"/>
                <w:szCs w:val="18"/>
              </w:rPr>
            </w:pPr>
            <w:r w:rsidRPr="006C2373">
              <w:rPr>
                <w:color w:val="5B9BD5"/>
                <w:sz w:val="18"/>
                <w:szCs w:val="18"/>
              </w:rPr>
              <w:t>2</w:t>
            </w:r>
          </w:p>
        </w:tc>
      </w:tr>
      <w:tr w:rsidR="00722A93" w14:paraId="0130411D" w14:textId="77777777" w:rsidTr="00437BAD">
        <w:trPr>
          <w:trHeight w:val="315"/>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781A9F" w14:textId="77777777" w:rsidR="00722A93" w:rsidRPr="006C2373" w:rsidRDefault="00722A93" w:rsidP="00437BAD">
            <w:pPr>
              <w:rPr>
                <w:color w:val="000000"/>
                <w:sz w:val="18"/>
                <w:szCs w:val="18"/>
              </w:rPr>
            </w:pPr>
            <w:r w:rsidRPr="006C2373">
              <w:rPr>
                <w:color w:val="000000"/>
                <w:sz w:val="18"/>
                <w:szCs w:val="18"/>
              </w:rPr>
              <w:t>CPSY</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A215A2" w14:textId="77777777" w:rsidR="00722A93" w:rsidRPr="006C2373" w:rsidRDefault="00722A93" w:rsidP="00437BAD">
            <w:pPr>
              <w:jc w:val="center"/>
              <w:rPr>
                <w:color w:val="000000"/>
                <w:sz w:val="18"/>
                <w:szCs w:val="18"/>
              </w:rPr>
            </w:pPr>
            <w:r w:rsidRPr="006C2373">
              <w:rPr>
                <w:color w:val="000000"/>
                <w:sz w:val="18"/>
                <w:szCs w:val="18"/>
              </w:rPr>
              <w:t>7</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24D9D2" w14:textId="77777777" w:rsidR="00722A93" w:rsidRPr="006C2373" w:rsidRDefault="00722A93" w:rsidP="00437BAD">
            <w:pPr>
              <w:jc w:val="center"/>
              <w:rPr>
                <w:color w:val="000000"/>
                <w:sz w:val="18"/>
                <w:szCs w:val="18"/>
              </w:rPr>
            </w:pPr>
            <w:r w:rsidRPr="006C2373">
              <w:rPr>
                <w:color w:val="000000"/>
                <w:sz w:val="18"/>
                <w:szCs w:val="18"/>
              </w:rPr>
              <w:t>9</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C50B67" w14:textId="77777777" w:rsidR="00722A93" w:rsidRPr="006C2373" w:rsidRDefault="00722A93" w:rsidP="00437BAD">
            <w:pPr>
              <w:jc w:val="center"/>
              <w:rPr>
                <w:color w:val="000000"/>
                <w:sz w:val="18"/>
                <w:szCs w:val="18"/>
              </w:rPr>
            </w:pPr>
            <w:r w:rsidRPr="006C2373">
              <w:rPr>
                <w:color w:val="000000"/>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535E83" w14:textId="77777777" w:rsidR="00722A93" w:rsidRPr="006C2373" w:rsidRDefault="00722A93" w:rsidP="00437BAD">
            <w:pPr>
              <w:jc w:val="center"/>
              <w:rPr>
                <w:color w:val="000000"/>
                <w:sz w:val="18"/>
                <w:szCs w:val="18"/>
              </w:rPr>
            </w:pPr>
            <w:r w:rsidRPr="006C2373">
              <w:rPr>
                <w:color w:val="000000"/>
                <w:sz w:val="18"/>
                <w:szCs w:val="18"/>
              </w:rPr>
              <w:t>6</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5D973D" w14:textId="77777777" w:rsidR="00722A93" w:rsidRPr="006C2373" w:rsidRDefault="00722A93" w:rsidP="00437BAD">
            <w:pPr>
              <w:jc w:val="center"/>
              <w:rPr>
                <w:sz w:val="18"/>
                <w:szCs w:val="18"/>
              </w:rPr>
            </w:pPr>
            <w:r w:rsidRPr="006C2373">
              <w:rPr>
                <w:sz w:val="18"/>
                <w:szCs w:val="18"/>
              </w:rPr>
              <w:t>7</w:t>
            </w:r>
          </w:p>
        </w:tc>
        <w:tc>
          <w:tcPr>
            <w:tcW w:w="988" w:type="dxa"/>
            <w:tcBorders>
              <w:top w:val="nil"/>
              <w:left w:val="nil"/>
              <w:bottom w:val="single" w:sz="8" w:space="0" w:color="auto"/>
              <w:right w:val="single" w:sz="8" w:space="0" w:color="auto"/>
            </w:tcBorders>
          </w:tcPr>
          <w:p w14:paraId="617FDC38" w14:textId="77777777" w:rsidR="00722A93" w:rsidRPr="006C2373" w:rsidRDefault="00722A93" w:rsidP="00437BAD">
            <w:pPr>
              <w:jc w:val="center"/>
              <w:rPr>
                <w:color w:val="5B9BD5"/>
                <w:sz w:val="18"/>
                <w:szCs w:val="18"/>
              </w:rPr>
            </w:pPr>
            <w:r>
              <w:rPr>
                <w:color w:val="5B9BD5"/>
                <w:sz w:val="18"/>
                <w:szCs w:val="18"/>
              </w:rPr>
              <w:t>8</w:t>
            </w:r>
          </w:p>
        </w:tc>
      </w:tr>
      <w:tr w:rsidR="00722A93" w14:paraId="7645E85B" w14:textId="77777777" w:rsidTr="00437BAD">
        <w:trPr>
          <w:trHeight w:val="315"/>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33EB72C" w14:textId="77777777" w:rsidR="00722A93" w:rsidRPr="006C2373" w:rsidRDefault="00722A93" w:rsidP="00437BAD">
            <w:pPr>
              <w:rPr>
                <w:color w:val="000000"/>
                <w:sz w:val="18"/>
                <w:szCs w:val="18"/>
              </w:rPr>
            </w:pPr>
            <w:r w:rsidRPr="006C2373">
              <w:rPr>
                <w:color w:val="000000"/>
                <w:sz w:val="18"/>
                <w:szCs w:val="18"/>
              </w:rPr>
              <w:t>CSSE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05F153" w14:textId="77777777" w:rsidR="00722A93" w:rsidRPr="006C2373" w:rsidRDefault="00722A93" w:rsidP="00437BAD">
            <w:pPr>
              <w:jc w:val="center"/>
              <w:rPr>
                <w:color w:val="000000"/>
                <w:sz w:val="18"/>
                <w:szCs w:val="18"/>
              </w:rPr>
            </w:pPr>
            <w:r w:rsidRPr="006C2373">
              <w:rPr>
                <w:color w:val="000000"/>
                <w:sz w:val="18"/>
                <w:szCs w:val="18"/>
              </w:rPr>
              <w:t>2</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07B010" w14:textId="77777777" w:rsidR="00722A93" w:rsidRPr="006C2373" w:rsidRDefault="00722A93" w:rsidP="00437BAD">
            <w:pPr>
              <w:jc w:val="center"/>
              <w:rPr>
                <w:color w:val="000000"/>
                <w:sz w:val="18"/>
                <w:szCs w:val="18"/>
              </w:rPr>
            </w:pPr>
            <w:r w:rsidRPr="006C2373">
              <w:rPr>
                <w:color w:val="000000"/>
                <w:sz w:val="18"/>
                <w:szCs w:val="18"/>
              </w:rPr>
              <w:t>5</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FA5322" w14:textId="77777777" w:rsidR="00722A93" w:rsidRPr="006C2373" w:rsidRDefault="00722A93" w:rsidP="00437BAD">
            <w:pPr>
              <w:jc w:val="center"/>
              <w:rPr>
                <w:color w:val="000000"/>
                <w:sz w:val="18"/>
                <w:szCs w:val="18"/>
              </w:rPr>
            </w:pPr>
            <w:r w:rsidRPr="006C2373">
              <w:rPr>
                <w:color w:val="000000"/>
                <w:sz w:val="18"/>
                <w:szCs w:val="18"/>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53FE25" w14:textId="77777777" w:rsidR="00722A93" w:rsidRPr="006C2373" w:rsidRDefault="00722A93" w:rsidP="00437BAD">
            <w:pPr>
              <w:jc w:val="center"/>
              <w:rPr>
                <w:color w:val="000000"/>
                <w:sz w:val="18"/>
                <w:szCs w:val="18"/>
              </w:rPr>
            </w:pPr>
            <w:r w:rsidRPr="006C2373">
              <w:rPr>
                <w:color w:val="000000"/>
                <w:sz w:val="18"/>
                <w:szCs w:val="18"/>
              </w:rPr>
              <w:t>7</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498D29" w14:textId="77777777" w:rsidR="00722A93" w:rsidRPr="006C2373" w:rsidRDefault="00722A93" w:rsidP="00437BAD">
            <w:pPr>
              <w:jc w:val="center"/>
              <w:rPr>
                <w:sz w:val="18"/>
                <w:szCs w:val="18"/>
              </w:rPr>
            </w:pPr>
            <w:r w:rsidRPr="006C2373">
              <w:rPr>
                <w:sz w:val="18"/>
                <w:szCs w:val="18"/>
              </w:rPr>
              <w:t>-</w:t>
            </w:r>
          </w:p>
        </w:tc>
        <w:tc>
          <w:tcPr>
            <w:tcW w:w="988" w:type="dxa"/>
            <w:tcBorders>
              <w:top w:val="nil"/>
              <w:left w:val="nil"/>
              <w:bottom w:val="single" w:sz="8" w:space="0" w:color="auto"/>
              <w:right w:val="single" w:sz="8" w:space="0" w:color="auto"/>
            </w:tcBorders>
          </w:tcPr>
          <w:p w14:paraId="57B92ED1" w14:textId="77777777" w:rsidR="00722A93" w:rsidRPr="006C2373" w:rsidRDefault="00722A93" w:rsidP="00437BAD">
            <w:pPr>
              <w:jc w:val="center"/>
              <w:rPr>
                <w:color w:val="5B9BD5"/>
                <w:sz w:val="18"/>
                <w:szCs w:val="18"/>
              </w:rPr>
            </w:pPr>
            <w:r w:rsidRPr="006C2373">
              <w:rPr>
                <w:color w:val="5B9BD5"/>
                <w:sz w:val="18"/>
                <w:szCs w:val="18"/>
              </w:rPr>
              <w:t>7</w:t>
            </w:r>
          </w:p>
        </w:tc>
      </w:tr>
      <w:tr w:rsidR="00722A93" w14:paraId="772E4DDF" w14:textId="77777777" w:rsidTr="00722A93">
        <w:trPr>
          <w:trHeight w:val="315"/>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773887" w14:textId="77777777" w:rsidR="00722A93" w:rsidRPr="006C2373" w:rsidRDefault="00722A93" w:rsidP="00437BAD">
            <w:pPr>
              <w:rPr>
                <w:color w:val="000000"/>
                <w:sz w:val="18"/>
                <w:szCs w:val="18"/>
              </w:rPr>
            </w:pPr>
            <w:r w:rsidRPr="006C2373">
              <w:rPr>
                <w:color w:val="000000"/>
                <w:sz w:val="18"/>
                <w:szCs w:val="18"/>
              </w:rPr>
              <w:t>QRME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C0702E" w14:textId="77777777" w:rsidR="00722A93" w:rsidRPr="006C2373" w:rsidRDefault="00722A93" w:rsidP="00437BAD">
            <w:pPr>
              <w:jc w:val="center"/>
              <w:rPr>
                <w:color w:val="000000"/>
                <w:sz w:val="18"/>
                <w:szCs w:val="18"/>
              </w:rPr>
            </w:pPr>
            <w:r w:rsidRPr="006C2373">
              <w:rPr>
                <w:color w:val="000000"/>
                <w:sz w:val="18"/>
                <w:szCs w:val="18"/>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9C718D" w14:textId="77777777" w:rsidR="00722A93" w:rsidRPr="006C2373" w:rsidRDefault="00722A93" w:rsidP="00437BAD">
            <w:pPr>
              <w:jc w:val="center"/>
              <w:rPr>
                <w:color w:val="000000"/>
                <w:sz w:val="18"/>
                <w:szCs w:val="18"/>
              </w:rPr>
            </w:pPr>
            <w:r w:rsidRPr="006C2373">
              <w:rPr>
                <w:color w:val="000000"/>
                <w:sz w:val="18"/>
                <w:szCs w:val="18"/>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BCE3B9" w14:textId="77777777" w:rsidR="00722A93" w:rsidRPr="006C2373" w:rsidRDefault="00722A93" w:rsidP="00437BAD">
            <w:pPr>
              <w:jc w:val="center"/>
              <w:rPr>
                <w:color w:val="000000"/>
                <w:sz w:val="18"/>
                <w:szCs w:val="18"/>
              </w:rPr>
            </w:pPr>
            <w:r w:rsidRPr="006C2373">
              <w:rPr>
                <w:color w:val="000000"/>
                <w:sz w:val="18"/>
                <w:szCs w:val="18"/>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78FE35" w14:textId="77777777" w:rsidR="00722A93" w:rsidRPr="006C2373" w:rsidRDefault="00722A93" w:rsidP="00437BAD">
            <w:pPr>
              <w:jc w:val="center"/>
              <w:rPr>
                <w:color w:val="000000"/>
                <w:sz w:val="18"/>
                <w:szCs w:val="18"/>
              </w:rPr>
            </w:pPr>
            <w:r w:rsidRPr="006C2373">
              <w:rPr>
                <w:color w:val="000000"/>
                <w:sz w:val="18"/>
                <w:szCs w:val="18"/>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BD1476" w14:textId="77777777" w:rsidR="00722A93" w:rsidRPr="006C2373" w:rsidRDefault="00722A93" w:rsidP="00437BAD">
            <w:pPr>
              <w:jc w:val="center"/>
              <w:rPr>
                <w:sz w:val="18"/>
                <w:szCs w:val="18"/>
              </w:rPr>
            </w:pPr>
            <w:r w:rsidRPr="006C2373">
              <w:rPr>
                <w:sz w:val="18"/>
                <w:szCs w:val="18"/>
              </w:rPr>
              <w:t>3</w:t>
            </w:r>
          </w:p>
        </w:tc>
        <w:tc>
          <w:tcPr>
            <w:tcW w:w="988" w:type="dxa"/>
            <w:tcBorders>
              <w:top w:val="nil"/>
              <w:left w:val="nil"/>
              <w:bottom w:val="single" w:sz="8" w:space="0" w:color="auto"/>
              <w:right w:val="single" w:sz="8" w:space="0" w:color="auto"/>
            </w:tcBorders>
          </w:tcPr>
          <w:p w14:paraId="7CC6F191" w14:textId="77777777" w:rsidR="00722A93" w:rsidRPr="006C2373" w:rsidRDefault="00722A93" w:rsidP="00437BAD">
            <w:pPr>
              <w:jc w:val="center"/>
              <w:rPr>
                <w:color w:val="5B9BD5"/>
                <w:sz w:val="18"/>
                <w:szCs w:val="18"/>
              </w:rPr>
            </w:pPr>
            <w:r w:rsidRPr="006C2373">
              <w:rPr>
                <w:color w:val="5B9BD5"/>
                <w:sz w:val="18"/>
                <w:szCs w:val="18"/>
              </w:rPr>
              <w:t>2</w:t>
            </w:r>
          </w:p>
        </w:tc>
      </w:tr>
      <w:tr w:rsidR="00722A93" w14:paraId="0E310DD6" w14:textId="77777777" w:rsidTr="00437BAD">
        <w:trPr>
          <w:trHeight w:val="315"/>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6E4A24" w14:textId="77777777" w:rsidR="00722A93" w:rsidRPr="006C2373" w:rsidRDefault="00722A93" w:rsidP="00437BAD">
            <w:pPr>
              <w:rPr>
                <w:color w:val="000000"/>
                <w:sz w:val="18"/>
                <w:szCs w:val="18"/>
              </w:rPr>
            </w:pPr>
            <w:r w:rsidRPr="006C2373">
              <w:rPr>
                <w:color w:val="000000"/>
                <w:sz w:val="18"/>
                <w:szCs w:val="18"/>
              </w:rPr>
              <w:t>PREV</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1F10BC" w14:textId="77777777" w:rsidR="00722A93" w:rsidRPr="006C2373" w:rsidRDefault="00722A93" w:rsidP="00437BAD">
            <w:pPr>
              <w:jc w:val="center"/>
              <w:rPr>
                <w:color w:val="000000"/>
                <w:sz w:val="18"/>
                <w:szCs w:val="18"/>
              </w:rPr>
            </w:pPr>
            <w:r w:rsidRPr="006C2373">
              <w:rPr>
                <w:color w:val="000000"/>
                <w:sz w:val="18"/>
                <w:szCs w:val="18"/>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D1C4FB" w14:textId="77777777" w:rsidR="00722A93" w:rsidRPr="006C2373" w:rsidRDefault="00722A93" w:rsidP="00437BAD">
            <w:pPr>
              <w:jc w:val="center"/>
              <w:rPr>
                <w:color w:val="000000"/>
                <w:sz w:val="18"/>
                <w:szCs w:val="18"/>
              </w:rPr>
            </w:pPr>
            <w:r w:rsidRPr="006C2373">
              <w:rPr>
                <w:color w:val="000000"/>
                <w:sz w:val="18"/>
                <w:szCs w:val="18"/>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7E8C01" w14:textId="77777777" w:rsidR="00722A93" w:rsidRPr="006C2373" w:rsidRDefault="00722A93" w:rsidP="00437BAD">
            <w:pPr>
              <w:jc w:val="center"/>
              <w:rPr>
                <w:color w:val="000000"/>
                <w:sz w:val="18"/>
                <w:szCs w:val="18"/>
              </w:rPr>
            </w:pPr>
            <w:r w:rsidRPr="006C2373">
              <w:rPr>
                <w:color w:val="000000"/>
                <w:sz w:val="18"/>
                <w:szCs w:val="18"/>
              </w:rPr>
              <w:t>4</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CDCC64" w14:textId="77777777" w:rsidR="00722A93" w:rsidRPr="006C2373" w:rsidRDefault="00722A93" w:rsidP="00437BAD">
            <w:pPr>
              <w:jc w:val="center"/>
              <w:rPr>
                <w:color w:val="000000"/>
                <w:sz w:val="18"/>
                <w:szCs w:val="18"/>
              </w:rPr>
            </w:pPr>
            <w:r w:rsidRPr="006C2373">
              <w:rPr>
                <w:color w:val="000000"/>
                <w:sz w:val="18"/>
                <w:szCs w:val="18"/>
              </w:rPr>
              <w:t>7</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2703D9" w14:textId="77777777" w:rsidR="00722A93" w:rsidRPr="006C2373" w:rsidRDefault="00722A93" w:rsidP="00437BAD">
            <w:pPr>
              <w:jc w:val="center"/>
              <w:rPr>
                <w:sz w:val="18"/>
                <w:szCs w:val="18"/>
              </w:rPr>
            </w:pPr>
            <w:r w:rsidRPr="006C2373">
              <w:rPr>
                <w:sz w:val="18"/>
                <w:szCs w:val="18"/>
              </w:rPr>
              <w:t>6</w:t>
            </w:r>
          </w:p>
        </w:tc>
        <w:tc>
          <w:tcPr>
            <w:tcW w:w="988" w:type="dxa"/>
            <w:tcBorders>
              <w:top w:val="nil"/>
              <w:left w:val="nil"/>
              <w:bottom w:val="single" w:sz="8" w:space="0" w:color="auto"/>
              <w:right w:val="single" w:sz="8" w:space="0" w:color="auto"/>
            </w:tcBorders>
          </w:tcPr>
          <w:p w14:paraId="1ACB8EC6" w14:textId="77777777" w:rsidR="00722A93" w:rsidRPr="006C2373" w:rsidRDefault="00722A93" w:rsidP="00437BAD">
            <w:pPr>
              <w:jc w:val="center"/>
              <w:rPr>
                <w:color w:val="5B9BD5"/>
                <w:sz w:val="18"/>
                <w:szCs w:val="18"/>
              </w:rPr>
            </w:pPr>
            <w:r>
              <w:rPr>
                <w:color w:val="5B9BD5"/>
                <w:sz w:val="18"/>
                <w:szCs w:val="18"/>
              </w:rPr>
              <w:t>5</w:t>
            </w:r>
          </w:p>
        </w:tc>
      </w:tr>
      <w:tr w:rsidR="00722A93" w14:paraId="19597D13" w14:textId="77777777" w:rsidTr="00437BAD">
        <w:trPr>
          <w:trHeight w:val="315"/>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EC7E4C" w14:textId="77777777" w:rsidR="00722A93" w:rsidRPr="006C2373" w:rsidRDefault="00722A93" w:rsidP="00437BAD">
            <w:pPr>
              <w:rPr>
                <w:color w:val="000000"/>
                <w:sz w:val="18"/>
                <w:szCs w:val="18"/>
              </w:rPr>
            </w:pPr>
            <w:r w:rsidRPr="006C2373">
              <w:rPr>
                <w:color w:val="000000"/>
                <w:sz w:val="18"/>
                <w:szCs w:val="18"/>
              </w:rPr>
              <w:t>SPED</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B5DBE3" w14:textId="77777777" w:rsidR="00722A93" w:rsidRPr="006C2373" w:rsidRDefault="00722A93" w:rsidP="00437BAD">
            <w:pPr>
              <w:jc w:val="center"/>
              <w:rPr>
                <w:color w:val="000000"/>
                <w:sz w:val="18"/>
                <w:szCs w:val="18"/>
              </w:rPr>
            </w:pPr>
            <w:r w:rsidRPr="006C2373">
              <w:rPr>
                <w:color w:val="000000"/>
                <w:sz w:val="18"/>
                <w:szCs w:val="18"/>
              </w:rPr>
              <w:t>9</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C168BC" w14:textId="77777777" w:rsidR="00722A93" w:rsidRPr="006C2373" w:rsidRDefault="00722A93" w:rsidP="00437BAD">
            <w:pPr>
              <w:jc w:val="center"/>
              <w:rPr>
                <w:color w:val="000000"/>
                <w:sz w:val="18"/>
                <w:szCs w:val="18"/>
              </w:rPr>
            </w:pPr>
            <w:r w:rsidRPr="006C2373">
              <w:rPr>
                <w:color w:val="000000"/>
                <w:sz w:val="18"/>
                <w:szCs w:val="18"/>
              </w:rPr>
              <w:t>5</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DBC2E5" w14:textId="77777777" w:rsidR="00722A93" w:rsidRPr="006C2373" w:rsidRDefault="00722A93" w:rsidP="00437BAD">
            <w:pPr>
              <w:jc w:val="center"/>
              <w:rPr>
                <w:color w:val="000000"/>
                <w:sz w:val="18"/>
                <w:szCs w:val="18"/>
              </w:rPr>
            </w:pPr>
            <w:r w:rsidRPr="006C2373">
              <w:rPr>
                <w:color w:val="000000"/>
                <w:sz w:val="18"/>
                <w:szCs w:val="18"/>
              </w:rPr>
              <w:t>9</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D0B9C9" w14:textId="77777777" w:rsidR="00722A93" w:rsidRPr="006C2373" w:rsidRDefault="00722A93" w:rsidP="00437BAD">
            <w:pPr>
              <w:jc w:val="center"/>
              <w:rPr>
                <w:color w:val="000000"/>
                <w:sz w:val="18"/>
                <w:szCs w:val="18"/>
              </w:rPr>
            </w:pPr>
            <w:r w:rsidRPr="006C2373">
              <w:rPr>
                <w:color w:val="000000"/>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7431C1" w14:textId="77777777" w:rsidR="00722A93" w:rsidRPr="006C2373" w:rsidRDefault="00722A93" w:rsidP="00437BAD">
            <w:pPr>
              <w:jc w:val="center"/>
              <w:rPr>
                <w:sz w:val="18"/>
                <w:szCs w:val="18"/>
              </w:rPr>
            </w:pPr>
            <w:r w:rsidRPr="006C2373">
              <w:rPr>
                <w:sz w:val="18"/>
                <w:szCs w:val="18"/>
              </w:rPr>
              <w:t>6</w:t>
            </w:r>
          </w:p>
        </w:tc>
        <w:tc>
          <w:tcPr>
            <w:tcW w:w="988" w:type="dxa"/>
            <w:tcBorders>
              <w:top w:val="nil"/>
              <w:left w:val="nil"/>
              <w:bottom w:val="single" w:sz="8" w:space="0" w:color="auto"/>
              <w:right w:val="single" w:sz="8" w:space="0" w:color="auto"/>
            </w:tcBorders>
          </w:tcPr>
          <w:p w14:paraId="11A59BDF" w14:textId="77777777" w:rsidR="00722A93" w:rsidRPr="006C2373" w:rsidRDefault="00722A93" w:rsidP="00437BAD">
            <w:pPr>
              <w:jc w:val="center"/>
              <w:rPr>
                <w:color w:val="5B9BD5"/>
                <w:sz w:val="18"/>
                <w:szCs w:val="18"/>
              </w:rPr>
            </w:pPr>
            <w:r>
              <w:rPr>
                <w:color w:val="5B9BD5"/>
                <w:sz w:val="18"/>
                <w:szCs w:val="18"/>
              </w:rPr>
              <w:t>6</w:t>
            </w:r>
          </w:p>
        </w:tc>
      </w:tr>
      <w:tr w:rsidR="00722A93" w14:paraId="55EBDDEE" w14:textId="77777777" w:rsidTr="00437BAD">
        <w:trPr>
          <w:trHeight w:val="315"/>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200B2F" w14:textId="77777777" w:rsidR="00722A93" w:rsidRPr="006C2373" w:rsidRDefault="00722A93" w:rsidP="00437BAD">
            <w:pPr>
              <w:rPr>
                <w:color w:val="000000"/>
                <w:sz w:val="18"/>
                <w:szCs w:val="18"/>
              </w:rPr>
            </w:pPr>
            <w:r w:rsidRPr="006C2373">
              <w:rPr>
                <w:color w:val="000000"/>
                <w:sz w:val="18"/>
                <w:szCs w:val="18"/>
              </w:rPr>
              <w:t>SPSY</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59D646" w14:textId="77777777" w:rsidR="00722A93" w:rsidRPr="006C2373" w:rsidRDefault="00722A93" w:rsidP="00437BAD">
            <w:pPr>
              <w:jc w:val="center"/>
              <w:rPr>
                <w:color w:val="000000"/>
                <w:sz w:val="18"/>
                <w:szCs w:val="18"/>
              </w:rPr>
            </w:pPr>
            <w:r w:rsidRPr="006C2373">
              <w:rPr>
                <w:color w:val="000000"/>
                <w:sz w:val="18"/>
                <w:szCs w:val="18"/>
              </w:rPr>
              <w:t>6</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7E3137" w14:textId="77777777" w:rsidR="00722A93" w:rsidRPr="006C2373" w:rsidRDefault="00722A93" w:rsidP="00437BAD">
            <w:pPr>
              <w:jc w:val="center"/>
              <w:rPr>
                <w:color w:val="000000"/>
                <w:sz w:val="18"/>
                <w:szCs w:val="18"/>
              </w:rPr>
            </w:pPr>
            <w:r w:rsidRPr="006C2373">
              <w:rPr>
                <w:color w:val="000000"/>
                <w:sz w:val="18"/>
                <w:szCs w:val="18"/>
              </w:rPr>
              <w:t>6</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32F980" w14:textId="77777777" w:rsidR="00722A93" w:rsidRPr="006C2373" w:rsidRDefault="00722A93" w:rsidP="00437BAD">
            <w:pPr>
              <w:jc w:val="center"/>
              <w:rPr>
                <w:color w:val="000000"/>
                <w:sz w:val="18"/>
                <w:szCs w:val="18"/>
              </w:rPr>
            </w:pPr>
            <w:r w:rsidRPr="006C2373">
              <w:rPr>
                <w:color w:val="000000"/>
                <w:sz w:val="18"/>
                <w:szCs w:val="18"/>
              </w:rPr>
              <w:t>8</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9A7A57" w14:textId="77777777" w:rsidR="00722A93" w:rsidRPr="006C2373" w:rsidRDefault="00722A93" w:rsidP="00437BAD">
            <w:pPr>
              <w:jc w:val="center"/>
              <w:rPr>
                <w:color w:val="000000"/>
                <w:sz w:val="18"/>
                <w:szCs w:val="18"/>
              </w:rPr>
            </w:pPr>
            <w:r w:rsidRPr="006C2373">
              <w:rPr>
                <w:color w:val="000000"/>
                <w:sz w:val="18"/>
                <w:szCs w:val="18"/>
              </w:rPr>
              <w:t>5</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544973" w14:textId="77777777" w:rsidR="00722A93" w:rsidRPr="006C2373" w:rsidRDefault="00722A93" w:rsidP="00437BAD">
            <w:pPr>
              <w:jc w:val="center"/>
              <w:rPr>
                <w:sz w:val="18"/>
                <w:szCs w:val="18"/>
              </w:rPr>
            </w:pPr>
            <w:r w:rsidRPr="006C2373">
              <w:rPr>
                <w:sz w:val="18"/>
                <w:szCs w:val="18"/>
              </w:rPr>
              <w:t>6</w:t>
            </w:r>
          </w:p>
        </w:tc>
        <w:tc>
          <w:tcPr>
            <w:tcW w:w="988" w:type="dxa"/>
            <w:tcBorders>
              <w:top w:val="nil"/>
              <w:left w:val="nil"/>
              <w:bottom w:val="single" w:sz="8" w:space="0" w:color="auto"/>
              <w:right w:val="single" w:sz="8" w:space="0" w:color="auto"/>
            </w:tcBorders>
          </w:tcPr>
          <w:p w14:paraId="3592A5B5" w14:textId="77777777" w:rsidR="00722A93" w:rsidRPr="006C2373" w:rsidRDefault="00722A93" w:rsidP="00437BAD">
            <w:pPr>
              <w:jc w:val="center"/>
              <w:rPr>
                <w:color w:val="5B9BD5"/>
                <w:sz w:val="18"/>
                <w:szCs w:val="18"/>
              </w:rPr>
            </w:pPr>
            <w:r w:rsidRPr="006C2373">
              <w:rPr>
                <w:color w:val="5B9BD5"/>
                <w:sz w:val="18"/>
                <w:szCs w:val="18"/>
              </w:rPr>
              <w:t>4</w:t>
            </w:r>
          </w:p>
        </w:tc>
      </w:tr>
      <w:tr w:rsidR="00722A93" w:rsidRPr="006C2373" w14:paraId="462E1A67" w14:textId="77777777" w:rsidTr="00437BAD">
        <w:trPr>
          <w:trHeight w:val="315"/>
        </w:trPr>
        <w:tc>
          <w:tcPr>
            <w:tcW w:w="0" w:type="auto"/>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680B046B" w14:textId="77777777" w:rsidR="00722A93" w:rsidRPr="006C2373" w:rsidRDefault="00722A93" w:rsidP="00437BAD">
            <w:pPr>
              <w:rPr>
                <w:color w:val="4F81BD" w:themeColor="accent1"/>
                <w:sz w:val="18"/>
                <w:szCs w:val="18"/>
              </w:rPr>
            </w:pPr>
            <w:r w:rsidRPr="006C2373">
              <w:rPr>
                <w:color w:val="4F81BD" w:themeColor="accent1"/>
                <w:sz w:val="18"/>
                <w:szCs w:val="18"/>
              </w:rPr>
              <w:t>PhD Total</w:t>
            </w:r>
          </w:p>
        </w:tc>
        <w:tc>
          <w:tcPr>
            <w:tcW w:w="0" w:type="auto"/>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09B57309" w14:textId="2FCB0463" w:rsidR="00722A93" w:rsidRPr="006C2373" w:rsidRDefault="001A212D" w:rsidP="00437BAD">
            <w:pPr>
              <w:jc w:val="center"/>
              <w:rPr>
                <w:color w:val="4F81BD" w:themeColor="accent1"/>
                <w:sz w:val="18"/>
                <w:szCs w:val="18"/>
              </w:rPr>
            </w:pPr>
            <w:r>
              <w:rPr>
                <w:color w:val="4F81BD" w:themeColor="accent1"/>
                <w:sz w:val="18"/>
                <w:szCs w:val="18"/>
              </w:rPr>
              <w:t>25</w:t>
            </w:r>
          </w:p>
        </w:tc>
        <w:tc>
          <w:tcPr>
            <w:tcW w:w="0" w:type="auto"/>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110AE4E8" w14:textId="77777777" w:rsidR="00722A93" w:rsidRPr="006C2373" w:rsidRDefault="00722A93" w:rsidP="00437BAD">
            <w:pPr>
              <w:jc w:val="center"/>
              <w:rPr>
                <w:color w:val="4F81BD" w:themeColor="accent1"/>
                <w:sz w:val="18"/>
                <w:szCs w:val="18"/>
              </w:rPr>
            </w:pPr>
            <w:r w:rsidRPr="006C2373">
              <w:rPr>
                <w:color w:val="4F81BD" w:themeColor="accent1"/>
                <w:sz w:val="18"/>
                <w:szCs w:val="18"/>
              </w:rPr>
              <w:t>26</w:t>
            </w:r>
          </w:p>
        </w:tc>
        <w:tc>
          <w:tcPr>
            <w:tcW w:w="0" w:type="auto"/>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69FC5A71" w14:textId="77777777" w:rsidR="00722A93" w:rsidRPr="006C2373" w:rsidRDefault="00722A93" w:rsidP="00437BAD">
            <w:pPr>
              <w:jc w:val="center"/>
              <w:rPr>
                <w:color w:val="4F81BD" w:themeColor="accent1"/>
                <w:sz w:val="18"/>
                <w:szCs w:val="18"/>
              </w:rPr>
            </w:pPr>
            <w:r w:rsidRPr="006C2373">
              <w:rPr>
                <w:color w:val="4F81BD" w:themeColor="accent1"/>
                <w:sz w:val="18"/>
                <w:szCs w:val="18"/>
              </w:rPr>
              <w:t>31</w:t>
            </w:r>
          </w:p>
        </w:tc>
        <w:tc>
          <w:tcPr>
            <w:tcW w:w="0" w:type="auto"/>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112689CE" w14:textId="77777777" w:rsidR="00722A93" w:rsidRPr="006C2373" w:rsidRDefault="00722A93" w:rsidP="00437BAD">
            <w:pPr>
              <w:jc w:val="center"/>
              <w:rPr>
                <w:color w:val="4F81BD" w:themeColor="accent1"/>
                <w:sz w:val="18"/>
                <w:szCs w:val="18"/>
              </w:rPr>
            </w:pPr>
            <w:r w:rsidRPr="006C2373">
              <w:rPr>
                <w:color w:val="4F81BD" w:themeColor="accent1"/>
                <w:sz w:val="18"/>
                <w:szCs w:val="18"/>
              </w:rPr>
              <w:t>39</w:t>
            </w:r>
          </w:p>
        </w:tc>
        <w:tc>
          <w:tcPr>
            <w:tcW w:w="0" w:type="auto"/>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0E8154C4" w14:textId="77777777" w:rsidR="00722A93" w:rsidRPr="006C2373" w:rsidRDefault="00722A93" w:rsidP="00437BAD">
            <w:pPr>
              <w:jc w:val="center"/>
              <w:rPr>
                <w:color w:val="4F81BD" w:themeColor="accent1"/>
                <w:sz w:val="18"/>
                <w:szCs w:val="18"/>
              </w:rPr>
            </w:pPr>
            <w:r w:rsidRPr="006C2373">
              <w:rPr>
                <w:color w:val="4F81BD" w:themeColor="accent1"/>
                <w:sz w:val="18"/>
                <w:szCs w:val="18"/>
              </w:rPr>
              <w:t>29</w:t>
            </w:r>
          </w:p>
        </w:tc>
        <w:tc>
          <w:tcPr>
            <w:tcW w:w="988" w:type="dxa"/>
            <w:tcBorders>
              <w:top w:val="single" w:sz="4" w:space="0" w:color="auto"/>
              <w:left w:val="nil"/>
              <w:bottom w:val="single" w:sz="8" w:space="0" w:color="auto"/>
              <w:right w:val="single" w:sz="8" w:space="0" w:color="auto"/>
            </w:tcBorders>
          </w:tcPr>
          <w:p w14:paraId="129DAE22" w14:textId="77777777" w:rsidR="00722A93" w:rsidRPr="006C2373" w:rsidRDefault="00722A93" w:rsidP="00437BAD">
            <w:pPr>
              <w:jc w:val="center"/>
              <w:rPr>
                <w:color w:val="4F81BD" w:themeColor="accent1"/>
                <w:sz w:val="18"/>
                <w:szCs w:val="18"/>
              </w:rPr>
            </w:pPr>
            <w:r w:rsidRPr="006C2373">
              <w:rPr>
                <w:color w:val="4F81BD" w:themeColor="accent1"/>
                <w:sz w:val="18"/>
                <w:szCs w:val="18"/>
              </w:rPr>
              <w:t>34</w:t>
            </w:r>
          </w:p>
        </w:tc>
      </w:tr>
    </w:tbl>
    <w:p w14:paraId="71B7C944" w14:textId="77777777" w:rsidR="00722A93" w:rsidRDefault="00722A93" w:rsidP="00722A93"/>
    <w:p w14:paraId="7136E9AD" w14:textId="77777777" w:rsidR="00722A93" w:rsidRPr="00722A93" w:rsidRDefault="00722A93" w:rsidP="00722A93">
      <w:pPr>
        <w:rPr>
          <w:rFonts w:ascii="Times New Roman" w:hAnsi="Times New Roman"/>
          <w:sz w:val="22"/>
          <w:szCs w:val="22"/>
        </w:rPr>
      </w:pPr>
      <w:r w:rsidRPr="00722A93">
        <w:rPr>
          <w:rFonts w:ascii="Times New Roman" w:hAnsi="Times New Roman"/>
          <w:sz w:val="22"/>
          <w:szCs w:val="22"/>
        </w:rPr>
        <w:t xml:space="preserve">Coordinated, college-wide enrollment planning is a new process for our college. We will have to work through the details of the process together as the admission process unfolds. </w:t>
      </w:r>
      <w:bookmarkStart w:id="0" w:name="_GoBack"/>
      <w:bookmarkEnd w:id="0"/>
    </w:p>
    <w:p w14:paraId="62AF7979" w14:textId="77777777" w:rsidR="00722A93" w:rsidRPr="00722A93" w:rsidRDefault="00722A93" w:rsidP="00722A93">
      <w:pPr>
        <w:rPr>
          <w:sz w:val="22"/>
          <w:szCs w:val="22"/>
        </w:rPr>
      </w:pPr>
    </w:p>
    <w:p w14:paraId="00D3F8E4" w14:textId="77777777" w:rsidR="00722A93" w:rsidRPr="00722A93" w:rsidRDefault="00722A93" w:rsidP="00722A93">
      <w:pPr>
        <w:rPr>
          <w:sz w:val="22"/>
          <w:szCs w:val="22"/>
        </w:rPr>
      </w:pPr>
    </w:p>
    <w:p w14:paraId="5F0005D0" w14:textId="77777777" w:rsidR="00722A93" w:rsidRPr="00722A93" w:rsidRDefault="00722A93" w:rsidP="00722A93">
      <w:pPr>
        <w:rPr>
          <w:sz w:val="22"/>
          <w:szCs w:val="22"/>
        </w:rPr>
      </w:pPr>
    </w:p>
    <w:p w14:paraId="1D420D11" w14:textId="77777777" w:rsidR="00722A93" w:rsidRPr="00722A93" w:rsidRDefault="00722A93" w:rsidP="002A0C1A">
      <w:pPr>
        <w:rPr>
          <w:sz w:val="22"/>
          <w:szCs w:val="22"/>
        </w:rPr>
      </w:pPr>
    </w:p>
    <w:sectPr w:rsidR="00722A93" w:rsidRPr="00722A93" w:rsidSect="00722A93">
      <w:headerReference w:type="default" r:id="rId9"/>
      <w:footerReference w:type="default" r:id="rId10"/>
      <w:pgSz w:w="12240" w:h="15840"/>
      <w:pgMar w:top="2160" w:right="1080" w:bottom="1800" w:left="1440" w:header="907"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438893" w14:textId="77777777" w:rsidR="003104D8" w:rsidRDefault="003104D8">
      <w:r>
        <w:separator/>
      </w:r>
    </w:p>
  </w:endnote>
  <w:endnote w:type="continuationSeparator" w:id="0">
    <w:p w14:paraId="363C2E2F" w14:textId="77777777" w:rsidR="003104D8" w:rsidRDefault="00310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altName w:val="Times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Geneva">
    <w:altName w:val="Arial"/>
    <w:charset w:val="00"/>
    <w:family w:val="auto"/>
    <w:pitch w:val="variable"/>
    <w:sig w:usb0="03000000" w:usb1="00000000" w:usb2="00000000" w:usb3="00000000" w:csb0="00000001" w:csb1="00000000"/>
  </w:font>
  <w:font w:name="Melior">
    <w:panose1 w:val="02000603020000020003"/>
    <w:charset w:val="00"/>
    <w:family w:val="auto"/>
    <w:pitch w:val="variable"/>
    <w:sig w:usb0="80000027" w:usb1="00000000" w:usb2="00000000" w:usb3="00000000" w:csb0="00000001" w:csb1="00000000"/>
  </w:font>
  <w:font w:name="Akzidenz-Grotesk BQ Med">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KievitPro-Bold">
    <w:panose1 w:val="020B0804030101020102"/>
    <w:charset w:val="00"/>
    <w:family w:val="swiss"/>
    <w:notTrueType/>
    <w:pitch w:val="variable"/>
    <w:sig w:usb0="A00002FF" w:usb1="4000205B" w:usb2="00000000" w:usb3="00000000" w:csb0="0000009F" w:csb1="00000000"/>
  </w:font>
  <w:font w:name="KievitPro-Regular">
    <w:panose1 w:val="020B0504030101020102"/>
    <w:charset w:val="00"/>
    <w:family w:val="swiss"/>
    <w:notTrueType/>
    <w:pitch w:val="variable"/>
    <w:sig w:usb0="A00002FF" w:usb1="4000205B" w:usb2="00000000" w:usb3="00000000" w:csb0="0000009F" w:csb1="00000000"/>
  </w:font>
  <w:font w:name="KievitPro-Italic">
    <w:panose1 w:val="020B0504020101020102"/>
    <w:charset w:val="00"/>
    <w:family w:val="swiss"/>
    <w:notTrueType/>
    <w:pitch w:val="variable"/>
    <w:sig w:usb0="A00002FF"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F6012" w14:textId="77777777" w:rsidR="009077C3" w:rsidRPr="00AC5079" w:rsidRDefault="00BF698B" w:rsidP="009077C3">
    <w:pPr>
      <w:pStyle w:val="OfficeorDepttitle"/>
      <w:spacing w:line="240" w:lineRule="auto"/>
      <w:rPr>
        <w:rFonts w:ascii="KievitPro-Bold" w:hAnsi="KievitPro-Bold"/>
        <w:caps w:val="0"/>
        <w:color w:val="3D3E3E"/>
        <w:spacing w:val="0"/>
        <w:kern w:val="16"/>
        <w:sz w:val="15"/>
        <w:szCs w:val="15"/>
      </w:rPr>
    </w:pPr>
    <w:r>
      <w:rPr>
        <w:rFonts w:ascii="KievitPro-Bold" w:hAnsi="KievitPro-Bold"/>
        <w:caps w:val="0"/>
        <w:color w:val="3D3E3E"/>
        <w:spacing w:val="0"/>
        <w:kern w:val="16"/>
        <w:sz w:val="15"/>
        <w:szCs w:val="15"/>
      </w:rPr>
      <w:t>Office of the Dean</w:t>
    </w:r>
  </w:p>
  <w:p w14:paraId="16F58E2C" w14:textId="77777777" w:rsidR="009077C3" w:rsidRPr="001B10F1" w:rsidRDefault="00BF698B" w:rsidP="00675F79">
    <w:pPr>
      <w:tabs>
        <w:tab w:val="center" w:pos="4320"/>
        <w:tab w:val="right" w:pos="8640"/>
      </w:tabs>
      <w:ind w:right="-1800"/>
      <w:rPr>
        <w:rFonts w:ascii="KievitPro-Regular" w:eastAsia="Times New Roman" w:hAnsi="KievitPro-Regular"/>
        <w:color w:val="3D3E3E"/>
        <w:kern w:val="16"/>
        <w:sz w:val="15"/>
        <w:szCs w:val="15"/>
        <w14:numForm w14:val="lining"/>
      </w:rPr>
    </w:pPr>
    <w:r>
      <w:rPr>
        <w:rFonts w:ascii="KievitPro-Regular" w:eastAsia="Times New Roman" w:hAnsi="KievitPro-Regular"/>
        <w:color w:val="3D3E3E"/>
        <w:kern w:val="16"/>
        <w:sz w:val="15"/>
        <w:szCs w:val="15"/>
        <w14:numForm w14:val="lining"/>
      </w:rPr>
      <w:t>1215 University of Oregon, Eugene OR 97403-1215</w:t>
    </w:r>
  </w:p>
  <w:p w14:paraId="655BFC95" w14:textId="77777777" w:rsidR="009077C3" w:rsidRPr="00AC5079" w:rsidRDefault="00BF698B" w:rsidP="009077C3">
    <w:pPr>
      <w:tabs>
        <w:tab w:val="center" w:pos="4320"/>
        <w:tab w:val="right" w:pos="8640"/>
      </w:tabs>
      <w:ind w:right="-1800"/>
      <w:rPr>
        <w:rFonts w:ascii="KievitPro-Regular" w:hAnsi="KievitPro-Regular"/>
        <w:color w:val="3D3E3E"/>
        <w:kern w:val="16"/>
        <w:sz w:val="15"/>
        <w:szCs w:val="15"/>
      </w:rPr>
    </w:pPr>
    <w:r>
      <w:rPr>
        <w:rFonts w:ascii="KievitPro-Regular" w:eastAsia="Times New Roman" w:hAnsi="KievitPro-Regular"/>
        <w:color w:val="3D3E3E"/>
        <w:kern w:val="16"/>
        <w:sz w:val="15"/>
        <w:szCs w:val="15"/>
        <w14:numForm w14:val="lining"/>
      </w:rPr>
      <w:t>541-346-</w:t>
    </w:r>
    <w:proofErr w:type="gramStart"/>
    <w:r>
      <w:rPr>
        <w:rFonts w:ascii="KievitPro-Regular" w:eastAsia="Times New Roman" w:hAnsi="KievitPro-Regular"/>
        <w:color w:val="3D3E3E"/>
        <w:kern w:val="16"/>
        <w:sz w:val="15"/>
        <w:szCs w:val="15"/>
        <w14:numForm w14:val="lining"/>
      </w:rPr>
      <w:t>3405</w:t>
    </w:r>
    <w:r w:rsidR="009077C3" w:rsidRPr="001B10F1">
      <w:rPr>
        <w:rFonts w:ascii="KievitPro-Regular" w:eastAsia="Times New Roman" w:hAnsi="KievitPro-Regular"/>
        <w:color w:val="3D3E3E"/>
        <w:kern w:val="16"/>
        <w:sz w:val="15"/>
        <w:szCs w:val="15"/>
        <w14:numForm w14:val="lining"/>
      </w:rPr>
      <w:t xml:space="preserve">  |</w:t>
    </w:r>
    <w:proofErr w:type="gramEnd"/>
    <w:r w:rsidR="009077C3" w:rsidRPr="001B10F1">
      <w:rPr>
        <w:rFonts w:ascii="KievitPro-Regular" w:eastAsia="Times New Roman" w:hAnsi="KievitPro-Regular"/>
        <w:color w:val="3D3E3E"/>
        <w:kern w:val="16"/>
        <w:sz w:val="15"/>
        <w:szCs w:val="15"/>
        <w14:numForm w14:val="lining"/>
      </w:rPr>
      <w:t xml:space="preserve">  </w:t>
    </w:r>
    <w:r w:rsidR="009077C3" w:rsidRPr="001B10F1">
      <w:rPr>
        <w:rFonts w:ascii="KievitPro-Regular" w:eastAsia="Times New Roman" w:hAnsi="KievitPro-Regular"/>
        <w:smallCaps/>
        <w:color w:val="3D3E3E"/>
        <w:kern w:val="16"/>
        <w:sz w:val="15"/>
        <w:szCs w:val="15"/>
        <w14:numForm w14:val="lining"/>
      </w:rPr>
      <w:t>fax</w:t>
    </w:r>
    <w:r>
      <w:rPr>
        <w:rFonts w:ascii="KievitPro-Regular" w:eastAsia="Times New Roman" w:hAnsi="KievitPro-Regular"/>
        <w:color w:val="3D3E3E"/>
        <w:kern w:val="16"/>
        <w:sz w:val="15"/>
        <w:szCs w:val="15"/>
        <w14:numForm w14:val="lining"/>
      </w:rPr>
      <w:t xml:space="preserve"> 541-346-5818</w:t>
    </w:r>
    <w:r w:rsidR="009077C3" w:rsidRPr="00AC5079">
      <w:rPr>
        <w:rFonts w:ascii="KievitPro-Regular" w:eastAsia="Times New Roman" w:hAnsi="KievitPro-Regular"/>
        <w:color w:val="3D3E3E"/>
        <w:kern w:val="16"/>
        <w:sz w:val="15"/>
        <w:szCs w:val="15"/>
      </w:rPr>
      <w:t xml:space="preserve"> </w:t>
    </w:r>
    <w:r w:rsidR="009077C3" w:rsidRPr="00AC5079">
      <w:rPr>
        <w:rFonts w:ascii="KievitPro-Regular" w:hAnsi="KievitPro-Regular"/>
        <w:color w:val="3D3E3E"/>
        <w:kern w:val="16"/>
        <w:sz w:val="15"/>
        <w:szCs w:val="15"/>
      </w:rPr>
      <w:t xml:space="preserve"> </w:t>
    </w:r>
    <w:r>
      <w:rPr>
        <w:rFonts w:ascii="KievitPro-Bold" w:hAnsi="KievitPro-Bold"/>
        <w:color w:val="3D3E3E"/>
        <w:kern w:val="16"/>
        <w:sz w:val="15"/>
        <w:szCs w:val="15"/>
      </w:rPr>
      <w:t>http://education</w:t>
    </w:r>
    <w:r w:rsidR="009077C3" w:rsidRPr="00AC5079">
      <w:rPr>
        <w:rFonts w:ascii="KievitPro-Bold" w:hAnsi="KievitPro-Bold"/>
        <w:color w:val="3D3E3E"/>
        <w:kern w:val="16"/>
        <w:sz w:val="15"/>
        <w:szCs w:val="15"/>
      </w:rPr>
      <w:t>.uoregon.edu</w:t>
    </w:r>
  </w:p>
  <w:p w14:paraId="14F5CEBA" w14:textId="77777777" w:rsidR="009077C3" w:rsidRPr="00AC5079" w:rsidRDefault="009077C3" w:rsidP="009077C3">
    <w:pPr>
      <w:tabs>
        <w:tab w:val="center" w:pos="4320"/>
        <w:tab w:val="right" w:pos="8640"/>
      </w:tabs>
      <w:ind w:right="-1800"/>
      <w:rPr>
        <w:rFonts w:ascii="KievitPro-Regular" w:eastAsia="Times New Roman" w:hAnsi="KievitPro-Regular"/>
        <w:color w:val="3D3E3E"/>
        <w:kern w:val="16"/>
        <w:sz w:val="16"/>
        <w:szCs w:val="16"/>
      </w:rPr>
    </w:pPr>
  </w:p>
  <w:p w14:paraId="35086CF1" w14:textId="77777777" w:rsidR="009077C3" w:rsidRPr="00AC5079" w:rsidRDefault="009077C3" w:rsidP="009077C3">
    <w:pPr>
      <w:tabs>
        <w:tab w:val="center" w:pos="4320"/>
        <w:tab w:val="right" w:pos="8640"/>
      </w:tabs>
      <w:ind w:right="-1800"/>
      <w:rPr>
        <w:rFonts w:ascii="KievitPro-Italic" w:hAnsi="KievitPro-Italic"/>
        <w:color w:val="3D3E3E"/>
        <w:kern w:val="16"/>
        <w:sz w:val="13"/>
        <w:szCs w:val="13"/>
      </w:rPr>
    </w:pPr>
    <w:r w:rsidRPr="00AC5079">
      <w:rPr>
        <w:rFonts w:ascii="KievitPro-Italic" w:hAnsi="KievitPro-Italic"/>
        <w:color w:val="3D3E3E"/>
        <w:kern w:val="16"/>
        <w:sz w:val="13"/>
        <w:szCs w:val="13"/>
      </w:rPr>
      <w:t>An equal-opportunity, affirmative-action institution committed to cultural diversity and compliance with the Americans with Disabilities Act</w:t>
    </w:r>
  </w:p>
  <w:p w14:paraId="1F483C4F" w14:textId="77777777" w:rsidR="007726CA" w:rsidRPr="009077C3" w:rsidRDefault="007726CA" w:rsidP="009077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2996" w14:textId="77777777" w:rsidR="003104D8" w:rsidRDefault="003104D8">
      <w:r>
        <w:separator/>
      </w:r>
    </w:p>
  </w:footnote>
  <w:footnote w:type="continuationSeparator" w:id="0">
    <w:p w14:paraId="611CDD16" w14:textId="77777777" w:rsidR="003104D8" w:rsidRDefault="00310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CC885" w14:textId="77777777" w:rsidR="007726CA" w:rsidRDefault="00F74C6E" w:rsidP="009077C3">
    <w:pPr>
      <w:pStyle w:val="Header"/>
      <w:ind w:left="-360"/>
    </w:pPr>
    <w:r>
      <w:rPr>
        <w:noProof/>
      </w:rPr>
      <w:drawing>
        <wp:inline distT="0" distB="0" distL="0" distR="0" wp14:anchorId="6EA1A4AE" wp14:editId="4A379C40">
          <wp:extent cx="3271292" cy="365760"/>
          <wp:effectExtent l="0" t="0" r="5715" b="0"/>
          <wp:docPr id="1" name="Picture 1" descr="Macintosh HD:Users:tjordan:Documents:current-jobs:__UO branding main:__UO Brand Elements Jun15:UO Business Papers:Electronic letterhead:UO Secondary Sig LH:UO Digital LH - COE:COE-3435-CGY11-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jordan:Documents:current-jobs:__UO branding main:__UO Brand Elements Jun15:UO Business Papers:Electronic letterhead:UO Secondary Sig LH:UO Digital LH - COE:COE-3435-CGY11-4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1292"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F0409"/>
    <w:lvl w:ilvl="0">
      <w:start w:val="1"/>
      <w:numFmt w:val="decimal"/>
      <w:lvlText w:val="%1."/>
      <w:lvlJc w:val="left"/>
      <w:pPr>
        <w:tabs>
          <w:tab w:val="num" w:pos="360"/>
        </w:tabs>
        <w:ind w:left="360" w:hanging="360"/>
      </w:pPr>
    </w:lvl>
  </w:abstractNum>
  <w:abstractNum w:abstractNumId="1" w15:restartNumberingAfterBreak="0">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4"/>
    <w:multiLevelType w:val="singleLevel"/>
    <w:tmpl w:val="000F0409"/>
    <w:lvl w:ilvl="0">
      <w:start w:val="1"/>
      <w:numFmt w:val="decimal"/>
      <w:lvlText w:val="%1."/>
      <w:lvlJc w:val="left"/>
      <w:pPr>
        <w:tabs>
          <w:tab w:val="num" w:pos="360"/>
        </w:tabs>
        <w:ind w:left="360" w:hanging="360"/>
      </w:pPr>
    </w:lvl>
  </w:abstractNum>
  <w:abstractNum w:abstractNumId="3" w15:restartNumberingAfterBreak="0">
    <w:nsid w:val="0DEC45AE"/>
    <w:multiLevelType w:val="hybridMultilevel"/>
    <w:tmpl w:val="D698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D1AE7"/>
    <w:multiLevelType w:val="hybridMultilevel"/>
    <w:tmpl w:val="68B0A9A4"/>
    <w:lvl w:ilvl="0" w:tplc="2CF2A92A">
      <w:start w:val="5"/>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21012E"/>
    <w:multiLevelType w:val="hybridMultilevel"/>
    <w:tmpl w:val="CF488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B0A01"/>
    <w:multiLevelType w:val="hybridMultilevel"/>
    <w:tmpl w:val="E2AEAB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05CAD"/>
    <w:multiLevelType w:val="hybridMultilevel"/>
    <w:tmpl w:val="25E8A994"/>
    <w:lvl w:ilvl="0" w:tplc="755264CA">
      <w:start w:val="7"/>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238AF"/>
    <w:multiLevelType w:val="hybridMultilevel"/>
    <w:tmpl w:val="C37C1F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63434"/>
    <w:multiLevelType w:val="hybridMultilevel"/>
    <w:tmpl w:val="CDCA6A1E"/>
    <w:lvl w:ilvl="0" w:tplc="71402FF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500FD9"/>
    <w:multiLevelType w:val="hybridMultilevel"/>
    <w:tmpl w:val="4664C6B2"/>
    <w:lvl w:ilvl="0" w:tplc="AD540A94">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EC2A77"/>
    <w:multiLevelType w:val="hybridMultilevel"/>
    <w:tmpl w:val="8C341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1472C1"/>
    <w:multiLevelType w:val="hybridMultilevel"/>
    <w:tmpl w:val="6F3A6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FE0B82"/>
    <w:multiLevelType w:val="hybridMultilevel"/>
    <w:tmpl w:val="32509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41122B"/>
    <w:multiLevelType w:val="hybridMultilevel"/>
    <w:tmpl w:val="68143D54"/>
    <w:lvl w:ilvl="0" w:tplc="0A0A8BE2">
      <w:start w:val="1"/>
      <w:numFmt w:val="decimal"/>
      <w:lvlText w:val="%1."/>
      <w:lvlJc w:val="left"/>
      <w:pPr>
        <w:ind w:left="1180" w:hanging="361"/>
        <w:jc w:val="right"/>
      </w:pPr>
      <w:rPr>
        <w:rFonts w:ascii="Calibri" w:eastAsia="Calibri" w:hAnsi="Calibri" w:cs="Calibri" w:hint="default"/>
        <w:w w:val="100"/>
        <w:sz w:val="22"/>
        <w:szCs w:val="22"/>
      </w:rPr>
    </w:lvl>
    <w:lvl w:ilvl="1" w:tplc="BE626830">
      <w:numFmt w:val="bullet"/>
      <w:lvlText w:val="•"/>
      <w:lvlJc w:val="left"/>
      <w:pPr>
        <w:ind w:left="2020" w:hanging="361"/>
      </w:pPr>
      <w:rPr>
        <w:rFonts w:hint="default"/>
      </w:rPr>
    </w:lvl>
    <w:lvl w:ilvl="2" w:tplc="719E3302">
      <w:numFmt w:val="bullet"/>
      <w:lvlText w:val="•"/>
      <w:lvlJc w:val="left"/>
      <w:pPr>
        <w:ind w:left="2860" w:hanging="361"/>
      </w:pPr>
      <w:rPr>
        <w:rFonts w:hint="default"/>
      </w:rPr>
    </w:lvl>
    <w:lvl w:ilvl="3" w:tplc="58540D68">
      <w:numFmt w:val="bullet"/>
      <w:lvlText w:val="•"/>
      <w:lvlJc w:val="left"/>
      <w:pPr>
        <w:ind w:left="3700" w:hanging="361"/>
      </w:pPr>
      <w:rPr>
        <w:rFonts w:hint="default"/>
      </w:rPr>
    </w:lvl>
    <w:lvl w:ilvl="4" w:tplc="9BDA9004">
      <w:numFmt w:val="bullet"/>
      <w:lvlText w:val="•"/>
      <w:lvlJc w:val="left"/>
      <w:pPr>
        <w:ind w:left="4540" w:hanging="361"/>
      </w:pPr>
      <w:rPr>
        <w:rFonts w:hint="default"/>
      </w:rPr>
    </w:lvl>
    <w:lvl w:ilvl="5" w:tplc="653C3D2C">
      <w:numFmt w:val="bullet"/>
      <w:lvlText w:val="•"/>
      <w:lvlJc w:val="left"/>
      <w:pPr>
        <w:ind w:left="5380" w:hanging="361"/>
      </w:pPr>
      <w:rPr>
        <w:rFonts w:hint="default"/>
      </w:rPr>
    </w:lvl>
    <w:lvl w:ilvl="6" w:tplc="4B764602">
      <w:numFmt w:val="bullet"/>
      <w:lvlText w:val="•"/>
      <w:lvlJc w:val="left"/>
      <w:pPr>
        <w:ind w:left="6220" w:hanging="361"/>
      </w:pPr>
      <w:rPr>
        <w:rFonts w:hint="default"/>
      </w:rPr>
    </w:lvl>
    <w:lvl w:ilvl="7" w:tplc="15187A34">
      <w:numFmt w:val="bullet"/>
      <w:lvlText w:val="•"/>
      <w:lvlJc w:val="left"/>
      <w:pPr>
        <w:ind w:left="7060" w:hanging="361"/>
      </w:pPr>
      <w:rPr>
        <w:rFonts w:hint="default"/>
      </w:rPr>
    </w:lvl>
    <w:lvl w:ilvl="8" w:tplc="C0FE7C8E">
      <w:numFmt w:val="bullet"/>
      <w:lvlText w:val="•"/>
      <w:lvlJc w:val="left"/>
      <w:pPr>
        <w:ind w:left="7900" w:hanging="361"/>
      </w:pPr>
      <w:rPr>
        <w:rFonts w:hint="default"/>
      </w:rPr>
    </w:lvl>
  </w:abstractNum>
  <w:abstractNum w:abstractNumId="15" w15:restartNumberingAfterBreak="0">
    <w:nsid w:val="5D57188A"/>
    <w:multiLevelType w:val="hybridMultilevel"/>
    <w:tmpl w:val="EC5660B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01C4529"/>
    <w:multiLevelType w:val="hybridMultilevel"/>
    <w:tmpl w:val="4B50A356"/>
    <w:lvl w:ilvl="0" w:tplc="8ECA6B2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3917E6"/>
    <w:multiLevelType w:val="hybridMultilevel"/>
    <w:tmpl w:val="02D621CC"/>
    <w:lvl w:ilvl="0" w:tplc="F39AFA66">
      <w:start w:val="1"/>
      <w:numFmt w:val="upperLetter"/>
      <w:pStyle w:val="Heading6"/>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17"/>
  </w:num>
  <w:num w:numId="5">
    <w:abstractNumId w:val="12"/>
  </w:num>
  <w:num w:numId="6">
    <w:abstractNumId w:val="15"/>
  </w:num>
  <w:num w:numId="7">
    <w:abstractNumId w:val="9"/>
  </w:num>
  <w:num w:numId="8">
    <w:abstractNumId w:val="16"/>
  </w:num>
  <w:num w:numId="9">
    <w:abstractNumId w:val="8"/>
  </w:num>
  <w:num w:numId="10">
    <w:abstractNumId w:val="10"/>
  </w:num>
  <w:num w:numId="11">
    <w:abstractNumId w:val="4"/>
  </w:num>
  <w:num w:numId="12">
    <w:abstractNumId w:val="6"/>
  </w:num>
  <w:num w:numId="13">
    <w:abstractNumId w:val="13"/>
  </w:num>
  <w:num w:numId="14">
    <w:abstractNumId w:val="14"/>
  </w:num>
  <w:num w:numId="15">
    <w:abstractNumId w:val="7"/>
  </w:num>
  <w:num w:numId="16">
    <w:abstractNumId w:val="11"/>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D63"/>
    <w:rsid w:val="000459AD"/>
    <w:rsid w:val="000744F0"/>
    <w:rsid w:val="000823D0"/>
    <w:rsid w:val="000A0AAE"/>
    <w:rsid w:val="000A55C6"/>
    <w:rsid w:val="000C456D"/>
    <w:rsid w:val="000E6ABF"/>
    <w:rsid w:val="00147D0D"/>
    <w:rsid w:val="00151FBC"/>
    <w:rsid w:val="00166CBA"/>
    <w:rsid w:val="001719EF"/>
    <w:rsid w:val="001972FD"/>
    <w:rsid w:val="001A212D"/>
    <w:rsid w:val="001B10F1"/>
    <w:rsid w:val="001B1398"/>
    <w:rsid w:val="001B5E6F"/>
    <w:rsid w:val="001C4DFA"/>
    <w:rsid w:val="001E3981"/>
    <w:rsid w:val="001E4BA6"/>
    <w:rsid w:val="00214DD2"/>
    <w:rsid w:val="00262DF7"/>
    <w:rsid w:val="00271CA0"/>
    <w:rsid w:val="00275E9E"/>
    <w:rsid w:val="00287F44"/>
    <w:rsid w:val="002A0C1A"/>
    <w:rsid w:val="002B5175"/>
    <w:rsid w:val="002B5668"/>
    <w:rsid w:val="002C4349"/>
    <w:rsid w:val="002F3FFA"/>
    <w:rsid w:val="002F4D22"/>
    <w:rsid w:val="003104D8"/>
    <w:rsid w:val="00316165"/>
    <w:rsid w:val="00335F3F"/>
    <w:rsid w:val="0035550D"/>
    <w:rsid w:val="003A3717"/>
    <w:rsid w:val="003F5B3F"/>
    <w:rsid w:val="003F7F6F"/>
    <w:rsid w:val="00407A5F"/>
    <w:rsid w:val="00435476"/>
    <w:rsid w:val="004401D9"/>
    <w:rsid w:val="004740BB"/>
    <w:rsid w:val="00491FC4"/>
    <w:rsid w:val="004926B9"/>
    <w:rsid w:val="004A1199"/>
    <w:rsid w:val="004C4DEF"/>
    <w:rsid w:val="00582740"/>
    <w:rsid w:val="00586A26"/>
    <w:rsid w:val="005B7B3C"/>
    <w:rsid w:val="005C0E53"/>
    <w:rsid w:val="005F6F59"/>
    <w:rsid w:val="00607D5B"/>
    <w:rsid w:val="00641986"/>
    <w:rsid w:val="00675F79"/>
    <w:rsid w:val="006C464B"/>
    <w:rsid w:val="006C50D9"/>
    <w:rsid w:val="00722A93"/>
    <w:rsid w:val="00725CEE"/>
    <w:rsid w:val="007318B1"/>
    <w:rsid w:val="00752DD3"/>
    <w:rsid w:val="007726CA"/>
    <w:rsid w:val="00795DC9"/>
    <w:rsid w:val="007D2659"/>
    <w:rsid w:val="008256EF"/>
    <w:rsid w:val="00834237"/>
    <w:rsid w:val="008662B7"/>
    <w:rsid w:val="00887005"/>
    <w:rsid w:val="00893941"/>
    <w:rsid w:val="008A128F"/>
    <w:rsid w:val="008C123E"/>
    <w:rsid w:val="008C1636"/>
    <w:rsid w:val="008D3F9E"/>
    <w:rsid w:val="008F43EF"/>
    <w:rsid w:val="00900F86"/>
    <w:rsid w:val="00901106"/>
    <w:rsid w:val="009077C3"/>
    <w:rsid w:val="00956A17"/>
    <w:rsid w:val="00974DE2"/>
    <w:rsid w:val="0097632E"/>
    <w:rsid w:val="009C547A"/>
    <w:rsid w:val="00A25D4D"/>
    <w:rsid w:val="00A508A2"/>
    <w:rsid w:val="00A81E93"/>
    <w:rsid w:val="00A85B3F"/>
    <w:rsid w:val="00AB7B94"/>
    <w:rsid w:val="00AC5079"/>
    <w:rsid w:val="00AD0EAD"/>
    <w:rsid w:val="00AE126C"/>
    <w:rsid w:val="00AE355E"/>
    <w:rsid w:val="00AF29ED"/>
    <w:rsid w:val="00B048B5"/>
    <w:rsid w:val="00B35952"/>
    <w:rsid w:val="00B37FE7"/>
    <w:rsid w:val="00B60234"/>
    <w:rsid w:val="00B63263"/>
    <w:rsid w:val="00B64FFA"/>
    <w:rsid w:val="00B756F4"/>
    <w:rsid w:val="00B879D0"/>
    <w:rsid w:val="00BA2955"/>
    <w:rsid w:val="00BA4A0F"/>
    <w:rsid w:val="00BD01D9"/>
    <w:rsid w:val="00BF698B"/>
    <w:rsid w:val="00BF71F6"/>
    <w:rsid w:val="00BF7D75"/>
    <w:rsid w:val="00C524D0"/>
    <w:rsid w:val="00C57CEE"/>
    <w:rsid w:val="00C61749"/>
    <w:rsid w:val="00C6727B"/>
    <w:rsid w:val="00C837E6"/>
    <w:rsid w:val="00CB45D6"/>
    <w:rsid w:val="00CC1992"/>
    <w:rsid w:val="00CC2676"/>
    <w:rsid w:val="00CE393E"/>
    <w:rsid w:val="00D05803"/>
    <w:rsid w:val="00D06B68"/>
    <w:rsid w:val="00D70B2E"/>
    <w:rsid w:val="00D85C71"/>
    <w:rsid w:val="00DB4D63"/>
    <w:rsid w:val="00DC0811"/>
    <w:rsid w:val="00DE621D"/>
    <w:rsid w:val="00E11C99"/>
    <w:rsid w:val="00E260BA"/>
    <w:rsid w:val="00E513CA"/>
    <w:rsid w:val="00E647B5"/>
    <w:rsid w:val="00E675E8"/>
    <w:rsid w:val="00E9001D"/>
    <w:rsid w:val="00EA35DD"/>
    <w:rsid w:val="00EE483D"/>
    <w:rsid w:val="00EE7868"/>
    <w:rsid w:val="00F44051"/>
    <w:rsid w:val="00F45F3E"/>
    <w:rsid w:val="00F74C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9F67B1"/>
  <w15:docId w15:val="{E190CE7E-BC95-42FD-87EA-93C6D9029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A93"/>
    <w:rPr>
      <w:sz w:val="24"/>
    </w:rPr>
  </w:style>
  <w:style w:type="paragraph" w:styleId="Heading1">
    <w:name w:val="heading 1"/>
    <w:basedOn w:val="Normal"/>
    <w:next w:val="Normal"/>
    <w:link w:val="Heading1Char"/>
    <w:qFormat/>
    <w:rsid w:val="00262DF7"/>
    <w:pPr>
      <w:keepNext/>
      <w:outlineLvl w:val="0"/>
    </w:pPr>
    <w:rPr>
      <w:rFonts w:ascii="Times New Roman" w:eastAsia="Times New Roman" w:hAnsi="Times New Roman"/>
      <w:szCs w:val="24"/>
      <w:u w:val="single"/>
    </w:rPr>
  </w:style>
  <w:style w:type="paragraph" w:styleId="Heading2">
    <w:name w:val="heading 2"/>
    <w:basedOn w:val="Normal"/>
    <w:next w:val="Normal"/>
    <w:link w:val="Heading2Char"/>
    <w:qFormat/>
    <w:rsid w:val="00262DF7"/>
    <w:pPr>
      <w:keepNext/>
      <w:ind w:left="360"/>
      <w:outlineLvl w:val="1"/>
    </w:pPr>
    <w:rPr>
      <w:rFonts w:ascii="Times New Roman" w:eastAsia="Times New Roman" w:hAnsi="Times New Roman"/>
      <w:szCs w:val="24"/>
      <w:u w:val="single"/>
    </w:rPr>
  </w:style>
  <w:style w:type="paragraph" w:styleId="Heading4">
    <w:name w:val="heading 4"/>
    <w:basedOn w:val="Normal"/>
    <w:next w:val="Normal"/>
    <w:link w:val="Heading4Char"/>
    <w:qFormat/>
    <w:rsid w:val="00262DF7"/>
    <w:pPr>
      <w:keepNext/>
      <w:ind w:left="720" w:firstLine="720"/>
      <w:outlineLvl w:val="3"/>
    </w:pPr>
    <w:rPr>
      <w:rFonts w:ascii="Courier New" w:eastAsia="Times New Roman" w:hAnsi="Courier New" w:cs="Courier New"/>
      <w:b/>
      <w:bCs/>
      <w:sz w:val="20"/>
      <w:szCs w:val="24"/>
    </w:rPr>
  </w:style>
  <w:style w:type="paragraph" w:styleId="Heading5">
    <w:name w:val="heading 5"/>
    <w:basedOn w:val="Normal"/>
    <w:next w:val="Normal"/>
    <w:link w:val="Heading5Char"/>
    <w:qFormat/>
    <w:rsid w:val="00262DF7"/>
    <w:pPr>
      <w:keepNext/>
      <w:ind w:left="1080" w:firstLine="360"/>
      <w:outlineLvl w:val="4"/>
    </w:pPr>
    <w:rPr>
      <w:rFonts w:ascii="Courier New" w:eastAsia="MS Mincho" w:hAnsi="Courier New" w:cs="Courier New"/>
      <w:b/>
      <w:bCs/>
      <w:sz w:val="20"/>
      <w:szCs w:val="24"/>
    </w:rPr>
  </w:style>
  <w:style w:type="paragraph" w:styleId="Heading6">
    <w:name w:val="heading 6"/>
    <w:basedOn w:val="Normal"/>
    <w:next w:val="Normal"/>
    <w:link w:val="Heading6Char"/>
    <w:qFormat/>
    <w:rsid w:val="00262DF7"/>
    <w:pPr>
      <w:keepNext/>
      <w:numPr>
        <w:numId w:val="4"/>
      </w:numPr>
      <w:tabs>
        <w:tab w:val="clear" w:pos="720"/>
        <w:tab w:val="num" w:pos="360"/>
      </w:tabs>
      <w:ind w:left="0" w:firstLine="0"/>
      <w:outlineLvl w:val="5"/>
    </w:pPr>
    <w:rPr>
      <w:rFonts w:ascii="Tahoma" w:eastAsia="Times New Roman" w:hAnsi="Tahoma"/>
      <w:b/>
      <w:bCs/>
      <w:sz w:val="20"/>
      <w:szCs w:val="24"/>
    </w:rPr>
  </w:style>
  <w:style w:type="paragraph" w:styleId="Heading7">
    <w:name w:val="heading 7"/>
    <w:basedOn w:val="Normal"/>
    <w:next w:val="Normal"/>
    <w:link w:val="Heading7Char"/>
    <w:qFormat/>
    <w:rsid w:val="00262DF7"/>
    <w:pPr>
      <w:keepNext/>
      <w:ind w:left="360"/>
      <w:outlineLvl w:val="6"/>
    </w:pPr>
    <w:rPr>
      <w:rFonts w:ascii="Tahoma" w:eastAsia="MS Mincho" w:hAnsi="Tahoma"/>
      <w:b/>
      <w:bCs/>
      <w:sz w:val="20"/>
      <w:szCs w:val="24"/>
    </w:rPr>
  </w:style>
  <w:style w:type="paragraph" w:styleId="Heading8">
    <w:name w:val="heading 8"/>
    <w:basedOn w:val="Normal"/>
    <w:next w:val="Normal"/>
    <w:link w:val="Heading8Char"/>
    <w:qFormat/>
    <w:rsid w:val="00262DF7"/>
    <w:pPr>
      <w:keepNext/>
      <w:outlineLvl w:val="7"/>
    </w:pPr>
    <w:rPr>
      <w:rFonts w:ascii="Tahoma" w:eastAsia="Times New Roman" w:hAnsi="Tahoma"/>
      <w:b/>
      <w:bCs/>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ascii="Geneva" w:hAnsi="Geneva"/>
    </w:rPr>
  </w:style>
  <w:style w:type="paragraph" w:styleId="BodyText">
    <w:name w:val="Body Text"/>
    <w:basedOn w:val="Normal"/>
    <w:link w:val="BodyTextChar"/>
    <w:pPr>
      <w:suppressAutoHyphens/>
      <w:spacing w:line="290" w:lineRule="exact"/>
      <w:ind w:right="-1080"/>
    </w:pPr>
    <w:rPr>
      <w:rFonts w:ascii="Melior" w:hAnsi="Melior"/>
      <w:kern w:val="20"/>
      <w:sz w:val="19"/>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OfficeorDepttitle">
    <w:name w:val="Office or Dept title"/>
    <w:pPr>
      <w:spacing w:line="264" w:lineRule="atLeast"/>
    </w:pPr>
    <w:rPr>
      <w:rFonts w:ascii="Akzidenz-Grotesk BQ Med" w:eastAsia="Times New Roman" w:hAnsi="Akzidenz-Grotesk BQ Med"/>
      <w:caps/>
      <w:color w:val="008080"/>
      <w:spacing w:val="15"/>
      <w:sz w:val="13"/>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odyTextChar">
    <w:name w:val="Body Text Char"/>
    <w:link w:val="BodyText"/>
    <w:rsid w:val="00E647B5"/>
    <w:rPr>
      <w:rFonts w:ascii="Melior" w:hAnsi="Melior"/>
      <w:kern w:val="20"/>
      <w:sz w:val="19"/>
    </w:rPr>
  </w:style>
  <w:style w:type="paragraph" w:styleId="BalloonText">
    <w:name w:val="Balloon Text"/>
    <w:basedOn w:val="Normal"/>
    <w:link w:val="BalloonTextChar"/>
    <w:uiPriority w:val="99"/>
    <w:semiHidden/>
    <w:unhideWhenUsed/>
    <w:rsid w:val="001B10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10F1"/>
    <w:rPr>
      <w:rFonts w:ascii="Lucida Grande" w:hAnsi="Lucida Grande" w:cs="Lucida Grande"/>
      <w:sz w:val="18"/>
      <w:szCs w:val="18"/>
    </w:rPr>
  </w:style>
  <w:style w:type="paragraph" w:customStyle="1" w:styleId="Ruthstemplate">
    <w:name w:val="Ruth's template"/>
    <w:link w:val="RuthstemplateChar"/>
    <w:uiPriority w:val="99"/>
    <w:rsid w:val="003F5B3F"/>
    <w:pPr>
      <w:spacing w:after="160" w:line="259" w:lineRule="auto"/>
    </w:pPr>
    <w:rPr>
      <w:rFonts w:ascii="Times New Roman" w:eastAsia="Calibri" w:hAnsi="Times New Roman"/>
      <w:sz w:val="24"/>
    </w:rPr>
  </w:style>
  <w:style w:type="character" w:customStyle="1" w:styleId="RuthstemplateChar">
    <w:name w:val="Ruth's template Char"/>
    <w:link w:val="Ruthstemplate"/>
    <w:uiPriority w:val="99"/>
    <w:locked/>
    <w:rsid w:val="003F5B3F"/>
    <w:rPr>
      <w:rFonts w:ascii="Times New Roman" w:eastAsia="Calibri" w:hAnsi="Times New Roman"/>
      <w:sz w:val="24"/>
    </w:rPr>
  </w:style>
  <w:style w:type="paragraph" w:styleId="CommentText">
    <w:name w:val="annotation text"/>
    <w:basedOn w:val="Normal"/>
    <w:link w:val="CommentTextChar"/>
    <w:uiPriority w:val="99"/>
    <w:semiHidden/>
    <w:unhideWhenUsed/>
    <w:rsid w:val="00725CEE"/>
    <w:rPr>
      <w:rFonts w:ascii="Times New Roman" w:eastAsia="Arial Unicode MS" w:hAnsi="Times New Roman"/>
      <w:sz w:val="20"/>
    </w:rPr>
  </w:style>
  <w:style w:type="character" w:customStyle="1" w:styleId="CommentTextChar">
    <w:name w:val="Comment Text Char"/>
    <w:basedOn w:val="DefaultParagraphFont"/>
    <w:link w:val="CommentText"/>
    <w:uiPriority w:val="99"/>
    <w:semiHidden/>
    <w:rsid w:val="00725CEE"/>
    <w:rPr>
      <w:rFonts w:ascii="Times New Roman" w:eastAsia="Arial Unicode MS" w:hAnsi="Times New Roman"/>
    </w:rPr>
  </w:style>
  <w:style w:type="paragraph" w:customStyle="1" w:styleId="Body">
    <w:name w:val="Body"/>
    <w:rsid w:val="00725CEE"/>
    <w:rPr>
      <w:rFonts w:ascii="Helvetica" w:eastAsia="Arial Unicode MS" w:hAnsi="Helvetica" w:cs="Arial Unicode MS"/>
      <w:color w:val="000000"/>
      <w:sz w:val="22"/>
      <w:szCs w:val="22"/>
    </w:rPr>
  </w:style>
  <w:style w:type="character" w:styleId="CommentReference">
    <w:name w:val="annotation reference"/>
    <w:basedOn w:val="DefaultParagraphFont"/>
    <w:uiPriority w:val="99"/>
    <w:semiHidden/>
    <w:unhideWhenUsed/>
    <w:rsid w:val="00725CEE"/>
    <w:rPr>
      <w:sz w:val="16"/>
      <w:szCs w:val="16"/>
    </w:rPr>
  </w:style>
  <w:style w:type="character" w:customStyle="1" w:styleId="Heading1Char">
    <w:name w:val="Heading 1 Char"/>
    <w:basedOn w:val="DefaultParagraphFont"/>
    <w:link w:val="Heading1"/>
    <w:rsid w:val="00262DF7"/>
    <w:rPr>
      <w:rFonts w:ascii="Times New Roman" w:eastAsia="Times New Roman" w:hAnsi="Times New Roman"/>
      <w:sz w:val="24"/>
      <w:szCs w:val="24"/>
      <w:u w:val="single"/>
    </w:rPr>
  </w:style>
  <w:style w:type="character" w:customStyle="1" w:styleId="Heading2Char">
    <w:name w:val="Heading 2 Char"/>
    <w:basedOn w:val="DefaultParagraphFont"/>
    <w:link w:val="Heading2"/>
    <w:rsid w:val="00262DF7"/>
    <w:rPr>
      <w:rFonts w:ascii="Times New Roman" w:eastAsia="Times New Roman" w:hAnsi="Times New Roman"/>
      <w:sz w:val="24"/>
      <w:szCs w:val="24"/>
      <w:u w:val="single"/>
    </w:rPr>
  </w:style>
  <w:style w:type="character" w:customStyle="1" w:styleId="Heading4Char">
    <w:name w:val="Heading 4 Char"/>
    <w:basedOn w:val="DefaultParagraphFont"/>
    <w:link w:val="Heading4"/>
    <w:rsid w:val="00262DF7"/>
    <w:rPr>
      <w:rFonts w:ascii="Courier New" w:eastAsia="Times New Roman" w:hAnsi="Courier New" w:cs="Courier New"/>
      <w:b/>
      <w:bCs/>
      <w:szCs w:val="24"/>
    </w:rPr>
  </w:style>
  <w:style w:type="character" w:customStyle="1" w:styleId="Heading5Char">
    <w:name w:val="Heading 5 Char"/>
    <w:basedOn w:val="DefaultParagraphFont"/>
    <w:link w:val="Heading5"/>
    <w:rsid w:val="00262DF7"/>
    <w:rPr>
      <w:rFonts w:ascii="Courier New" w:eastAsia="MS Mincho" w:hAnsi="Courier New" w:cs="Courier New"/>
      <w:b/>
      <w:bCs/>
      <w:szCs w:val="24"/>
    </w:rPr>
  </w:style>
  <w:style w:type="character" w:customStyle="1" w:styleId="Heading6Char">
    <w:name w:val="Heading 6 Char"/>
    <w:basedOn w:val="DefaultParagraphFont"/>
    <w:link w:val="Heading6"/>
    <w:rsid w:val="00262DF7"/>
    <w:rPr>
      <w:rFonts w:ascii="Tahoma" w:eastAsia="Times New Roman" w:hAnsi="Tahoma"/>
      <w:b/>
      <w:bCs/>
      <w:szCs w:val="24"/>
    </w:rPr>
  </w:style>
  <w:style w:type="character" w:customStyle="1" w:styleId="Heading7Char">
    <w:name w:val="Heading 7 Char"/>
    <w:basedOn w:val="DefaultParagraphFont"/>
    <w:link w:val="Heading7"/>
    <w:rsid w:val="00262DF7"/>
    <w:rPr>
      <w:rFonts w:ascii="Tahoma" w:eastAsia="MS Mincho" w:hAnsi="Tahoma"/>
      <w:b/>
      <w:bCs/>
      <w:szCs w:val="24"/>
    </w:rPr>
  </w:style>
  <w:style w:type="character" w:customStyle="1" w:styleId="Heading8Char">
    <w:name w:val="Heading 8 Char"/>
    <w:basedOn w:val="DefaultParagraphFont"/>
    <w:link w:val="Heading8"/>
    <w:rsid w:val="00262DF7"/>
    <w:rPr>
      <w:rFonts w:ascii="Tahoma" w:eastAsia="Times New Roman" w:hAnsi="Tahoma"/>
      <w:b/>
      <w:bCs/>
      <w:szCs w:val="24"/>
      <w:u w:val="single"/>
    </w:rPr>
  </w:style>
  <w:style w:type="paragraph" w:styleId="PlainText">
    <w:name w:val="Plain Text"/>
    <w:basedOn w:val="Normal"/>
    <w:link w:val="PlainTextChar"/>
    <w:rsid w:val="00262DF7"/>
    <w:rPr>
      <w:rFonts w:ascii="Courier New" w:eastAsia="Times New Roman" w:hAnsi="Courier New" w:cs="Courier New"/>
      <w:sz w:val="20"/>
    </w:rPr>
  </w:style>
  <w:style w:type="character" w:customStyle="1" w:styleId="PlainTextChar">
    <w:name w:val="Plain Text Char"/>
    <w:basedOn w:val="DefaultParagraphFont"/>
    <w:link w:val="PlainText"/>
    <w:rsid w:val="00262DF7"/>
    <w:rPr>
      <w:rFonts w:ascii="Courier New" w:eastAsia="Times New Roman" w:hAnsi="Courier New" w:cs="Courier New"/>
    </w:rPr>
  </w:style>
  <w:style w:type="paragraph" w:styleId="NormalWeb">
    <w:name w:val="Normal (Web)"/>
    <w:basedOn w:val="Normal"/>
    <w:uiPriority w:val="99"/>
    <w:rsid w:val="00262DF7"/>
    <w:pPr>
      <w:spacing w:before="100" w:beforeAutospacing="1" w:after="100" w:afterAutospacing="1"/>
    </w:pPr>
    <w:rPr>
      <w:rFonts w:ascii="Times New Roman" w:eastAsia="Times New Roman" w:hAnsi="Times New Roman"/>
      <w:szCs w:val="24"/>
    </w:rPr>
  </w:style>
  <w:style w:type="table" w:styleId="TableGrid">
    <w:name w:val="Table Grid"/>
    <w:basedOn w:val="TableNormal"/>
    <w:uiPriority w:val="59"/>
    <w:rsid w:val="00262DF7"/>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262DF7"/>
    <w:pPr>
      <w:ind w:left="720"/>
      <w:contextualSpacing/>
    </w:pPr>
    <w:rPr>
      <w:rFonts w:ascii="Times New Roman" w:eastAsia="Times New Roman" w:hAnsi="Times New Roman"/>
      <w:szCs w:val="24"/>
    </w:rPr>
  </w:style>
  <w:style w:type="character" w:styleId="Strong">
    <w:name w:val="Strong"/>
    <w:uiPriority w:val="22"/>
    <w:qFormat/>
    <w:rsid w:val="00262DF7"/>
    <w:rPr>
      <w:b/>
      <w:bCs/>
    </w:rPr>
  </w:style>
  <w:style w:type="paragraph" w:styleId="NoSpacing">
    <w:name w:val="No Spacing"/>
    <w:uiPriority w:val="1"/>
    <w:qFormat/>
    <w:rsid w:val="00316165"/>
    <w:rPr>
      <w:rFonts w:asciiTheme="minorHAnsi" w:eastAsiaTheme="minorEastAsia" w:hAnsiTheme="minorHAnsi" w:cstheme="minorBidi"/>
      <w:sz w:val="22"/>
      <w:szCs w:val="22"/>
    </w:rPr>
  </w:style>
  <w:style w:type="table" w:customStyle="1" w:styleId="TableGrid1">
    <w:name w:val="Table Grid1"/>
    <w:basedOn w:val="TableNormal"/>
    <w:next w:val="TableGrid"/>
    <w:uiPriority w:val="1"/>
    <w:rsid w:val="00722A93"/>
    <w:rPr>
      <w:rFonts w:asciiTheme="minorHAnsi" w:eastAsia="MS Mincho" w:hAnsiTheme="minorHAnsi" w:cstheme="minorBidi"/>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473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fortin\AppData\Local\Temp\Temp1_uo_digital_lh_-_coe.zip\UO%20Digital%20LH%20-%20COE\O_Letterhead_COE_4C.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Doctoral Advisees</a:t>
            </a:r>
            <a:r>
              <a:rPr lang="en-US" baseline="0"/>
              <a:t> Per Faculty Member*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'All COE'!$D$2</c:f>
              <c:strCache>
                <c:ptCount val="1"/>
                <c:pt idx="0">
                  <c:v># of Advisees</c:v>
                </c:pt>
              </c:strCache>
            </c:strRef>
          </c:tx>
          <c:spPr>
            <a:solidFill>
              <a:schemeClr val="accent1"/>
            </a:solidFill>
            <a:ln>
              <a:noFill/>
            </a:ln>
            <a:effectLst/>
          </c:spPr>
          <c:invertIfNegative val="0"/>
          <c:val>
            <c:numRef>
              <c:f>'All COE'!$D$3:$D$66</c:f>
              <c:numCache>
                <c:formatCode>General</c:formatCode>
                <c:ptCount val="61"/>
                <c:pt idx="0">
                  <c:v>10</c:v>
                </c:pt>
                <c:pt idx="1">
                  <c:v>2</c:v>
                </c:pt>
                <c:pt idx="2">
                  <c:v>2</c:v>
                </c:pt>
                <c:pt idx="3">
                  <c:v>7</c:v>
                </c:pt>
                <c:pt idx="4">
                  <c:v>5</c:v>
                </c:pt>
                <c:pt idx="5">
                  <c:v>4</c:v>
                </c:pt>
                <c:pt idx="6">
                  <c:v>1</c:v>
                </c:pt>
                <c:pt idx="7">
                  <c:v>1</c:v>
                </c:pt>
                <c:pt idx="8">
                  <c:v>4</c:v>
                </c:pt>
                <c:pt idx="9">
                  <c:v>4</c:v>
                </c:pt>
                <c:pt idx="10">
                  <c:v>4</c:v>
                </c:pt>
                <c:pt idx="11">
                  <c:v>3</c:v>
                </c:pt>
                <c:pt idx="12">
                  <c:v>2</c:v>
                </c:pt>
                <c:pt idx="13">
                  <c:v>2</c:v>
                </c:pt>
                <c:pt idx="14">
                  <c:v>2</c:v>
                </c:pt>
                <c:pt idx="15">
                  <c:v>4</c:v>
                </c:pt>
                <c:pt idx="16">
                  <c:v>7</c:v>
                </c:pt>
                <c:pt idx="17">
                  <c:v>2</c:v>
                </c:pt>
                <c:pt idx="18">
                  <c:v>4</c:v>
                </c:pt>
                <c:pt idx="19">
                  <c:v>9</c:v>
                </c:pt>
                <c:pt idx="20">
                  <c:v>6</c:v>
                </c:pt>
                <c:pt idx="21">
                  <c:v>4</c:v>
                </c:pt>
                <c:pt idx="22">
                  <c:v>3</c:v>
                </c:pt>
                <c:pt idx="23">
                  <c:v>17</c:v>
                </c:pt>
                <c:pt idx="24">
                  <c:v>4</c:v>
                </c:pt>
                <c:pt idx="25">
                  <c:v>11</c:v>
                </c:pt>
                <c:pt idx="26">
                  <c:v>7</c:v>
                </c:pt>
                <c:pt idx="27">
                  <c:v>1</c:v>
                </c:pt>
                <c:pt idx="28">
                  <c:v>1</c:v>
                </c:pt>
                <c:pt idx="29">
                  <c:v>1</c:v>
                </c:pt>
                <c:pt idx="30">
                  <c:v>3</c:v>
                </c:pt>
                <c:pt idx="31">
                  <c:v>1</c:v>
                </c:pt>
                <c:pt idx="32">
                  <c:v>10</c:v>
                </c:pt>
                <c:pt idx="33">
                  <c:v>4</c:v>
                </c:pt>
                <c:pt idx="34">
                  <c:v>2</c:v>
                </c:pt>
                <c:pt idx="35">
                  <c:v>2</c:v>
                </c:pt>
                <c:pt idx="36">
                  <c:v>6</c:v>
                </c:pt>
                <c:pt idx="37">
                  <c:v>5</c:v>
                </c:pt>
                <c:pt idx="38">
                  <c:v>3</c:v>
                </c:pt>
                <c:pt idx="39">
                  <c:v>4</c:v>
                </c:pt>
                <c:pt idx="40">
                  <c:v>6</c:v>
                </c:pt>
                <c:pt idx="41">
                  <c:v>2</c:v>
                </c:pt>
                <c:pt idx="42">
                  <c:v>7</c:v>
                </c:pt>
                <c:pt idx="43">
                  <c:v>8</c:v>
                </c:pt>
                <c:pt idx="44">
                  <c:v>1</c:v>
                </c:pt>
                <c:pt idx="45">
                  <c:v>3</c:v>
                </c:pt>
                <c:pt idx="46">
                  <c:v>9</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numCache>
            </c:numRef>
          </c:val>
          <c:extLst>
            <c:ext xmlns:c16="http://schemas.microsoft.com/office/drawing/2014/chart" uri="{C3380CC4-5D6E-409C-BE32-E72D297353CC}">
              <c16:uniqueId val="{00000000-FF56-4BE6-B50D-F65A1D5360A0}"/>
            </c:ext>
          </c:extLst>
        </c:ser>
        <c:dLbls>
          <c:showLegendKey val="0"/>
          <c:showVal val="0"/>
          <c:showCatName val="0"/>
          <c:showSerName val="0"/>
          <c:showPercent val="0"/>
          <c:showBubbleSize val="0"/>
        </c:dLbls>
        <c:gapWidth val="219"/>
        <c:overlap val="-27"/>
        <c:axId val="2104915464"/>
        <c:axId val="2104922136"/>
      </c:barChart>
      <c:catAx>
        <c:axId val="2104915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Faculty</a:t>
                </a:r>
                <a:r>
                  <a:rPr lang="en-US" baseline="0"/>
                  <a:t> Member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922136"/>
        <c:crosses val="autoZero"/>
        <c:auto val="1"/>
        <c:lblAlgn val="ctr"/>
        <c:lblOffset val="100"/>
        <c:noMultiLvlLbl val="0"/>
      </c:catAx>
      <c:valAx>
        <c:axId val="2104922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Advisees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915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O_Letterhead_COE_4C</Template>
  <TotalTime>11</TotalTime>
  <Pages>4</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3 April 2002</vt:lpstr>
    </vt:vector>
  </TitlesOfParts>
  <Company/>
  <LinksUpToDate>false</LinksUpToDate>
  <CharactersWithSpaces>6595</CharactersWithSpaces>
  <SharedDoc>false</SharedDoc>
  <HLinks>
    <vt:vector size="12" baseType="variant">
      <vt:variant>
        <vt:i4>7995433</vt:i4>
      </vt:variant>
      <vt:variant>
        <vt:i4>0</vt:i4>
      </vt:variant>
      <vt:variant>
        <vt:i4>0</vt:i4>
      </vt:variant>
      <vt:variant>
        <vt:i4>5</vt:i4>
      </vt:variant>
      <vt:variant>
        <vt:lpwstr>http://www.giving.uoregon.edu/</vt:lpwstr>
      </vt:variant>
      <vt:variant>
        <vt:lpwstr/>
      </vt:variant>
      <vt:variant>
        <vt:i4>6029363</vt:i4>
      </vt:variant>
      <vt:variant>
        <vt:i4>3463</vt:i4>
      </vt:variant>
      <vt:variant>
        <vt:i4>1025</vt:i4>
      </vt:variant>
      <vt:variant>
        <vt:i4>1</vt:i4>
      </vt:variant>
      <vt:variant>
        <vt:lpwstr>COE-3435-CGY11-4C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April 2002</dc:title>
  <dc:creator>Lisa Fortin</dc:creator>
  <cp:lastModifiedBy>Randy Kamphaus</cp:lastModifiedBy>
  <cp:revision>5</cp:revision>
  <cp:lastPrinted>2019-01-14T21:08:00Z</cp:lastPrinted>
  <dcterms:created xsi:type="dcterms:W3CDTF">2019-01-18T00:23:00Z</dcterms:created>
  <dcterms:modified xsi:type="dcterms:W3CDTF">2019-01-18T00:43:00Z</dcterms:modified>
</cp:coreProperties>
</file>